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8f41af73891958e6beb2a4ff39800372fb30dc7"/>
    <w:p>
      <w:pPr>
        <w:pStyle w:val="Heading1"/>
      </w:pPr>
      <w:r>
        <w:t xml:space="preserve">Attention Accumulation in Framing the Limit Does Gain-Versus-Loss Framing of Carrying-Capacity Estimates: A Learning-Curve Analysis of Citation Growth by Article Age</w:t>
      </w:r>
    </w:p>
    <w:bookmarkStart w:id="61" w:name="introduction"/>
    <w:p>
      <w:pPr>
        <w:pStyle w:val="Heading2"/>
      </w:pPr>
      <w:r>
        <w:t xml:space="preserve">1. Introduction</w:t>
      </w:r>
    </w:p>
    <w:p>
      <w:pPr>
        <w:pStyle w:val="FirstParagraph"/>
      </w:pPr>
      <w:r>
        <w:t xml:space="preserve">This empirical paper supports Joon Mwangi (1B-SUS-230) and the dissertation project</w:t>
      </w:r>
      <w:r>
        <w:t xml:space="preserve"> </w:t>
      </w:r>
      <w:r>
        <w:rPr>
          <w:i/>
          <w:iCs/>
        </w:rPr>
        <w:t xml:space="preserve">Framing the Limit: Does Gain-Versus-Loss Framing of Carrying-Capacity Estimates</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R2=0.050358106747885545, elasticity_b=-0.3424195460532741, progress_ratio_2^b=0.7887174428160888. The exact term summary is: const coef=1.1654222545706727 p=0.000726206860346917; _ln_x coef=-0.3424195460532741 p=0.05068784241952905.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7" w:name="references"/>
    <w:p>
      <w:pPr>
        <w:pStyle w:val="Heading2"/>
      </w:pPr>
      <w:r>
        <w:t xml:space="preserve">References</w:t>
      </w:r>
    </w:p>
    <w:p>
      <w:pPr>
        <w:pStyle w:val="FirstParagraph"/>
      </w:pPr>
      <w:bookmarkStart w:id="67" w:name="ref-1"/>
      <w:bookmarkEnd w:id="67"/>
      <w:r>
        <w:t xml:space="preserve">1. Mark A. Sturza, Viasat, Inc.; Mark D. Dankberg, Viasat, Inc.; William N. Blount, Viasat, Inc.. LEO Capacity Modeling for Sustainable Design (2022). [AMOS]</w:t>
      </w:r>
      <w:r>
        <w:t xml:space="preserve"> </w:t>
      </w:r>
      <w:bookmarkStart w:id="68" w:name="ref-2"/>
      <w:bookmarkEnd w:id="68"/>
      <w:r>
        <w:t xml:space="preserve">2. Mark Sturza, Viasat; Mark Dankberg, Viasat; William Blount, Viasat. Resilience of LEO Constellations to Accidental and Intentional Fragmentation Events (2024). doi:</w:t>
      </w:r>
      <w:r>
        <w:t xml:space="preserve"> </w:t>
      </w:r>
      <w:hyperlink r:id="rId69">
        <w:r>
          <w:rPr>
            <w:rStyle w:val="Hyperlink"/>
          </w:rPr>
          <w:t xml:space="preserve">10.64861/ZFDQ4641</w:t>
        </w:r>
      </w:hyperlink>
      <w:r>
        <w:t xml:space="preserve"> </w:t>
      </w:r>
      <w:bookmarkStart w:id="70" w:name="ref-3"/>
      <w:bookmarkEnd w:id="70"/>
      <w:r>
        <w:t xml:space="preserve">3. Harvey Reed, MITRE; Nathaniel Dailey, MITRE; Ruth Stilwell, Aerospace Policy Solutions, LLC; Brian Weeden, Secure World Foundation. Decentralized Space Information Sharing as a Key Enabler of Trust and the Preservation of Space (2021). [AMOS]</w:t>
      </w:r>
      <w:r>
        <w:t xml:space="preserve"> </w:t>
      </w:r>
      <w:bookmarkStart w:id="71" w:name="ref-4"/>
      <w:bookmarkEnd w:id="71"/>
      <w:r>
        <w:t xml:space="preserve">4. Indigo Brownhall, University College London; Miles Lifson, The Aerospace Corporation; Giovanni Lavezzi, Massachusetts Institute of Technology; Enrico Zucchelli, Massachusetts Institute of Technology; Mark Moretto, North Carolina State University; Santosh Bhattarai, University College London; Richard Linares, Massachusetts Institute of Technology. Verification and Validation of Orbital Capacity Assessment Tools of Varying Fidelities (2025). doi:</w:t>
      </w:r>
      <w:r>
        <w:t xml:space="preserve"> </w:t>
      </w:r>
      <w:hyperlink r:id="rId72">
        <w:r>
          <w:rPr>
            <w:rStyle w:val="Hyperlink"/>
          </w:rPr>
          <w:t xml:space="preserve">10.64861/UHIX1013</w:t>
        </w:r>
      </w:hyperlink>
      <w:r>
        <w:t xml:space="preserve"> </w:t>
      </w:r>
      <w:bookmarkStart w:id="73" w:name="ref-5"/>
      <w:bookmarkEnd w:id="73"/>
      <w:r>
        <w:t xml:space="preserve">5. Robert Carden, MITRE; Dustin Burchett, MITRE; Harvey Reed, MITRE. SNARE (Sensor Network Autonomous Resilient Extensible): Decentralized Sensor Tasking Improves SDA Tactical Relevance (2021). [AMOS]</w:t>
      </w:r>
      <w:r>
        <w:t xml:space="preserve"> </w:t>
      </w:r>
      <w:bookmarkStart w:id="74" w:name="ref-6"/>
      <w:bookmarkEnd w:id="74"/>
      <w:r>
        <w:t xml:space="preserve">6. Andrea D’Ambrosio, Massachusetts Institute of Technology; Miles Lifson, Massachusetts Institute of Technology; Daniel Jang, Massachusetts Institute of Technology; Celina Pasiecznik, Massachusetts Institute of Technology; Richard Linares, Massachusetts Institute of Technology. Projected Orbital Demand and LEO Environmental Capacity (2022). [AMOS]</w:t>
      </w:r>
      <w:r>
        <w:t xml:space="preserve"> </w:t>
      </w:r>
      <w:bookmarkStart w:id="75" w:name="ref-7"/>
      <w:bookmarkEnd w:id="75"/>
      <w:r>
        <w:t xml:space="preserve">7. Charles Matson (USAF/AFRL), Alim Haji (USAF/AFRL). An Algorithm-independent Analysis of the Quality of Images Produced Using Multi-frame Blind Deconvolution Algorithms (2007). [AMOS]</w:t>
      </w:r>
      <w:r>
        <w:t xml:space="preserve"> </w:t>
      </w:r>
      <w:bookmarkStart w:id="76" w:name="ref-8"/>
      <w:bookmarkEnd w:id="76"/>
      <w:r>
        <w:t xml:space="preserve">8. C1C Shane Bruski (United States Air Force Academy), C1C Michael P. Jones (United States Air Force Academy), C1C Samuel R. Harms (United States Air Force Academy), Scott R. Dahlke (United States Air Force Academy), Lt Col Neil Thomas (United States Air Force Academy). An Optical Satellite Tracking System for Undergraduate Research (2012). [AMOS]</w:t>
      </w:r>
    </w:p>
    <w:bookmarkEnd w:id="77"/>
    <w:bookmarkStart w:id="78"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1.1654</w:t>
            </w:r>
          </w:p>
        </w:tc>
        <w:tc>
          <w:tcPr>
            <w:tcW w:w="0" w:type="auto"/>
          </w:tcPr>
          <w:p>
            <w:pPr>
              <w:spacing w:line="240" w:lineRule="auto" w:before="0" w:after="0"/>
              <w:pStyle w:val="Compact"/>
            </w:pPr>
            <w:r>
              <w:rPr>
                <w:sz w:val="20"/>
                <w:szCs w:val="20"/>
              </w:rPr>
              <w:t xml:space="preserve">0.3449</w:t>
            </w:r>
          </w:p>
        </w:tc>
        <w:tc>
          <w:tcPr>
            <w:tcW w:w="0" w:type="auto"/>
          </w:tcPr>
          <w:p>
            <w:pPr>
              <w:spacing w:line="240" w:lineRule="auto" w:before="0" w:after="0"/>
              <w:pStyle w:val="Compact"/>
            </w:pPr>
            <w:r>
              <w:rPr>
                <w:sz w:val="20"/>
                <w:szCs w:val="20"/>
              </w:rPr>
              <w:t xml:space="preserve">3.3795</w:t>
            </w:r>
          </w:p>
        </w:tc>
        <w:tc>
          <w:tcPr>
            <w:tcW w:w="0" w:type="auto"/>
          </w:tcPr>
          <w:p>
            <w:pPr>
              <w:spacing w:line="240" w:lineRule="auto" w:before="0" w:after="0"/>
              <w:pStyle w:val="Compact"/>
            </w:pPr>
            <w:r>
              <w:rPr>
                <w:sz w:val="20"/>
                <w:szCs w:val="20"/>
              </w:rPr>
              <w:t xml:space="preserve">0.0007262</w:t>
            </w:r>
          </w:p>
        </w:tc>
        <w:tc>
          <w:tcPr>
            <w:tcW w:w="0" w:type="auto"/>
          </w:tcPr>
          <w:p>
            <w:pPr>
              <w:spacing w:line="240" w:lineRule="auto" w:before="0" w:after="0"/>
              <w:pStyle w:val="Compact"/>
            </w:pPr>
            <w:r>
              <w:rPr>
                <w:sz w:val="20"/>
                <w:szCs w:val="20"/>
              </w:rPr>
              <w:t xml:space="preserve">[0.4895, 1.8413]</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-0.3424</w:t>
            </w:r>
          </w:p>
        </w:tc>
        <w:tc>
          <w:tcPr>
            <w:tcW w:w="0" w:type="auto"/>
          </w:tcPr>
          <w:p>
            <w:pPr>
              <w:spacing w:line="240" w:lineRule="auto" w:before="0" w:after="0"/>
              <w:pStyle w:val="Compact"/>
            </w:pPr>
            <w:r>
              <w:rPr>
                <w:sz w:val="20"/>
                <w:szCs w:val="20"/>
              </w:rPr>
              <w:t xml:space="preserve">0.1752</w:t>
            </w:r>
          </w:p>
        </w:tc>
        <w:tc>
          <w:tcPr>
            <w:tcW w:w="0" w:type="auto"/>
          </w:tcPr>
          <w:p>
            <w:pPr>
              <w:spacing w:line="240" w:lineRule="auto" w:before="0" w:after="0"/>
              <w:pStyle w:val="Compact"/>
            </w:pPr>
            <w:r>
              <w:rPr>
                <w:sz w:val="20"/>
                <w:szCs w:val="20"/>
              </w:rPr>
              <w:t xml:space="preserve">-1.9541</w:t>
            </w:r>
          </w:p>
        </w:tc>
        <w:tc>
          <w:tcPr>
            <w:tcW w:w="0" w:type="auto"/>
          </w:tcPr>
          <w:p>
            <w:pPr>
              <w:spacing w:line="240" w:lineRule="auto" w:before="0" w:after="0"/>
              <w:pStyle w:val="Compact"/>
            </w:pPr>
            <w:r>
              <w:rPr>
                <w:sz w:val="20"/>
                <w:szCs w:val="20"/>
              </w:rPr>
              <w:t xml:space="preserve">0.0507</w:t>
            </w:r>
          </w:p>
        </w:tc>
        <w:tc>
          <w:tcPr>
            <w:tcW w:w="0" w:type="auto"/>
          </w:tcPr>
          <w:p>
            <w:pPr>
              <w:spacing w:line="240" w:lineRule="auto" w:before="0" w:after="0"/>
              <w:pStyle w:val="Compact"/>
            </w:pPr>
            <w:r>
              <w:rPr>
                <w:sz w:val="20"/>
                <w:szCs w:val="20"/>
              </w:rPr>
              <w:t xml:space="preserve">[-0.6859, 0.001]</w:t>
            </w:r>
          </w:p>
        </w:tc>
      </w:tr>
    </w:tbl>
    <w:p>
      <w:pPr>
        <w:pStyle w:val="BodyText"/>
      </w:pPr>
      <w:r>
        <w:t xml:space="preserve">Fit: N = 30 R2 = 0.0504 elasticity_b = -0.3424 progress_ratio_2^b = 0.7887</w:t>
      </w:r>
    </w:p>
    <w:p>
      <w:pPr>
        <w:pStyle w:val="CaptionedFigure"/>
      </w:pPr>
      <w:r>
        <w:drawing>
          <wp:inline>
            <wp:extent cx="5669280" cy="3657600"/>
            <wp:effectExtent b="0" l="0" r="0" t="0"/>
            <wp:docPr descr="Figure 1. Citation accumulation against article age in the retrieved topic literature." title="" id="80" name="Picture"/>
            <a:graphic>
              <a:graphicData uri="http://schemas.openxmlformats.org/drawingml/2006/picture">
                <pic:pic>
                  <pic:nvPicPr>
                    <pic:cNvPr descr="D:\Claude_Code\brain\collegium\candidates\dissertations\SUSTAINABILITY_INSTITUTIONS_13\research_papers\p2\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https://amostech.space/year/2022/leo-capacity-modeling-for-sustainable-design/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10.64861/ZFDQ4641</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10.64861/UHIX1013</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https://amostech.space/year/2021/snare-sensor-network-autonomous-resilient-extensible-decentralized-sensor-tasking-improves-sda-tactical-relevance/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https://amostech.space/year/2022/projected-orbital-demand-and-leo-environmental-capacity/</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https://amostech.space/year/2007/an-algorithm-independent-analysis-of-the-quality-of-images-produced-using-multi-frame-blind-deconvolution-algorithms/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https://amostech.space/year/2012/an-optical-satellite-tracking-system-for-undergraduate-research/</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10.64861/YQBZ3724</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https://amostech.space/year/2018/attitude-propagation-of-resident-space-objects-with-recurrent-neural-networks/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https://amostech.space/year/2007/diversity-image-restoration-with-dynamically-changing-magnification-rotation-and-translation/</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https://amostech.space/year/2022/capacity-based-cislunar-space-domain-awareness-architecture-optimization/</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10.1016/j.actaastro.2023.01.040</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10.1016/j.actaastro.2025.04.038</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10.1016/j.actaastro.2025.01.069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10.1016/j.actaastro.2022.05.022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10.1016/j.actaastro.2025.08.050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10.1016/j.actaastro.2024.07.022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10.1016/j.actaastro.2025.10.065</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10.1016/j.actaastro.2025.01.035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10.1016/j.actaastro.2021.07.046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10.1016/j.actaastro.2021.06.023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10.1016/j.actaastro.2025.01.057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10.1016/j.actaastro.2025.03.025</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Behavioral Economics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10.52202/078380-0035</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 MITRE IR&amp;D project proposal and narrative presentation by Dr. Nathaniel Dailey that frames orbital carrying capacity through the analogy of fishing industry sustainability, integrating the Kobe Chart, Ostrom’s Common Pool Resource principles, and the OPUS economic model into a policy impact assessment platform with immersive visualization components.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 Capacity Modeling for Sustainable Design (AMOS)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Strategic Competition and Economic Innovation</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1.1654</w:t>
            </w:r>
          </w:p>
        </w:tc>
        <w:tc>
          <w:tcPr>
            <w:tcW w:w="0" w:type="auto"/>
          </w:tcPr>
          <w:p>
            <w:pPr>
              <w:spacing w:line="240" w:lineRule="auto" w:before="0" w:after="0"/>
              <w:pStyle w:val="Compact"/>
            </w:pPr>
            <w:r>
              <w:rPr>
                <w:sz w:val="20"/>
                <w:szCs w:val="20"/>
              </w:rPr>
              <w:t xml:space="preserve">0.3449</w:t>
            </w:r>
          </w:p>
        </w:tc>
        <w:tc>
          <w:tcPr>
            <w:tcW w:w="0" w:type="auto"/>
          </w:tcPr>
          <w:p>
            <w:pPr>
              <w:spacing w:line="240" w:lineRule="auto" w:before="0" w:after="0"/>
              <w:pStyle w:val="Compact"/>
            </w:pPr>
            <w:r>
              <w:rPr>
                <w:sz w:val="20"/>
                <w:szCs w:val="20"/>
              </w:rPr>
              <w:t xml:space="preserve">3.3795</w:t>
            </w:r>
          </w:p>
        </w:tc>
        <w:tc>
          <w:tcPr>
            <w:tcW w:w="0" w:type="auto"/>
          </w:tcPr>
          <w:p>
            <w:pPr>
              <w:spacing w:line="240" w:lineRule="auto" w:before="0" w:after="0"/>
              <w:pStyle w:val="Compact"/>
            </w:pPr>
            <w:r>
              <w:rPr>
                <w:sz w:val="20"/>
                <w:szCs w:val="20"/>
              </w:rPr>
              <w:t xml:space="preserve">0.0007262</w:t>
            </w:r>
          </w:p>
        </w:tc>
        <w:tc>
          <w:tcPr>
            <w:tcW w:w="0" w:type="auto"/>
          </w:tcPr>
          <w:p>
            <w:pPr>
              <w:spacing w:line="240" w:lineRule="auto" w:before="0" w:after="0"/>
              <w:pStyle w:val="Compact"/>
            </w:pPr>
            <w:r>
              <w:rPr>
                <w:sz w:val="20"/>
                <w:szCs w:val="20"/>
              </w:rPr>
              <w:t xml:space="preserve">[0.4895, 1.8413]</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-0.3424</w:t>
            </w:r>
          </w:p>
        </w:tc>
        <w:tc>
          <w:tcPr>
            <w:tcW w:w="0" w:type="auto"/>
          </w:tcPr>
          <w:p>
            <w:pPr>
              <w:spacing w:line="240" w:lineRule="auto" w:before="0" w:after="0"/>
              <w:pStyle w:val="Compact"/>
            </w:pPr>
            <w:r>
              <w:rPr>
                <w:sz w:val="20"/>
                <w:szCs w:val="20"/>
              </w:rPr>
              <w:t xml:space="preserve">0.1752</w:t>
            </w:r>
          </w:p>
        </w:tc>
        <w:tc>
          <w:tcPr>
            <w:tcW w:w="0" w:type="auto"/>
          </w:tcPr>
          <w:p>
            <w:pPr>
              <w:spacing w:line="240" w:lineRule="auto" w:before="0" w:after="0"/>
              <w:pStyle w:val="Compact"/>
            </w:pPr>
            <w:r>
              <w:rPr>
                <w:sz w:val="20"/>
                <w:szCs w:val="20"/>
              </w:rPr>
              <w:t xml:space="preserve">-1.9541</w:t>
            </w:r>
          </w:p>
        </w:tc>
        <w:tc>
          <w:tcPr>
            <w:tcW w:w="0" w:type="auto"/>
          </w:tcPr>
          <w:p>
            <w:pPr>
              <w:spacing w:line="240" w:lineRule="auto" w:before="0" w:after="0"/>
              <w:pStyle w:val="Compact"/>
            </w:pPr>
            <w:r>
              <w:rPr>
                <w:sz w:val="20"/>
                <w:szCs w:val="20"/>
              </w:rPr>
              <w:t xml:space="preserve">0.0507</w:t>
            </w:r>
          </w:p>
        </w:tc>
        <w:tc>
          <w:tcPr>
            <w:tcW w:w="0" w:type="auto"/>
          </w:tcPr>
          <w:p>
            <w:pPr>
              <w:spacing w:line="240" w:lineRule="auto" w:before="0" w:after="0"/>
              <w:pStyle w:val="Compact"/>
            </w:pPr>
            <w:r>
              <w:rPr>
                <w:sz w:val="20"/>
                <w:szCs w:val="20"/>
              </w:rPr>
              <w:t xml:space="preserve">[-0.6859, 0.001]</w:t>
            </w:r>
          </w:p>
        </w:tc>
      </w:tr>
    </w:tbl>
    <w:p>
      <w:pPr>
        <w:pStyle w:val="BodyText"/>
      </w:pPr>
      <w:r>
        <w:t xml:space="preserve">Fit: N = 30 R2 = 0.0504 elasticity_b = -0.3424 progress_ratio_2^b = 0.7887</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2" Target="https://doi.org/10.64861/UHIX1013" TargetMode="External" /><Relationship Type="http://schemas.openxmlformats.org/officeDocument/2006/relationships/hyperlink" Id="rId69" Target="https://doi.org/10.64861/ZFDQ4641"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64861/UHIX1013" TargetMode="External" /><Relationship Type="http://schemas.openxmlformats.org/officeDocument/2006/relationships/hyperlink" Id="rId69" Target="https://doi.org/10.64861/ZFDQ464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2026-06-29T09:45:41Z</dcterms:created>
  <dcterms:modified xsi:type="dcterms:W3CDTF">2026-06-29T09:45:41Z</dcterms:modified>
</cp:coreProperties>
</file>

<file path=docProps/custom.xml><?xml version="1.0" encoding="utf-8"?>
<Properties xmlns="http://schemas.openxmlformats.org/officeDocument/2006/custom-properties" xmlns:vt="http://schemas.openxmlformats.org/officeDocument/2006/docPropsVTypes"/>
</file>