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b0f96331e91bd294aa0c7da0342032e80a9d26b"/>
    <w:p>
      <w:pPr>
        <w:pStyle w:val="Heading1"/>
      </w:pPr>
      <w:r>
        <w:t xml:space="preserve">Signal Intensity in Framing the Limit Does Gain-Versus-Loss Framing of Carrying-Capacity Estimates: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Joon Mwangi (1B-SUS-230) and the dissertation project</w:t>
      </w:r>
      <w:r>
        <w:t xml:space="preserve"> </w:t>
      </w:r>
      <w:r>
        <w:rPr>
          <w:i/>
          <w:iCs/>
        </w:rPr>
        <w:t xml:space="preserve">Framing the Limit: Does Gain-Versus-Loss Framing of Carrying-Capacity Estimates</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R2=0.24287180643643336, R2_adj=0.15551086102525258, F=4.925698371403011, F_p=0.0076847502401891895. The exact term summary is: const coef=2.234833904368136 p=0.006057853607175131; recency_index coef=0.17762358397005193 p=0.0033637276086627976; cites_num coef=0.08982648457407909 p=0.07559683219148104; venue_score coef=-0.6742439359563025 p=0.2437574128783936.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Mark A. Sturza, Viasat, Inc.; Mark D. Dankberg, Viasat, Inc.; William N. Blount, Viasat, Inc.. LEO Capacity Modeling for Sustainable Design (2022). [AMOS]</w:t>
      </w:r>
      <w:r>
        <w:t xml:space="preserve"> </w:t>
      </w:r>
      <w:bookmarkStart w:id="68" w:name="ref-2"/>
      <w:bookmarkEnd w:id="68"/>
      <w:r>
        <w:t xml:space="preserve">2. Mark Sturza, Viasat; Mark Dankberg, Viasat; William Blount, Viasat. Resilience of LEO Constellations to Accidental and Intentional Fragmentation Events (2024). doi:</w:t>
      </w:r>
      <w:r>
        <w:t xml:space="preserve"> </w:t>
      </w:r>
      <w:hyperlink r:id="rId69">
        <w:r>
          <w:rPr>
            <w:rStyle w:val="Hyperlink"/>
          </w:rPr>
          <w:t xml:space="preserve">10.64861/ZFDQ4641</w:t>
        </w:r>
      </w:hyperlink>
      <w:r>
        <w:t xml:space="preserve"> </w:t>
      </w:r>
      <w:bookmarkStart w:id="70" w:name="ref-3"/>
      <w:bookmarkEnd w:id="70"/>
      <w:r>
        <w:t xml:space="preserve">3.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71" w:name="ref-4"/>
      <w:bookmarkEnd w:id="71"/>
      <w:r>
        <w:t xml:space="preserve">4. Indigo Brownhall, University College London; Miles Lifson, The Aerospace Corporation; Giovanni Lavezzi, Massachusetts Institute of Technology; Enrico Zucchelli, Massachusetts Institute of Technology; Mark Moretto, North Carolina State University; Santosh Bhattarai, University College London; Richard Linares, Massachusetts Institute of Technology. Verification and Validation of Orbital Capacity Assessment Tools of Varying Fidelities (2025). doi:</w:t>
      </w:r>
      <w:r>
        <w:t xml:space="preserve"> </w:t>
      </w:r>
      <w:hyperlink r:id="rId72">
        <w:r>
          <w:rPr>
            <w:rStyle w:val="Hyperlink"/>
          </w:rPr>
          <w:t xml:space="preserve">10.64861/UHIX1013</w:t>
        </w:r>
      </w:hyperlink>
      <w:r>
        <w:t xml:space="preserve"> </w:t>
      </w:r>
      <w:bookmarkStart w:id="73" w:name="ref-5"/>
      <w:bookmarkEnd w:id="73"/>
      <w:r>
        <w:t xml:space="preserve">5. Robert Carden, MITRE; Dustin Burchett, MITRE; Harvey Reed, MITRE. SNARE (Sensor Network Autonomous Resilient Extensible): Decentralized Sensor Tasking Improves SDA Tactical Relevance (2021). [AMOS]</w:t>
      </w:r>
      <w:r>
        <w:t xml:space="preserve"> </w:t>
      </w:r>
      <w:bookmarkStart w:id="74" w:name="ref-6"/>
      <w:bookmarkEnd w:id="74"/>
      <w:r>
        <w:t xml:space="preserve">6. Andrea D’Ambrosio, Massachusetts Institute of Technology; Miles Lifson, Massachusetts Institute of Technology; Daniel Jang, Massachusetts Institute of Technology; Celina Pasiecznik, Massachusetts Institute of Technology; Richard Linares, Massachusetts Institute of Technology. Projected Orbital Demand and LEO Environmental Capacity (2022). [AMOS]</w:t>
      </w:r>
      <w:r>
        <w:t xml:space="preserve"> </w:t>
      </w:r>
      <w:bookmarkStart w:id="75" w:name="ref-7"/>
      <w:bookmarkEnd w:id="75"/>
      <w:r>
        <w:t xml:space="preserve">7. Charles Matson (USAF/AFRL), Alim Haji (USAF/AFRL). An Algorithm-independent Analysis of the Quality of Images Produced Using Multi-frame Blind Deconvolution Algorithms (2007). [AMOS]</w:t>
      </w:r>
      <w:r>
        <w:t xml:space="preserve"> </w:t>
      </w:r>
      <w:bookmarkStart w:id="76" w:name="ref-8"/>
      <w:bookmarkEnd w:id="76"/>
      <w:r>
        <w:t xml:space="preserve">8. C1C Shane Bruski (United States Air Force Academy), C1C Michael P. Jones (United States Air Force Academy), C1C Samuel R. Harms (United States Air Force Academy), Scott R. Dahlke (United States Air Force Academy), Lt Col Neil Thomas (United States Air Force Academy). An Optical Satellite Tracking System for Undergraduate Research (2012). [AMOS]</w:t>
      </w:r>
    </w:p>
    <w:bookmarkEnd w:id="77"/>
    <w:bookmarkStart w:id="78"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2.2348</w:t>
            </w:r>
          </w:p>
        </w:tc>
        <w:tc>
          <w:tcPr>
            <w:tcW w:w="0" w:type="auto"/>
          </w:tcPr>
          <w:p>
            <w:pPr>
              <w:spacing w:line="240" w:lineRule="auto" w:before="0" w:after="0"/>
              <w:pStyle w:val="Compact"/>
            </w:pPr>
            <w:r>
              <w:rPr>
                <w:sz w:val="20"/>
                <w:szCs w:val="20"/>
              </w:rPr>
              <w:t xml:space="preserve">0.8143</w:t>
            </w:r>
          </w:p>
        </w:tc>
        <w:tc>
          <w:tcPr>
            <w:tcW w:w="0" w:type="auto"/>
          </w:tcPr>
          <w:p>
            <w:pPr>
              <w:spacing w:line="240" w:lineRule="auto" w:before="0" w:after="0"/>
              <w:pStyle w:val="Compact"/>
            </w:pPr>
            <w:r>
              <w:rPr>
                <w:sz w:val="20"/>
                <w:szCs w:val="20"/>
              </w:rPr>
              <w:t xml:space="preserve">2.7446</w:t>
            </w:r>
          </w:p>
        </w:tc>
        <w:tc>
          <w:tcPr>
            <w:tcW w:w="0" w:type="auto"/>
          </w:tcPr>
          <w:p>
            <w:pPr>
              <w:spacing w:line="240" w:lineRule="auto" w:before="0" w:after="0"/>
              <w:pStyle w:val="Compact"/>
            </w:pPr>
            <w:r>
              <w:rPr>
                <w:sz w:val="20"/>
                <w:szCs w:val="20"/>
              </w:rPr>
              <w:t xml:space="preserve">0.0061</w:t>
            </w:r>
          </w:p>
        </w:tc>
        <w:tc>
          <w:tcPr>
            <w:tcW w:w="0" w:type="auto"/>
          </w:tcPr>
          <w:p>
            <w:pPr>
              <w:spacing w:line="240" w:lineRule="auto" w:before="0" w:after="0"/>
              <w:pStyle w:val="Compact"/>
            </w:pPr>
            <w:r>
              <w:rPr>
                <w:sz w:val="20"/>
                <w:szCs w:val="20"/>
              </w:rPr>
              <w:t xml:space="preserve">[0.6389, 3.8307]</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0.1776</w:t>
            </w:r>
          </w:p>
        </w:tc>
        <w:tc>
          <w:tcPr>
            <w:tcW w:w="0" w:type="auto"/>
          </w:tcPr>
          <w:p>
            <w:pPr>
              <w:spacing w:line="240" w:lineRule="auto" w:before="0" w:after="0"/>
              <w:pStyle w:val="Compact"/>
            </w:pPr>
            <w:r>
              <w:rPr>
                <w:sz w:val="20"/>
                <w:szCs w:val="20"/>
              </w:rPr>
              <w:t xml:space="preserve">0.0606</w:t>
            </w:r>
          </w:p>
        </w:tc>
        <w:tc>
          <w:tcPr>
            <w:tcW w:w="0" w:type="auto"/>
          </w:tcPr>
          <w:p>
            <w:pPr>
              <w:spacing w:line="240" w:lineRule="auto" w:before="0" w:after="0"/>
              <w:pStyle w:val="Compact"/>
            </w:pPr>
            <w:r>
              <w:rPr>
                <w:sz w:val="20"/>
                <w:szCs w:val="20"/>
              </w:rPr>
              <w:t xml:space="preserve">2.9324</w:t>
            </w:r>
          </w:p>
        </w:tc>
        <w:tc>
          <w:tcPr>
            <w:tcW w:w="0" w:type="auto"/>
          </w:tcPr>
          <w:p>
            <w:pPr>
              <w:spacing w:line="240" w:lineRule="auto" w:before="0" w:after="0"/>
              <w:pStyle w:val="Compact"/>
            </w:pPr>
            <w:r>
              <w:rPr>
                <w:sz w:val="20"/>
                <w:szCs w:val="20"/>
              </w:rPr>
              <w:t xml:space="preserve">0.0034</w:t>
            </w:r>
          </w:p>
        </w:tc>
        <w:tc>
          <w:tcPr>
            <w:tcW w:w="0" w:type="auto"/>
          </w:tcPr>
          <w:p>
            <w:pPr>
              <w:spacing w:line="240" w:lineRule="auto" w:before="0" w:after="0"/>
              <w:pStyle w:val="Compact"/>
            </w:pPr>
            <w:r>
              <w:rPr>
                <w:sz w:val="20"/>
                <w:szCs w:val="20"/>
              </w:rPr>
              <w:t xml:space="preserve">[0.0589, 0.2963]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0.0898</w:t>
            </w:r>
          </w:p>
        </w:tc>
        <w:tc>
          <w:tcPr>
            <w:tcW w:w="0" w:type="auto"/>
          </w:tcPr>
          <w:p>
            <w:pPr>
              <w:spacing w:line="240" w:lineRule="auto" w:before="0" w:after="0"/>
              <w:pStyle w:val="Compact"/>
            </w:pPr>
            <w:r>
              <w:rPr>
                <w:sz w:val="20"/>
                <w:szCs w:val="20"/>
              </w:rPr>
              <w:t xml:space="preserve">0.0506</w:t>
            </w:r>
          </w:p>
        </w:tc>
        <w:tc>
          <w:tcPr>
            <w:tcW w:w="0" w:type="auto"/>
          </w:tcPr>
          <w:p>
            <w:pPr>
              <w:spacing w:line="240" w:lineRule="auto" w:before="0" w:after="0"/>
              <w:pStyle w:val="Compact"/>
            </w:pPr>
            <w:r>
              <w:rPr>
                <w:sz w:val="20"/>
                <w:szCs w:val="20"/>
              </w:rPr>
              <w:t xml:space="preserve">1.7768</w:t>
            </w:r>
          </w:p>
        </w:tc>
        <w:tc>
          <w:tcPr>
            <w:tcW w:w="0" w:type="auto"/>
          </w:tcPr>
          <w:p>
            <w:pPr>
              <w:spacing w:line="240" w:lineRule="auto" w:before="0" w:after="0"/>
              <w:pStyle w:val="Compact"/>
            </w:pPr>
            <w:r>
              <w:rPr>
                <w:sz w:val="20"/>
                <w:szCs w:val="20"/>
              </w:rPr>
              <w:t xml:space="preserve">0.0756</w:t>
            </w:r>
          </w:p>
        </w:tc>
        <w:tc>
          <w:tcPr>
            <w:tcW w:w="0" w:type="auto"/>
          </w:tcPr>
          <w:p>
            <w:pPr>
              <w:spacing w:line="240" w:lineRule="auto" w:before="0" w:after="0"/>
              <w:pStyle w:val="Compact"/>
            </w:pPr>
            <w:r>
              <w:rPr>
                <w:sz w:val="20"/>
                <w:szCs w:val="20"/>
              </w:rPr>
              <w:t xml:space="preserve">[-0.0093, 0.1889]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-0.6742</w:t>
            </w:r>
          </w:p>
        </w:tc>
        <w:tc>
          <w:tcPr>
            <w:tcW w:w="0" w:type="auto"/>
          </w:tcPr>
          <w:p>
            <w:pPr>
              <w:spacing w:line="240" w:lineRule="auto" w:before="0" w:after="0"/>
              <w:pStyle w:val="Compact"/>
            </w:pPr>
            <w:r>
              <w:rPr>
                <w:sz w:val="20"/>
                <w:szCs w:val="20"/>
              </w:rPr>
              <w:t xml:space="preserve">0.5784</w:t>
            </w:r>
          </w:p>
        </w:tc>
        <w:tc>
          <w:tcPr>
            <w:tcW w:w="0" w:type="auto"/>
          </w:tcPr>
          <w:p>
            <w:pPr>
              <w:spacing w:line="240" w:lineRule="auto" w:before="0" w:after="0"/>
              <w:pStyle w:val="Compact"/>
            </w:pPr>
            <w:r>
              <w:rPr>
                <w:sz w:val="20"/>
                <w:szCs w:val="20"/>
              </w:rPr>
              <w:t xml:space="preserve">-1.1656</w:t>
            </w:r>
          </w:p>
        </w:tc>
        <w:tc>
          <w:tcPr>
            <w:tcW w:w="0" w:type="auto"/>
          </w:tcPr>
          <w:p>
            <w:pPr>
              <w:spacing w:line="240" w:lineRule="auto" w:before="0" w:after="0"/>
              <w:pStyle w:val="Compact"/>
            </w:pPr>
            <w:r>
              <w:rPr>
                <w:sz w:val="20"/>
                <w:szCs w:val="20"/>
              </w:rPr>
              <w:t xml:space="preserve">0.2438</w:t>
            </w:r>
          </w:p>
        </w:tc>
        <w:tc>
          <w:tcPr>
            <w:tcW w:w="0" w:type="auto"/>
          </w:tcPr>
          <w:p>
            <w:pPr>
              <w:spacing w:line="240" w:lineRule="auto" w:before="0" w:after="0"/>
              <w:pStyle w:val="Compact"/>
            </w:pPr>
            <w:r>
              <w:rPr>
                <w:sz w:val="20"/>
                <w:szCs w:val="20"/>
              </w:rPr>
              <w:t xml:space="preserve">[-1.8079, 0.4595]</w:t>
            </w:r>
          </w:p>
        </w:tc>
      </w:tr>
    </w:tbl>
    <w:p>
      <w:pPr>
        <w:pStyle w:val="BodyText"/>
      </w:pPr>
      <w:r>
        <w:t xml:space="preserve">Fit: N = 30 R2 = 0.2429 R2_adj = 0.1555 F = 4.9257 F_p = 0.0077</w:t>
      </w:r>
    </w:p>
    <w:p>
      <w:pPr>
        <w:pStyle w:val="CaptionedFigure"/>
      </w:pPr>
      <w:r>
        <w:drawing>
          <wp:inline>
            <wp:extent cx="5669280" cy="3657600"/>
            <wp:effectExtent b="0" l="0" r="0" t="0"/>
            <wp:docPr descr="Figure 1. Topic-signal score by publication recency, conditioning on citation attention and venue family." title="" id="80" name="Picture"/>
            <a:graphic>
              <a:graphicData uri="http://schemas.openxmlformats.org/drawingml/2006/picture">
                <pic:pic>
                  <pic:nvPicPr>
                    <pic:cNvPr descr="D:\Claude_Code\brain\collegium\candidates\dissertations\SUSTAINABILITY_INSTITUTIONS_13\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https://amostech.space/year/2022/leo-capacity-modeling-for-sustainable-design/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10.64861/UHIX1013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https://amostech.space/year/2021/snare-sensor-network-autonomous-resilient-extensible-decentralized-sensor-tasking-improves-sda-tactical-relevance/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https://amostech.space/year/2007/an-algorithm-independent-analysis-of-the-quality-of-images-produced-using-multi-frame-blind-deconvolution-algorithms/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https://amostech.space/year/2012/an-optical-satellite-tracking-system-for-undergraduate-research/</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10.64861/YQBZ3724</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https://amostech.space/year/2018/attitude-propagation-of-resident-space-objects-with-recurrent-neural-networks/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https://amostech.space/year/2007/diversity-image-restoration-with-dynamically-changing-magnification-rotation-and-translation/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https://amostech.space/year/2022/capacity-based-cislunar-space-domain-awareness-architecture-optimization/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10.1016/j.actaastro.2023.01.040</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10.1016/j.actaastro.2025.04.038</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10.1016/j.actaastro.2022.05.022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10.1016/j.actaastro.2025.08.050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10.1016/j.actaastro.2024.07.022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10.1016/j.actaastro.2025.10.065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10.1016/j.actaastro.2025.01.035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10.1016/j.actaastro.2021.07.046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10.1016/j.actaastro.2021.06.023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10.1016/j.actaastro.2025.01.057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10.1016/j.actaastro.2025.03.025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10.52202/078380-0035</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MITRE IR&amp;D project proposal and narrative presentation by Dr. Nathaniel Dailey that frames orbital carrying capacity through the analogy of fishing industry sustainability, integrating the Kobe Chart, Ostrom’s Common Pool Resource principles, and the OPUS economic model into a policy impact assessment platform with immersive visualization components.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 Capacity Modeling for Sustainable Design (AMOS)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Strategic Competition and Economic Innovation</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2.2348</w:t>
            </w:r>
          </w:p>
        </w:tc>
        <w:tc>
          <w:tcPr>
            <w:tcW w:w="0" w:type="auto"/>
          </w:tcPr>
          <w:p>
            <w:pPr>
              <w:spacing w:line="240" w:lineRule="auto" w:before="0" w:after="0"/>
              <w:pStyle w:val="Compact"/>
            </w:pPr>
            <w:r>
              <w:rPr>
                <w:sz w:val="20"/>
                <w:szCs w:val="20"/>
              </w:rPr>
              <w:t xml:space="preserve">0.8143</w:t>
            </w:r>
          </w:p>
        </w:tc>
        <w:tc>
          <w:tcPr>
            <w:tcW w:w="0" w:type="auto"/>
          </w:tcPr>
          <w:p>
            <w:pPr>
              <w:spacing w:line="240" w:lineRule="auto" w:before="0" w:after="0"/>
              <w:pStyle w:val="Compact"/>
            </w:pPr>
            <w:r>
              <w:rPr>
                <w:sz w:val="20"/>
                <w:szCs w:val="20"/>
              </w:rPr>
              <w:t xml:space="preserve">2.7446</w:t>
            </w:r>
          </w:p>
        </w:tc>
        <w:tc>
          <w:tcPr>
            <w:tcW w:w="0" w:type="auto"/>
          </w:tcPr>
          <w:p>
            <w:pPr>
              <w:spacing w:line="240" w:lineRule="auto" w:before="0" w:after="0"/>
              <w:pStyle w:val="Compact"/>
            </w:pPr>
            <w:r>
              <w:rPr>
                <w:sz w:val="20"/>
                <w:szCs w:val="20"/>
              </w:rPr>
              <w:t xml:space="preserve">0.0061</w:t>
            </w:r>
          </w:p>
        </w:tc>
        <w:tc>
          <w:tcPr>
            <w:tcW w:w="0" w:type="auto"/>
          </w:tcPr>
          <w:p>
            <w:pPr>
              <w:spacing w:line="240" w:lineRule="auto" w:before="0" w:after="0"/>
              <w:pStyle w:val="Compact"/>
            </w:pPr>
            <w:r>
              <w:rPr>
                <w:sz w:val="20"/>
                <w:szCs w:val="20"/>
              </w:rPr>
              <w:t xml:space="preserve">[0.6389, 3.8307]</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0.1776</w:t>
            </w:r>
          </w:p>
        </w:tc>
        <w:tc>
          <w:tcPr>
            <w:tcW w:w="0" w:type="auto"/>
          </w:tcPr>
          <w:p>
            <w:pPr>
              <w:spacing w:line="240" w:lineRule="auto" w:before="0" w:after="0"/>
              <w:pStyle w:val="Compact"/>
            </w:pPr>
            <w:r>
              <w:rPr>
                <w:sz w:val="20"/>
                <w:szCs w:val="20"/>
              </w:rPr>
              <w:t xml:space="preserve">0.0606</w:t>
            </w:r>
          </w:p>
        </w:tc>
        <w:tc>
          <w:tcPr>
            <w:tcW w:w="0" w:type="auto"/>
          </w:tcPr>
          <w:p>
            <w:pPr>
              <w:spacing w:line="240" w:lineRule="auto" w:before="0" w:after="0"/>
              <w:pStyle w:val="Compact"/>
            </w:pPr>
            <w:r>
              <w:rPr>
                <w:sz w:val="20"/>
                <w:szCs w:val="20"/>
              </w:rPr>
              <w:t xml:space="preserve">2.9324</w:t>
            </w:r>
          </w:p>
        </w:tc>
        <w:tc>
          <w:tcPr>
            <w:tcW w:w="0" w:type="auto"/>
          </w:tcPr>
          <w:p>
            <w:pPr>
              <w:spacing w:line="240" w:lineRule="auto" w:before="0" w:after="0"/>
              <w:pStyle w:val="Compact"/>
            </w:pPr>
            <w:r>
              <w:rPr>
                <w:sz w:val="20"/>
                <w:szCs w:val="20"/>
              </w:rPr>
              <w:t xml:space="preserve">0.0034</w:t>
            </w:r>
          </w:p>
        </w:tc>
        <w:tc>
          <w:tcPr>
            <w:tcW w:w="0" w:type="auto"/>
          </w:tcPr>
          <w:p>
            <w:pPr>
              <w:spacing w:line="240" w:lineRule="auto" w:before="0" w:after="0"/>
              <w:pStyle w:val="Compact"/>
            </w:pPr>
            <w:r>
              <w:rPr>
                <w:sz w:val="20"/>
                <w:szCs w:val="20"/>
              </w:rPr>
              <w:t xml:space="preserve">[0.0589, 0.2963]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0.0898</w:t>
            </w:r>
          </w:p>
        </w:tc>
        <w:tc>
          <w:tcPr>
            <w:tcW w:w="0" w:type="auto"/>
          </w:tcPr>
          <w:p>
            <w:pPr>
              <w:spacing w:line="240" w:lineRule="auto" w:before="0" w:after="0"/>
              <w:pStyle w:val="Compact"/>
            </w:pPr>
            <w:r>
              <w:rPr>
                <w:sz w:val="20"/>
                <w:szCs w:val="20"/>
              </w:rPr>
              <w:t xml:space="preserve">0.0506</w:t>
            </w:r>
          </w:p>
        </w:tc>
        <w:tc>
          <w:tcPr>
            <w:tcW w:w="0" w:type="auto"/>
          </w:tcPr>
          <w:p>
            <w:pPr>
              <w:spacing w:line="240" w:lineRule="auto" w:before="0" w:after="0"/>
              <w:pStyle w:val="Compact"/>
            </w:pPr>
            <w:r>
              <w:rPr>
                <w:sz w:val="20"/>
                <w:szCs w:val="20"/>
              </w:rPr>
              <w:t xml:space="preserve">1.7768</w:t>
            </w:r>
          </w:p>
        </w:tc>
        <w:tc>
          <w:tcPr>
            <w:tcW w:w="0" w:type="auto"/>
          </w:tcPr>
          <w:p>
            <w:pPr>
              <w:spacing w:line="240" w:lineRule="auto" w:before="0" w:after="0"/>
              <w:pStyle w:val="Compact"/>
            </w:pPr>
            <w:r>
              <w:rPr>
                <w:sz w:val="20"/>
                <w:szCs w:val="20"/>
              </w:rPr>
              <w:t xml:space="preserve">0.0756</w:t>
            </w:r>
          </w:p>
        </w:tc>
        <w:tc>
          <w:tcPr>
            <w:tcW w:w="0" w:type="auto"/>
          </w:tcPr>
          <w:p>
            <w:pPr>
              <w:spacing w:line="240" w:lineRule="auto" w:before="0" w:after="0"/>
              <w:pStyle w:val="Compact"/>
            </w:pPr>
            <w:r>
              <w:rPr>
                <w:sz w:val="20"/>
                <w:szCs w:val="20"/>
              </w:rPr>
              <w:t xml:space="preserve">[-0.0093, 0.1889]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-0.6742</w:t>
            </w:r>
          </w:p>
        </w:tc>
        <w:tc>
          <w:tcPr>
            <w:tcW w:w="0" w:type="auto"/>
          </w:tcPr>
          <w:p>
            <w:pPr>
              <w:spacing w:line="240" w:lineRule="auto" w:before="0" w:after="0"/>
              <w:pStyle w:val="Compact"/>
            </w:pPr>
            <w:r>
              <w:rPr>
                <w:sz w:val="20"/>
                <w:szCs w:val="20"/>
              </w:rPr>
              <w:t xml:space="preserve">0.5784</w:t>
            </w:r>
          </w:p>
        </w:tc>
        <w:tc>
          <w:tcPr>
            <w:tcW w:w="0" w:type="auto"/>
          </w:tcPr>
          <w:p>
            <w:pPr>
              <w:spacing w:line="240" w:lineRule="auto" w:before="0" w:after="0"/>
              <w:pStyle w:val="Compact"/>
            </w:pPr>
            <w:r>
              <w:rPr>
                <w:sz w:val="20"/>
                <w:szCs w:val="20"/>
              </w:rPr>
              <w:t xml:space="preserve">-1.1656</w:t>
            </w:r>
          </w:p>
        </w:tc>
        <w:tc>
          <w:tcPr>
            <w:tcW w:w="0" w:type="auto"/>
          </w:tcPr>
          <w:p>
            <w:pPr>
              <w:spacing w:line="240" w:lineRule="auto" w:before="0" w:after="0"/>
              <w:pStyle w:val="Compact"/>
            </w:pPr>
            <w:r>
              <w:rPr>
                <w:sz w:val="20"/>
                <w:szCs w:val="20"/>
              </w:rPr>
              <w:t xml:space="preserve">0.2438</w:t>
            </w:r>
          </w:p>
        </w:tc>
        <w:tc>
          <w:tcPr>
            <w:tcW w:w="0" w:type="auto"/>
          </w:tcPr>
          <w:p>
            <w:pPr>
              <w:spacing w:line="240" w:lineRule="auto" w:before="0" w:after="0"/>
              <w:pStyle w:val="Compact"/>
            </w:pPr>
            <w:r>
              <w:rPr>
                <w:sz w:val="20"/>
                <w:szCs w:val="20"/>
              </w:rPr>
              <w:t xml:space="preserve">[-1.8079, 0.4595]</w:t>
            </w:r>
          </w:p>
        </w:tc>
      </w:tr>
    </w:tbl>
    <w:p>
      <w:pPr>
        <w:pStyle w:val="BodyText"/>
      </w:pPr>
      <w:r>
        <w:t xml:space="preserve">Fit: N = 30 R2 = 0.2429 R2_adj = 0.1555 F = 4.9257 F_p = 0.0077</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2" Target="https://doi.org/10.64861/UHIX1013" TargetMode="External" /><Relationship Type="http://schemas.openxmlformats.org/officeDocument/2006/relationships/hyperlink" Id="rId69" Target="https://doi.org/10.64861/ZFDQ4641"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64861/UHIX1013" TargetMode="External" /><Relationship Type="http://schemas.openxmlformats.org/officeDocument/2006/relationships/hyperlink" Id="rId69" Target="https://doi.org/10.64861/ZFDQ464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2026-06-29T09:45:40Z</dcterms:created>
  <dcterms:modified xsi:type="dcterms:W3CDTF">2026-06-29T09:45:40Z</dcterms:modified>
</cp:coreProperties>
</file>

<file path=docProps/custom.xml><?xml version="1.0" encoding="utf-8"?>
<Properties xmlns="http://schemas.openxmlformats.org/officeDocument/2006/custom-properties" xmlns:vt="http://schemas.openxmlformats.org/officeDocument/2006/docPropsVTypes"/>
</file>