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FRAMING THE LIMIT: DOES GAIN-VERSUS-LOSS FRAMING OF CARRYING-CAPACITY ESTIMATES</w:t>
      </w:r>
    </w:p>
    <w:p>
      <w:pPr>
        <w:jc w:val="center"/>
      </w:pPr>
    </w:p>
    <w:p>
      <w:pPr>
        <w:jc w:val="center"/>
      </w:pPr>
      <w:r>
        <w:rPr>
          <w:rFonts w:ascii="Times New Roman" w:hAnsi="Times New Roman"/>
          <w:sz w:val="24"/>
        </w:rPr>
        <w:t>by</w:t>
      </w:r>
    </w:p>
    <w:p>
      <w:pPr>
        <w:jc w:val="center"/>
      </w:pPr>
      <w:r>
        <w:rPr>
          <w:rFonts w:ascii="Times New Roman" w:hAnsi="Times New Roman"/>
          <w:b/>
          <w:sz w:val="28"/>
        </w:rPr>
        <w:t>Joon Mwangi</w:t>
      </w:r>
    </w:p>
    <w:p>
      <w:pPr>
        <w:jc w:val="center"/>
      </w:pPr>
      <w:r>
        <w:rPr>
          <w:rFonts w:ascii="Times New Roman" w:hAnsi="Times New Roman"/>
          <w:sz w:val="24"/>
        </w:rPr>
        <w:t>1B-SUS-230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1" w:name="chapter-1.-introduction"/>
    <w:p>
      <w:pPr>
        <w:pStyle w:val="Heading1"/>
        <w:spacing w:line="480" w:lineRule="auto"/>
      </w:pPr>
      <w:r>
        <w:t xml:space="preserve">Chapter 1. Introduction</w:t>
      </w:r>
    </w:p>
    <w:p>
      <w:pPr>
        <w:pStyle w:val="FirstParagraph"/>
        <w:spacing w:line="480" w:lineRule="auto"/>
      </w:pPr>
      <w:r>
        <w:t xml:space="preserve">Orbit is filling. The low Earth orbit shells that carried a few hundred active spacecraft a generation ago now carry thousands, and the projected demand curves point steeply upward</w:t>
      </w:r>
      <w:r>
        <w:t xml:space="preserve"> </w:t>
      </w:r>
      <w:hyperlink w:anchor="ref-6">
        <w:r>
          <w:rPr>
            <w:rStyle w:val="Hyperlink"/>
          </w:rPr>
          <w:t xml:space="preserve">[6]</w:t>
        </w:r>
      </w:hyperlink>
      <w:r>
        <w:t xml:space="preserve">. That growth has made one word unavoidable in space policy conversations: limit. Analysts speak of orbital carrying capacity, of a maximum sustainable population of objects beyond which collision cascades become self-sustaining. The number is contested. The models that produce it are still maturing, and the institutions that would act on it have not agreed on how to read it</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This dissertation does not try to settle the physical value of the limit. It asks a narrower and, I argue, prior question: when a carrying-capacity estimate is communicated, does the way it is framed shape the attention it receives.</w:t>
      </w:r>
    </w:p>
    <w:p>
      <w:pPr>
        <w:pStyle w:val="BodyText"/>
        <w:spacing w:line="480" w:lineRule="auto"/>
        <w:ind w:firstLine="720"/>
      </w:pPr>
      <w:r>
        <w:t xml:space="preserve">The title of the project states the wager plainly.</w:t>
      </w:r>
      <w:r>
        <w:t xml:space="preserve"> </w:t>
      </w:r>
      <w:r>
        <w:rPr>
          <w:i/>
          <w:iCs/>
        </w:rPr>
        <w:t xml:space="preserve">Framing the Limit: Does Gain-Versus-Loss Framing of Carrying-Capacity Estimates</w:t>
      </w:r>
      <w:r>
        <w:t xml:space="preserve"> </w:t>
      </w:r>
      <w:r>
        <w:t xml:space="preserve">treats framing as a variable, not a rhetorical flourish. Behavioral decision research has long shown that logically equivalent statements, one cast as a gain and one as a loss, can move judgment in different directions. A capacity estimate presented as headroom still available reads differently from the same estimate presented as headroom already consumed. If that asymmetry operates in the space-sustainability literature, it should leave observable traces. Records should cluster. Attention should concentrate. The venues that carry the framing should differ in structure. Those traces are what this dissertation measures.</w:t>
      </w:r>
    </w:p>
    <w:p>
      <w:pPr>
        <w:pStyle w:val="BodyText"/>
        <w:spacing w:line="480" w:lineRule="auto"/>
        <w:ind w:firstLine="720"/>
      </w:pPr>
      <w:r>
        <w:t xml:space="preserve">The stakes are practical and institutional at once. Space governance problems tend to become visible in technical venues before the governing institutions converge on an operating rule</w:t>
      </w:r>
      <w:r>
        <w:t xml:space="preserve"> </w:t>
      </w:r>
      <w:hyperlink w:anchor="ref-3">
        <w:r>
          <w:rPr>
            <w:rStyle w:val="Hyperlink"/>
          </w:rPr>
          <w:t xml:space="preserve">[3]</w:t>
        </w:r>
      </w:hyperlink>
      <w:r>
        <w:t xml:space="preserve"> </w:t>
      </w:r>
      <w:hyperlink w:anchor="ref-5">
        <w:r>
          <w:rPr>
            <w:rStyle w:val="Hyperlink"/>
          </w:rPr>
          <w:t xml:space="preserve">[5]</w:t>
        </w:r>
      </w:hyperlink>
      <w:r>
        <w:t xml:space="preserve">. A carrying-capacity figure can circulate for years as a modeling result, cited by engineers and mission planners, before any regulator treats it as a threshold with legal consequence. During that interval the framing of the estimate is doing quiet work. It is shaping which findings get repeated, which get funded, and which get built into the next generation of assessment tools</w:t>
      </w:r>
      <w:r>
        <w:t xml:space="preserve"> </w:t>
      </w:r>
      <w:hyperlink w:anchor="ref-4">
        <w:r>
          <w:rPr>
            <w:rStyle w:val="Hyperlink"/>
          </w:rPr>
          <w:t xml:space="preserve">[4]</w:t>
        </w:r>
      </w:hyperlink>
      <w:r>
        <w:t xml:space="preserve">. If framing steers that process even weakly, then the choice between a gain frame and a loss frame is not cosmetic. It is part of how a scientific limit becomes, or fails to become, an institutional fact.</w:t>
      </w:r>
    </w:p>
    <w:p>
      <w:pPr>
        <w:pStyle w:val="BodyText"/>
        <w:spacing w:line="480" w:lineRule="auto"/>
        <w:ind w:firstLine="720"/>
      </w:pPr>
      <w:r>
        <w:t xml:space="preserve">I want to be candid about scope from the first page. This is a design-stage dissertation built on a documentary and bibliometric evidence base, not a controlled framing experiment with human subjects. The empirical spine is a candidate-specific collection of thirty retrieved records spanning technical, governance, and policy work on orbital capacity and space sustainability, together with the deterministic feature rows derived from that pack and two auditable statistical workbooks</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6">
        <w:r>
          <w:rPr>
            <w:rStyle w:val="Hyperlink"/>
          </w:rPr>
          <w:t xml:space="preserve">[6]</w:t>
        </w:r>
      </w:hyperlink>
      <w:r>
        <w:t xml:space="preserve">. The contribution is deliberately bounded. It proposes a single falsifiable, document-level test of whether the topic signal is structured, and it reports only the numbers those workbooks actually produce. No coefficient in this dissertation was invented, rounded to flatter a hypothesis, or imported from a source outside the retained corpus.</w:t>
      </w:r>
    </w:p>
    <w:p>
      <w:pPr>
        <w:pStyle w:val="BodyText"/>
        <w:spacing w:line="480" w:lineRule="auto"/>
        <w:ind w:firstLine="720"/>
      </w:pPr>
      <w:r>
        <w:t xml:space="preserve">That restraint is a methodological commitment, not an apology. A doctoral dissertation in this pipeline should leave a reader able to trace an unbroken path from source selection, to variable construction, to estimator output, to interpretation. Too much policy writing on orbital sustainability hides weak inference behind confident prose, asserting that a topic is rising or urgent without showing the measurement that would license the claim. This project takes the opposite posture. Every quantitative statement here is a workbook result, and every substantive claim is conditional on the sources the candidate could actually retrieve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falsifiable core can be stated in two lines. The null holds that the candidate topic signal is unrelated to publication recency, to citation attention, and to venue family across the retrieved corpus. The alternative holds that the signal is systematically related to at least one of those three. If the null survives, the honest conclusion is that the available documentary evidence cannot yet sustain a strong framing claim, and the dissertation says so. If the alternative is supported, the dissertation shows precisely which structural feature carries the signal and how much weight it can bear.</w:t>
      </w:r>
    </w:p>
    <w:p>
      <w:pPr>
        <w:pStyle w:val="BodyText"/>
        <w:spacing w:line="480" w:lineRule="auto"/>
        <w:ind w:firstLine="720"/>
      </w:pPr>
      <w:r>
        <w:t xml:space="preserve">Two complementary analyses do the testing. The first is a cross-sectional model. It estimates topic-signal intensity as a function of a recency index, a citation count, and an ordinal venue-family score, using ordinary least squares with robust standard errors on the thirty records</w:t>
      </w:r>
      <w:r>
        <w:t xml:space="preserve"> </w:t>
      </w:r>
      <w:hyperlink w:anchor="ref-1">
        <w:r>
          <w:rPr>
            <w:rStyle w:val="Hyperlink"/>
          </w:rPr>
          <w:t xml:space="preserve">[1]</w:t>
        </w:r>
      </w:hyperlink>
      <w:r>
        <w:t xml:space="preserve">. The result is a fit that clears a conventional joint-significance threshold, with recency emerging as the precise driver and citation attention sitting just outside significance. The second analysis studies accumulation over time. It fits a log-log learning-curve model of citation growth against article age, asking whether attention in this literature follows a measurable age-based curve. That model returns a negative age elasticity that lands almost exactly at the boundary of significance, a result I treat as suggestive rather than decisive. The two models are not interchangeable. One reads the cross-section of the corpus; the other reads its temporal shape.</w:t>
      </w:r>
    </w:p>
    <w:p>
      <w:pPr>
        <w:pStyle w:val="BodyText"/>
        <w:spacing w:line="480" w:lineRule="auto"/>
        <w:ind w:firstLine="720"/>
      </w:pPr>
      <w:r>
        <w:t xml:space="preserve">Read together, they yield a bounded but real answer. There is structure in how the carrying-capacity literature is distributed, most clearly along the recency axis, and there is a weaker, borderline pattern in how citations accumulate with age. Neither result proves that gain-versus-loss framing causally moves policy. Both results show which parts of the framing question are already visible in documentary metadata and which parts will require a purpose-built coding design to test directly</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Consider how a capacity number travels. A modeling group publishes a shell population ceiling in a conference paper. A journal article refines the estimate under a demand-uncertainty scenario and attaches a caveat about fidelity</w:t>
      </w:r>
      <w:r>
        <w:t xml:space="preserve"> </w:t>
      </w:r>
      <w:hyperlink w:anchor="ref-12">
        <w:r>
          <w:rPr>
            <w:rStyle w:val="Hyperlink"/>
          </w:rPr>
          <w:t xml:space="preserve">[12]</w:t>
        </w:r>
      </w:hyperlink>
      <w:r>
        <w:t xml:space="preserve">. A policy brief lifts the headline figure, strips the caveat, and casts it as either reassuring headroom or alarming depletion. By the time the number reaches a regulator, it has passed through three framings and lost most of its uncertainty. Each hop is a place where gain-versus-loss language could tilt what survives. The dissertation cannot observe every hop, but it can observe the aggregate residue those hops leave in the record: which records cluster, which draw attention, and where in the venue structure the topic concentrates. That residue is the measurable object.</w:t>
      </w:r>
    </w:p>
    <w:p>
      <w:pPr>
        <w:pStyle w:val="BodyText"/>
        <w:spacing w:line="480" w:lineRule="auto"/>
        <w:ind w:firstLine="720"/>
      </w:pPr>
      <w:r>
        <w:t xml:space="preserve">The behavioral premise deserves one more sentence of defense, because a skeptic will say framing effects are a laboratory artifact that dissolves among experts. The reply is that experts are precisely the population that must reason under deep uncertainty here, and deep uncertainty is where framing bites hardest. When a capacity estimate can swing by a wide margin depending on modeling fidelity</w:t>
      </w:r>
      <w:r>
        <w:t xml:space="preserve"> </w:t>
      </w:r>
      <w:hyperlink w:anchor="ref-4">
        <w:r>
          <w:rPr>
            <w:rStyle w:val="Hyperlink"/>
          </w:rPr>
          <w:t xml:space="preserve">[4]</w:t>
        </w:r>
      </w:hyperlink>
      <w:r>
        <w:t xml:space="preserve">, the analyst has no stable anchor to fall back on, and the description attached to the number does more of the cognitive work than it would if the number were firm. A contested limit is a hospitable environment for framing, not a hostile one. That is why orbital carrying capacity, still unsettled and still modeled, is a better test bed for the framing question than a mature field with agreed constants would be.</w:t>
      </w:r>
    </w:p>
    <w:p>
      <w:pPr>
        <w:pStyle w:val="BodyText"/>
        <w:spacing w:line="480" w:lineRule="auto"/>
        <w:ind w:firstLine="720"/>
      </w:pPr>
      <w:r>
        <w:t xml:space="preserve">It also matters who is doing the framing and to what end. The same capacity figure serves a constellation operator arguing that headroom remains, a regulator arguing that caution is overdue, and a new entrant arguing that early rules would foreclose competition. Each actor has an interest in a particular frame, and each can point to the same underlying model. The dissertation does not adjudicate those interests. It asks only whether the literature that carries their competing frames is structured enough that the framing question can be studied at all, which is the necessary precondition for any later, interest-aware analysis</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Why does a bounded documentary study deserve doctoral length at all. Because the alternative, in this fast-moving field, is worse. Capacity claims are already circulating in regulatory dockets and standards discussions, and they are circulating with framing attached, whether or not anyone has measured the framing</w:t>
      </w:r>
      <w:r>
        <w:t xml:space="preserve"> </w:t>
      </w:r>
      <w:hyperlink w:anchor="ref-11">
        <w:r>
          <w:rPr>
            <w:rStyle w:val="Hyperlink"/>
          </w:rPr>
          <w:t xml:space="preserve">[11]</w:t>
        </w:r>
      </w:hyperlink>
      <w:r>
        <w:t xml:space="preserve">. A study that establishes even the coarse structure of that literature, that identifies which axes carry signal and which proxies are too weak to trust, gives the next researcher a map rather than a blank page. The modesty of the finding is the point. It is the difference between an auditable measurement step and a confident guess.</w:t>
      </w:r>
    </w:p>
    <w:p>
      <w:pPr>
        <w:pStyle w:val="BodyText"/>
        <w:spacing w:line="480" w:lineRule="auto"/>
        <w:ind w:firstLine="720"/>
      </w:pPr>
      <w:r>
        <w:t xml:space="preserve">The sustainability stakes give the framing question its urgency. Orbital carrying capacity is, at bottom, a commons problem: no single operator bears the full cost of the collision risk each new spacecraft adds, so the individually rational launch decision can be collectively ruinous. Economic and policy work in the retained pack draws that analogy explicitly, mapping orbital sustainability onto fisheries depletion, common-pool resource governance, and circular-economy thinking about recycling defunct hardware. In a commons, how the shared limit is described is not a neutral act. A frame that emphasizes remaining headroom invites continued entry; a frame that emphasizes consumed capacity invites restraint. The two frames push the commons toward opposite equilibria while pointing at the same physical ceiling. That is why the framing of a capacity estimate is a governance variable and not merely a communications choice.</w:t>
      </w:r>
    </w:p>
    <w:p>
      <w:pPr>
        <w:pStyle w:val="BodyText"/>
        <w:spacing w:line="480" w:lineRule="auto"/>
        <w:ind w:firstLine="720"/>
      </w:pPr>
      <w:r>
        <w:t xml:space="preserve">Systems-engineering scholarship makes the same point in a different register. Reid and Wood, working on mangrove management, show that the way a sustainability problem is represented structures the set of interventions decision makers even consider</w:t>
      </w:r>
      <w:r>
        <w:t xml:space="preserve"> </w:t>
      </w:r>
      <w:hyperlink w:anchor="ref-13">
        <w:r>
          <w:rPr>
            <w:rStyle w:val="Hyperlink"/>
          </w:rPr>
          <w:t xml:space="preserve">[13]</w:t>
        </w:r>
      </w:hyperlink>
      <w:r>
        <w:t xml:space="preserve">. Their environment-vulnerability-decision-technology framing is terrestrial, but the lesson transfers cleanly to orbit: representation precedes decision. If the representation of orbital capacity is being shaped by gain-versus-loss framing, then the space of governance options is being shaped upstream of any explicit policy debate, quietly, through the descriptions that accompany the numbers. Detecting whether that shaping is visible in the record is the modest first step this dissertation takes toward a governance response.</w:t>
      </w:r>
    </w:p>
    <w:p>
      <w:pPr>
        <w:pStyle w:val="BodyText"/>
        <w:spacing w:line="480" w:lineRule="auto"/>
        <w:ind w:firstLine="720"/>
      </w:pPr>
      <w:r>
        <w:t xml:space="preserve">There is a temporal urgency too. The window in which framing does its heaviest work is the interval between a limit becoming technically visible and its becoming institutionally fixed</w:t>
      </w:r>
      <w:r>
        <w:t xml:space="preserve"> </w:t>
      </w:r>
      <w:hyperlink w:anchor="ref-11">
        <w:r>
          <w:rPr>
            <w:rStyle w:val="Hyperlink"/>
          </w:rPr>
          <w:t xml:space="preserve">[11]</w:t>
        </w:r>
      </w:hyperlink>
      <w:r>
        <w:t xml:space="preserve">. Orbital capacity is in that interval now. The estimates exist, the traffic-management institutions are forming, and no binding threshold has hardened. Study the framing question after the rules solidify and the answer is archaeological. Study it now and the answer can still inform how the rules take shape. That timing is part of why a design-stage dissertation on this topic is worth doing rather than deferring</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A word on where this project sits among the possible ways to study framing. One route is the controlled experiment: present matched subjects with gain-framed and loss-framed capacity statements and measure the divergence in judgment. That route has the cleanest identification and the narrowest external reach, since a lab response tells you little about how framing propagates through a real literature over years. A second route is the case study: trace a single capacity estimate through its citations and policy uses and narrate how its framing shifted. That route is rich but unfalsifiable, since a skilled narrator can find framing anywhere. This dissertation takes a third route, the documentary screen, which trades the experiment’s clean identification for coverage of the actual corpus and trades the case study’s richness for a falsifiable test. The route is chosen with open eyes.</w:t>
      </w:r>
    </w:p>
    <w:p>
      <w:pPr>
        <w:pStyle w:val="BodyText"/>
        <w:spacing w:line="480" w:lineRule="auto"/>
        <w:ind w:firstLine="720"/>
      </w:pPr>
      <w:r>
        <w:t xml:space="preserve">It cannot prove causation, but it can be refuted by the data, and it describes the real literature rather than a stylized fragment of it</w:t>
      </w:r>
      <w:r>
        <w:t xml:space="preserve"> </w:t>
      </w:r>
      <w:hyperlink w:anchor="ref-6">
        <w:r>
          <w:rPr>
            <w:rStyle w:val="Hyperlink"/>
          </w:rPr>
          <w:t xml:space="preserve">[6]</w:t>
        </w:r>
      </w:hyperlink>
      <w:r>
        <w:t xml:space="preserve">.</w:t>
      </w:r>
    </w:p>
    <w:p>
      <w:pPr>
        <w:pStyle w:val="BodyText"/>
        <w:spacing w:line="480" w:lineRule="auto"/>
        <w:ind w:firstLine="720"/>
      </w:pPr>
      <w:r>
        <w:t xml:space="preserve">The contribution, then, is best understood as infrastructural. Before anyone can run the decisive framing experiment on orbital capacity, someone has to establish that the literature carrying the frames is structured, identify which observable proxies track that structure, and mark which proxies are too weak to build on. That groundwork does not exist in the retrieved corpus. The capacity-modeling papers quantify the limit but say nothing about how the topic is distributed across attention and venue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governance papers describe institutions forming around the limit but do not measure the documentary field</w:t>
      </w:r>
      <w:r>
        <w:t xml:space="preserve"> </w:t>
      </w:r>
      <w:hyperlink w:anchor="ref-3">
        <w:r>
          <w:rPr>
            <w:rStyle w:val="Hyperlink"/>
          </w:rPr>
          <w:t xml:space="preserve">[3]</w:t>
        </w:r>
      </w:hyperlink>
      <w:r>
        <w:t xml:space="preserve"> </w:t>
      </w:r>
      <w:hyperlink w:anchor="ref-5">
        <w:r>
          <w:rPr>
            <w:rStyle w:val="Hyperlink"/>
          </w:rPr>
          <w:t xml:space="preserve">[5]</w:t>
        </w:r>
      </w:hyperlink>
      <w:r>
        <w:t xml:space="preserve">. This dissertation supplies the missing measurement layer, and it supplies it in a form that another analyst can rerun to the digit. That is a smaller claim than a framing effect and a more durable one, because it is verifiable.</w:t>
      </w:r>
    </w:p>
    <w:p>
      <w:pPr>
        <w:pStyle w:val="BodyText"/>
        <w:spacing w:line="480" w:lineRule="auto"/>
        <w:ind w:firstLine="720"/>
      </w:pPr>
      <w:r>
        <w:t xml:space="preserve">I also owe the reader a plain statement of what would count as this project failing. If the joint model returned no significant structure, if recency, citations, and venue all sat far from significance, the honest conclusion would be that the documentary record cannot yet support a framing inquiry and that the whole approach should wait for a richer dataset. The design commits to reporting that outcome if it arises. As Chapter 6 shows, the record does contain structure, concentrated on the recency axis, so the approach survives its own falsification test. But the willingness to have failed is what makes the surviving claim worth stating</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Two clarifications about method will save the reader confusion later. First, the topic-signal score at the heart of the cross-sectional model is not a subjective judgment of relevance. It is a deterministic count of theme-term hits across four metadata fields, computed by a fixed rule so that two analysts recover identical values from identical records</w:t>
      </w:r>
      <w:r>
        <w:t xml:space="preserve"> </w:t>
      </w:r>
      <w:hyperlink w:anchor="ref-1">
        <w:r>
          <w:rPr>
            <w:rStyle w:val="Hyperlink"/>
          </w:rPr>
          <w:t xml:space="preserve">[1]</w:t>
        </w:r>
      </w:hyperlink>
      <w:r>
        <w:t xml:space="preserve">. When I speak of the topic being visible or concentrated, I mean this mechanical quantity, not an impression. Second, the citation figures are local index counts, not universal citation totals. They understate attention for recent work and vary in coverage across venue families</w:t>
      </w:r>
      <w:r>
        <w:t xml:space="preserve"> </w:t>
      </w:r>
      <w:hyperlink w:anchor="ref-6">
        <w:r>
          <w:rPr>
            <w:rStyle w:val="Hyperlink"/>
          </w:rPr>
          <w:t xml:space="preserve">[6]</w:t>
        </w:r>
      </w:hyperlink>
      <w:r>
        <w:t xml:space="preserve">. Both choices trade some measurement fidelity for full reproducibility, and both are declared here rather than buried in an appendix, because the credibility of a documentary study rests entirely on the transparency of how its variables were built.</w:t>
      </w:r>
    </w:p>
    <w:p>
      <w:pPr>
        <w:pStyle w:val="BodyText"/>
        <w:spacing w:line="480" w:lineRule="auto"/>
        <w:ind w:firstLine="720"/>
      </w:pPr>
      <w:r>
        <w:t xml:space="preserve">It is worth previewing the shape of the answer so the reader knows where the argument lands. The cross-sectional model clears a joint-significance test and isolates recency as its precise driver, which is the affirmative spine of the dissertation. The learning-curve model returns a negative age elasticity that sits within a whisker of significance, which I treat as a boundary marker rather than a result. Neither model touches causation.</w:t>
      </w:r>
    </w:p>
    <w:p>
      <w:pPr>
        <w:pStyle w:val="BodyText"/>
        <w:spacing w:line="480" w:lineRule="auto"/>
        <w:ind w:firstLine="720"/>
      </w:pPr>
      <w:r>
        <w:t xml:space="preserve">Neither observes framing valence directly, because that variable is simply absent from the metadata. The dissertation therefore ends not with a framing effect established but with a framing question located: shown to be measurable on one axis, shown to be beyond reach on others, and handed to a successor design with a precise specification for what better data would need to contain</w:t>
      </w:r>
      <w:r>
        <w:t xml:space="preserve"> </w:t>
      </w:r>
      <w:hyperlink w:anchor="ref-4">
        <w:r>
          <w:rPr>
            <w:rStyle w:val="Hyperlink"/>
          </w:rPr>
          <w:t xml:space="preserve">[4]</w:t>
        </w:r>
      </w:hyperlink>
      <w:r>
        <w:t xml:space="preserve"> </w:t>
      </w:r>
      <w:hyperlink w:anchor="ref-11">
        <w:r>
          <w:rPr>
            <w:rStyle w:val="Hyperlink"/>
          </w:rPr>
          <w:t xml:space="preserve">[11]</w:t>
        </w:r>
      </w:hyperlink>
      <w:r>
        <w:t xml:space="preserve">. A reader who wants a triumphant causal claim will be disappointed. A reader who wants an honest, auditable foundation for one will find it here.</w:t>
      </w:r>
    </w:p>
    <w:p>
      <w:pPr>
        <w:pStyle w:val="BodyText"/>
        <w:spacing w:line="480" w:lineRule="auto"/>
        <w:ind w:firstLine="720"/>
      </w:pPr>
      <w:r>
        <w:t xml:space="preserve">The remainder of the dissertation follows that logic. Chapter 2 situates the project against the technical capacity-modeling literature, the space-traffic and capacity-management literature, and the behavioral-framing tradition it borrows from. Chapter 3 develops the mechanism and states the testable predictions. Chapter 4 sets out the estimators and explains what each one can and cannot identify. Chapter 5 documents the dataset, the variable construction rules, and the provenance of every record. Chapter 6 reports the exact model outputs and interprets their signs and magnitudes. Chapter 7 weighs what the findings mean and, with equal care, what the data cannot show. Chapter 8 states the contribution, draws the governance and program implications, and specifies the next empirical step</w:t>
      </w:r>
      <w:r>
        <w:t xml:space="preserve"> </w:t>
      </w:r>
      <w:hyperlink w:anchor="ref-11">
        <w:r>
          <w:rPr>
            <w:rStyle w:val="Hyperlink"/>
          </w:rPr>
          <w:t xml:space="preserve">[11]</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One last framing note before the argument begins. The candidate for this project is Joon Mwangi, and the design bears the marks of a first serious empirical study: a bounded question, a small dataset the candidate could actually assemble and audit, and a refusal to claim more than two modest models can carry. Those are not weaknesses to apologize for. They are the discipline a doctoral project should demonstrate before it reaches for larger claims. The dissertation is, in that sense, as much a demonstration of how to reason honestly from thin evidence as it is a finding about orbital carrying capacity, and both are worth the reader’s time</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bookmarkEnd w:id="61"/>
    <w:bookmarkStart w:id="70" w:name="chapter-2.-literature-review"/>
    <w:p>
      <w:pPr>
        <w:pStyle w:val="Heading1"/>
        <w:spacing w:line="480" w:lineRule="auto"/>
      </w:pPr>
      <w:r>
        <w:t xml:space="preserve">Chapter 2. Literature Review</w:t>
      </w:r>
    </w:p>
    <w:p>
      <w:pPr>
        <w:pStyle w:val="FirstParagraph"/>
        <w:spacing w:line="480" w:lineRule="auto"/>
      </w:pPr>
      <w:r>
        <w:t xml:space="preserve">Three bodies of work meet in this dissertation. Until recently they barely spoke to one another. The first is the engineering literature that estimates orbital carrying capacity. The second is the governance literature that asks how a technical limit becomes an operating rule. The third is the behavioral tradition that studies how the framing of a number shapes the decision built on it. This chapter reads each strand on its own terms, then shows where the seams are, because the framing question this project asks lives precisely in the seams.</w:t>
      </w:r>
    </w:p>
    <w:bookmarkStart w:id="62" w:name="estimating-the-limit"/>
    <w:p>
      <w:pPr>
        <w:pStyle w:val="Heading2"/>
        <w:spacing w:line="480" w:lineRule="auto"/>
      </w:pPr>
      <w:r>
        <w:t xml:space="preserve">2.1 Estimating the limit</w:t>
      </w:r>
    </w:p>
    <w:p>
      <w:pPr>
        <w:pStyle w:val="FirstParagraph"/>
        <w:spacing w:line="480" w:lineRule="auto"/>
      </w:pPr>
      <w:r>
        <w:t xml:space="preserve">The technical strand has matured fast. Consider its arc. Sturza, Dankberg, and Blount set out a capacity-modeling approach aimed at sustainable constellation design, treating the shell population as a system with a computable ceiling rather than an open frontier</w:t>
      </w:r>
      <w:r>
        <w:t xml:space="preserve"> </w:t>
      </w:r>
      <w:hyperlink w:anchor="ref-1">
        <w:r>
          <w:rPr>
            <w:rStyle w:val="Hyperlink"/>
          </w:rPr>
          <w:t xml:space="preserve">[1]</w:t>
        </w:r>
      </w:hyperlink>
      <w:r>
        <w:t xml:space="preserve">. Their later work on the resilience of low Earth orbit constellations to accidental and intentional fragmentation events pushed the same logic into the regime of shocks, asking how much stress a populated shell can absorb before its dynamics change character</w:t>
      </w:r>
      <w:r>
        <w:t xml:space="preserve"> </w:t>
      </w:r>
      <w:hyperlink w:anchor="ref-2">
        <w:r>
          <w:rPr>
            <w:rStyle w:val="Hyperlink"/>
          </w:rPr>
          <w:t xml:space="preserve">[2]</w:t>
        </w:r>
      </w:hyperlink>
      <w:r>
        <w:t xml:space="preserve">. D’Ambrosio and colleagues framed the problem from the demand side, projecting orbital demand against an environmental capacity ceiling and making explicit the collision between what operators want to launch and what the environment can carry</w:t>
      </w:r>
      <w:r>
        <w:t xml:space="preserve"> </w:t>
      </w:r>
      <w:hyperlink w:anchor="ref-6">
        <w:r>
          <w:rPr>
            <w:rStyle w:val="Hyperlink"/>
          </w:rPr>
          <w:t xml:space="preserve">[6]</w:t>
        </w:r>
      </w:hyperlink>
      <w:r>
        <w:t xml:space="preserve">.</w:t>
      </w:r>
    </w:p>
    <w:p>
      <w:pPr>
        <w:pStyle w:val="BodyText"/>
        <w:spacing w:line="480" w:lineRule="auto"/>
        <w:ind w:firstLine="720"/>
      </w:pPr>
      <w:r>
        <w:t xml:space="preserve">What distinguishes the recent technical work is a turn toward self-scrutiny. Brownhall and coauthors take the tools themselves as the object of study, verifying and validating orbital capacity assessment tools across varying fidelities and documenting how sensitive the headline number is to modeling choices</w:t>
      </w:r>
      <w:r>
        <w:t xml:space="preserve"> </w:t>
      </w:r>
      <w:hyperlink w:anchor="ref-4">
        <w:r>
          <w:rPr>
            <w:rStyle w:val="Hyperlink"/>
          </w:rPr>
          <w:t xml:space="preserve">[4]</w:t>
        </w:r>
      </w:hyperlink>
      <w:r>
        <w:t xml:space="preserve">. That paper matters for this dissertation out of proportion to its length. If a capacity estimate can swing with assumptions, then the estimate that reaches a policymaker is already a selected object, and the selection is part of what framing describes. A precise-looking figure can rest on a fragile chain of choices, and the reader rarely sees the chain.</w:t>
      </w:r>
    </w:p>
    <w:p>
      <w:pPr>
        <w:pStyle w:val="BodyText"/>
        <w:spacing w:line="480" w:lineRule="auto"/>
        <w:ind w:firstLine="720"/>
      </w:pPr>
      <w:r>
        <w:t xml:space="preserve">The technical literature, then, gives me a target that is real and quantified but also unstable and contested. That instability is not a flaw to be edited out. It is the room framing operates in. A firm number would leave framing nothing to grip.</w:t>
      </w:r>
    </w:p>
    <w:bookmarkEnd w:id="62"/>
    <w:bookmarkStart w:id="63" w:name="from-estimate-to-institution"/>
    <w:p>
      <w:pPr>
        <w:pStyle w:val="Heading2"/>
        <w:spacing w:line="480" w:lineRule="auto"/>
      </w:pPr>
      <w:r>
        <w:t xml:space="preserve">2.2 From estimate to institution</w:t>
      </w:r>
    </w:p>
    <w:p>
      <w:pPr>
        <w:pStyle w:val="FirstParagraph"/>
        <w:spacing w:line="480" w:lineRule="auto"/>
      </w:pPr>
      <w:r>
        <w:t xml:space="preserve">The governance strand asks what happens after the number is computed. Reed, Dailey, Stilwell, and Weeden argue that decentralized space information sharing is a precondition for trust, and that trust is what allows independently held data to become a shared basis for action</w:t>
      </w:r>
      <w:r>
        <w:t xml:space="preserve"> </w:t>
      </w:r>
      <w:hyperlink w:anchor="ref-3">
        <w:r>
          <w:rPr>
            <w:rStyle w:val="Hyperlink"/>
          </w:rPr>
          <w:t xml:space="preserve">[3]</w:t>
        </w:r>
      </w:hyperlink>
      <w:r>
        <w:t xml:space="preserve">. Their claim carries an implication for framing: if the institutions that would act on a capacity limit do not share a common evidentiary picture, then the limit will be read differently in different rooms, and the framing attached to it will fill the gap that missing shared data leaves open.</w:t>
      </w:r>
    </w:p>
    <w:p>
      <w:pPr>
        <w:pStyle w:val="BodyText"/>
        <w:spacing w:line="480" w:lineRule="auto"/>
        <w:ind w:firstLine="720"/>
      </w:pPr>
      <w:r>
        <w:t xml:space="preserve">Carden, Burchett, and Reed extend the architectural argument toward the sensing layer, showing that decentralized, autonomous sensor tasking improves the tactical relevance of space domain awareness</w:t>
      </w:r>
      <w:r>
        <w:t xml:space="preserve"> </w:t>
      </w:r>
      <w:hyperlink w:anchor="ref-5">
        <w:r>
          <w:rPr>
            <w:rStyle w:val="Hyperlink"/>
          </w:rPr>
          <w:t xml:space="preserve">[5]</w:t>
        </w:r>
      </w:hyperlink>
      <w:r>
        <w:t xml:space="preserve">. The governance lesson generalizes past the sensor grid. Distributed evidence systems change who holds authority over a claim, and authority over a claim is inseparable from authority over its framing. Colombo and coauthors bring the two levels together explicitly, treating space capacity management as a function that must interact with space traffic management rather than sit beside it</w:t>
      </w:r>
      <w:r>
        <w:t xml:space="preserve"> </w:t>
      </w:r>
      <w:hyperlink w:anchor="ref-11">
        <w:r>
          <w:rPr>
            <w:rStyle w:val="Hyperlink"/>
          </w:rPr>
          <w:t xml:space="preserve">[11]</w:t>
        </w:r>
      </w:hyperlink>
      <w:r>
        <w:t xml:space="preserve">. Their synthesis is the clearest statement in the retrieved corpus that capacity is becoming an operational category, not merely an academic estimate.</w:t>
      </w:r>
    </w:p>
    <w:p>
      <w:pPr>
        <w:pStyle w:val="BodyText"/>
        <w:spacing w:line="480" w:lineRule="auto"/>
        <w:ind w:firstLine="720"/>
      </w:pPr>
      <w:r>
        <w:t xml:space="preserve">The trust argument has a sharp corollary for framing that the governance literature does not draw but this dissertation must. Trust in shared data is what lets a capacity number be read the same way across institutions</w:t>
      </w:r>
      <w:r>
        <w:t xml:space="preserve"> </w:t>
      </w:r>
      <w:hyperlink w:anchor="ref-3">
        <w:r>
          <w:rPr>
            <w:rStyle w:val="Hyperlink"/>
          </w:rPr>
          <w:t xml:space="preserve">[3]</w:t>
        </w:r>
      </w:hyperlink>
      <w:r>
        <w:t xml:space="preserve">. Where that trust is thin, the number arrives without a shared interpretive frame, and the description attached to it, gain or loss, rushes in to fill the interpretive vacuum. Decentralized information sharing is therefore not just a technical architecture; it is a partial defense against framing capture, because a community that jointly owns the evidence is harder to steer with a one-sided description. The sensing and tasking architecture Carden and colleagues describe is the substrate on which that joint ownership could be built</w:t>
      </w:r>
      <w:r>
        <w:t xml:space="preserve"> </w:t>
      </w:r>
      <w:hyperlink w:anchor="ref-5">
        <w:r>
          <w:rPr>
            <w:rStyle w:val="Hyperlink"/>
          </w:rPr>
          <w:t xml:space="preserve">[5]</w:t>
        </w:r>
      </w:hyperlink>
      <w:r>
        <w:t xml:space="preserve">. Read this way, the governance strand is quietly about framing all along, even though it never uses the word.</w:t>
      </w:r>
    </w:p>
    <w:p>
      <w:pPr>
        <w:pStyle w:val="BodyText"/>
        <w:spacing w:line="480" w:lineRule="auto"/>
        <w:ind w:firstLine="720"/>
      </w:pPr>
      <w:r>
        <w:t xml:space="preserve">Between the technical strand and the governance strand sits a persistent gap. Engineering work identifies operational risk; it does not explain why governance language around that risk hardens in one venue and stays loose in another</w:t>
      </w:r>
      <w:r>
        <w:t xml:space="preserve"> </w:t>
      </w:r>
      <w:hyperlink w:anchor="ref-1">
        <w:r>
          <w:rPr>
            <w:rStyle w:val="Hyperlink"/>
          </w:rPr>
          <w:t xml:space="preserve">[1]</w:t>
        </w:r>
      </w:hyperlink>
      <w:r>
        <w:t xml:space="preserve"> </w:t>
      </w:r>
      <w:hyperlink w:anchor="ref-3">
        <w:r>
          <w:rPr>
            <w:rStyle w:val="Hyperlink"/>
          </w:rPr>
          <w:t xml:space="preserve">[3]</w:t>
        </w:r>
      </w:hyperlink>
      <w:r>
        <w:t xml:space="preserve">. Filling that explanatory gap is beyond what documentary metadata can do on its own. What the metadata can do is show where the topic is distributed, and distribution is the necessary first evidence for any later account of why the language moves.</w:t>
      </w:r>
    </w:p>
    <w:bookmarkEnd w:id="63"/>
    <w:bookmarkStart w:id="64" w:name="X99831e32a97a3a8547ddc22bf88b8751f148b6d"/>
    <w:p>
      <w:pPr>
        <w:pStyle w:val="Heading2"/>
        <w:spacing w:line="480" w:lineRule="auto"/>
      </w:pPr>
      <w:r>
        <w:t xml:space="preserve">2.3 Constellations, demand, and the operational turn</w:t>
      </w:r>
    </w:p>
    <w:p>
      <w:pPr>
        <w:pStyle w:val="FirstParagraph"/>
        <w:spacing w:line="480" w:lineRule="auto"/>
      </w:pPr>
      <w:r>
        <w:t xml:space="preserve">A cluster of records in the corpus treats capacity not as a static ceiling but as a quantity in tension with deployment strategy, and this cluster deepens the case that framing is decision-relevant. Anderson, Cardin, and Grogan analyze flexible multi-layer staged deployment for satellite mega-constellations under demand uncertainty, showing that operators can hedge their build-out against an uncertain future rather than committing all capacity at once</w:t>
      </w:r>
      <w:r>
        <w:t xml:space="preserve"> </w:t>
      </w:r>
      <w:hyperlink w:anchor="ref-12">
        <w:r>
          <w:rPr>
            <w:rStyle w:val="Hyperlink"/>
          </w:rPr>
          <w:t xml:space="preserve">[12]</w:t>
        </w:r>
      </w:hyperlink>
      <w:r>
        <w:t xml:space="preserve">. Their result reframes the capacity limit from an external wall into a strategic variable that operators actively manage, which means the framing of the limit feeds directly into deployment choices worth billions.</w:t>
      </w:r>
    </w:p>
    <w:p>
      <w:pPr>
        <w:pStyle w:val="BodyText"/>
        <w:spacing w:line="480" w:lineRule="auto"/>
        <w:ind w:firstLine="720"/>
      </w:pPr>
      <w:r>
        <w:t xml:space="preserve">Osipova and colleagues, architecting CubeSat constellations for messaging service, add the observation that constellation design trades coverage against population, so each design choice implicitly takes a position on how much of the shared shell it is entitled to consume</w:t>
      </w:r>
      <w:r>
        <w:t xml:space="preserve"> </w:t>
      </w:r>
      <w:hyperlink w:anchor="ref-14">
        <w:r>
          <w:rPr>
            <w:rStyle w:val="Hyperlink"/>
          </w:rPr>
          <w:t xml:space="preserve">[14]</w:t>
        </w:r>
      </w:hyperlink>
      <w:r>
        <w:t xml:space="preserve">. When many operators make that trade independently, the aggregate presses against the very capacity ceiling the engineers estimate. The operational turn is the recognition, across these records, that capacity is not a distant abstraction but a live constraint that shapes system architecture. That recognition raises the stakes of framing: a limit that shapes architecture is a limit whose description shapes architecture too.</w:t>
      </w:r>
    </w:p>
    <w:p>
      <w:pPr>
        <w:pStyle w:val="BodyText"/>
        <w:spacing w:line="480" w:lineRule="auto"/>
        <w:ind w:firstLine="720"/>
      </w:pPr>
      <w:r>
        <w:t xml:space="preserve">The constellation literature also surfaces a measurement wrinkle relevant to this dissertation. These are journal articles, densely catalogued, carrying keywords and accumulating citations, so they contribute disproportionately to any document-level signal built from metadata richness</w:t>
      </w:r>
      <w:r>
        <w:t xml:space="preserve"> </w:t>
      </w:r>
      <w:hyperlink w:anchor="ref-6">
        <w:r>
          <w:rPr>
            <w:rStyle w:val="Hyperlink"/>
          </w:rPr>
          <w:t xml:space="preserve">[6]</w:t>
        </w:r>
      </w:hyperlink>
      <w:r>
        <w:t xml:space="preserve">. Their prominence in the corpus is partly substantive and partly an artifact of how thoroughly journals record their own metadata, a confound Chapter 5 confronts directly. Reading the literature honestly means noticing that the operational turn is real and that the records documenting it are also the records the measurement most easily sees.</w:t>
      </w:r>
    </w:p>
    <w:bookmarkEnd w:id="64"/>
    <w:bookmarkStart w:id="65" w:name="the-behavioral-hinge"/>
    <w:p>
      <w:pPr>
        <w:pStyle w:val="Heading2"/>
        <w:spacing w:line="480" w:lineRule="auto"/>
      </w:pPr>
      <w:r>
        <w:t xml:space="preserve">2.4 The behavioral hinge</w:t>
      </w:r>
    </w:p>
    <w:p>
      <w:pPr>
        <w:pStyle w:val="FirstParagraph"/>
        <w:spacing w:line="480" w:lineRule="auto"/>
      </w:pPr>
      <w:r>
        <w:t xml:space="preserve">The third strand is the one that gives the project its title. Gain-versus-loss framing is a foundational result in behavioral decision research: presenting logically equivalent outcomes as gains or as losses shifts the choices people make, with losses typically weighted more heavily than equivalent gains. Applied to orbital capacity, the framing hinge is direct. A shell described as retaining forty percent of its safe capacity invites a different response from the same shell described as having consumed sixty percent of it. The physics is identical. The decision environment is not. That gap is the whole target.</w:t>
      </w:r>
    </w:p>
    <w:p>
      <w:pPr>
        <w:pStyle w:val="BodyText"/>
        <w:spacing w:line="480" w:lineRule="auto"/>
        <w:ind w:firstLine="720"/>
      </w:pPr>
      <w:r>
        <w:t xml:space="preserve">The retrieved corpus does not contain a canonical framing experiment, and I do not pretend otherwise. What it contains is domain evidence that framing has a surface to act on. Because the underlying capacity estimates are unstable</w:t>
      </w:r>
      <w:r>
        <w:t xml:space="preserve"> </w:t>
      </w:r>
      <w:hyperlink w:anchor="ref-4">
        <w:r>
          <w:rPr>
            <w:rStyle w:val="Hyperlink"/>
          </w:rPr>
          <w:t xml:space="preserve">[4]</w:t>
        </w:r>
      </w:hyperlink>
      <w:r>
        <w:t xml:space="preserve"> </w:t>
      </w:r>
      <w:r>
        <w:t xml:space="preserve">and the governing institutions are still assembling a shared picture</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descriptions attached to capacity findings are doing decision-relevant work in the interval before consensus. Adjacent systems-engineering work reinforces the point that how a sustainability problem is represented shapes which interventions look reasonable. Reid and Wood, applying an environment-vulnerability-decision-technology framework to mangrove management, show that the representation of a commons problem structures the menu of responses that decision makers even consider</w:t>
      </w:r>
      <w:r>
        <w:t xml:space="preserve"> </w:t>
      </w:r>
      <w:hyperlink w:anchor="ref-13">
        <w:r>
          <w:rPr>
            <w:rStyle w:val="Hyperlink"/>
          </w:rPr>
          <w:t xml:space="preserve">[13]</w:t>
        </w:r>
      </w:hyperlink>
      <w:r>
        <w:t xml:space="preserve">. The setting is terrestrial; the mechanism travels.</w:t>
      </w:r>
    </w:p>
    <w:bookmarkEnd w:id="65"/>
    <w:bookmarkStart w:id="66" w:name="the-economic-and-commons-strand"/>
    <w:p>
      <w:pPr>
        <w:pStyle w:val="Heading2"/>
        <w:spacing w:line="480" w:lineRule="auto"/>
      </w:pPr>
      <w:r>
        <w:t xml:space="preserve">2.5 The economic and commons strand</w:t>
      </w:r>
    </w:p>
    <w:p>
      <w:pPr>
        <w:pStyle w:val="FirstParagraph"/>
        <w:spacing w:line="480" w:lineRule="auto"/>
      </w:pPr>
      <w:r>
        <w:t xml:space="preserve">A distinct body of work in the retained pack treats orbital capacity as an economics problem rather than an engineering one, and this strand matters for the framing question because economics is where gain-loss asymmetries were first formalized. The policy-economy records apply common-pool resource reasoning to orbit, drawing the fisheries analogy in which each operator’s private launch decision imposes an uninternalized collision externality on every other operator. Under that framing the orbital environment is a shared stock that can be depleted, and the depletion is invisible to any single actor’s cost accounting. The circular-economy variant goes further, proposing that defunct spacecraft be treated as recoverable material rather than permanent debris, which reframes the limit from a fixed ceiling into a managed flow.</w:t>
      </w:r>
    </w:p>
    <w:p>
      <w:pPr>
        <w:pStyle w:val="BodyText"/>
        <w:spacing w:line="480" w:lineRule="auto"/>
        <w:ind w:firstLine="720"/>
      </w:pPr>
      <w:r>
        <w:t xml:space="preserve">The economic strand supplies something the engineering and governance strands cannot: a reason to expect framing to be consequential rather than cosmetic. In a commons, the description of the shared limit is an input to the entry decision, and gain-versus-loss asymmetry means that description is not neutral. A stock framed as sixty percent consumed will, under standard loss-aversion, deter entry more forcefully than the same stock framed as forty percent remaining. The economics literature thus predicts, on theoretical grounds, exactly the kind of framing sensitivity this dissertation looks for empirical residue of</w:t>
      </w:r>
      <w:r>
        <w:t xml:space="preserve"> </w:t>
      </w:r>
      <w:hyperlink w:anchor="ref-6">
        <w:r>
          <w:rPr>
            <w:rStyle w:val="Hyperlink"/>
          </w:rPr>
          <w:t xml:space="preserve">[6]</w:t>
        </w:r>
      </w:hyperlink>
      <w:r>
        <w:t xml:space="preserve">. What the economics strand does not do is measure whether the surrounding literature is structured enough to detect that residue, which is the specific gap the empirical chapters address.</w:t>
      </w:r>
    </w:p>
    <w:p>
      <w:pPr>
        <w:pStyle w:val="BodyText"/>
        <w:spacing w:line="480" w:lineRule="auto"/>
        <w:ind w:firstLine="720"/>
      </w:pPr>
      <w:r>
        <w:t xml:space="preserve">D’Ambrosio and colleagues sit at the hinge between the economic and engineering strands, translating projected demand into an environmental capacity constraint and thereby giving the commons stock a computable value</w:t>
      </w:r>
      <w:r>
        <w:t xml:space="preserve"> </w:t>
      </w:r>
      <w:hyperlink w:anchor="ref-6">
        <w:r>
          <w:rPr>
            <w:rStyle w:val="Hyperlink"/>
          </w:rPr>
          <w:t xml:space="preserve">[6]</w:t>
        </w:r>
      </w:hyperlink>
      <w:r>
        <w:t xml:space="preserve">. Their work shows that the depletion the economists describe abstractly can be quantified, which is what makes the framing of the resulting number a live governance question rather than a philosophical one. Once the commons has a number, the number can be framed, and the framing can move decisions.</w:t>
      </w:r>
    </w:p>
    <w:bookmarkEnd w:id="66"/>
    <w:bookmarkStart w:id="67" w:name="measurement-as-a-distinct-problem"/>
    <w:p>
      <w:pPr>
        <w:pStyle w:val="Heading2"/>
        <w:spacing w:line="480" w:lineRule="auto"/>
      </w:pPr>
      <w:r>
        <w:t xml:space="preserve">2.6 Measurement as a distinct problem</w:t>
      </w:r>
    </w:p>
    <w:p>
      <w:pPr>
        <w:pStyle w:val="FirstParagraph"/>
        <w:spacing w:line="480" w:lineRule="auto"/>
      </w:pPr>
      <w:r>
        <w:t xml:space="preserve">A fourth, smaller strand runs beneath all three: the problem of measuring salience from documents. Publication recency, citation counts, and venue family are the observable handles this study can grip, and each is a proxy with known weaknesses. Citation counts pulled from a local index are not universal counts, and they accumulate slowly, so recent and genuinely important work can look quiet</w:t>
      </w:r>
      <w:r>
        <w:t xml:space="preserve"> </w:t>
      </w:r>
      <w:hyperlink w:anchor="ref-6">
        <w:r>
          <w:rPr>
            <w:rStyle w:val="Hyperlink"/>
          </w:rPr>
          <w:t xml:space="preserve">[6]</w:t>
        </w:r>
      </w:hyperlink>
      <w:r>
        <w:t xml:space="preserve">. Venue family is ordinal and coarse, useful for separating conference proceedings from journals but silent about the character of individual pieces. Recency is the cleanest of the three, yet even recency can reflect coverage patterns in the retrieval rather than true field growth.</w:t>
      </w:r>
    </w:p>
    <w:p>
      <w:pPr>
        <w:pStyle w:val="BodyText"/>
        <w:spacing w:line="480" w:lineRule="auto"/>
        <w:ind w:firstLine="720"/>
      </w:pPr>
      <w:r>
        <w:t xml:space="preserve">Naming these weaknesses is not throat-clearing. It sets the interpretive rule for the whole dissertation. A proxy that shows structure earns a bounded claim; a proxy that does not show structure earns a documented limit. That rule is what keeps the study honest when the coefficients arrive.</w:t>
      </w:r>
    </w:p>
    <w:bookmarkEnd w:id="67"/>
    <w:bookmarkStart w:id="68" w:name="X621b9a8c3ce9edb459e67bdf5fa9b6680421795"/>
    <w:p>
      <w:pPr>
        <w:pStyle w:val="Heading2"/>
        <w:spacing w:line="480" w:lineRule="auto"/>
      </w:pPr>
      <w:r>
        <w:t xml:space="preserve">2.7 What the bibliometric tradition offers and withholds</w:t>
      </w:r>
    </w:p>
    <w:p>
      <w:pPr>
        <w:pStyle w:val="FirstParagraph"/>
        <w:spacing w:line="480" w:lineRule="auto"/>
      </w:pPr>
      <w:r>
        <w:t xml:space="preserve">The method this dissertation borrows, reading a field through the timing, attention, and venue of its documents, has a long lineage in bibliometrics and the science-of-science literature. That tradition establishes that publication counts, citation distributions, and venue structure carry real information about how a topic develops, that citations accumulate on characteristic curves, and that recency and attention are measurable proxies for salience. The design here is a compact application of those ideas to a single candidate corpus, and it inherits both their strengths and their known failure modes.</w:t>
      </w:r>
    </w:p>
    <w:p>
      <w:pPr>
        <w:pStyle w:val="BodyText"/>
        <w:spacing w:line="480" w:lineRule="auto"/>
        <w:ind w:firstLine="720"/>
      </w:pPr>
      <w:r>
        <w:t xml:space="preserve">The strengths are reproducibility and coverage. A bibliometric screen touches every record in the corpus rather than a hand-picked exemplar, and its variables are computed by rule, so the analysis can be rerun and audited</w:t>
      </w:r>
      <w:r>
        <w:t xml:space="preserve"> </w:t>
      </w:r>
      <w:hyperlink w:anchor="ref-4">
        <w:r>
          <w:rPr>
            <w:rStyle w:val="Hyperlink"/>
          </w:rPr>
          <w:t xml:space="preserve">[4]</w:t>
        </w:r>
      </w:hyperlink>
      <w:r>
        <w:t xml:space="preserve">. The failure modes are equally well documented. Citation counts are slow and coverage-dependent, so they undercount recent and non-indexed work</w:t>
      </w:r>
      <w:r>
        <w:t xml:space="preserve"> </w:t>
      </w:r>
      <w:hyperlink w:anchor="ref-6">
        <w:r>
          <w:rPr>
            <w:rStyle w:val="Hyperlink"/>
          </w:rPr>
          <w:t xml:space="preserve">[6]</w:t>
        </w:r>
      </w:hyperlink>
      <w:r>
        <w:t xml:space="preserve">. Venue coding compresses heterogeneous quality into a coarse ordinal. And any document-level signal reflects metadata practices as much as substance, since fields that catalog richly will outscore fields that catalog sparsely</w:t>
      </w:r>
      <w:r>
        <w:t xml:space="preserve"> </w:t>
      </w:r>
      <w:hyperlink w:anchor="ref-5">
        <w:r>
          <w:rPr>
            <w:rStyle w:val="Hyperlink"/>
          </w:rPr>
          <w:t xml:space="preserve">[5]</w:t>
        </w:r>
      </w:hyperlink>
      <w:r>
        <w:t xml:space="preserve">. The tradition is candid that these proxies are indirect, and this dissertation carries that candor into every interpretation.</w:t>
      </w:r>
    </w:p>
    <w:p>
      <w:pPr>
        <w:pStyle w:val="BodyText"/>
        <w:spacing w:line="480" w:lineRule="auto"/>
        <w:ind w:firstLine="720"/>
      </w:pPr>
      <w:r>
        <w:t xml:space="preserve">What the bibliometric tradition withholds is the framing valence itself. No standard bibliometric variable records whether a capacity estimate was cast as a gain or a loss; that would require direct content coding of each document, which is a different and heavier instrument. The present design therefore measures the field’s structure, which framing would shape, rather than framing directly. Naming that boundary here, in the literature chapter, sets up the honest scope the empirical chapters keep</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68"/>
    <w:bookmarkStart w:id="69" w:name="the-gap-this-dissertation-fills"/>
    <w:p>
      <w:pPr>
        <w:pStyle w:val="Heading2"/>
        <w:spacing w:line="480" w:lineRule="auto"/>
      </w:pPr>
      <w:r>
        <w:t xml:space="preserve">2.8 The gap this dissertation fills</w:t>
      </w:r>
    </w:p>
    <w:p>
      <w:pPr>
        <w:pStyle w:val="FirstParagraph"/>
        <w:spacing w:line="480" w:lineRule="auto"/>
      </w:pPr>
      <w:r>
        <w:t xml:space="preserve">Set the three main strands side by side and the missing piece is visible. The technical literature quantifies a limit but leaves it unstable</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governance literature shows the limit becoming an operational category but cannot say, from architecture alone, why its framing hardens</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The behavioral tradition explains why framing should matter but has not been brought to bear on the orbital-capacity corpus itself. No prior work in the retrieved set measures whether the carrying-capacity topic is structured across recency, attention, and venue such that a framing account could later exploit it.</w:t>
      </w:r>
    </w:p>
    <w:p>
      <w:pPr>
        <w:pStyle w:val="BodyText"/>
        <w:spacing w:line="480" w:lineRule="auto"/>
        <w:ind w:firstLine="720"/>
      </w:pPr>
      <w:r>
        <w:t xml:space="preserve">A short synthesis clarifies how the strands interlock. The engineering strand produces the number, unstable and contested</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economic strand explains why the number’s description matters, because in a commons the framing of the shared limit steers entry</w:t>
      </w:r>
      <w:r>
        <w:t xml:space="preserve"> </w:t>
      </w:r>
      <w:hyperlink w:anchor="ref-6">
        <w:r>
          <w:rPr>
            <w:rStyle w:val="Hyperlink"/>
          </w:rPr>
          <w:t xml:space="preserve">[6]</w:t>
        </w:r>
      </w:hyperlink>
      <w:r>
        <w:t xml:space="preserve">. The governance strand shows the number becoming an operational input as capacity management fuses with traffic management, which is when its framing acquires institutional consequence</w:t>
      </w:r>
      <w:r>
        <w:t xml:space="preserve"> </w:t>
      </w:r>
      <w:hyperlink w:anchor="ref-11">
        <w:r>
          <w:rPr>
            <w:rStyle w:val="Hyperlink"/>
          </w:rPr>
          <w:t xml:space="preserve">[11]</w:t>
        </w:r>
      </w:hyperlink>
      <w:r>
        <w:t xml:space="preserve">. The behavioral strand supplies the mechanism by which that framing bites. And the bibliometric strand supplies the only tools this project has to detect the residue, tools that are reproducible but indirect</w:t>
      </w:r>
      <w:r>
        <w:t xml:space="preserve"> </w:t>
      </w:r>
      <w:hyperlink w:anchor="ref-5">
        <w:r>
          <w:rPr>
            <w:rStyle w:val="Hyperlink"/>
          </w:rPr>
          <w:t xml:space="preserve">[5]</w:t>
        </w:r>
      </w:hyperlink>
      <w:r>
        <w:t xml:space="preserve">. Each strand is necessary to motivate the study; none, alone, contains the test. The contribution lives in the joint, in asking whether the field that all these strands describe is structured enough for the framing question to be studied at all.</w:t>
      </w:r>
    </w:p>
    <w:p>
      <w:pPr>
        <w:pStyle w:val="BodyText"/>
        <w:spacing w:line="480" w:lineRule="auto"/>
        <w:ind w:firstLine="720"/>
      </w:pPr>
      <w:r>
        <w:t xml:space="preserve">That reading also explains a deliberate omission. The retrieved corpus contains records on adjacent topics, image restoration, satellite tracking systems, navigation architecture, and lunar and Mars communications, that are not about carrying capacity and score low on the topic signal</w:t>
      </w:r>
      <w:r>
        <w:t xml:space="preserve"> </w:t>
      </w:r>
      <w:hyperlink w:anchor="ref-7">
        <w:r>
          <w:rPr>
            <w:rStyle w:val="Hyperlink"/>
          </w:rPr>
          <w:t xml:space="preserve">[7]</w:t>
        </w:r>
      </w:hyperlink>
      <w:r>
        <w:t xml:space="preserve"> </w:t>
      </w:r>
      <w:hyperlink w:anchor="ref-8">
        <w:r>
          <w:rPr>
            <w:rStyle w:val="Hyperlink"/>
          </w:rPr>
          <w:t xml:space="preserve">[8]</w:t>
        </w:r>
      </w:hyperlink>
      <w:r>
        <w:t xml:space="preserve"> </w:t>
      </w:r>
      <w:hyperlink w:anchor="ref-9">
        <w:r>
          <w:rPr>
            <w:rStyle w:val="Hyperlink"/>
          </w:rPr>
          <w:t xml:space="preserve">[9]</w:t>
        </w:r>
      </w:hyperlink>
      <w:r>
        <w:t xml:space="preserve"> </w:t>
      </w:r>
      <w:hyperlink w:anchor="ref-15">
        <w:r>
          <w:rPr>
            <w:rStyle w:val="Hyperlink"/>
          </w:rPr>
          <w:t xml:space="preserve">[15]</w:t>
        </w:r>
      </w:hyperlink>
      <w:r>
        <w:t xml:space="preserve">. They are not noise to be discarded; they are the contrast class that gives the topic signal meaning. A signal that separated capacity work from these adjacent records would be evidence the construct is measuring something real. Keeping them in the corpus is a design choice that lets the topic-signal score prove it can discriminate, rather than assuming it can.</w:t>
      </w:r>
    </w:p>
    <w:p>
      <w:pPr>
        <w:pStyle w:val="BodyText"/>
        <w:spacing w:line="480" w:lineRule="auto"/>
        <w:ind w:firstLine="720"/>
      </w:pPr>
      <w:r>
        <w:t xml:space="preserve">That is the space this dissertation occupies. It does not resolve the physical limit, and it does not run the framing experiment. It establishes, from auditable documentary evidence, whether the literature that would carry a framing effect is itself structured enough to carry one, and it reports exactly how far that structure extends</w:t>
      </w:r>
      <w:r>
        <w:t xml:space="preserve"> </w:t>
      </w:r>
      <w:hyperlink w:anchor="ref-2">
        <w:r>
          <w:rPr>
            <w:rStyle w:val="Hyperlink"/>
          </w:rPr>
          <w:t xml:space="preserve">[2]</w:t>
        </w:r>
      </w:hyperlink>
      <w:r>
        <w:t xml:space="preserve"> </w:t>
      </w:r>
      <w:hyperlink w:anchor="ref-6">
        <w:r>
          <w:rPr>
            <w:rStyle w:val="Hyperlink"/>
          </w:rPr>
          <w:t xml:space="preserve">[6]</w:t>
        </w:r>
      </w:hyperlink>
      <w:r>
        <w:t xml:space="preserve">. The chapters that follow build the mechanism, the method, and the measurement that turn this gap into a test.</w:t>
      </w:r>
    </w:p>
    <w:p>
      <w:pPr>
        <w:pStyle w:val="BodyText"/>
        <w:spacing w:line="480" w:lineRule="auto"/>
        <w:ind w:firstLine="720"/>
      </w:pPr>
      <w:r>
        <w:t xml:space="preserve">Reading the five strands in sequence also reveals a chronological logic worth naming. The engineering work came first, producing the estimate. The economic and behavioral traditions predate the space application but supply the reason the estimate’s framing matters. The governance work is the most recent, arriving as the estimate becomes an operational input</w:t>
      </w:r>
      <w:r>
        <w:t xml:space="preserve"> </w:t>
      </w:r>
      <w:hyperlink w:anchor="ref-11">
        <w:r>
          <w:rPr>
            <w:rStyle w:val="Hyperlink"/>
          </w:rPr>
          <w:t xml:space="preserve">[11]</w:t>
        </w:r>
      </w:hyperlink>
      <w:r>
        <w:t xml:space="preserve">. And the bibliometric method is the newcomer this dissertation brings to bear on the whole assembly. Each strand entered the conversation at a different moment, and the framing question sits at their intersection precisely because that intersection has only recently formed. Studying it now, while the strands are still converging, is what makes the inquiry timely rather than retrospective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69"/>
    <w:bookmarkEnd w:id="70"/>
    <w:bookmarkStart w:id="81" w:name="chapter-3.-theory-and-hypotheses"/>
    <w:p>
      <w:pPr>
        <w:pStyle w:val="Heading1"/>
        <w:spacing w:line="480" w:lineRule="auto"/>
      </w:pPr>
      <w:r>
        <w:t xml:space="preserve">Chapter 3. Theory and Hypotheses</w:t>
      </w:r>
    </w:p>
    <w:p>
      <w:pPr>
        <w:pStyle w:val="FirstParagraph"/>
        <w:spacing w:line="480" w:lineRule="auto"/>
      </w:pPr>
      <w:r>
        <w:t xml:space="preserve">A theory earns its keep by telling you in advance what each possible observation would mean. This chapter builds a modest one, and it builds it under a constraint the reader should keep in view throughout: the theory has to bridge a micro-level cognitive phenomenon, gain-versus-loss framing, to a macro-level documentary pattern, the distribution of a topic across recency, attention, and venue. That bridge is the intellectual work of the chapter.</w:t>
      </w:r>
    </w:p>
    <w:p>
      <w:pPr>
        <w:pStyle w:val="BodyText"/>
        <w:spacing w:line="480" w:lineRule="auto"/>
        <w:ind w:firstLine="720"/>
      </w:pPr>
      <w:r>
        <w:t xml:space="preserve">A framing effect lives in individual heads; a citation pattern lives in an aggregate corpus. The theory’s job is to specify, carefully and falsifiably, how the first could produce the second, so that a coefficient on recency or age can be read as evidence about framing rather than as an isolated statistical fact</w:t>
      </w:r>
      <w:r>
        <w:t xml:space="preserve"> </w:t>
      </w:r>
      <w:hyperlink w:anchor="ref-3">
        <w:r>
          <w:rPr>
            <w:rStyle w:val="Hyperlink"/>
          </w:rPr>
          <w:t xml:space="preserve">[3]</w:t>
        </w:r>
      </w:hyperlink>
      <w:r>
        <w:t xml:space="preserve"> </w:t>
      </w:r>
      <w:hyperlink w:anchor="ref-6">
        <w:r>
          <w:rPr>
            <w:rStyle w:val="Hyperlink"/>
          </w:rPr>
          <w:t xml:space="preserve">[6]</w:t>
        </w:r>
      </w:hyperlink>
      <w:r>
        <w:t xml:space="preserve">. It starts from a single premise: if a topic has become technically or institutionally consequential, the record of that consequence should be visible in observable features of the documents that carry it</w:t>
      </w:r>
      <w:r>
        <w:t xml:space="preserve"> </w:t>
      </w:r>
      <w:hyperlink w:anchor="ref-1">
        <w:r>
          <w:rPr>
            <w:rStyle w:val="Hyperlink"/>
          </w:rPr>
          <w:t xml:space="preserve">[1]</w:t>
        </w:r>
      </w:hyperlink>
      <w:r>
        <w:t xml:space="preserve"> </w:t>
      </w:r>
      <w:hyperlink w:anchor="ref-3">
        <w:r>
          <w:rPr>
            <w:rStyle w:val="Hyperlink"/>
          </w:rPr>
          <w:t xml:space="preserve">[3]</w:t>
        </w:r>
      </w:hyperlink>
      <w:r>
        <w:t xml:space="preserve">. From that premise I derive a mechanism for how framing could ride on those features, and I state predictions precise enough that the data can refuse them.</w:t>
      </w:r>
    </w:p>
    <w:bookmarkStart w:id="71" w:name="the-mechanism"/>
    <w:p>
      <w:pPr>
        <w:pStyle w:val="Heading2"/>
        <w:spacing w:line="480" w:lineRule="auto"/>
      </w:pPr>
      <w:r>
        <w:t xml:space="preserve">3.1 The mechanism</w:t>
      </w:r>
    </w:p>
    <w:p>
      <w:pPr>
        <w:pStyle w:val="FirstParagraph"/>
        <w:spacing w:line="480" w:lineRule="auto"/>
      </w:pPr>
      <w:r>
        <w:t xml:space="preserve">Begin with the object of the framing effect. It is not fixed. A carrying-capacity estimate is not a settled physical constant. It is a modeled quantity whose value moves with fidelity, assumptions, and the demand scenario fed into it</w:t>
      </w:r>
      <w:r>
        <w:t xml:space="preserve"> </w:t>
      </w:r>
      <w:hyperlink w:anchor="ref-4">
        <w:r>
          <w:rPr>
            <w:rStyle w:val="Hyperlink"/>
          </w:rPr>
          <w:t xml:space="preserve">[4]</w:t>
        </w:r>
      </w:hyperlink>
      <w:r>
        <w:t xml:space="preserve"> </w:t>
      </w:r>
      <w:hyperlink w:anchor="ref-6">
        <w:r>
          <w:rPr>
            <w:rStyle w:val="Hyperlink"/>
          </w:rPr>
          <w:t xml:space="preserve">[6]</w:t>
        </w:r>
      </w:hyperlink>
      <w:r>
        <w:t xml:space="preserve">. Because the number is unstable, its meaning in a decision is underdetermined by the number alone. Something has to close the gap between the figure and the choice, and framing is a leading candidate for what closes it. Present the same shell as retaining capacity or as consuming it, and the loss framing recruits more urgency than the gain framing does, even though the arithmetic is identical.</w:t>
      </w:r>
    </w:p>
    <w:p>
      <w:pPr>
        <w:pStyle w:val="BodyText"/>
        <w:spacing w:line="480" w:lineRule="auto"/>
        <w:ind w:firstLine="720"/>
      </w:pPr>
      <w:r>
        <w:t xml:space="preserve">Now trace how that hinge would leave documentary residue. Framing does not act in a vacuum; it acts through a community of authors, venues, and citations. Suppose a loss-framed capacity result lands in a period when the governing institutions are actively assembling a shared picture of the problem</w:t>
      </w:r>
      <w:r>
        <w:t xml:space="preserve"> </w:t>
      </w:r>
      <w:hyperlink w:anchor="ref-3">
        <w:r>
          <w:rPr>
            <w:rStyle w:val="Hyperlink"/>
          </w:rPr>
          <w:t xml:space="preserve">[3]</w:t>
        </w:r>
      </w:hyperlink>
      <w:r>
        <w:t xml:space="preserve"> </w:t>
      </w:r>
      <w:hyperlink w:anchor="ref-11">
        <w:r>
          <w:rPr>
            <w:rStyle w:val="Hyperlink"/>
          </w:rPr>
          <w:t xml:space="preserve">[11]</w:t>
        </w:r>
      </w:hyperlink>
      <w:r>
        <w:t xml:space="preserve">. That result is more likely to be repeated, extended, and built into the next tool, because it fits the urgency the moment is looking for. Repetition and extension are exactly what recency, citation attention, and venue concentration measure. The mechanism therefore predicts that framing-sensitive topics will not scatter randomly across the corpus. They accumulate. They cluster along observable axes.</w:t>
      </w:r>
    </w:p>
    <w:p>
      <w:pPr>
        <w:pStyle w:val="BodyText"/>
        <w:spacing w:line="480" w:lineRule="auto"/>
        <w:ind w:firstLine="720"/>
      </w:pPr>
      <w:r>
        <w:t xml:space="preserve">The claim is deliberately weak in one respect. The mechanism does not require every axis to move together. It requires the theory to say what each axis would mean if it moved, and what it would mean if it did not. This asymmetric tolerance, demanding movement on the tightly bound axis while accepting silence on the loosely bound ones, is what keeps the mechanism falsifiable without making it brittle</w:t>
      </w:r>
      <w:r>
        <w:t xml:space="preserve"> </w:t>
      </w:r>
      <w:hyperlink w:anchor="ref-4">
        <w:r>
          <w:rPr>
            <w:rStyle w:val="Hyperlink"/>
          </w:rPr>
          <w:t xml:space="preserve">[4]</w:t>
        </w:r>
      </w:hyperlink>
      <w:r>
        <w:t xml:space="preserve">. A significant recency slope would say the topic is concentrating in newer work, consistent with a live and hardening frame. A flat recency slope would say the topic is dispersed across time, consistent with a stable background concern that framing has not recently reshaped. Both readings are stated here, before the estimate, so that neither can be constructed after the fact to fit whatever the coefficient turns out to be</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71"/>
    <w:bookmarkStart w:id="72" w:name="from-concept-to-construct"/>
    <w:p>
      <w:pPr>
        <w:pStyle w:val="Heading2"/>
        <w:spacing w:line="480" w:lineRule="auto"/>
      </w:pPr>
      <w:r>
        <w:t xml:space="preserve">3.2 From concept to construct</w:t>
      </w:r>
    </w:p>
    <w:p>
      <w:pPr>
        <w:pStyle w:val="FirstParagraph"/>
        <w:spacing w:line="480" w:lineRule="auto"/>
      </w:pPr>
      <w:r>
        <w:t xml:space="preserve">A mechanism is only testable once its concepts are pinned to constructs the data can carry. Three translations do that work, and each loses something in translation, which I flag now so the loss is not mistaken for the concept later. The flagging is itself a guard against a common error, the silent substitution of a construct for the concept it only partly captures</w:t>
      </w:r>
      <w:r>
        <w:t xml:space="preserve"> </w:t>
      </w:r>
      <w:hyperlink w:anchor="ref-5">
        <w:r>
          <w:rPr>
            <w:rStyle w:val="Hyperlink"/>
          </w:rPr>
          <w:t xml:space="preserve">[5]</w:t>
        </w:r>
      </w:hyperlink>
      <w:r>
        <w:t xml:space="preserve">.</w:t>
      </w:r>
    </w:p>
    <w:p>
      <w:pPr>
        <w:pStyle w:val="BodyText"/>
        <w:spacing w:line="480" w:lineRule="auto"/>
        <w:ind w:firstLine="720"/>
      </w:pPr>
      <w:r>
        <w:t xml:space="preserve">Topic salience becomes the topic-signal score, a deterministic count of theme-term hits across four metadata fields. The concept is how central the carrying-capacity theme is to a record; the construct is how many theme terms its metadata happen to contain. The gap between them is metadata density: a record can be deeply about capacity yet carry sparse metadata, scoring low despite its substance</w:t>
      </w:r>
      <w:r>
        <w:t xml:space="preserve"> </w:t>
      </w:r>
      <w:hyperlink w:anchor="ref-5">
        <w:r>
          <w:rPr>
            <w:rStyle w:val="Hyperlink"/>
          </w:rPr>
          <w:t xml:space="preserve">[5]</w:t>
        </w:r>
      </w:hyperlink>
      <w:r>
        <w:t xml:space="preserve">. The construct is a floor on salience, not a measure of it, and the mechanism’s predictions are read accordingly.</w:t>
      </w:r>
    </w:p>
    <w:p>
      <w:pPr>
        <w:pStyle w:val="BodyText"/>
        <w:spacing w:line="480" w:lineRule="auto"/>
        <w:ind w:firstLine="720"/>
      </w:pPr>
      <w:r>
        <w:t xml:space="preserve">Institutional urgency becomes recency, on the reasoning that a topic becoming urgent concentrates in recent work. The concept is the live pressure a framing exerts; the construct is calendar distance from the sample’s oldest record. The gap is that recency also tracks plain field growth, so a recency slope confounds urgency with maturity</w:t>
      </w:r>
      <w:r>
        <w:t xml:space="preserve"> </w:t>
      </w:r>
      <w:hyperlink w:anchor="ref-6">
        <w:r>
          <w:rPr>
            <w:rStyle w:val="Hyperlink"/>
          </w:rPr>
          <w:t xml:space="preserve">[6]</w:t>
        </w:r>
      </w:hyperlink>
      <w:r>
        <w:t xml:space="preserve">. This is the reason recency, though the mechanism’s tightest axis, still cannot by itself prove a framing account.</w:t>
      </w:r>
    </w:p>
    <w:p>
      <w:pPr>
        <w:pStyle w:val="BodyText"/>
        <w:spacing w:line="480" w:lineRule="auto"/>
        <w:ind w:firstLine="720"/>
      </w:pPr>
      <w:r>
        <w:t xml:space="preserve">Collective attention becomes the citation count, on the reasoning that valued work gets cited. The concept is how much the community has engaged a record; the construct is a local index count that runs to zero for two of three venue families. The gap is enormous here, which is why the mechanism binds this axis only loosely and why the citation prediction is directional but not confidently signed</w:t>
      </w:r>
      <w:r>
        <w:t xml:space="preserve"> </w:t>
      </w:r>
      <w:hyperlink w:anchor="ref-6">
        <w:r>
          <w:rPr>
            <w:rStyle w:val="Hyperlink"/>
          </w:rPr>
          <w:t xml:space="preserve">[6]</w:t>
        </w:r>
      </w:hyperlink>
      <w:r>
        <w:t xml:space="preserve">.</w:t>
      </w:r>
    </w:p>
    <w:p>
      <w:pPr>
        <w:pStyle w:val="BodyText"/>
        <w:spacing w:line="480" w:lineRule="auto"/>
        <w:ind w:firstLine="720"/>
      </w:pPr>
      <w:r>
        <w:t xml:space="preserve">Making these translations explicit is a theoretical act, not a clerical one. It fixes, in advance, how much weight each construct can bear, and it prevents a significant coefficient on a weak construct from being read as vindication of the concept it only partly captures.</w:t>
      </w:r>
    </w:p>
    <w:bookmarkEnd w:id="72"/>
    <w:bookmarkStart w:id="73" w:name="predictions-for-the-cross-section"/>
    <w:p>
      <w:pPr>
        <w:pStyle w:val="Heading2"/>
        <w:spacing w:line="480" w:lineRule="auto"/>
      </w:pPr>
      <w:r>
        <w:t xml:space="preserve">3.3 Predictions for the cross-section</w:t>
      </w:r>
    </w:p>
    <w:p>
      <w:pPr>
        <w:pStyle w:val="FirstParagraph"/>
        <w:spacing w:line="480" w:lineRule="auto"/>
      </w:pPr>
      <w:r>
        <w:t xml:space="preserve">The first testable prediction concerns cross-sectional structure. The outcome is a composite topic-signal score built deterministically from theme-term hits across each record’s title, snippet, keyword field, and author metadata. The predictors are a recency index, a reported citation count, and an ordinal venue-family score</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H0 (cross-section): the topic-signal score is unrelated to publication recency, to citation attention, and to venue family.</w:t>
      </w:r>
    </w:p>
    <w:p>
      <w:pPr>
        <w:pStyle w:val="BodyText"/>
        <w:spacing w:line="480" w:lineRule="auto"/>
        <w:ind w:firstLine="720"/>
      </w:pPr>
      <w:r>
        <w:t xml:space="preserve">H1 (cross-section): the topic-signal score is systematically related to at least one of these, and specifically increases with recency and with citation attention.</w:t>
      </w:r>
    </w:p>
    <w:p>
      <w:pPr>
        <w:pStyle w:val="BodyText"/>
        <w:spacing w:line="480" w:lineRule="auto"/>
        <w:ind w:firstLine="720"/>
      </w:pPr>
      <w:r>
        <w:t xml:space="preserve">The directional part of H1 is where the mechanism sticks its neck out. If framing is concentrating the topic in newer, more-cited work, recency and citations should carry positive slopes. Venue family is left without a signed prediction. The mechanism gives no reason to expect the topic-signal score to rise monotonically from conference proceedings, to journals, to policy-economy venues, and so I treat any venue coefficient as descriptive rather than confirmatory. Stating that in advance matters. It means a venue result, whatever its sign, cannot be read as support for the framing mechanism after the fact.</w:t>
      </w:r>
    </w:p>
    <w:bookmarkEnd w:id="73"/>
    <w:bookmarkStart w:id="74" w:name="predictions-for-accumulation"/>
    <w:p>
      <w:pPr>
        <w:pStyle w:val="Heading2"/>
        <w:spacing w:line="480" w:lineRule="auto"/>
      </w:pPr>
      <w:r>
        <w:t xml:space="preserve">3.4 Predictions for accumulation</w:t>
      </w:r>
    </w:p>
    <w:p>
      <w:pPr>
        <w:pStyle w:val="FirstParagraph"/>
        <w:spacing w:line="480" w:lineRule="auto"/>
      </w:pPr>
      <w:r>
        <w:t xml:space="preserve">The second prediction concerns time. Cross-sectional structure could arise from a snapshot without telling us anything about how attention builds. A learning-curve view asks a different question: as a document ages, does the attention it has drawn scale with age in a regular way</w:t>
      </w:r>
      <w:r>
        <w:t xml:space="preserve"> </w:t>
      </w:r>
      <w:hyperlink w:anchor="ref-6">
        <w:r>
          <w:rPr>
            <w:rStyle w:val="Hyperlink"/>
          </w:rPr>
          <w:t xml:space="preserve">[6]</w:t>
        </w:r>
      </w:hyperlink>
      <w:r>
        <w:t xml:space="preserve">. The outcome is citation count plus one, logged so that uncited records remain defined, and the predictor is the log of an age index computed as the analysis year minus the publication year plus one.</w:t>
      </w:r>
    </w:p>
    <w:p>
      <w:pPr>
        <w:pStyle w:val="BodyText"/>
        <w:spacing w:line="480" w:lineRule="auto"/>
        <w:ind w:firstLine="720"/>
      </w:pPr>
      <w:r>
        <w:t xml:space="preserve">H0 (accumulation): citation accumulation is unrelated to article age in the retrieved topic literature.</w:t>
      </w:r>
    </w:p>
    <w:p>
      <w:pPr>
        <w:pStyle w:val="BodyText"/>
        <w:spacing w:line="480" w:lineRule="auto"/>
        <w:ind w:firstLine="720"/>
      </w:pPr>
      <w:r>
        <w:t xml:space="preserve">H1 (accumulation): citation accumulation follows a measurable age-based curve.</w:t>
      </w:r>
    </w:p>
    <w:p>
      <w:pPr>
        <w:pStyle w:val="BodyText"/>
        <w:spacing w:line="480" w:lineRule="auto"/>
        <w:ind w:firstLine="720"/>
      </w:pPr>
      <w:r>
        <w:t xml:space="preserve">Here the theory is genuinely ambivalent about sign, and I say so before seeing the estimate. Under a classic accrual story, older documents have had more time to gather citations, so the age elasticity should be positive. Under a recency-of-attention story, the field’s citing energy concentrates on new work while older pieces fall quiet, which would push the elasticity negative. Both stories are coherent for a young, fast-moving literature. The learning-curve model does not adjudicate between them a priori; it measures which one the corpus actually exhibits.</w:t>
      </w:r>
    </w:p>
    <w:bookmarkEnd w:id="74"/>
    <w:bookmarkStart w:id="75" w:name="rival-explanations-named-in-advance"/>
    <w:p>
      <w:pPr>
        <w:pStyle w:val="Heading2"/>
        <w:spacing w:line="480" w:lineRule="auto"/>
      </w:pPr>
      <w:r>
        <w:t xml:space="preserve">3.5 Rival explanations, named in advance</w:t>
      </w:r>
    </w:p>
    <w:p>
      <w:pPr>
        <w:pStyle w:val="FirstParagraph"/>
        <w:spacing w:line="480" w:lineRule="auto"/>
      </w:pPr>
      <w:r>
        <w:t xml:space="preserve">A disciplined theory lists the accounts that could mimic its predictions. Four rivals stand out.</w:t>
      </w:r>
    </w:p>
    <w:p>
      <w:pPr>
        <w:pStyle w:val="BodyText"/>
        <w:spacing w:line="480" w:lineRule="auto"/>
        <w:ind w:firstLine="720"/>
      </w:pPr>
      <w:r>
        <w:t xml:space="preserve">First, a venue-coverage rival. Apparent structure could reflect which venue families the retrieval happened to cover densely rather than any substantive concentration of the topic. If AMOS proceedings dominate the record, the venue axis may be measuring the retrieval, not the field.</w:t>
      </w:r>
    </w:p>
    <w:p>
      <w:pPr>
        <w:pStyle w:val="BodyText"/>
        <w:spacing w:line="480" w:lineRule="auto"/>
        <w:ind w:firstLine="720"/>
      </w:pPr>
      <w:r>
        <w:t xml:space="preserve">Second, a maturity rival. A recency slope could reflect a young field simply publishing more in recent years, independent of framing. Growth in output is not the same as growth in framing salience, and the metadata cannot fully separate them.</w:t>
      </w:r>
    </w:p>
    <w:p>
      <w:pPr>
        <w:pStyle w:val="BodyText"/>
        <w:spacing w:line="480" w:lineRule="auto"/>
        <w:ind w:firstLine="720"/>
      </w:pPr>
      <w:r>
        <w:t xml:space="preserve">Third, a citation-age rival. Any age-based coefficient could be an artifact of the mechanical fact that citations take time to accrue, rather than evidence about attention dynamics</w:t>
      </w:r>
      <w:r>
        <w:t xml:space="preserve"> </w:t>
      </w:r>
      <w:hyperlink w:anchor="ref-4">
        <w:r>
          <w:rPr>
            <w:rStyle w:val="Hyperlink"/>
          </w:rPr>
          <w:t xml:space="preserve">[4]</w:t>
        </w:r>
      </w:hyperlink>
      <w:r>
        <w:t xml:space="preserve">. The learning-curve specification confronts this rival directly but cannot fully dissolve it with thirty records.</w:t>
      </w:r>
    </w:p>
    <w:p>
      <w:pPr>
        <w:pStyle w:val="BodyText"/>
        <w:spacing w:line="480" w:lineRule="auto"/>
        <w:ind w:firstLine="720"/>
      </w:pPr>
      <w:r>
        <w:t xml:space="preserve">Fourth, a metadata-availability rival. The topic-signal score depends on fields that are richer for some venue families than others. Journal records in the corpus carry keyword fields that conference records often lack, which could inflate signal for journal-heavy strata for reasons that have nothing to do with importance</w:t>
      </w:r>
      <w:r>
        <w:t xml:space="preserve"> </w:t>
      </w:r>
      <w:hyperlink w:anchor="ref-5">
        <w:r>
          <w:rPr>
            <w:rStyle w:val="Hyperlink"/>
          </w:rPr>
          <w:t xml:space="preserve">[5]</w:t>
        </w:r>
      </w:hyperlink>
      <w:r>
        <w:t xml:space="preserve">.</w:t>
      </w:r>
    </w:p>
    <w:p>
      <w:pPr>
        <w:pStyle w:val="BodyText"/>
        <w:spacing w:line="480" w:lineRule="auto"/>
        <w:ind w:firstLine="720"/>
      </w:pPr>
      <w:r>
        <w:t xml:space="preserve">These rivals are not decorations. Each one converts a possible finding into a qualified one, and each one points to a specific improvement a future dataset would need. I return to them in Chapter 7, where the results make some of them pressing and let others recede.</w:t>
      </w:r>
    </w:p>
    <w:bookmarkEnd w:id="75"/>
    <w:bookmarkStart w:id="76" w:name="X3bfd672e551bc6875b1a222a2793cded2282e90"/>
    <w:p>
      <w:pPr>
        <w:pStyle w:val="Heading2"/>
        <w:spacing w:line="480" w:lineRule="auto"/>
      </w:pPr>
      <w:r>
        <w:t xml:space="preserve">3.6 Why framing residue should appear in these axes</w:t>
      </w:r>
    </w:p>
    <w:p>
      <w:pPr>
        <w:pStyle w:val="FirstParagraph"/>
        <w:spacing w:line="480" w:lineRule="auto"/>
      </w:pPr>
      <w:r>
        <w:t xml:space="preserve">It is fair to press the mechanism harder: why should a cognitive asymmetry in how individuals weigh gains and losses show up in something as impersonal as citation and venue metadata. The bridge runs through collective attention. Framing operates on individual readers, but a literature is the aggregate of many individual reading and citing decisions. If a loss-framed capacity result systematically strikes more readers as urgent, more of them cite it, extend it, and route it into new venues, and the individual asymmetry compounds into an aggregate concentration. The metadata does not record any single reader’s response; it records the sum of thousands of them. That aggregation is why a micro-level framing effect can leave a macro-level documentary footprint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Recency carries the footprint most directly. The recency axis is the most direct carrier of that footprint. If framing-driven urgency has intensified as the capacity limit approached institutional relevance, the framing-sensitive topic should be denser in recent records than in older ones, because the compounding is recent. The citation axis is a slower and noisier carrier: citations lag their triggering framing by years, and in a young literature the most urgently framed recent work has not yet had time to accumulate the citations its urgency would eventually earn</w:t>
      </w:r>
      <w:r>
        <w:t xml:space="preserve"> </w:t>
      </w:r>
      <w:hyperlink w:anchor="ref-4">
        <w:r>
          <w:rPr>
            <w:rStyle w:val="Hyperlink"/>
          </w:rPr>
          <w:t xml:space="preserve">[4]</w:t>
        </w:r>
      </w:hyperlink>
      <w:r>
        <w:t xml:space="preserve">. The venue axis is the least direct of all.</w:t>
      </w:r>
    </w:p>
    <w:p>
      <w:pPr>
        <w:pStyle w:val="BodyText"/>
        <w:spacing w:line="480" w:lineRule="auto"/>
        <w:ind w:firstLine="720"/>
      </w:pPr>
      <w:r>
        <w:t xml:space="preserve">Venue family reflects where authors choose to publish more than how readers respond, and the mechanism gives no clean reason to expect framing to sort by venue. Ordering the three axes by how tightly the mechanism binds them, recency first, citations second, venue a distant third, is a prediction in itself, and it happens to match the precision ordering the results return.</w:t>
      </w:r>
    </w:p>
    <w:bookmarkEnd w:id="76"/>
    <w:bookmarkStart w:id="77" w:name="scope-conditions"/>
    <w:p>
      <w:pPr>
        <w:pStyle w:val="Heading2"/>
        <w:spacing w:line="480" w:lineRule="auto"/>
      </w:pPr>
      <w:r>
        <w:t xml:space="preserve">3.7 Scope conditions</w:t>
      </w:r>
    </w:p>
    <w:p>
      <w:pPr>
        <w:pStyle w:val="FirstParagraph"/>
        <w:spacing w:line="480" w:lineRule="auto"/>
      </w:pPr>
      <w:r>
        <w:t xml:space="preserve">Every mechanism holds only within stated conditions, and honesty requires naming them before the test. The framing residue predicted here should be detectable only while three conditions hold. The underlying limit must be genuinely uncertain, so that framing has room to operate rather than being pinned by a settled number</w:t>
      </w:r>
      <w:r>
        <w:t xml:space="preserve"> </w:t>
      </w:r>
      <w:hyperlink w:anchor="ref-4">
        <w:r>
          <w:rPr>
            <w:rStyle w:val="Hyperlink"/>
          </w:rPr>
          <w:t xml:space="preserve">[4]</w:t>
        </w:r>
      </w:hyperlink>
      <w:r>
        <w:t xml:space="preserve">. The governing institutions must be actively forming, so that the framing is doing live work rather than commenting on a closed question</w:t>
      </w:r>
      <w:r>
        <w:t xml:space="preserve"> </w:t>
      </w:r>
      <w:hyperlink w:anchor="ref-11">
        <w:r>
          <w:rPr>
            <w:rStyle w:val="Hyperlink"/>
          </w:rPr>
          <w:t xml:space="preserve">[11]</w:t>
        </w:r>
      </w:hyperlink>
      <w:r>
        <w:t xml:space="preserve">. And the corpus must be recent and active enough that collective attention is still compounding rather than having dissipated. Orbital carrying capacity satisfies all three now.</w:t>
      </w:r>
    </w:p>
    <w:p>
      <w:pPr>
        <w:pStyle w:val="BodyText"/>
        <w:spacing w:line="480" w:lineRule="auto"/>
        <w:ind w:firstLine="720"/>
      </w:pPr>
      <w:r>
        <w:t xml:space="preserve">That is what makes it a viable test bed. A mature field with agreed constants and settled rules would fail the first two conditions, and the mechanism would predict no detectable residue there. Stating the scope conditions guards against overgeneralizing a finding from this corpus to fields where the mechanism should not apply</w:t>
      </w:r>
      <w:r>
        <w:t xml:space="preserve"> </w:t>
      </w:r>
      <w:hyperlink w:anchor="ref-1">
        <w:r>
          <w:rPr>
            <w:rStyle w:val="Hyperlink"/>
          </w:rPr>
          <w:t xml:space="preserve">[1]</w:t>
        </w:r>
      </w:hyperlink>
      <w:r>
        <w:t xml:space="preserve">.</w:t>
      </w:r>
    </w:p>
    <w:bookmarkEnd w:id="77"/>
    <w:bookmarkStart w:id="78" w:name="the-evidence-ladder"/>
    <w:p>
      <w:pPr>
        <w:pStyle w:val="Heading2"/>
        <w:spacing w:line="480" w:lineRule="auto"/>
      </w:pPr>
      <w:r>
        <w:t xml:space="preserve">3.8 The evidence ladder</w:t>
      </w:r>
    </w:p>
    <w:p>
      <w:pPr>
        <w:pStyle w:val="FirstParagraph"/>
        <w:spacing w:line="480" w:lineRule="auto"/>
      </w:pPr>
      <w:r>
        <w:t xml:space="preserve">The theory supports a three-rung ladder for reading whatever the estimators return. On the top rung, a signed, precise coefficient shows association inside the retained corpus and licenses a bounded substantive claim. On the middle rung, a stable overall fit supports using the corpus as a measurement base even where individual terms are noisy. On the bottom rung, a weak or unstable coefficient is still evidence, because it demonstrates that the available record cannot sustain the stronger claim and marks exactly where better data are needed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Treating all three rungs as scholarly output, rather than reporting only the significant terms, is the theoretical commitment that most distinguishes this design. It is what lets a modest result be an honest contribution rather than a disappointment dressed up as a discovery</w:t>
      </w:r>
      <w:r>
        <w:t xml:space="preserve"> </w:t>
      </w:r>
      <w:hyperlink w:anchor="ref-9">
        <w:r>
          <w:rPr>
            <w:rStyle w:val="Hyperlink"/>
          </w:rPr>
          <w:t xml:space="preserve">[9]</w:t>
        </w:r>
      </w:hyperlink>
      <w:r>
        <w:t xml:space="preserve">.</w:t>
      </w:r>
    </w:p>
    <w:bookmarkEnd w:id="78"/>
    <w:bookmarkStart w:id="79" w:name="the-theoretical-value-of-a-bounded-null"/>
    <w:p>
      <w:pPr>
        <w:pStyle w:val="Heading2"/>
        <w:spacing w:line="480" w:lineRule="auto"/>
      </w:pPr>
      <w:r>
        <w:t xml:space="preserve">3.9 The theoretical value of a bounded null</w:t>
      </w:r>
    </w:p>
    <w:p>
      <w:pPr>
        <w:pStyle w:val="FirstParagraph"/>
        <w:spacing w:line="480" w:lineRule="auto"/>
      </w:pPr>
      <w:r>
        <w:t xml:space="preserve">Behavioral and bibliometric fields both suffer from a bias toward reporting only what reaches significance, and that bias distorts what a literature appears to know. This dissertation’s theory deliberately assigns positive value to a bounded null, and the reasoning is worth stating because it governs how Chapter 7 reads the borderline results. A predictor that fails to reach significance on a construct known in advance to be weak does not falsify the mechanism; it locates the mechanism’s current measurement frontier</w:t>
      </w:r>
      <w:r>
        <w:t xml:space="preserve"> </w:t>
      </w:r>
      <w:hyperlink w:anchor="ref-6">
        <w:r>
          <w:rPr>
            <w:rStyle w:val="Hyperlink"/>
          </w:rPr>
          <w:t xml:space="preserve">[6]</w:t>
        </w:r>
      </w:hyperlink>
      <w:r>
        <w:t xml:space="preserve">. The citation construct is the clearest case. The theory predicts framing residue should be faintest on the citation axis, because citations lag and the construct is starved of variation across two venue families. A weak citation coefficient therefore confirms a prediction of the theory rather than refuting the framing account. Reading it as a simple null would misunderstand what the theory said would happen.</w:t>
      </w:r>
    </w:p>
    <w:p>
      <w:pPr>
        <w:pStyle w:val="BodyText"/>
        <w:spacing w:line="480" w:lineRule="auto"/>
        <w:ind w:firstLine="720"/>
      </w:pPr>
      <w:r>
        <w:t xml:space="preserve">This is not a license to explain away any inconvenient result. The mechanism made specific, ranked predictions about which axes should carry signal and how strongly, and those predictions can be wrong. If recency, the axis the theory binds most tightly, had returned a flat slope, the mechanism would be in serious trouble, and no amount of reframing would rescue it. The asymmetry is deliberate: the theory stakes its credibility on the axis it binds tightest and grants itself latitude only on the axes it predicted would be weak. That structure is what makes the design falsifiable while still extracting meaning from borderline results</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End w:id="79"/>
    <w:bookmarkStart w:id="80" w:name="measurement-invariance-across-the-corpus"/>
    <w:p>
      <w:pPr>
        <w:pStyle w:val="Heading2"/>
        <w:spacing w:line="480" w:lineRule="auto"/>
      </w:pPr>
      <w:r>
        <w:t xml:space="preserve">3.10 Measurement invariance across the corpus</w:t>
      </w:r>
    </w:p>
    <w:p>
      <w:pPr>
        <w:pStyle w:val="FirstParagraph"/>
        <w:spacing w:line="480" w:lineRule="auto"/>
      </w:pPr>
      <w:r>
        <w:t xml:space="preserve">A final theoretical requirement often left implicit deserves a sentence: for the constructs to mean the same thing across records, the measurement rules must apply identically to every venue family. The topic-signal score is computed by the same term-hit rule whether a record is an AMOS proceeding, an Acta Astronautica article, or a policy-economy note, and recency and age are computed by the same arithmetic for all</w:t>
      </w:r>
      <w:r>
        <w:t xml:space="preserve"> </w:t>
      </w:r>
      <w:hyperlink w:anchor="ref-2">
        <w:r>
          <w:rPr>
            <w:rStyle w:val="Hyperlink"/>
          </w:rPr>
          <w:t xml:space="preserve">[2]</w:t>
        </w:r>
      </w:hyperlink>
      <w:r>
        <w:t xml:space="preserve">. That invariance is what makes cross-venue comparison legitimate. Where it breaks, it breaks for a known reason, uneven metadata population, and the theory absorbs that break as the metadata-availability rival rather than pretending the constructs are perfectly comparable</w:t>
      </w:r>
      <w:r>
        <w:t xml:space="preserve"> </w:t>
      </w:r>
      <w:hyperlink w:anchor="ref-5">
        <w:r>
          <w:rPr>
            <w:rStyle w:val="Hyperlink"/>
          </w:rPr>
          <w:t xml:space="preserve">[5]</w:t>
        </w:r>
      </w:hyperlink>
      <w:r>
        <w:t xml:space="preserve">. Stating the invariance requirement, and its known limit, is the theoretical groundwork that licenses pooling all thirty heterogeneous records into a single model at all.</w:t>
      </w:r>
    </w:p>
    <w:p>
      <w:pPr>
        <w:pStyle w:val="BodyText"/>
        <w:spacing w:line="480" w:lineRule="auto"/>
        <w:ind w:firstLine="720"/>
      </w:pPr>
      <w:r>
        <w:t xml:space="preserve">Taken together, sections 3.1 through 3.10 assemble a theory that is deliberately more careful than it is bold. It specifies a mechanism, translates each concept into a construct with declared losses, ranks the axes by how tightly the mechanism binds them, names four rivals in advance, states the scope conditions under which the mechanism should even apply, and assigns positive value to bounded nulls</w:t>
      </w:r>
      <w:r>
        <w:t xml:space="preserve"> </w:t>
      </w:r>
      <w:hyperlink w:anchor="ref-1">
        <w:r>
          <w:rPr>
            <w:rStyle w:val="Hyperlink"/>
          </w:rPr>
          <w:t xml:space="preserve">[1]</w:t>
        </w:r>
      </w:hyperlink>
      <w:r>
        <w:t xml:space="preserve"> </w:t>
      </w:r>
      <w:hyperlink w:anchor="ref-4">
        <w:r>
          <w:rPr>
            <w:rStyle w:val="Hyperlink"/>
          </w:rPr>
          <w:t xml:space="preserve">[4]</w:t>
        </w:r>
      </w:hyperlink>
      <w:r>
        <w:t xml:space="preserve">. That architecture is what lets the empirical chapters read every result, significant or borderline or null, as evidence about the framing question rather than as a scattering of disconnected numbers. A theory that did less than this would leave the coefficients mute; a theory that claimed more than this would overreach the thirty records that must test it</w:t>
      </w:r>
      <w:r>
        <w:t xml:space="preserve"> </w:t>
      </w:r>
      <w:hyperlink w:anchor="ref-6">
        <w:r>
          <w:rPr>
            <w:rStyle w:val="Hyperlink"/>
          </w:rPr>
          <w:t xml:space="preserve">[6]</w:t>
        </w:r>
      </w:hyperlink>
      <w:r>
        <w:t xml:space="preserve">.</w:t>
      </w:r>
    </w:p>
    <w:bookmarkEnd w:id="80"/>
    <w:bookmarkEnd w:id="81"/>
    <w:bookmarkStart w:id="91"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This chapter specifies the two estimators, states what each is designed to identify, and, just as important, states what neither can identify. The design is documentary and observational. There is no randomization. No instrument. No natural experiment. Every choice in this chapter follows from that constraint. The honest identification claim is therefore not causal. It is that variables built from the retained record explain the observed outcome better than a null of no systematic relationship, and that where they do not, the record itself is the finding</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Start w:id="82" w:name="what-identification-means-here"/>
    <w:p>
      <w:pPr>
        <w:pStyle w:val="Heading2"/>
        <w:spacing w:line="480" w:lineRule="auto"/>
      </w:pPr>
      <w:r>
        <w:t xml:space="preserve">4.1 What identification means here</w:t>
      </w:r>
    </w:p>
    <w:p>
      <w:pPr>
        <w:pStyle w:val="FirstParagraph"/>
        <w:spacing w:line="480" w:lineRule="auto"/>
      </w:pPr>
      <w:r>
        <w:t xml:space="preserve">It is worth being precise about the word identification, because in an observational setting it is easy to promise more than the design delivers. I use it in a bounded sense. A parameter is identified for this study, in the bounded sense used here, if the estimator recovers a stable, signed association between a constructed predictor and the outcome across the thirty records, with a standard error small enough to distinguish the association from zero at a stated level. That is association inside a corpus, not a treatment effect. The distinction is not pedantic. It governs every interpretation in Chapter 6, and it is the reason venue coefficients are read descriptively while recency coefficients can be read substantively when they are precise</w:t>
      </w:r>
      <w:r>
        <w:t xml:space="preserve"> </w:t>
      </w:r>
      <w:hyperlink w:anchor="ref-2">
        <w:r>
          <w:rPr>
            <w:rStyle w:val="Hyperlink"/>
          </w:rPr>
          <w:t xml:space="preserve">[2]</w:t>
        </w:r>
      </w:hyperlink>
      <w:r>
        <w:t xml:space="preserve">.</w:t>
      </w:r>
    </w:p>
    <w:p>
      <w:pPr>
        <w:pStyle w:val="BodyText"/>
        <w:spacing w:line="480" w:lineRule="auto"/>
        <w:ind w:firstLine="720"/>
      </w:pPr>
      <w:r>
        <w:t xml:space="preserve">Two features of the design give even this bounded identification some traction. First, the outcome and the predictors are constructed by deterministic rules from source metadata, so the measurement is reproducible: another analyst applying the same rules to the same records recovers the same rows. Second, every row carries a source field, so any coefficient can be traced back to the documents that produce it. Reproducibility and traceability do not manufacture causal identification. They do make the association claims auditable, which is the standard this dissertation holds itself to.</w:t>
      </w:r>
    </w:p>
    <w:bookmarkEnd w:id="82"/>
    <w:bookmarkStart w:id="83" w:name="X9895e83558a653dbaaf9904cdbf985a94f8f486"/>
    <w:p>
      <w:pPr>
        <w:pStyle w:val="Heading2"/>
        <w:spacing w:line="480" w:lineRule="auto"/>
      </w:pPr>
      <w:r>
        <w:t xml:space="preserve">4.2 Estimator one: ordinary least squares on the cross-section</w:t>
      </w:r>
    </w:p>
    <w:p>
      <w:pPr>
        <w:pStyle w:val="FirstParagraph"/>
        <w:spacing w:line="480" w:lineRule="auto"/>
      </w:pPr>
      <w:r>
        <w:t xml:space="preserve">The first paper fits an ordinary least squares regression of the topic-signal score on three predictors, with heteroskedasticity-robust HC1 standard errors. The estimating equation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Ordinary least squares is the right first tool for three reasons. The outcome is a bounded count that behaves acceptably as a continuous quantity across its observed range, so a linear conditional mean is a defensible approximation. The sample is small, thirty records, which argues against a heavily parameterized model that would overfit; three predictors and an intercept is already a meaningful fraction of the degrees of freedom available. And the coefficients of a linear model are directly interpretable as the change in topic-signal score per unit change in a predictor, which is what the hypotheses in Chapter 3 are stated in terms of</w:t>
      </w:r>
      <w:r>
        <w:t xml:space="preserve"> </w:t>
      </w:r>
      <w:hyperlink w:anchor="ref-1">
        <w:r>
          <w:rPr>
            <w:rStyle w:val="Hyperlink"/>
          </w:rPr>
          <w:t xml:space="preserve">[1]</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choice of HC1 robust standard errors is deliberate rather than reflexive. The records span venue families that differ in how their metadata are populated, so the error variance is unlikely to be constant across the sample. Robust standard errors do not fix a misspecified mean, but they keep the inference from being falsely confident when the variance is uneven. With thirty observations I read the resulting p-values as coarse instruments. A term at p below 0.01 is treated as a real association within the corpus; a term near 0.05 is treated as borderline; a term above 0.10 is treated as evidence of a limit, not of an effect.</w:t>
      </w:r>
    </w:p>
    <w:p>
      <w:pPr>
        <w:pStyle w:val="BodyText"/>
        <w:spacing w:line="480" w:lineRule="auto"/>
        <w:ind w:firstLine="720"/>
      </w:pPr>
      <w:r>
        <w:t xml:space="preserve">What can this estimator not do. It cannot separate a genuine concentration of the framing-sensitive topic in recent work from a young field’s general tendency to publish more recently, the maturity rival of Chapter 3. It cannot rule out that venue family is proxying for metadata richness rather than substantive importance. And with three predictors on thirty rows, it has limited power to detect a true but modest citation slope, which is exactly the regime the citation coefficient turns out to occupy. Naming these limits in the design, before the numbers arrive, is what keeps the results chapter from overclaiming.</w:t>
      </w:r>
    </w:p>
    <w:bookmarkEnd w:id="83"/>
    <w:bookmarkStart w:id="84" w:name="estimator-two-the-log-log-learning-curve"/>
    <w:p>
      <w:pPr>
        <w:pStyle w:val="Heading2"/>
        <w:spacing w:line="480" w:lineRule="auto"/>
      </w:pPr>
      <w:r>
        <w:t xml:space="preserve">4.3 Estimator two: the log-log learning curve</w:t>
      </w:r>
    </w:p>
    <w:p>
      <w:pPr>
        <w:pStyle w:val="FirstParagraph"/>
        <w:spacing w:line="480" w:lineRule="auto"/>
      </w:pPr>
      <w:r>
        <w:t xml:space="preserve">The second paper fits a learning-curve model, again with HC1 robust standard errors. The specification is</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Two construction choices make the model well defined. Citation count is incremented by one before logging so that the many uncited records remain in the sample rather than dropping out at the log of zero. Age index is the analysis year minus the publication year plus one, which keeps the youngest documents at a strictly positive age and avoids a second undefined log. The learning-curve form is chosen because it estimates an elasticity directly: beta_1 is the percentage change in citations-plus-one associated with a one percent change in age, and 2 raised to beta_1 is the progress ratio, the multiplicative factor for a doubling of age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This estimator identifies the shape of attention accumulation, not its cause. A negative elasticity would say that older documents in the corpus carry fewer citations per unit age, consistent with the field’s citing energy concentrating on newer work. A positive elasticity would say the opposite, that age brings accrual. The model measures which pattern the corpus exhibits; it cannot by itself decide whether a negative slope reflects a real attention dynamic or the mechanical citation-age artifact, because those two produce similar signatures in a single cross-section</w:t>
      </w:r>
      <w:r>
        <w:t xml:space="preserve"> </w:t>
      </w:r>
      <w:hyperlink w:anchor="ref-4">
        <w:r>
          <w:rPr>
            <w:rStyle w:val="Hyperlink"/>
          </w:rPr>
          <w:t xml:space="preserve">[4]</w:t>
        </w:r>
      </w:hyperlink>
      <w:r>
        <w:t xml:space="preserve">. That ambiguity is a property of the data, and Chapter 7 treats it that way rather than resolving it by assertion.</w:t>
      </w:r>
    </w:p>
    <w:bookmarkEnd w:id="84"/>
    <w:bookmarkStart w:id="85" w:name="X60432d24cdf95312e119f140839085cfbc646bf"/>
    <w:p>
      <w:pPr>
        <w:pStyle w:val="Heading2"/>
        <w:spacing w:line="480" w:lineRule="auto"/>
      </w:pPr>
      <w:r>
        <w:t xml:space="preserve">4.3.1 Reading the elasticity and the progress ratio</w:t>
      </w:r>
    </w:p>
    <w:p>
      <w:pPr>
        <w:pStyle w:val="FirstParagraph"/>
        <w:spacing w:line="480" w:lineRule="auto"/>
      </w:pPr>
      <w:r>
        <w:t xml:space="preserve">The learning-curve form deserves a closer unpacking, because its two headline quantities answer different questions. The elasticity beta_1 is a rate: it says how citations-plus-one respond, in percentage terms, to a percentage change in age. A negative elasticity means the response is a decline. The progress ratio, 2 raised to beta_1, restates that rate as a multiplicative factor for a doubling of age, which is the traditional way learning curves are read outside citation analysis, where the doubling is of cumulative production. Translating the abstract elasticity into a doubling factor makes the magnitude concrete: a reader can ask, plainly, what happens to citations when a document gets twice as old</w:t>
      </w:r>
      <w:r>
        <w:t xml:space="preserve"> </w:t>
      </w:r>
      <w:hyperlink w:anchor="ref-6">
        <w:r>
          <w:rPr>
            <w:rStyle w:val="Hyperlink"/>
          </w:rPr>
          <w:t xml:space="preserve">[6]</w:t>
        </w:r>
      </w:hyperlink>
      <w:r>
        <w:t xml:space="preserve">.</w:t>
      </w:r>
    </w:p>
    <w:p>
      <w:pPr>
        <w:pStyle w:val="BodyText"/>
        <w:spacing w:line="480" w:lineRule="auto"/>
        <w:ind w:firstLine="720"/>
      </w:pPr>
      <w:r>
        <w:t xml:space="preserve">The reason to prefer the log-log form over a linear regression of citations on age is that citation distributions are heavily skewed, with most records near zero and a few journal articles far above. Logging both sides compresses that skew and turns a multiplicative process into an additive one the linear estimator can handle. The plus-one transform on citations is not cosmetic; it is what keeps the many zero-citation conference and policy records in the estimation rather than silently dropping them at the log of zero, which would bias the sample toward the cited journal stratum and defeat the purpose of a corpus-wide screen</w:t>
      </w:r>
      <w:r>
        <w:t xml:space="preserve"> </w:t>
      </w:r>
      <w:hyperlink w:anchor="ref-4">
        <w:r>
          <w:rPr>
            <w:rStyle w:val="Hyperlink"/>
          </w:rPr>
          <w:t xml:space="preserve">[4]</w:t>
        </w:r>
      </w:hyperlink>
      <w:r>
        <w:t xml:space="preserve">. Both transforms are declared here so that the interpretation in Chapter 6 is read on the log scale where the model actually lives.</w:t>
      </w:r>
    </w:p>
    <w:bookmarkEnd w:id="85"/>
    <w:bookmarkStart w:id="86" w:name="why-two-models-rather-than-one"/>
    <w:p>
      <w:pPr>
        <w:pStyle w:val="Heading2"/>
        <w:spacing w:line="480" w:lineRule="auto"/>
      </w:pPr>
      <w:r>
        <w:t xml:space="preserve">4.4 Why two models rather than one</w:t>
      </w:r>
    </w:p>
    <w:p>
      <w:pPr>
        <w:pStyle w:val="FirstParagraph"/>
        <w:spacing w:line="480" w:lineRule="auto"/>
      </w:pPr>
      <w:r>
        <w:t xml:space="preserve">The two estimators are complementary by construction, and running both is a design decision, not redundancy. The cross-sectional model reads the corpus as a snapshot and asks which observable axes carry the topic signal. The learning-curve model reads the same corpus as a process and asks whether attention has a regular temporal shape. A topic could show clean cross-sectional structure while its citations accumulate irregularly, or accumulate regularly while its cross-section is noisy. Only by fitting both can the dissertation report which of those worlds the carrying-capacity literature actually occupies</w:t>
      </w:r>
      <w:r>
        <w:t xml:space="preserve"> </w:t>
      </w:r>
      <w:hyperlink w:anchor="ref-11">
        <w:r>
          <w:rPr>
            <w:rStyle w:val="Hyperlink"/>
          </w:rPr>
          <w:t xml:space="preserve">[11]</w:t>
        </w:r>
      </w:hyperlink>
      <w:r>
        <w:t xml:space="preserve">.</w:t>
      </w:r>
    </w:p>
    <w:p>
      <w:pPr>
        <w:pStyle w:val="BodyText"/>
        <w:spacing w:line="480" w:lineRule="auto"/>
        <w:ind w:firstLine="720"/>
      </w:pPr>
      <w:r>
        <w:t xml:space="preserve">There is also an evidentiary reason for the pairing. If both models pointed the same way, the finding would be robust to how one looks at the data. As it happens they point in partly different directions, and that divergence is itself informative: it says the structure in this literature is real on the recency axis but not yet strong enough, in temporal form, to license a confident accumulation claim. A single model would have hidden that nuance.</w:t>
      </w:r>
    </w:p>
    <w:bookmarkEnd w:id="86"/>
    <w:bookmarkStart w:id="87" w:name="Xde882d7fe7b8702441843bd69166d6fc1ec29d5"/>
    <w:p>
      <w:pPr>
        <w:pStyle w:val="Heading2"/>
        <w:spacing w:line="480" w:lineRule="auto"/>
      </w:pPr>
      <w:r>
        <w:t xml:space="preserve">4.5 Functional form and the choice against elaboration</w:t>
      </w:r>
    </w:p>
    <w:p>
      <w:pPr>
        <w:pStyle w:val="FirstParagraph"/>
        <w:spacing w:line="480" w:lineRule="auto"/>
      </w:pPr>
      <w:r>
        <w:t xml:space="preserve">A reviewer might ask why the cross-sectional model is linear rather than something richer: a count model for the integer outcome, an interaction between citations and venue, a polynomial in recency. Each is defensible in the abstract. Each is wrong for this sample. A Poisson or negative-binomial specification would honor the count nature of the topic-signal score, but with thirty records the gain in fidelity is swamped by the loss in interpretability and the fragility of maximum-likelihood estimates on so few observations. An interaction between citations and venue is structurally impossible to estimate here, because citations are nonzero only within one venue family, so the interaction term would be collinear with the main effect</w:t>
      </w:r>
      <w:r>
        <w:t xml:space="preserve"> </w:t>
      </w:r>
      <w:hyperlink w:anchor="ref-6">
        <w:r>
          <w:rPr>
            <w:rStyle w:val="Hyperlink"/>
          </w:rPr>
          <w:t xml:space="preserve">[6]</w:t>
        </w:r>
      </w:hyperlink>
      <w:r>
        <w:t xml:space="preserve">. A polynomial in recency would spend degrees of freedom chasing curvature the data cannot support.</w:t>
      </w:r>
    </w:p>
    <w:p>
      <w:pPr>
        <w:pStyle w:val="BodyText"/>
        <w:spacing w:line="480" w:lineRule="auto"/>
        <w:ind w:firstLine="720"/>
      </w:pPr>
      <w:r>
        <w:t xml:space="preserve">The design therefore chooses the simplest specification consistent with the hypotheses. Linearity is not an assumption I am confident is exactly true; it is the approximation whose failures are most transparent and least likely to manufacture a spurious result. When a model is simple, a reader can see what it is doing and where it might mislead. When a model is elaborate on thin data, its apparent precision is often an artifact of overfitting, and its failures hide inside the machinery. For a documentary screen whose whole value is auditability, the transparent approximation is the correct choice even where a more flexible form might fit marginally better</w:t>
      </w:r>
      <w:r>
        <w:t xml:space="preserve"> </w:t>
      </w:r>
      <w:hyperlink w:anchor="ref-4">
        <w:r>
          <w:rPr>
            <w:rStyle w:val="Hyperlink"/>
          </w:rPr>
          <w:t xml:space="preserve">[4]</w:t>
        </w:r>
      </w:hyperlink>
      <w:r>
        <w:t xml:space="preserve">.</w:t>
      </w:r>
    </w:p>
    <w:bookmarkEnd w:id="87"/>
    <w:bookmarkStart w:id="88" w:name="X3bf2a50201eabfb53c6e132ddff4affce841c87"/>
    <w:p>
      <w:pPr>
        <w:pStyle w:val="Heading2"/>
        <w:spacing w:line="480" w:lineRule="auto"/>
      </w:pPr>
      <w:r>
        <w:t xml:space="preserve">4.6 Diagnostics and what they can and cannot catch</w:t>
      </w:r>
    </w:p>
    <w:p>
      <w:pPr>
        <w:pStyle w:val="FirstParagraph"/>
        <w:spacing w:line="480" w:lineRule="auto"/>
      </w:pPr>
      <w:r>
        <w:t xml:space="preserve">Robust standard errors do one job. They address unequal error variance. They do not certify the model. Three diagnostic concerns deserve explicit treatment. Influence is the first: with thirty records, a single extreme observation can move a coefficient, and the source column lets me trace any suspicious leverage back to the record producing it. The design’s answer to influence is not to trim outliers, which would be data-dependent tampering, but to keep the full sample and read coefficients as summaries of the whole corpus including its extremes</w:t>
      </w:r>
      <w:r>
        <w:t xml:space="preserve"> </w:t>
      </w:r>
      <w:hyperlink w:anchor="ref-5">
        <w:r>
          <w:rPr>
            <w:rStyle w:val="Hyperlink"/>
          </w:rPr>
          <w:t xml:space="preserve">[5]</w:t>
        </w:r>
      </w:hyperlink>
      <w:r>
        <w:t xml:space="preserve">.</w:t>
      </w:r>
    </w:p>
    <w:p>
      <w:pPr>
        <w:pStyle w:val="BodyText"/>
        <w:spacing w:line="480" w:lineRule="auto"/>
        <w:ind w:firstLine="720"/>
      </w:pPr>
      <w:r>
        <w:t xml:space="preserve">Collinearity is the second, and here the diagnosis is already known. Citation count and venue family are entangled because only the journal stratum carries nonzero citations, so the two predictors share information</w:t>
      </w:r>
      <w:r>
        <w:t xml:space="preserve"> </w:t>
      </w:r>
      <w:hyperlink w:anchor="ref-6">
        <w:r>
          <w:rPr>
            <w:rStyle w:val="Hyperlink"/>
          </w:rPr>
          <w:t xml:space="preserve">[6]</w:t>
        </w:r>
      </w:hyperlink>
      <w:r>
        <w:t xml:space="preserve">. That entanglement inflates the standard error on the citation term and is part of why it lands outside significance. The model reports both coefficients, but the interpretation in Chapter 6 treats the citation slope as weakened by this entanglement rather than as a clean null. Naming the collinearity in the method is what lets the results chapter read the borderline citation result correctly.</w:t>
      </w:r>
    </w:p>
    <w:p>
      <w:pPr>
        <w:pStyle w:val="BodyText"/>
        <w:spacing w:line="480" w:lineRule="auto"/>
        <w:ind w:firstLine="720"/>
      </w:pPr>
      <w:r>
        <w:t xml:space="preserve">Specification error is the third and least tractable. If the true relationship between recency and topic signal is nonlinear, the linear slope estimates an average that could mislead at the extremes. The design cannot rule this out with thirty records, and it does not pretend to. What it does is confine its claims to the direction and rough magnitude of the average association, which a linear model recovers reliably even under mild misspecification, and it declines to make point predictions at the edges of the recency range where misspecification would bite hardest.</w:t>
      </w:r>
    </w:p>
    <w:bookmarkEnd w:id="88"/>
    <w:bookmarkStart w:id="89" w:name="Xd7ebbd2f96a83b38498d9baa75f4ff6f55a3cad"/>
    <w:p>
      <w:pPr>
        <w:pStyle w:val="Heading2"/>
        <w:spacing w:line="480" w:lineRule="auto"/>
      </w:pPr>
      <w:r>
        <w:t xml:space="preserve">4.7 Inference discipline and pre-registration of reading rules</w:t>
      </w:r>
    </w:p>
    <w:p>
      <w:pPr>
        <w:pStyle w:val="FirstParagraph"/>
        <w:spacing w:line="480" w:lineRule="auto"/>
      </w:pPr>
      <w:r>
        <w:t xml:space="preserve">I fix the reading rules before Chapter 6 reports a single number, so that no threshold is chosen to flatter a result. Joint significance is judged by the model F-test. Individual terms are judged by robust p-values against the three-band rule stated above. Signs are checked against the directional predictions of Chapter 3, and a sign that matches the prediction but lacks precision is reported as suggestive, never as confirmation. Overall fit, the R-squared, is read as a statement about how much of the outcome’s variation the constructed predictors capture, and a low R-squared is reported plainly rather than buried.</w:t>
      </w:r>
    </w:p>
    <w:p>
      <w:pPr>
        <w:pStyle w:val="BodyText"/>
        <w:spacing w:line="480" w:lineRule="auto"/>
        <w:ind w:firstLine="720"/>
      </w:pPr>
      <w:r>
        <w:t xml:space="preserve">Small samples carry a hazard the reading rules must confront head-on: the winner’s curse of thin data. When power is low, the coefficients that do reach significance tend to be overestimated in magnitude, because only the larger sampling draws clear the threshold. The recency slope in this study is precise, but I read its magnitude as an upper-leaning estimate rather than a settled quantity, and I decline to build any downstream calculation on its exact value</w:t>
      </w:r>
      <w:r>
        <w:t xml:space="preserve"> </w:t>
      </w:r>
      <w:hyperlink w:anchor="ref-4">
        <w:r>
          <w:rPr>
            <w:rStyle w:val="Hyperlink"/>
          </w:rPr>
          <w:t xml:space="preserve">[4]</w:t>
        </w:r>
      </w:hyperlink>
      <w:r>
        <w:t xml:space="preserve">. The correct posture toward a significant small-sample coefficient is to trust its sign and its existence more than its size. Chapter 6 honors that by emphasizing the direction and joint significance of the recency effect while treating its point magnitude as indicative.</w:t>
      </w:r>
    </w:p>
    <w:p>
      <w:pPr>
        <w:pStyle w:val="BodyText"/>
        <w:spacing w:line="480" w:lineRule="auto"/>
        <w:ind w:firstLine="720"/>
      </w:pPr>
      <w:r>
        <w:t xml:space="preserve">There is a complementary hazard on the other side: the borderline result that a strict threshold would discard. The citation slope at conventional imprecision and the age elasticity a hair above the line are exactly the results a mechanical significance filter would throw away. The design refuses that filter.</w:t>
      </w:r>
    </w:p>
    <w:p>
      <w:pPr>
        <w:pStyle w:val="BodyText"/>
        <w:spacing w:line="480" w:lineRule="auto"/>
        <w:ind w:firstLine="720"/>
      </w:pPr>
      <w:r>
        <w:t xml:space="preserve">A borderline coefficient on a weak construct, in a known low-power setting, is evidence about the limits of the data, and reporting it that way is more honest than pretending it is a clean null</w:t>
      </w:r>
      <w:r>
        <w:t xml:space="preserve"> </w:t>
      </w:r>
      <w:hyperlink w:anchor="ref-6">
        <w:r>
          <w:rPr>
            <w:rStyle w:val="Hyperlink"/>
          </w:rPr>
          <w:t xml:space="preserve">[6]</w:t>
        </w:r>
      </w:hyperlink>
      <w:r>
        <w:t xml:space="preserve">. The reading rules are built to extract signal from the whole distribution of results, not just the tail that clears 0.05, precisely because a thirty-record documentary screen is a low-power instrument whose informative failures are part of its output.</w:t>
      </w:r>
    </w:p>
    <w:p>
      <w:pPr>
        <w:pStyle w:val="BodyText"/>
        <w:spacing w:line="480" w:lineRule="auto"/>
        <w:ind w:firstLine="720"/>
      </w:pPr>
      <w:r>
        <w:t xml:space="preserve">None of this converts an observational documentary study into a causal one. It converts it into an auditable one.</w:t>
      </w:r>
    </w:p>
    <w:p>
      <w:pPr>
        <w:pStyle w:val="BodyText"/>
        <w:spacing w:line="480" w:lineRule="auto"/>
        <w:ind w:firstLine="720"/>
      </w:pPr>
      <w:r>
        <w:t xml:space="preserve">A closing note ties the two estimators to the identification claim they jointly support. Neither model, alone or together, recovers a treatment effect, and I have said so at every turn. What they recover is a pair of auditable associations, one precise and one borderline, whose construction is transparent enough that a skeptic can rerun them and whose limits are declared before the results appear</w:t>
      </w:r>
      <w:r>
        <w:t xml:space="preserve"> </w:t>
      </w:r>
      <w:hyperlink w:anchor="ref-1">
        <w:r>
          <w:rPr>
            <w:rStyle w:val="Hyperlink"/>
          </w:rPr>
          <w:t xml:space="preserve">[1]</w:t>
        </w:r>
      </w:hyperlink>
      <w:r>
        <w:t xml:space="preserve"> </w:t>
      </w:r>
      <w:hyperlink w:anchor="ref-6">
        <w:r>
          <w:rPr>
            <w:rStyle w:val="Hyperlink"/>
          </w:rPr>
          <w:t xml:space="preserve">[6]</w:t>
        </w:r>
      </w:hyperlink>
      <w:r>
        <w:t xml:space="preserve">. That is a narrower guarantee than causal identification and a firmer one than most observational policy writing offers, because it can be checked. The measurement is reproducible, the coefficients are traceable to sources, the reading rules are fixed in advance, and the limits are declared. That is the identification this design can honestly claim, and the following chapter builds the dataset those estimators run on</w:t>
      </w:r>
      <w:r>
        <w:t xml:space="preserve"> </w:t>
      </w:r>
      <w:hyperlink w:anchor="ref-5">
        <w:r>
          <w:rPr>
            <w:rStyle w:val="Hyperlink"/>
          </w:rPr>
          <w:t xml:space="preserve">[5]</w:t>
        </w:r>
      </w:hyperlink>
      <w:r>
        <w:t xml:space="preserve"> </w:t>
      </w:r>
      <w:hyperlink w:anchor="ref-7">
        <w:r>
          <w:rPr>
            <w:rStyle w:val="Hyperlink"/>
          </w:rPr>
          <w:t xml:space="preserve">[7]</w:t>
        </w:r>
      </w:hyperlink>
      <w:r>
        <w:t xml:space="preserve">.</w:t>
      </w:r>
    </w:p>
    <w:bookmarkEnd w:id="89"/>
    <w:bookmarkStart w:id="90" w:name="replication-as-a-method-requirement"/>
    <w:p>
      <w:pPr>
        <w:pStyle w:val="Heading2"/>
        <w:spacing w:line="480" w:lineRule="auto"/>
      </w:pPr>
      <w:r>
        <w:t xml:space="preserve">4.8 Replication as a method requirement</w:t>
      </w:r>
    </w:p>
    <w:p>
      <w:pPr>
        <w:pStyle w:val="FirstParagraph"/>
        <w:spacing w:line="480" w:lineRule="auto"/>
      </w:pPr>
      <w:r>
        <w:t xml:space="preserve">For an observational study, replicability is not a nicety; it is the substitute for the identification a causal design would supply. The method here is built so that a second analyst, given the same record collection and the same configuration files, recovers the same coefficients to the digit. Two properties guarantee this. The variable-construction rules are deterministic, with no random sampling and no seed, so the feature rows are a fixed function of the inputs</w:t>
      </w:r>
      <w:r>
        <w:t xml:space="preserve"> </w:t>
      </w:r>
      <w:hyperlink w:anchor="ref-1">
        <w:r>
          <w:rPr>
            <w:rStyle w:val="Hyperlink"/>
          </w:rPr>
          <w:t xml:space="preserve">[1]</w:t>
        </w:r>
      </w:hyperlink>
      <w:r>
        <w:t xml:space="preserve">. And the estimators are standard closed-form fits, ordinary least squares and a log-log regression, whose outputs are uniquely determined by the data. There is no stochastic optimizer whose result depends on initialization.</w:t>
      </w:r>
    </w:p>
    <w:p>
      <w:pPr>
        <w:pStyle w:val="BodyText"/>
        <w:spacing w:line="480" w:lineRule="auto"/>
        <w:ind w:firstLine="720"/>
      </w:pPr>
      <w:r>
        <w:t xml:space="preserve">That determinism is what lets Chapter 6 report coefficients to many decimal places without embarrassment. The precision is not a claim of physical accuracy; it is a fingerprint that makes the workbook auditable. If a reader reruns the pipeline and gets a different number in the fourth decimal, something in the inputs or the code has changed, and the discrepancy is diagnosable. A study that reported rounded coefficients from a stochastic model could not offer that guarantee. The design trades the false comfort of tidy round numbers for the real comfort of a reproducible fingerprint, and it does so on purpose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That fingerprint carries an ethical weight beyond the technical one. In a domain where capacity numbers feed real decisions, a result that cannot be independently checked is a result that asks for trust it has not earned</w:t>
      </w:r>
      <w:r>
        <w:t xml:space="preserve"> </w:t>
      </w:r>
      <w:hyperlink w:anchor="ref-3">
        <w:r>
          <w:rPr>
            <w:rStyle w:val="Hyperlink"/>
          </w:rPr>
          <w:t xml:space="preserve">[3]</w:t>
        </w:r>
      </w:hyperlink>
      <w:r>
        <w:t xml:space="preserve">. By making the whole pipeline rerunnable, the design converts trust into verification: a reader need not take the coefficients on faith, because the coefficients are a public consequence of public inputs and public rules</w:t>
      </w:r>
      <w:r>
        <w:t xml:space="preserve"> </w:t>
      </w:r>
      <w:hyperlink w:anchor="ref-5">
        <w:r>
          <w:rPr>
            <w:rStyle w:val="Hyperlink"/>
          </w:rPr>
          <w:t xml:space="preserve">[5]</w:t>
        </w:r>
      </w:hyperlink>
      <w:r>
        <w:t xml:space="preserve">. That conversion, from asserted authority to demonstrated reproducibility, is the deepest commitment the method makes, and every narrower choice in this chapter serves it.</w:t>
      </w:r>
    </w:p>
    <w:bookmarkEnd w:id="90"/>
    <w:bookmarkEnd w:id="91"/>
    <w:bookmarkStart w:id="101" w:name="chapter-5.-data-and-measurement"/>
    <w:p>
      <w:pPr>
        <w:pStyle w:val="Heading1"/>
        <w:spacing w:line="480" w:lineRule="auto"/>
      </w:pPr>
      <w:r>
        <w:t xml:space="preserve">Chapter 5. Data and Measurement</w:t>
      </w:r>
    </w:p>
    <w:p>
      <w:pPr>
        <w:pStyle w:val="FirstParagraph"/>
        <w:spacing w:line="480" w:lineRule="auto"/>
      </w:pPr>
      <w:r>
        <w:t xml:space="preserve">Thirty rows. Everything the two models can say rests on them. This chapter documents those rows: where they come from, how each variable is built from raw metadata, what the sources actually are, and where the measurement is thin. The governing commitment is that a reader can move from any claim in Chapter 6 back to a paper specification, then to a data row, then to the source that row came from, and back again without a gap</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3">
        <w:r>
          <w:rPr>
            <w:rStyle w:val="Hyperlink"/>
          </w:rPr>
          <w:t xml:space="preserve">[3]</w:t>
        </w:r>
      </w:hyperlink>
      <w:r>
        <w:t xml:space="preserve">. That round trip, from claim to source and back, is the standard against which every choice in this chapter is measured, and it is the standard a documentary study lives or dies by</w:t>
      </w:r>
      <w:r>
        <w:t xml:space="preserve"> </w:t>
      </w:r>
      <w:hyperlink w:anchor="ref-5">
        <w:r>
          <w:rPr>
            <w:rStyle w:val="Hyperlink"/>
          </w:rPr>
          <w:t xml:space="preserve">[5]</w:t>
        </w:r>
      </w:hyperlink>
      <w:r>
        <w:t xml:space="preserve">.</w:t>
      </w:r>
    </w:p>
    <w:bookmarkStart w:id="92" w:name="the-corpus-and-its-size"/>
    <w:p>
      <w:pPr>
        <w:pStyle w:val="Heading2"/>
        <w:spacing w:line="480" w:lineRule="auto"/>
      </w:pPr>
      <w:r>
        <w:t xml:space="preserve">5.1 The corpus and its size</w:t>
      </w:r>
    </w:p>
    <w:p>
      <w:pPr>
        <w:pStyle w:val="FirstParagraph"/>
        <w:spacing w:line="480" w:lineRule="auto"/>
      </w:pPr>
      <w:r>
        <w:t xml:space="preserve">The estimation file contains thirty retrieved source records, and both papers use the same N of thirty. The records were assembled into a candidate-specific collection drawn from technical, governance, and policy work on orbital capacity and space sustainability. Each record occupies one row, and each row preserves a source column: a resolvable digital object identifier for the journal articles, and a stable venue URL for the conference proceedings. The source column is not decoration; it is the mechanism that makes every downstream number defensible. That source column is the backbone of the audit trail. It is what lets any coefficient be chased back to the documents that produce it</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pack was built by retrieving records on orbital capacity and space sustainability, then retaining every retrieved record rather than pruning the corpus to the cleanest examples. That retention rule matters for interpretation. It means the corpus includes adjacent records that score near zero on the topic signal, and their inclusion is deliberate: a construct that discriminates on-topic from off-topic records earns more trust than one applied only to records already known to be on topic</w:t>
      </w:r>
      <w:r>
        <w:t xml:space="preserve"> </w:t>
      </w:r>
      <w:hyperlink w:anchor="ref-1">
        <w:r>
          <w:rPr>
            <w:rStyle w:val="Hyperlink"/>
          </w:rPr>
          <w:t xml:space="preserve">[1]</w:t>
        </w:r>
      </w:hyperlink>
      <w:r>
        <w:t xml:space="preserve">. The dataset is therefore not a curated highlight reel; it is a designed mix of strong and weak records that lets the topic-signal score demonstrate its range</w:t>
      </w:r>
      <w:r>
        <w:t xml:space="preserve"> </w:t>
      </w:r>
      <w:hyperlink w:anchor="ref-5">
        <w:r>
          <w:rPr>
            <w:rStyle w:val="Hyperlink"/>
          </w:rPr>
          <w:t xml:space="preserve">[5]</w:t>
        </w:r>
      </w:hyperlink>
      <w:r>
        <w:t xml:space="preserve">.</w:t>
      </w:r>
    </w:p>
    <w:p>
      <w:pPr>
        <w:pStyle w:val="BodyText"/>
        <w:spacing w:line="480" w:lineRule="auto"/>
        <w:ind w:firstLine="720"/>
      </w:pPr>
      <w:r>
        <w:t xml:space="preserve">Thirty is small. I do not disguise it. It is large enough to fit a four-parameter linear model and a two-parameter log-log model with robust standard errors, and small enough that individual records carry visible weight. That weight is a feature for auditability and a liability for power. The reading rules of Chapter 4 are calibrated to that reality: precise coefficients are believed, borderline coefficients are flagged, and imprecise coefficients are read as limits of the record rather than as null effects in the world.</w:t>
      </w:r>
    </w:p>
    <w:bookmarkEnd w:id="92"/>
    <w:bookmarkStart w:id="93" w:name="the-outcome-topic-signal-score"/>
    <w:p>
      <w:pPr>
        <w:pStyle w:val="Heading2"/>
        <w:spacing w:line="480" w:lineRule="auto"/>
      </w:pPr>
      <w:r>
        <w:t xml:space="preserve">5.2 The outcome: topic-signal score</w:t>
      </w:r>
    </w:p>
    <w:p>
      <w:pPr>
        <w:pStyle w:val="FirstParagraph"/>
        <w:spacing w:line="480" w:lineRule="auto"/>
      </w:pPr>
      <w:r>
        <w:t xml:space="preserve">The dependent variable in the cross-sectional model is signal_score, a composite topic-signal score. It is built deterministically, not by judgment. For each record, the construction counts candidate-theme term hits across four metadata fields: the source title, the snippet, the keyword field, and the author metadata. Those hits are combined into a single integer score. Because the rule is fixed and mechanical, two analysts applying it to the same record produce the same score, which is what makes the outcome reproducible rather than interpretive.</w:t>
      </w:r>
    </w:p>
    <w:p>
      <w:pPr>
        <w:pStyle w:val="BodyText"/>
        <w:spacing w:line="480" w:lineRule="auto"/>
        <w:ind w:firstLine="720"/>
      </w:pPr>
      <w:r>
        <w:t xml:space="preserve">The score is a proxy, and its weaknesses are structural. It rewards records whose metadata are densely populated, so a journal article carrying a full keyword list has more surface for theme hits than a conference abstract that carries none. Several policy-economy records in the pack have empty snippet and keyword fields, which mechanically caps their attainable score regardless of their substantive relevance. This is the metadata-availability rival of Chapter 3 made concrete in the data, and it is one reason the venue coefficient must be read with care</w:t>
      </w:r>
      <w:r>
        <w:t xml:space="preserve"> </w:t>
      </w:r>
      <w:hyperlink w:anchor="ref-5">
        <w:r>
          <w:rPr>
            <w:rStyle w:val="Hyperlink"/>
          </w:rPr>
          <w:t xml:space="preserve">[5]</w:t>
        </w:r>
      </w:hyperlink>
      <w:r>
        <w:t xml:space="preserve">.</w:t>
      </w:r>
    </w:p>
    <w:bookmarkEnd w:id="93"/>
    <w:bookmarkStart w:id="94" w:name="the-predictors"/>
    <w:p>
      <w:pPr>
        <w:pStyle w:val="Heading2"/>
        <w:spacing w:line="480" w:lineRule="auto"/>
      </w:pPr>
      <w:r>
        <w:t xml:space="preserve">5.3 The predictors</w:t>
      </w:r>
    </w:p>
    <w:p>
      <w:pPr>
        <w:pStyle w:val="FirstParagraph"/>
        <w:spacing w:line="480" w:lineRule="auto"/>
      </w:pPr>
      <w:r>
        <w:t xml:space="preserve">Three predictors enter the cross-sectional model, and one enters the learning curve.</w:t>
      </w:r>
    </w:p>
    <w:p>
      <w:pPr>
        <w:pStyle w:val="BodyText"/>
        <w:spacing w:line="480" w:lineRule="auto"/>
        <w:ind w:firstLine="720"/>
      </w:pPr>
      <w:r>
        <w:t xml:space="preserve">Recency index is publication year minus the minimum publication year in the sample plus one. The pack spans from 2007 to 2025, so the oldest records take a recency index near one and the newest take an index near nineteen. The variable is clean, fully populated, and the least ambiguous of the three cross-sectional predictors</w:t>
      </w:r>
      <w:r>
        <w:t xml:space="preserve"> </w:t>
      </w:r>
      <w:hyperlink w:anchor="ref-2">
        <w:r>
          <w:rPr>
            <w:rStyle w:val="Hyperlink"/>
          </w:rPr>
          <w:t xml:space="preserve">[2]</w:t>
        </w:r>
      </w:hyperlink>
      <w:r>
        <w:t xml:space="preserve">.</w:t>
      </w:r>
    </w:p>
    <w:p>
      <w:pPr>
        <w:pStyle w:val="BodyText"/>
        <w:spacing w:line="480" w:lineRule="auto"/>
        <w:ind w:firstLine="720"/>
      </w:pPr>
      <w:r>
        <w:t xml:space="preserve">Citation count, cites_num, is the reported citation figure parsed from the local index, set to zero where the index reported no count. This is a local index measure, not a universal citation count, and the distinction is consequential. Every conference record and every policy-economy record in the pack carries a reported count of zero, so all nonzero citation variation comes from the journal stratum, where counts range from one to twenty-four. The citation predictor is therefore not just noisy; it is structurally confounded with venue family, because only one venue family carries nonzero values</w:t>
      </w:r>
      <w:r>
        <w:t xml:space="preserve"> </w:t>
      </w:r>
      <w:hyperlink w:anchor="ref-6">
        <w:r>
          <w:rPr>
            <w:rStyle w:val="Hyperlink"/>
          </w:rPr>
          <w:t xml:space="preserve">[6]</w:t>
        </w:r>
      </w:hyperlink>
      <w:r>
        <w:t xml:space="preserve">.</w:t>
      </w:r>
    </w:p>
    <w:p>
      <w:pPr>
        <w:pStyle w:val="BodyText"/>
        <w:spacing w:line="480" w:lineRule="auto"/>
        <w:ind w:firstLine="720"/>
      </w:pPr>
      <w:r>
        <w:t xml:space="preserve">Venue score is an ordinal family code: AMOS proceedings coded 1, Acta Astronautica coded 2, and Space Economy records coded 3. Ordinal coding buys a compact predictor at the cost of assuming an order that may not track substantive importance. A jump from 1 to 2 is not guaranteed to mean the same thing as a jump from 2 to 3, and the code says nothing about the character of an individual piece. The venue predictor is best understood as a coarse stratifier of the corpus, not as a quality scale</w:t>
      </w:r>
      <w:r>
        <w:t xml:space="preserve"> </w:t>
      </w:r>
      <w:hyperlink w:anchor="ref-11">
        <w:r>
          <w:rPr>
            <w:rStyle w:val="Hyperlink"/>
          </w:rPr>
          <w:t xml:space="preserve">[11]</w:t>
        </w:r>
      </w:hyperlink>
      <w:r>
        <w:t xml:space="preserve">.</w:t>
      </w:r>
    </w:p>
    <w:p>
      <w:pPr>
        <w:pStyle w:val="BodyText"/>
        <w:spacing w:line="480" w:lineRule="auto"/>
        <w:ind w:firstLine="720"/>
      </w:pPr>
      <w:r>
        <w:t xml:space="preserve">For the learning curve, age index is the analysis year 2026 minus the publication year plus one, so a 2025 article has age two and a 2007 article has age twenty. The outcome there, cites_plus1, is the reported citation count plus one, which keeps the many zero-citation records defined under the log transform.</w:t>
      </w:r>
    </w:p>
    <w:bookmarkEnd w:id="94"/>
    <w:bookmarkStart w:id="95" w:name="a-walk-through-representative-records"/>
    <w:p>
      <w:pPr>
        <w:pStyle w:val="Heading2"/>
        <w:spacing w:line="480" w:lineRule="auto"/>
      </w:pPr>
      <w:r>
        <w:t xml:space="preserve">5.4 A walk through representative records</w:t>
      </w:r>
    </w:p>
    <w:p>
      <w:pPr>
        <w:pStyle w:val="FirstParagraph"/>
        <w:spacing w:line="480" w:lineRule="auto"/>
      </w:pPr>
      <w:r>
        <w:t xml:space="preserve">Abstractions about variable construction land better against concrete rows, so consider a few. A 2025 Acta Astronautica article on space capacity management and its interaction with traffic management sits in the journal stratum with venue score 2, a recency index near the top of the range, and a nonzero citation count</w:t>
      </w:r>
      <w:r>
        <w:t xml:space="preserve"> </w:t>
      </w:r>
      <w:hyperlink w:anchor="ref-11">
        <w:r>
          <w:rPr>
            <w:rStyle w:val="Hyperlink"/>
          </w:rPr>
          <w:t xml:space="preserve">[11]</w:t>
        </w:r>
      </w:hyperlink>
      <w:r>
        <w:t xml:space="preserve">. Its metadata are dense, so it has ample surface for theme-term hits, yet its topic-signal score in the pack is modest, a reminder that density of metadata and density of theme terms are not the same thing. A record can be squarely on topic and still score in the middle if its title and keywords use vocabulary the term list does not catch.</w:t>
      </w:r>
    </w:p>
    <w:p>
      <w:pPr>
        <w:pStyle w:val="BodyText"/>
        <w:spacing w:line="480" w:lineRule="auto"/>
        <w:ind w:firstLine="720"/>
      </w:pPr>
      <w:r>
        <w:t xml:space="preserve">Contrast that with a 2007 AMOS proceeding on image restoration</w:t>
      </w:r>
      <w:r>
        <w:t xml:space="preserve"> </w:t>
      </w:r>
      <w:hyperlink w:anchor="ref-7">
        <w:r>
          <w:rPr>
            <w:rStyle w:val="Hyperlink"/>
          </w:rPr>
          <w:t xml:space="preserve">[7]</w:t>
        </w:r>
      </w:hyperlink>
      <w:r>
        <w:t xml:space="preserve">. Its venue score is 1, its recency index is near the floor, its citation count is zero, and its theme-hit count is zero because the record is not about carrying capacity at all. It scores at the bottom, exactly as it should. This record is not a defect in the corpus; it is the contrast class doing its job, anchoring the low end of the topic-signal scale and demonstrating that the construct discriminates rather than lighting up for every space document.</w:t>
      </w:r>
    </w:p>
    <w:p>
      <w:pPr>
        <w:pStyle w:val="BodyText"/>
        <w:spacing w:line="480" w:lineRule="auto"/>
        <w:ind w:firstLine="720"/>
      </w:pPr>
      <w:r>
        <w:t xml:space="preserve">The policy-economy records occupy a third position. Several carry empty snippet and keyword fields, so their attainable topic-signal score is capped by construction regardless of how central capacity is to their content. A narrative note applying commons and circular-economy reasoning to orbital sustainability is deeply on topic, yet with no keyword field to mine, its score is built from title and author metadata alone. These records are where the metadata-availability rival is most visible, and reading them alongside the journal stratum shows why the venue coefficient must stay descriptive: moving from venue 1 to venue 3 changes not just the substance but the metadata surface the score can grip</w:t>
      </w:r>
      <w:r>
        <w:t xml:space="preserve"> </w:t>
      </w:r>
      <w:hyperlink w:anchor="ref-5">
        <w:r>
          <w:rPr>
            <w:rStyle w:val="Hyperlink"/>
          </w:rPr>
          <w:t xml:space="preserve">[5]</w:t>
        </w:r>
      </w:hyperlink>
      <w:r>
        <w:t xml:space="preserve">.</w:t>
      </w:r>
    </w:p>
    <w:p>
      <w:pPr>
        <w:pStyle w:val="BodyText"/>
        <w:spacing w:line="480" w:lineRule="auto"/>
        <w:ind w:firstLine="720"/>
      </w:pPr>
      <w:r>
        <w:t xml:space="preserve">The citation column deserves one concrete note. In the journal stratum, counts range from a single citation on a 2025 article to twenty-four on a 2021 article, and that 2021 record also carries a high topic-signal score</w:t>
      </w:r>
      <w:r>
        <w:t xml:space="preserve"> </w:t>
      </w:r>
      <w:hyperlink w:anchor="ref-6">
        <w:r>
          <w:rPr>
            <w:rStyle w:val="Hyperlink"/>
          </w:rPr>
          <w:t xml:space="preserve">[6]</w:t>
        </w:r>
      </w:hyperlink>
      <w:r>
        <w:t xml:space="preserve">. That co-occurrence of high citations and high signal on an older journal article is the kind of pattern the citation coefficient tries to summarize, and its scarcity across only a handful of records is why the coefficient lacks precision. The data structure is legible once the rows are read directly, which is the whole point of keeping the pack small enough to read</w:t>
      </w:r>
      <w:r>
        <w:t xml:space="preserve"> </w:t>
      </w:r>
      <w:hyperlink w:anchor="ref-6">
        <w:r>
          <w:rPr>
            <w:rStyle w:val="Hyperlink"/>
          </w:rPr>
          <w:t xml:space="preserve">[6]</w:t>
        </w:r>
      </w:hyperlink>
      <w:r>
        <w:t xml:space="preserve">.</w:t>
      </w:r>
    </w:p>
    <w:bookmarkEnd w:id="95"/>
    <w:bookmarkStart w:id="96" w:name="what-the-sources-actually-are"/>
    <w:p>
      <w:pPr>
        <w:pStyle w:val="Heading2"/>
        <w:spacing w:line="480" w:lineRule="auto"/>
      </w:pPr>
      <w:r>
        <w:t xml:space="preserve">5.5 What the sources actually are</w:t>
      </w:r>
    </w:p>
    <w:p>
      <w:pPr>
        <w:pStyle w:val="FirstParagraph"/>
        <w:spacing w:line="480" w:lineRule="auto"/>
      </w:pPr>
      <w:r>
        <w:t xml:space="preserve">The corpus is not an abstraction. Name its parts. Roughly a third of the records are AMOS conference proceedings on capacity modeling, decentralized information sharing, sensor tasking, and adjacent space domain awareness topics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5">
        <w:r>
          <w:rPr>
            <w:rStyle w:val="Hyperlink"/>
          </w:rPr>
          <w:t xml:space="preserve">[5]</w:t>
        </w:r>
      </w:hyperlink>
      <w:r>
        <w:t xml:space="preserve">. Close to half are Acta Astronautica journal articles spanning capacity and traffic management, constellation design under demand uncertainty, sustainability-framework applications, and navigation and communications architecture</w:t>
      </w:r>
      <w:r>
        <w:t xml:space="preserve"> </w:t>
      </w:r>
      <w:hyperlink w:anchor="ref-6">
        <w:r>
          <w:rPr>
            <w:rStyle w:val="Hyperlink"/>
          </w:rPr>
          <w:t xml:space="preserve">[6]</w:t>
        </w:r>
      </w:hyperlink>
      <w:r>
        <w:t xml:space="preserve"> </w:t>
      </w:r>
      <w:hyperlink w:anchor="ref-11">
        <w:r>
          <w:rPr>
            <w:rStyle w:val="Hyperlink"/>
          </w:rPr>
          <w:t xml:space="preserve">[11]</w:t>
        </w:r>
      </w:hyperlink>
      <w:r>
        <w:t xml:space="preserve"> </w:t>
      </w:r>
      <w:hyperlink w:anchor="ref-13">
        <w:r>
          <w:rPr>
            <w:rStyle w:val="Hyperlink"/>
          </w:rPr>
          <w:t xml:space="preserve">[13]</w:t>
        </w:r>
      </w:hyperlink>
      <w:r>
        <w:t xml:space="preserve">. The remainder are policy-economy records, including narrative and proposal material that frames orbital carrying capacity through economic and commons analogies.</w:t>
      </w:r>
    </w:p>
    <w:p>
      <w:pPr>
        <w:pStyle w:val="BodyText"/>
        <w:spacing w:line="480" w:lineRule="auto"/>
        <w:ind w:firstLine="720"/>
      </w:pPr>
      <w:r>
        <w:t xml:space="preserve">That composition shapes the results before any model runs. The journal stratum supplies all the citation variation and most of the richest metadata. The proceedings and policy strata supply recency and topical breadth but little citation signal. When Chapter 6 reports that recency is precise while citations sit just outside significance, the composition of this table is a large part of the reason</w:t>
      </w:r>
      <w:r>
        <w:t xml:space="preserve"> </w:t>
      </w:r>
      <w:hyperlink w:anchor="ref-4">
        <w:r>
          <w:rPr>
            <w:rStyle w:val="Hyperlink"/>
          </w:rPr>
          <w:t xml:space="preserve">[4]</w:t>
        </w:r>
      </w:hyperlink>
      <w:r>
        <w:t xml:space="preserve">.</w:t>
      </w:r>
    </w:p>
    <w:bookmarkEnd w:id="96"/>
    <w:bookmarkStart w:id="97" w:name="the-temporal-distribution-of-the-pack"/>
    <w:p>
      <w:pPr>
        <w:pStyle w:val="Heading2"/>
        <w:spacing w:line="480" w:lineRule="auto"/>
      </w:pPr>
      <w:r>
        <w:t xml:space="preserve">5.6 The temporal distribution of the pack</w:t>
      </w:r>
    </w:p>
    <w:p>
      <w:pPr>
        <w:pStyle w:val="FirstParagraph"/>
        <w:spacing w:line="480" w:lineRule="auto"/>
      </w:pPr>
      <w:r>
        <w:t xml:space="preserve">Because recency turns out to be the load-bearing predictor, the temporal distribution of the pack deserves its own scrutiny. The records span 2007 to 2025, but they are not spread evenly across those eighteen years. The pack thins in the early years, with only a couple of 2007 proceedings, and thickens sharply toward the present, with a heavy concentration in 2021 through 2025. That distribution is itself a finding about the field: capacity and sustainability work has accelerated, and the corpus reflects that acceleration</w:t>
      </w:r>
      <w:r>
        <w:t xml:space="preserve"> </w:t>
      </w:r>
      <w:hyperlink w:anchor="ref-6">
        <w:r>
          <w:rPr>
            <w:rStyle w:val="Hyperlink"/>
          </w:rPr>
          <w:t xml:space="preserve">[6]</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It also creates the very confound the recency finding has to survive. When most records are recent and the recent records also carry higher topic-signal scores, a positive recency slope could reflect the field’s overall growth as easily as any framing-driven concentration. The distribution makes the maturity rival concrete rather than hypothetical. I cannot dissolve the confound with this pack, and Chapter 5 is the honest place to say so before Chapter 6 reports the precise slope. What the distribution does permit is a bounded claim: within this corpus, newer records carry more topic signal, and that association is real whatever its ultimate cause</w:t>
      </w:r>
      <w:r>
        <w:t xml:space="preserve"> </w:t>
      </w:r>
      <w:hyperlink w:anchor="ref-4">
        <w:r>
          <w:rPr>
            <w:rStyle w:val="Hyperlink"/>
          </w:rPr>
          <w:t xml:space="preserve">[4]</w:t>
        </w:r>
      </w:hyperlink>
      <w:r>
        <w:t xml:space="preserve">.</w:t>
      </w:r>
    </w:p>
    <w:p>
      <w:pPr>
        <w:pStyle w:val="BodyText"/>
        <w:spacing w:line="480" w:lineRule="auto"/>
        <w:ind w:firstLine="720"/>
      </w:pPr>
      <w:r>
        <w:t xml:space="preserve">The clustering has a second consequence for the learning curve. Age index is a strict transform of publication year, so the same thinning-then-thickening pattern shapes the age distribution, with a dense cluster of young documents at ages two and three and a sparse tail of old documents at ages fifteen and twenty. A learning-curve slope estimated on that distribution leans heavily on the young cluster and is anchored weakly at the old tail, which is part of why the age elasticity, though interpretable, lacks the precision to clear a strict threshold</w:t>
      </w:r>
      <w:r>
        <w:t xml:space="preserve"> </w:t>
      </w:r>
      <w:hyperlink w:anchor="ref-6">
        <w:r>
          <w:rPr>
            <w:rStyle w:val="Hyperlink"/>
          </w:rPr>
          <w:t xml:space="preserve">[6]</w:t>
        </w:r>
      </w:hyperlink>
      <w:r>
        <w:t xml:space="preserve">. The shape of the data explains the shape of the result.</w:t>
      </w:r>
    </w:p>
    <w:bookmarkEnd w:id="97"/>
    <w:bookmarkStart w:id="98" w:name="why-the-pack-was-scoped-as-it-was"/>
    <w:p>
      <w:pPr>
        <w:pStyle w:val="Heading2"/>
        <w:spacing w:line="480" w:lineRule="auto"/>
      </w:pPr>
      <w:r>
        <w:t xml:space="preserve">5.7 Why the pack was scoped as it was</w:t>
      </w:r>
    </w:p>
    <w:p>
      <w:pPr>
        <w:pStyle w:val="FirstParagraph"/>
        <w:spacing w:line="480" w:lineRule="auto"/>
      </w:pPr>
      <w:r>
        <w:t xml:space="preserve">A reader is entitled to ask why the corpus is thirty records rather than three hundred, and why these venue families rather than others. The scoping reflects what a design-stage candidate could assemble and fully audit, and that constraint is a legitimate part of the design rather than a shortcoming to hide. A pack small enough to inspect row by row is a pack whose every coefficient can be traced and defended, and that traceability is the study’s core value. A larger pack assembled by automated retrieval would trade auditability for coverage, and for a first empirical demonstration the audit trail matters more</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p>
      <w:pPr>
        <w:pStyle w:val="BodyText"/>
        <w:spacing w:line="480" w:lineRule="auto"/>
        <w:ind w:firstLine="720"/>
      </w:pPr>
      <w:r>
        <w:t xml:space="preserve">The venue families were chosen to span the relevant registers rather than to sample any one exhaustively. AMOS proceedings represent the technical and operational conversation, Acta Astronautica represents the peer-reviewed journal literature, and the policy-economy records represent the governance and commons framing</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That three-register span is what makes the venue axis meaningful at all, even though the ordinal coding of it turns out to be too coarse to carry weight. Had the pack drawn from a single register, there would be no venue variation to test, and the design would have lost one of its three axes before the analysis began.</w:t>
      </w:r>
    </w:p>
    <w:p>
      <w:pPr>
        <w:pStyle w:val="BodyText"/>
        <w:spacing w:line="480" w:lineRule="auto"/>
        <w:ind w:firstLine="720"/>
      </w:pPr>
      <w:r>
        <w:t xml:space="preserve">The scoping does bound the reach of every claim, and I state that bound plainly. Nothing here generalizes automatically to the whole space-sustainability literature, to venues outside these three families, or to years beyond the sampled window</w:t>
      </w:r>
      <w:r>
        <w:t xml:space="preserve"> </w:t>
      </w:r>
      <w:hyperlink w:anchor="ref-11">
        <w:r>
          <w:rPr>
            <w:rStyle w:val="Hyperlink"/>
          </w:rPr>
          <w:t xml:space="preserve">[11]</w:t>
        </w:r>
      </w:hyperlink>
      <w:r>
        <w:t xml:space="preserve">. The pack is a designed instrument for a specific test, not a representative sample of a population, and its findings should be read as statements about this corpus that motivate a larger study, never as estimates for the field entire. Keeping that distinction sharp, between an instrument and a sample, is what prevents the modest coefficients of Chapter 6 from being stretched into population claims they cannot support</w:t>
      </w:r>
      <w:r>
        <w:t xml:space="preserve"> </w:t>
      </w:r>
      <w:hyperlink w:anchor="ref-11">
        <w:r>
          <w:rPr>
            <w:rStyle w:val="Hyperlink"/>
          </w:rPr>
          <w:t xml:space="preserve">[11]</w:t>
        </w:r>
      </w:hyperlink>
      <w:r>
        <w:t xml:space="preserve">.</w:t>
      </w:r>
    </w:p>
    <w:bookmarkEnd w:id="98"/>
    <w:bookmarkStart w:id="99" w:name="X907e7d32fa3c4bd1faff7f2c7d7c8c5f8812d8b"/>
    <w:p>
      <w:pPr>
        <w:pStyle w:val="Heading2"/>
        <w:spacing w:line="480" w:lineRule="auto"/>
      </w:pPr>
      <w:r>
        <w:t xml:space="preserve">5.8 Provenance, reproducibility, and honest gaps</w:t>
      </w:r>
    </w:p>
    <w:p>
      <w:pPr>
        <w:pStyle w:val="FirstParagraph"/>
        <w:spacing w:line="480" w:lineRule="auto"/>
      </w:pPr>
      <w:r>
        <w:t xml:space="preserve">Each variable ties to a configuration file that records its definition and construction rule, and each row ties to a source. That chain is the reproducibility guarantee: the workbooks are deterministic, so re-running them on the same pack returns the same coefficients to the last digit reported in Chapter 6. Nothing in the pipeline draws a random sample or a random seed. A reader who wishes to verify a single figure can open the paper’s data file, find the row by its source column, read off the constructed variables, and confirm they follow from the configuration file’s definitions</w:t>
      </w:r>
      <w:r>
        <w:t xml:space="preserve"> </w:t>
      </w:r>
      <w:hyperlink w:anchor="ref-1">
        <w:r>
          <w:rPr>
            <w:rStyle w:val="Hyperlink"/>
          </w:rPr>
          <w:t xml:space="preserve">[1]</w:t>
        </w:r>
      </w:hyperlink>
      <w:r>
        <w:t xml:space="preserve">. That row-by-row checkability is the concrete form the audit trail takes, and it is what lets the results chapter report coefficients as facts about a specific, inspectable table rather than as summaries of an opaque process</w:t>
      </w:r>
      <w:r>
        <w:t xml:space="preserve"> </w:t>
      </w:r>
      <w:hyperlink w:anchor="ref-5">
        <w:r>
          <w:rPr>
            <w:rStyle w:val="Hyperlink"/>
          </w:rPr>
          <w:t xml:space="preserve">[5]</w:t>
        </w:r>
      </w:hyperlink>
      <w:r>
        <w:t xml:space="preserve">.</w:t>
      </w:r>
    </w:p>
    <w:p>
      <w:pPr>
        <w:pStyle w:val="BodyText"/>
        <w:spacing w:line="480" w:lineRule="auto"/>
        <w:ind w:firstLine="720"/>
      </w:pPr>
      <w:r>
        <w:t xml:space="preserve">The honest gaps are three. The citation measure is a local index count and understates true attention for recent work whose citations have not yet propagated</w:t>
      </w:r>
      <w:r>
        <w:t xml:space="preserve"> </w:t>
      </w:r>
      <w:hyperlink w:anchor="ref-6">
        <w:r>
          <w:rPr>
            <w:rStyle w:val="Hyperlink"/>
          </w:rPr>
          <w:t xml:space="preserve">[6]</w:t>
        </w:r>
      </w:hyperlink>
      <w:r>
        <w:t xml:space="preserve">. The venue code is ordinal and cannot be read as a quality ladder</w:t>
      </w:r>
      <w:r>
        <w:t xml:space="preserve"> </w:t>
      </w:r>
      <w:hyperlink w:anchor="ref-11">
        <w:r>
          <w:rPr>
            <w:rStyle w:val="Hyperlink"/>
          </w:rPr>
          <w:t xml:space="preserve">[11]</w:t>
        </w:r>
      </w:hyperlink>
      <w:r>
        <w:t xml:space="preserve">. And the topic-signal score inherits the uneven metadata density of the underlying records, so it partly measures how well a venue populates its fields rather than how central the topic is to a piece</w:t>
      </w:r>
      <w:r>
        <w:t xml:space="preserve"> </w:t>
      </w:r>
      <w:hyperlink w:anchor="ref-5">
        <w:r>
          <w:rPr>
            <w:rStyle w:val="Hyperlink"/>
          </w:rPr>
          <w:t xml:space="preserve">[5]</w:t>
        </w:r>
      </w:hyperlink>
      <w:r>
        <w:t xml:space="preserve">. These are not reasons to discard the data. They are the reasons the interpretation stays bounded, and they define, precisely, the dataset a stronger future test would need to build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99"/>
    <w:bookmarkStart w:id="100" w:name="Xb99d5a7eda4dcb2e44eda9bd273101977e65fa1"/>
    <w:p>
      <w:pPr>
        <w:pStyle w:val="Heading2"/>
        <w:spacing w:line="480" w:lineRule="auto"/>
      </w:pPr>
      <w:r>
        <w:t xml:space="preserve">5.9 What is deliberately absent from the data</w:t>
      </w:r>
    </w:p>
    <w:p>
      <w:pPr>
        <w:pStyle w:val="FirstParagraph"/>
        <w:spacing w:line="480" w:lineRule="auto"/>
      </w:pPr>
      <w:r>
        <w:t xml:space="preserve">A dataset is defined as much by what it excludes as by what it contains, and the most consequential exclusion here is the framing valence itself. No column records whether a record’s capacity claim was cast as a gain or a loss, because reading that valence requires content coding of each document rather than parsing of its metadata</w:t>
      </w:r>
      <w:r>
        <w:t xml:space="preserve"> </w:t>
      </w:r>
      <w:hyperlink w:anchor="ref-4">
        <w:r>
          <w:rPr>
            <w:rStyle w:val="Hyperlink"/>
          </w:rPr>
          <w:t xml:space="preserve">[4]</w:t>
        </w:r>
      </w:hyperlink>
      <w:r>
        <w:t xml:space="preserve">. The dataset therefore cannot speak directly to the research question; it can only carry the structural traces framing would leave. Stating this absence in the data chapter, rather than burying it in a limitations paragraph, is a matter of honesty about what the rows can and cannot do.</w:t>
      </w:r>
    </w:p>
    <w:p>
      <w:pPr>
        <w:pStyle w:val="BodyText"/>
        <w:spacing w:line="480" w:lineRule="auto"/>
        <w:ind w:firstLine="720"/>
      </w:pPr>
      <w:r>
        <w:t xml:space="preserve">Two further absences shape the analysis. There is no measure of document length or venue prestige beyond the ordinal family code, so the model cannot distinguish a landmark journal article from a routine one within the same venue stratum</w:t>
      </w:r>
      <w:r>
        <w:t xml:space="preserve"> </w:t>
      </w:r>
      <w:hyperlink w:anchor="ref-11">
        <w:r>
          <w:rPr>
            <w:rStyle w:val="Hyperlink"/>
          </w:rPr>
          <w:t xml:space="preserve">[11]</w:t>
        </w:r>
      </w:hyperlink>
      <w:r>
        <w:t xml:space="preserve">. And there is no author-network information, so the corpus cannot show whether the topic’s concentration reflects a few prolific groups or a broad community. Each absence is a specific handle a richer future dataset could add, and naming them here converts vague calls for more data into a concrete specification. The value of documenting what is missing is that it turns the next study’s design into a checklist rather than a guess</w:t>
      </w:r>
      <w:r>
        <w:t xml:space="preserve"> </w:t>
      </w:r>
      <w:hyperlink w:anchor="ref-5">
        <w:r>
          <w:rPr>
            <w:rStyle w:val="Hyperlink"/>
          </w:rPr>
          <w:t xml:space="preserve">[5]</w:t>
        </w:r>
      </w:hyperlink>
      <w:r>
        <w:t xml:space="preserve"> </w:t>
      </w:r>
      <w:hyperlink w:anchor="ref-6">
        <w:r>
          <w:rPr>
            <w:rStyle w:val="Hyperlink"/>
          </w:rPr>
          <w:t xml:space="preserve">[6]</w:t>
        </w:r>
      </w:hyperlink>
      <w:r>
        <w:t xml:space="preserve">.</w:t>
      </w:r>
    </w:p>
    <w:bookmarkEnd w:id="100"/>
    <w:bookmarkEnd w:id="101"/>
    <w:bookmarkStart w:id="111" w:name="chapter-6.-results"/>
    <w:p>
      <w:pPr>
        <w:pStyle w:val="Heading1"/>
        <w:spacing w:line="480" w:lineRule="auto"/>
      </w:pPr>
      <w:r>
        <w:t xml:space="preserve">Chapter 6. Results</w:t>
      </w:r>
    </w:p>
    <w:p>
      <w:pPr>
        <w:pStyle w:val="FirstParagraph"/>
        <w:spacing w:line="480" w:lineRule="auto"/>
      </w:pPr>
      <w:r>
        <w:t xml:space="preserve">This chapter reports what the two workbooks actually returned and interprets the signs and magnitudes. Every number here is a deterministic estimator output. Nothing has been rounded to favor a hypothesis, and nothing has been supplied from outside the retained corpus. I present the cross-sectional model first, then the learning curve, then read them together against the predictions of Chapter 3</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reporting convention here is to give each headline quantity at full workbook precision, then round in prose only when discussing magnitude, so that the exact figure and its plain-language reading are both on the page. A reader who wants to rerun the pipeline has the precise numbers; a reader who wants the substance has the rounded interpretation beside them</w:t>
      </w:r>
      <w:r>
        <w:t xml:space="preserve"> </w:t>
      </w:r>
      <w:hyperlink w:anchor="ref-4">
        <w:r>
          <w:rPr>
            <w:rStyle w:val="Hyperlink"/>
          </w:rPr>
          <w:t xml:space="preserve">[4]</w:t>
        </w:r>
      </w:hyperlink>
      <w:r>
        <w:t xml:space="preserve">.</w:t>
      </w:r>
    </w:p>
    <w:bookmarkStart w:id="102" w:name="the-cross-sectional-model"/>
    <w:p>
      <w:pPr>
        <w:pStyle w:val="Heading2"/>
        <w:spacing w:line="480" w:lineRule="auto"/>
      </w:pPr>
      <w:r>
        <w:t xml:space="preserve">6.1 The cross-sectional model</w:t>
      </w:r>
    </w:p>
    <w:p>
      <w:pPr>
        <w:pStyle w:val="FirstParagraph"/>
        <w:spacing w:line="480" w:lineRule="auto"/>
      </w:pPr>
      <w:r>
        <w:t xml:space="preserve">The first paper fits ordinary least squares with robust HC1 standard errors, regressing the topic-signal score on recency, citation count, and venue family across all thirty records. The overall fit is:</w:t>
      </w:r>
    </w:p>
    <w:p>
      <w:pPr>
        <w:pStyle w:val="BodyText"/>
        <w:spacing w:line="480" w:lineRule="auto"/>
        <w:ind w:firstLine="720"/>
      </w:pPr>
      <w:r>
        <w:t xml:space="preserve">N = 30; R-squared = 0.24287180643643336; adjusted R-squared = 0.15551086102525258; F = 4.925698371403011; F p-value = 0.0076847502401891895.</w:t>
      </w:r>
    </w:p>
    <w:p>
      <w:pPr>
        <w:pStyle w:val="BodyText"/>
        <w:spacing w:line="480" w:lineRule="auto"/>
        <w:ind w:firstLine="720"/>
      </w:pPr>
      <w:r>
        <w:t xml:space="preserve">The term-level estimates are:</w:t>
      </w:r>
    </w:p>
    <w:p>
      <w:pPr>
        <w:pStyle w:val="Compact"/>
        <w:spacing w:line="480" w:lineRule="auto"/>
        <w:numPr>
          <w:ilvl w:val="0"/>
          <w:numId w:val="1001"/>
        </w:numPr>
      </w:pPr>
      <w:r>
        <w:t xml:space="preserve">const: coefficient = 2.234833904368136, p = 0.006057853607175131</w:t>
      </w:r>
    </w:p>
    <w:p>
      <w:pPr>
        <w:pStyle w:val="Compact"/>
        <w:spacing w:line="480" w:lineRule="auto"/>
        <w:numPr>
          <w:ilvl w:val="0"/>
          <w:numId w:val="1001"/>
        </w:numPr>
      </w:pPr>
      <w:r>
        <w:t xml:space="preserve">recency_index: coefficient = 0.17762358397005193, p = 0.0033637276086627976</w:t>
      </w:r>
    </w:p>
    <w:p>
      <w:pPr>
        <w:pStyle w:val="Compact"/>
        <w:spacing w:line="480" w:lineRule="auto"/>
        <w:numPr>
          <w:ilvl w:val="0"/>
          <w:numId w:val="1001"/>
        </w:numPr>
      </w:pPr>
      <w:r>
        <w:t xml:space="preserve">cites_num: coefficient = 0.08982648457407909, p = 0.07559683219148104</w:t>
      </w:r>
    </w:p>
    <w:p>
      <w:pPr>
        <w:pStyle w:val="Compact"/>
        <w:spacing w:line="480" w:lineRule="auto"/>
        <w:numPr>
          <w:ilvl w:val="0"/>
          <w:numId w:val="1001"/>
        </w:numPr>
      </w:pPr>
      <w:r>
        <w:t xml:space="preserve">venue_score: coefficient = -0.6742439359563025, p = 0.2437574128783936</w:t>
      </w:r>
    </w:p>
    <w:p>
      <w:pPr>
        <w:pStyle w:val="FirstParagraph"/>
        <w:spacing w:line="480" w:lineRule="auto"/>
      </w:pPr>
      <w:r>
        <w:t xml:space="preserve">Start with the joint test. It clears the bar. The F-statistic of 4.93 carries a p-value of 0.0077, comfortably below the conventional 0.05 threshold. The three predictors together explain the topic-signal score better than an intercept alone. That is the first substantive result: the carrying-capacity literature in this pack is not distributed at random across the observable axes. It has structure the model can detect</w:t>
      </w:r>
      <w:r>
        <w:t xml:space="preserve"> </w:t>
      </w:r>
      <w:hyperlink w:anchor="ref-6">
        <w:r>
          <w:rPr>
            <w:rStyle w:val="Hyperlink"/>
          </w:rPr>
          <w:t xml:space="preserve">[6]</w:t>
        </w:r>
      </w:hyperlink>
      <w:r>
        <w:t xml:space="preserve">.</w:t>
      </w:r>
    </w:p>
    <w:p>
      <w:pPr>
        <w:pStyle w:val="BodyText"/>
        <w:spacing w:line="480" w:lineRule="auto"/>
        <w:ind w:firstLine="720"/>
      </w:pPr>
      <w:r>
        <w:t xml:space="preserve">The R-squared of 0.243 says the model accounts for a little under a quarter of the variation in topic-signal score, with an adjusted figure of 0.156 after penalizing for the three predictors. For a documentary screen on thirty heterogeneous records, a quarter of the variance is a real but partial signal. Three-quarters of the variation remains unexplained, which is consistent with the metadata-density noise documented in Chapter 5. I report that low ceiling plainly rather than dressing it up. The model is a coarse instrument that has nonetheless found something. A quarter of explained variance on a thirty-record documentary screen is neither a triumph nor a failure; it is the expected yield of a legitimate proxy applied to a heterogeneous corpus, and reading it that way keeps the interpretation calibrated</w:t>
      </w:r>
      <w:r>
        <w:t xml:space="preserve"> </w:t>
      </w:r>
      <w:hyperlink w:anchor="ref-4">
        <w:r>
          <w:rPr>
            <w:rStyle w:val="Hyperlink"/>
          </w:rPr>
          <w:t xml:space="preserve">[4]</w:t>
        </w:r>
      </w:hyperlink>
      <w:r>
        <w:t xml:space="preserve">.</w:t>
      </w:r>
    </w:p>
    <w:p>
      <w:pPr>
        <w:pStyle w:val="BodyText"/>
        <w:spacing w:line="480" w:lineRule="auto"/>
        <w:ind w:firstLine="720"/>
      </w:pPr>
      <w:r>
        <w:t xml:space="preserve">Now the terms. Recency is the story. It dominates. Its coefficient is 0.178 with a p-value of 0.0034, well inside even a strict one-percent band. Each additional unit of recency index is associated with roughly a fifth of a point more topic-signal score, and the association is precise. Across the sample’s recency range, from about one to nineteen, that slope implies a difference of more than three points in expected signal between the oldest and newest records, holding citations and venue fixed. This is the clean confirmation of the directional prediction in Chapter 3: the topic concentrates in newer work. On the evidence ladder, recency sits on the top rung</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Citation attention is the borderline case. Its coefficient is 0.090, positive as predicted, but its p-value is 0.076, above the 0.05 line and inside the band Chapter 4 reserved for suggestive-not-confirmed. The sign is right, the magnitude is plausible, and the imprecision is exactly what the data structure predicted. Recall from Chapter 5 that every conference and policy record carries a citation count of zero, so all citation variation lives in the journal stratum. With so much of the predictor pinned at zero, the model has limited power to sharpen this slope, and thirty records is not enough to overcome that. I read the citation result as consistent with the attention mechanism but not, on this corpus, sufficient to establish it</w:t>
      </w:r>
      <w:r>
        <w:t xml:space="preserve"> </w:t>
      </w:r>
      <w:hyperlink w:anchor="ref-6">
        <w:r>
          <w:rPr>
            <w:rStyle w:val="Hyperlink"/>
          </w:rPr>
          <w:t xml:space="preserve">[6]</w:t>
        </w:r>
      </w:hyperlink>
      <w:r>
        <w:t xml:space="preserve">.</w:t>
      </w:r>
    </w:p>
    <w:p>
      <w:pPr>
        <w:pStyle w:val="BodyText"/>
        <w:spacing w:line="480" w:lineRule="auto"/>
        <w:ind w:firstLine="720"/>
      </w:pPr>
      <w:r>
        <w:t xml:space="preserve">Venue family does not support a signed claim, and Chapter 3 said in advance that it would not be read as one. Its coefficient is -0.674 with a p-value of 0.244, far from significance. The negative point estimate would, if taken literally, say topic-signal score falls as one moves from AMOS proceedings toward policy-economy venues, but the imprecision forbids that reading. The venue term is best understood here as absorbing the metadata-density differences across strata rather than measuring any substantive venue quality. Its lack of significance is itself informative: the ordinal venue code, as Chapter 5 warned, is too coarse to carry weight</w:t>
      </w:r>
      <w:r>
        <w:t xml:space="preserve"> </w:t>
      </w:r>
      <w:hyperlink w:anchor="ref-11">
        <w:r>
          <w:rPr>
            <w:rStyle w:val="Hyperlink"/>
          </w:rPr>
          <w:t xml:space="preserve">[11]</w:t>
        </w:r>
      </w:hyperlink>
      <w:r>
        <w:t xml:space="preserve">.</w:t>
      </w:r>
    </w:p>
    <w:bookmarkEnd w:id="102"/>
    <w:bookmarkStart w:id="103" w:name="the-learning-curve-model"/>
    <w:p>
      <w:pPr>
        <w:pStyle w:val="Heading2"/>
        <w:spacing w:line="480" w:lineRule="auto"/>
      </w:pPr>
      <w:r>
        <w:t xml:space="preserve">6.2 The learning-curve model</w:t>
      </w:r>
    </w:p>
    <w:p>
      <w:pPr>
        <w:pStyle w:val="FirstParagraph"/>
        <w:spacing w:line="480" w:lineRule="auto"/>
      </w:pPr>
      <w:r>
        <w:t xml:space="preserve">The second paper fits the log-log learning curve with robust HC1 standard errors, regressing the log of citations-plus-one on the log of the age index across the same thirty records. The fit is:</w:t>
      </w:r>
    </w:p>
    <w:p>
      <w:pPr>
        <w:pStyle w:val="BodyText"/>
        <w:spacing w:line="480" w:lineRule="auto"/>
        <w:ind w:firstLine="720"/>
      </w:pPr>
      <w:r>
        <w:t xml:space="preserve">N = 30; R-squared = 0.050358106747885545; elasticity (b) = -0.3424195460532741; progress ratio (2^b) = 0.7887174428160888.</w:t>
      </w:r>
    </w:p>
    <w:p>
      <w:pPr>
        <w:pStyle w:val="BodyText"/>
        <w:spacing w:line="480" w:lineRule="auto"/>
        <w:ind w:firstLine="720"/>
      </w:pPr>
      <w:r>
        <w:t xml:space="preserve">The term-level estimates are:</w:t>
      </w:r>
    </w:p>
    <w:p>
      <w:pPr>
        <w:pStyle w:val="Compact"/>
        <w:spacing w:line="480" w:lineRule="auto"/>
        <w:numPr>
          <w:ilvl w:val="0"/>
          <w:numId w:val="1002"/>
        </w:numPr>
      </w:pPr>
      <w:r>
        <w:t xml:space="preserve">const: coefficient = 1.1654222545706727, p = 0.000726206860346917</w:t>
      </w:r>
    </w:p>
    <w:p>
      <w:pPr>
        <w:pStyle w:val="Compact"/>
        <w:spacing w:line="480" w:lineRule="auto"/>
        <w:numPr>
          <w:ilvl w:val="0"/>
          <w:numId w:val="1002"/>
        </w:numPr>
      </w:pPr>
      <w:r>
        <w:t xml:space="preserve">_ln_x (log age index): coefficient = -0.3424195460532741, p = 0.05068784241952905</w:t>
      </w:r>
    </w:p>
    <w:p>
      <w:pPr>
        <w:pStyle w:val="FirstParagraph"/>
        <w:spacing w:line="480" w:lineRule="auto"/>
      </w:pPr>
      <w:r>
        <w:t xml:space="preserve">The age elasticity is -0.342, and it lands almost exactly on the significance boundary at p = 0.0507. This is the most delicate number in the dissertation. I will not overread it. The point estimate is negative, which under the interpretation of Chapter 3 favors the recency-of-attention story over the classic accrual story: in this corpus, older documents carry fewer citations per unit of age, as if the field’s citing energy concentrates on newer work. The progress ratio of 0.789 gives the effect a concrete shape. Doubling a document’s age is associated with citations-plus-one falling to about 79 percent of its prior level, a decline of roughly a fifth per doubling</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But the p-value sits at 0.0507, a hair above 0.05, and the R-squared is only 0.050. Age explains about five percent of the variation in logged citations. Both facts push the same way. The temporal pattern is real enough to be visible and borderline enough that a strict reader would decline to reject the null. I place this result on the middle-to-lower rung of the evidence ladder: suggestive of a recency-weighted attention dynamic, not a demonstration of one. The constant, by contrast, is estimated precisely at 1.165 with p below 0.001, but a precise intercept is a statement about the average level of logged citations, not about the age relationship the hypothesis cares about.</w:t>
      </w:r>
    </w:p>
    <w:p>
      <w:pPr>
        <w:pStyle w:val="BodyText"/>
        <w:spacing w:line="480" w:lineRule="auto"/>
        <w:ind w:firstLine="720"/>
      </w:pPr>
      <w:r>
        <w:t xml:space="preserve">The ambiguity Chapter 4 flagged is unresolved by design. A negative elasticity is consistent with a genuine attention dynamic and equally consistent with the mechanical fact that recent journal articles have not yet accrued the citations they eventually will. A single cross-section of thirty records cannot separate those, and I do not claim it can</w:t>
      </w:r>
      <w:r>
        <w:t xml:space="preserve"> </w:t>
      </w:r>
      <w:hyperlink w:anchor="ref-4">
        <w:r>
          <w:rPr>
            <w:rStyle w:val="Hyperlink"/>
          </w:rPr>
          <w:t xml:space="preserve">[4]</w:t>
        </w:r>
      </w:hyperlink>
      <w:r>
        <w:t xml:space="preserve">.</w:t>
      </w:r>
    </w:p>
    <w:bookmarkEnd w:id="103"/>
    <w:bookmarkStart w:id="104" w:name="putting-the-two-fits-side-by-side"/>
    <w:p>
      <w:pPr>
        <w:pStyle w:val="Heading2"/>
        <w:spacing w:line="480" w:lineRule="auto"/>
      </w:pPr>
      <w:r>
        <w:t xml:space="preserve">6.2.1 Putting the two fits side by side</w:t>
      </w:r>
    </w:p>
    <w:p>
      <w:pPr>
        <w:pStyle w:val="FirstParagraph"/>
        <w:spacing w:line="480" w:lineRule="auto"/>
      </w:pPr>
      <w:r>
        <w:t xml:space="preserve">It clarifies both models to compare their explanatory reach directly. The cross-sectional model reaches an R-squared of 0.243; the learning-curve model reaches 0.050. The cross-section explains roughly five times as much of its outcome’s variation as the learning curve explains of its own. That gap is not an accident of scaling. It reflects a real difference in how legibly the two questions are written into the corpus. The topic’s cross-sectional structure, especially along recency, is visible; its temporal accumulation structure is faint. A reader who wanted a single sentence on where the signal lives would say: this literature is more legibly organized by how recent its records are than by how citations build with age</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joint significance of the cross-sectional model, F = 4.93 at p = 0.0077, and the borderline single-predictor significance of the learning curve, the age term at p = 0.0507, tell the same story in the language of tests. One model rejects its null comfortably; the other declines to reject at the conventional line. Reporting both without collapsing them into a single verdict is the point. The dissertation is not looking for one number to summarize the corpus. It is mapping which questions the corpus can answer and which it cannot, and the two fits together draw that map</w:t>
      </w:r>
      <w:r>
        <w:t xml:space="preserve"> </w:t>
      </w:r>
      <w:hyperlink w:anchor="ref-1">
        <w:r>
          <w:rPr>
            <w:rStyle w:val="Hyperlink"/>
          </w:rPr>
          <w:t xml:space="preserve">[1]</w:t>
        </w:r>
      </w:hyperlink>
      <w:r>
        <w:t xml:space="preserve">.</w:t>
      </w:r>
    </w:p>
    <w:bookmarkEnd w:id="104"/>
    <w:bookmarkStart w:id="105" w:name="Xe0717db4e0879f30638ba90f0e904b0e8e0ec98"/>
    <w:p>
      <w:pPr>
        <w:pStyle w:val="Heading2"/>
        <w:spacing w:line="480" w:lineRule="auto"/>
      </w:pPr>
      <w:r>
        <w:t xml:space="preserve">6.2.2 The magnitude of the recency effect, read carefully</w:t>
      </w:r>
    </w:p>
    <w:p>
      <w:pPr>
        <w:pStyle w:val="FirstParagraph"/>
        <w:spacing w:line="480" w:lineRule="auto"/>
      </w:pPr>
      <w:r>
        <w:t xml:space="preserve">The recency coefficient of 0.178 rewards a careful reading of magnitude, subject to the small-sample caution that its size is likely an upper-leaning estimate. Taken at face value, moving from an early record at recency index near one to a recent record at index near nineteen shifts expected topic-signal score by roughly 0.178 times eighteen, a little over three points, holding citations and venue fixed. Against a topic-signal scale whose observed values run from about one to eight, three points is a substantial share of the range. The recency axis does not nudge the topic signal; it moves it across a meaningful fraction of its span</w:t>
      </w:r>
      <w:r>
        <w:t xml:space="preserve"> </w:t>
      </w:r>
      <w:hyperlink w:anchor="ref-4">
        <w:r>
          <w:rPr>
            <w:rStyle w:val="Hyperlink"/>
          </w:rPr>
          <w:t xml:space="preserve">[4]</w:t>
        </w:r>
      </w:hyperlink>
      <w:r>
        <w:t xml:space="preserve">.</w:t>
      </w:r>
    </w:p>
    <w:p>
      <w:pPr>
        <w:pStyle w:val="BodyText"/>
        <w:spacing w:line="480" w:lineRule="auto"/>
        <w:ind w:firstLine="720"/>
      </w:pPr>
      <w:r>
        <w:t xml:space="preserve">Still, I hold the point estimate loosely and the direction firmly. The winner’s-curse logic set out in the methodology means a precise small-sample coefficient tends to overstate its true magnitude, so the three-point swing is better read as an outer bound than as a settled quantity</w:t>
      </w:r>
      <w:r>
        <w:t xml:space="preserve"> </w:t>
      </w:r>
      <w:hyperlink w:anchor="ref-6">
        <w:r>
          <w:rPr>
            <w:rStyle w:val="Hyperlink"/>
          </w:rPr>
          <w:t xml:space="preserve">[6]</w:t>
        </w:r>
      </w:hyperlink>
      <w:r>
        <w:t xml:space="preserve">. What survives that caution intact is the sign and the significance: topic signal rises with recency, precisely, in the direction the mechanism predicted. The magnitude gives the effect a rough scale; the sign and precision give it its evidentiary weight.</w:t>
      </w:r>
    </w:p>
    <w:bookmarkEnd w:id="105"/>
    <w:bookmarkStart w:id="106" w:name="reading-the-two-models-together"/>
    <w:p>
      <w:pPr>
        <w:pStyle w:val="Heading2"/>
        <w:spacing w:line="480" w:lineRule="auto"/>
      </w:pPr>
      <w:r>
        <w:t xml:space="preserve">6.3 Reading the two models together</w:t>
      </w:r>
    </w:p>
    <w:p>
      <w:pPr>
        <w:pStyle w:val="FirstParagraph"/>
        <w:spacing w:line="480" w:lineRule="auto"/>
      </w:pPr>
      <w:r>
        <w:t xml:space="preserve">The two models answer different questions, and their answers do not fully coincide. That divergence is a finding. It is not a failure. The cross-sectional model establishes, with a joint p-value of 0.0077 and a precise recency slope at p = 0.0034, that the topic is structured across the corpus and that the structure runs along the recency axis. The learning-curve model, with an elasticity at p = 0.0507 and an R-squared of 0.050, finds only a borderline temporal shape. Put together, the literature shows clear cross-sectional concentration in newer work but no strong, separable accumulation curve</w:t>
      </w:r>
      <w:r>
        <w:t xml:space="preserve"> </w:t>
      </w:r>
      <w:hyperlink w:anchor="ref-11">
        <w:r>
          <w:rPr>
            <w:rStyle w:val="Hyperlink"/>
          </w:rPr>
          <w:t xml:space="preserve">[11]</w:t>
        </w:r>
      </w:hyperlink>
      <w:r>
        <w:t xml:space="preserve">.</w:t>
      </w:r>
    </w:p>
    <w:p>
      <w:pPr>
        <w:pStyle w:val="BodyText"/>
        <w:spacing w:line="480" w:lineRule="auto"/>
        <w:ind w:firstLine="720"/>
      </w:pPr>
      <w:r>
        <w:t xml:space="preserve">That combination has a coherent reading. The carrying-capacity topic is becoming more visible in recent records, which is what a live and possibly hardening frame would produce. Yet the citation dynamics that would independently corroborate a maturing attention process are, on this small pack, too weak to confirm. The recency result carries the dissertation’s affirmative claim. The citation and age results mark the boundary where the present record runs out of power</w:t>
      </w:r>
      <w:r>
        <w:t xml:space="preserve"> </w:t>
      </w:r>
      <w:hyperlink w:anchor="ref-6">
        <w:r>
          <w:rPr>
            <w:rStyle w:val="Hyperlink"/>
          </w:rPr>
          <w:t xml:space="preserve">[6]</w:t>
        </w:r>
      </w:hyperlink>
      <w:r>
        <w:t xml:space="preserve">. That division of labor, one axis affirming and two axes marking limits, is not a weakness of the analysis but the most accurate description of what thirty heterogeneous records can and cannot say</w:t>
      </w:r>
      <w:r>
        <w:t xml:space="preserve"> </w:t>
      </w:r>
      <w:hyperlink w:anchor="ref-4">
        <w:r>
          <w:rPr>
            <w:rStyle w:val="Hyperlink"/>
          </w:rPr>
          <w:t xml:space="preserve">[4]</w:t>
        </w:r>
      </w:hyperlink>
      <w:r>
        <w:t xml:space="preserve">.</w:t>
      </w:r>
    </w:p>
    <w:bookmarkEnd w:id="106"/>
    <w:bookmarkStart w:id="107" w:name="Xe2918715bed6ffa956a5b193ecd6ebb73409d45"/>
    <w:p>
      <w:pPr>
        <w:pStyle w:val="Heading2"/>
        <w:spacing w:line="480" w:lineRule="auto"/>
      </w:pPr>
      <w:r>
        <w:t xml:space="preserve">6.4 What the numbers license, and what they forbid</w:t>
      </w:r>
    </w:p>
    <w:p>
      <w:pPr>
        <w:pStyle w:val="FirstParagraph"/>
        <w:spacing w:line="480" w:lineRule="auto"/>
      </w:pPr>
      <w:r>
        <w:t xml:space="preserve">Three statements are licensed by these results. Topic-signal score rises with recency, precisely and in the predicted direction. The predictors jointly explain the outcome better than chance. And the corpus contains enough structure to serve as a measurement base for a stronger future design. Each rests on a coefficient or test reported above, and each can be traced to the source rows behind it</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bookmarkEnd w:id="107"/>
    <w:bookmarkStart w:id="108" w:name="robustness-of-the-reading"/>
    <w:p>
      <w:pPr>
        <w:pStyle w:val="Heading2"/>
        <w:spacing w:line="480" w:lineRule="auto"/>
      </w:pPr>
      <w:r>
        <w:t xml:space="preserve">6.5 Robustness of the reading</w:t>
      </w:r>
    </w:p>
    <w:p>
      <w:pPr>
        <w:pStyle w:val="FirstParagraph"/>
        <w:spacing w:line="480" w:lineRule="auto"/>
      </w:pPr>
      <w:r>
        <w:t xml:space="preserve">A robustness discussion is warranted even though the small sample forbids elaborate reestimation. The central question is whether the recency result is an artifact of the model’s other terms. Two features argue that it is not. Recency reaches p = 0.0034 in the presence of both citation and venue controls, so its significance is not borrowed from omitting a competitor; it survives their inclusion. And recency is computed within-sample from publication year alone, independent of the citation and venue measures that carry the metadata-density and coverage problems, so it is the predictor least exposed to those specific confounds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recency finding is the most robust element of the analysis by construction, not by luck.</w:t>
      </w:r>
    </w:p>
    <w:p>
      <w:pPr>
        <w:pStyle w:val="BodyText"/>
        <w:spacing w:line="480" w:lineRule="auto"/>
        <w:ind w:firstLine="720"/>
      </w:pPr>
      <w:r>
        <w:t xml:space="preserve">The learning-curve result is correspondingly the least robust, and the numbers say why. An R-squared of 0.050 means the model leaves ninety-five percent of the variation in logged citations unexplained, and an age term at p = 0.0507 sits on the wrong side of the conventional line by the thinnest possible margin</w:t>
      </w:r>
      <w:r>
        <w:t xml:space="preserve"> </w:t>
      </w:r>
      <w:hyperlink w:anchor="ref-6">
        <w:r>
          <w:rPr>
            <w:rStyle w:val="Hyperlink"/>
          </w:rPr>
          <w:t xml:space="preserve">[6]</w:t>
        </w:r>
      </w:hyperlink>
      <w:r>
        <w:t xml:space="preserve">. A single influential journal article with an unusually high citation count could plausibly move a slope estimated on this distribution, and the sparse old-age tail documented in Chapter 5 gives the estimate a weak anchor at the very ages where the curve’s shape is most in question</w:t>
      </w:r>
      <w:r>
        <w:t xml:space="preserve"> </w:t>
      </w:r>
      <w:hyperlink w:anchor="ref-4">
        <w:r>
          <w:rPr>
            <w:rStyle w:val="Hyperlink"/>
          </w:rPr>
          <w:t xml:space="preserve">[4]</w:t>
        </w:r>
      </w:hyperlink>
      <w:r>
        <w:t xml:space="preserve">. The honest robustness verdict is that the recency finding would likely survive reasonable perturbations of the sample while the age-elasticity finding might not, and that asymmetry is exactly why the dissertation leans its affirmative claim on the former.</w:t>
      </w:r>
    </w:p>
    <w:bookmarkEnd w:id="108"/>
    <w:bookmarkStart w:id="109" w:name="Xf4a9b3c5efbaee7dafac8907d6052d28bc5119b"/>
    <w:p>
      <w:pPr>
        <w:pStyle w:val="Heading2"/>
        <w:spacing w:line="480" w:lineRule="auto"/>
      </w:pPr>
      <w:r>
        <w:t xml:space="preserve">6.6 The venue sign, interpreted not overinterpreted</w:t>
      </w:r>
    </w:p>
    <w:p>
      <w:pPr>
        <w:pStyle w:val="FirstParagraph"/>
        <w:spacing w:line="480" w:lineRule="auto"/>
      </w:pPr>
      <w:r>
        <w:t xml:space="preserve">The venue coefficient of -0.674 invites a tempting story that the data do not support, so it earns a paragraph of restraint. Read literally, the negative sign says topic signal falls as one moves from AMOS proceedings toward policy-economy venues. A framing enthusiast could spin that into a claim about where capacity discourse concentrates. The p-value of 0.244 forbids the spin.</w:t>
      </w:r>
    </w:p>
    <w:p>
      <w:pPr>
        <w:pStyle w:val="BodyText"/>
        <w:spacing w:line="480" w:lineRule="auto"/>
        <w:ind w:firstLine="720"/>
      </w:pPr>
      <w:r>
        <w:t xml:space="preserve">That imprecision is decisive. At that imprecision the coefficient is statistically indistinguishable from zero, and its negative point value is most plausibly an artifact of the metadata-density gradient across venue families rather than a substantive fact about the field</w:t>
      </w:r>
      <w:r>
        <w:t xml:space="preserve"> </w:t>
      </w:r>
      <w:hyperlink w:anchor="ref-5">
        <w:r>
          <w:rPr>
            <w:rStyle w:val="Hyperlink"/>
          </w:rPr>
          <w:t xml:space="preserve">[5]</w:t>
        </w:r>
      </w:hyperlink>
      <w:r>
        <w:t xml:space="preserve">. The policy-economy records, several with empty keyword and snippet fields, have capped attainable topic-signal scores, which mechanically pulls the highest venue code toward lower signal. The venue term is absorbing that artifact, and Chapter 3 committed in advance to reading it descriptively for exactly this reason. Reporting the sign while refusing to interpret it as an effect is the disciplined outcome</w:t>
      </w:r>
      <w:r>
        <w:t xml:space="preserve"> </w:t>
      </w:r>
      <w:hyperlink w:anchor="ref-11">
        <w:r>
          <w:rPr>
            <w:rStyle w:val="Hyperlink"/>
          </w:rPr>
          <w:t xml:space="preserve">[11]</w:t>
        </w:r>
      </w:hyperlink>
      <w:r>
        <w:t xml:space="preserve">. A significant-looking point estimate with an insignificant p-value is a trap, and declining to walk into it is part of reading the model honestly</w:t>
      </w:r>
      <w:r>
        <w:t xml:space="preserve"> </w:t>
      </w:r>
      <w:hyperlink w:anchor="ref-5">
        <w:r>
          <w:rPr>
            <w:rStyle w:val="Hyperlink"/>
          </w:rPr>
          <w:t xml:space="preserve">[5]</w:t>
        </w:r>
      </w:hyperlink>
      <w:r>
        <w:t xml:space="preserve">.</w:t>
      </w:r>
    </w:p>
    <w:p>
      <w:pPr>
        <w:pStyle w:val="BodyText"/>
        <w:spacing w:line="480" w:lineRule="auto"/>
        <w:ind w:firstLine="720"/>
      </w:pPr>
      <w:r>
        <w:t xml:space="preserve">Three statements are forbidden. I cannot claim that citation attention independently drives the topic signal, because that term sits at p = 0.076. I cannot claim a demonstrated citation-accumulation curve, because the age elasticity sits at p = 0.0507 with an R-squared of 0.050. And I cannot claim any causal framing effect at all, because the design is observational and documentary. The results are an auditable measurement step, not a rhetorical verdict, and the next chapter weighs exactly what that step can and cannot support</w:t>
      </w:r>
      <w:r>
        <w:t xml:space="preserve"> </w:t>
      </w:r>
      <w:hyperlink w:anchor="ref-5">
        <w:r>
          <w:rPr>
            <w:rStyle w:val="Hyperlink"/>
          </w:rPr>
          <w:t xml:space="preserve">[5]</w:t>
        </w:r>
      </w:hyperlink>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109"/>
    <w:bookmarkStart w:id="110" w:name="a-hypothesis-by-hypothesis-verdict"/>
    <w:p>
      <w:pPr>
        <w:pStyle w:val="Heading2"/>
        <w:spacing w:line="480" w:lineRule="auto"/>
      </w:pPr>
      <w:r>
        <w:t xml:space="preserve">6.7 A hypothesis-by-hypothesis verdict</w:t>
      </w:r>
    </w:p>
    <w:p>
      <w:pPr>
        <w:pStyle w:val="FirstParagraph"/>
        <w:spacing w:line="480" w:lineRule="auto"/>
      </w:pPr>
      <w:r>
        <w:t xml:space="preserve">To leave no ambiguity, here is the tally against the predictions stated in Chapter 3. The cross-sectional null, that topic-signal score is unrelated to recency, citations, and venue, is rejected: the model F-test at p = 0.0077 establishes joint relationship, so H1 for the cross-section is supported at the model level</w:t>
      </w:r>
      <w:r>
        <w:t xml:space="preserve"> </w:t>
      </w:r>
      <w:hyperlink w:anchor="ref-1">
        <w:r>
          <w:rPr>
            <w:rStyle w:val="Hyperlink"/>
          </w:rPr>
          <w:t xml:space="preserve">[1]</w:t>
        </w:r>
      </w:hyperlink>
      <w:r>
        <w:t xml:space="preserve">. Within that model, the recency prediction is confirmed cleanly, with a positive slope at p = 0.0034</w:t>
      </w:r>
      <w:r>
        <w:t xml:space="preserve"> </w:t>
      </w:r>
      <w:hyperlink w:anchor="ref-4">
        <w:r>
          <w:rPr>
            <w:rStyle w:val="Hyperlink"/>
          </w:rPr>
          <w:t xml:space="preserve">[4]</w:t>
        </w:r>
      </w:hyperlink>
      <w:r>
        <w:t xml:space="preserve">. The citation prediction is directionally consistent but not confirmed, with a positive slope at p = 0.076 that the data structure explains</w:t>
      </w:r>
      <w:r>
        <w:t xml:space="preserve"> </w:t>
      </w:r>
      <w:hyperlink w:anchor="ref-6">
        <w:r>
          <w:rPr>
            <w:rStyle w:val="Hyperlink"/>
          </w:rPr>
          <w:t xml:space="preserve">[6]</w:t>
        </w:r>
      </w:hyperlink>
      <w:r>
        <w:t xml:space="preserve">. The venue term carried no directional prediction and returns no significant effect, exactly as anticipated</w:t>
      </w:r>
      <w:r>
        <w:t xml:space="preserve"> </w:t>
      </w:r>
      <w:hyperlink w:anchor="ref-11">
        <w:r>
          <w:rPr>
            <w:rStyle w:val="Hyperlink"/>
          </w:rPr>
          <w:t xml:space="preserve">[11]</w:t>
        </w:r>
      </w:hyperlink>
      <w:r>
        <w:t xml:space="preserve">.</w:t>
      </w:r>
    </w:p>
    <w:p>
      <w:pPr>
        <w:pStyle w:val="BodyText"/>
        <w:spacing w:line="480" w:lineRule="auto"/>
        <w:ind w:firstLine="720"/>
      </w:pPr>
      <w:r>
        <w:t xml:space="preserve">The accumulation null, that citation growth is unrelated to article age, is not rejected at the conventional level: the age term sits at p = 0.0507, just above the line, so H1 for accumulation is unsupported by the strict standard while remaining suggestive</w:t>
      </w:r>
      <w:r>
        <w:t xml:space="preserve"> </w:t>
      </w:r>
      <w:hyperlink w:anchor="ref-4">
        <w:r>
          <w:rPr>
            <w:rStyle w:val="Hyperlink"/>
          </w:rPr>
          <w:t xml:space="preserve">[4]</w:t>
        </w:r>
      </w:hyperlink>
      <w:r>
        <w:t xml:space="preserve">. Stated plainly, one of the two headline hypotheses is affirmed and the other is left open at the boundary. That split verdict is the true result of the dissertation, and reporting it as a split, rather than rounding the borderline term across the line or ignoring it, is the honesty the design demanded of itself from the first chapter</w:t>
      </w:r>
      <w:r>
        <w:t xml:space="preserve"> </w:t>
      </w:r>
      <w:hyperlink w:anchor="ref-8">
        <w:r>
          <w:rPr>
            <w:rStyle w:val="Hyperlink"/>
          </w:rPr>
          <w:t xml:space="preserve">[8]</w:t>
        </w:r>
      </w:hyperlink>
      <w:r>
        <w:t xml:space="preserve">.</w:t>
      </w:r>
    </w:p>
    <w:bookmarkEnd w:id="110"/>
    <w:bookmarkEnd w:id="111"/>
    <w:bookmarkStart w:id="120"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modest and specific, and the discipline of this chapter is to keep them that way. I read what the findings mean for the framing question, I subject them to the rival explanations named in Chapter 3, and I state, without hedging, what this dataset cannot show. A dissertation is more useful when it draws a clean boundary around its own evidence than when it lets a single significant coefficient stand in for a conclusion the data never reached</w:t>
      </w:r>
      <w:r>
        <w:t xml:space="preserve"> </w:t>
      </w:r>
      <w:hyperlink w:anchor="ref-1">
        <w:r>
          <w:rPr>
            <w:rStyle w:val="Hyperlink"/>
          </w:rPr>
          <w:t xml:space="preserve">[1]</w:t>
        </w:r>
      </w:hyperlink>
      <w:r>
        <w:t xml:space="preserve"> </w:t>
      </w:r>
      <w:hyperlink w:anchor="ref-3">
        <w:r>
          <w:rPr>
            <w:rStyle w:val="Hyperlink"/>
          </w:rPr>
          <w:t xml:space="preserve">[3]</w:t>
        </w:r>
      </w:hyperlink>
      <w:r>
        <w:t xml:space="preserve">. That boundary-drawing is the work this chapter takes most seriously.</w:t>
      </w:r>
    </w:p>
    <w:p>
      <w:pPr>
        <w:pStyle w:val="BodyText"/>
        <w:spacing w:line="480" w:lineRule="auto"/>
        <w:ind w:firstLine="720"/>
      </w:pPr>
      <w:r>
        <w:t xml:space="preserve">The task of this chapter is interpretation under constraint. The results are in. They are partial. The temptation at this stage is always to let the significant finding speak for the whole study. I resist that, because a discussion that reads only the recency win would misrepresent what the corpus actually showed. The honest picture is a mixed one: a clear structural signal on one axis, a pair of borderline results on the others, and no direct observation of framing at all. Holding all three in view at once is what the following sections attempt</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bookmarkStart w:id="112" w:name="what-the-recency-result-means"/>
    <w:p>
      <w:pPr>
        <w:pStyle w:val="Heading2"/>
        <w:spacing w:line="480" w:lineRule="auto"/>
      </w:pPr>
      <w:r>
        <w:t xml:space="preserve">7.1 What the recency result means</w:t>
      </w:r>
    </w:p>
    <w:p>
      <w:pPr>
        <w:pStyle w:val="FirstParagraph"/>
        <w:spacing w:line="480" w:lineRule="auto"/>
      </w:pPr>
      <w:r>
        <w:t xml:space="preserve">The affirmative finding is that topic-signal score rises with recency, precisely, at p = 0.0034, within a jointly significant model. Translated back to the research question, the carrying-capacity topic is concentrating in newer records rather than sitting as a stable background concern spread evenly across two decades. That is the documentary signature the framing mechanism predicted. If loss-framed capacity results were being repeated and extended because they fit a moment of institutional urgency, the topic would bunch in recent work, and it does</w:t>
      </w:r>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I want to be careful about what that licenses. It licenses the claim that the literature is structured in a way consistent with a live and possibly hardening frame. It does not license the claim that framing caused the concentration. Concentration in recent work is a necessary consequence of the mechanism, not a sufficient proof of it, because other processes produce the same signature. The recency result clears the first hurdle the framing hypothesis has to clear. It does not clear all of them.</w:t>
      </w:r>
    </w:p>
    <w:p>
      <w:pPr>
        <w:pStyle w:val="BodyText"/>
        <w:spacing w:line="480" w:lineRule="auto"/>
        <w:ind w:firstLine="720"/>
      </w:pPr>
      <w:r>
        <w:t xml:space="preserve">The finding still matters for practice. Colombo and coauthors describe capacity management moving into an operational relationship with traffic management</w:t>
      </w:r>
      <w:r>
        <w:t xml:space="preserve"> </w:t>
      </w:r>
      <w:hyperlink w:anchor="ref-11">
        <w:r>
          <w:rPr>
            <w:rStyle w:val="Hyperlink"/>
          </w:rPr>
          <w:t xml:space="preserve">[11]</w:t>
        </w:r>
      </w:hyperlink>
      <w:r>
        <w:t xml:space="preserve">.</w:t>
      </w:r>
    </w:p>
    <w:p>
      <w:pPr>
        <w:pStyle w:val="BodyText"/>
        <w:spacing w:line="480" w:lineRule="auto"/>
        <w:ind w:firstLine="720"/>
      </w:pPr>
      <w:r>
        <w:t xml:space="preserve">That shift changes the stakes. Capacity estimates are increasingly the input to live decisions rather than academic exercises. The stakes rise with that shift.</w:t>
      </w:r>
    </w:p>
    <w:p>
      <w:pPr>
        <w:pStyle w:val="BodyText"/>
        <w:spacing w:line="480" w:lineRule="auto"/>
        <w:ind w:firstLine="720"/>
      </w:pPr>
      <w:r>
        <w:t xml:space="preserve">If those inputs are concentrating in recent work, then whatever framing rides on the newest estimates has disproportionate reach into the decisions being built now. The recency result locates where the framing question is most consequential: at the leading edge of the literature, not in its settled core. That location has a sobering implication. The estimates most likely to shape imminent decisions are the newest, and the newest are the ones whose framing the wider community has had the least time to scrutinize</w:t>
      </w:r>
      <w:r>
        <w:t xml:space="preserve"> </w:t>
      </w:r>
      <w:hyperlink w:anchor="ref-4">
        <w:r>
          <w:rPr>
            <w:rStyle w:val="Hyperlink"/>
          </w:rPr>
          <w:t xml:space="preserve">[4]</w:t>
        </w:r>
      </w:hyperlink>
      <w:r>
        <w:t xml:space="preserve">. If framing steers attention, it steers it most where scrutiny is thinnest, which is precisely where a governance process would most want a check. The finding thus points to a concrete vulnerability rather than an abstract one, and Chapter 8 returns to what a check on that vulnerability might look like</w:t>
      </w:r>
      <w:r>
        <w:t xml:space="preserve"> </w:t>
      </w:r>
      <w:hyperlink w:anchor="ref-11">
        <w:r>
          <w:rPr>
            <w:rStyle w:val="Hyperlink"/>
          </w:rPr>
          <w:t xml:space="preserve">[11]</w:t>
        </w:r>
      </w:hyperlink>
      <w:r>
        <w:t xml:space="preserve">.</w:t>
      </w:r>
    </w:p>
    <w:bookmarkEnd w:id="112"/>
    <w:bookmarkStart w:id="113" w:name="Xa73f6569125ab4f0dce2c40f4e94bb018a7ff11"/>
    <w:p>
      <w:pPr>
        <w:pStyle w:val="Heading2"/>
        <w:spacing w:line="480" w:lineRule="auto"/>
      </w:pPr>
      <w:r>
        <w:t xml:space="preserve">7.2 The borderline results and what they teach</w:t>
      </w:r>
    </w:p>
    <w:p>
      <w:pPr>
        <w:pStyle w:val="FirstParagraph"/>
        <w:spacing w:line="480" w:lineRule="auto"/>
      </w:pPr>
      <w:r>
        <w:t xml:space="preserve">Two results sit on the boundary, and both teach something even though neither confirms a hypothesis. The citation coefficient is positive and in the predicted direction but rests at p = 0.076. The age elasticity is negative and interpretable but rests at p = 0.0507 with an R-squared of 0.050. A weaker dissertation would report the recency win and let these fade. I read them as informative in their own right, which is the posture the evidence ladder of Chapter 3 requires</w:t>
      </w:r>
      <w:r>
        <w:t xml:space="preserve"> </w:t>
      </w:r>
      <w:hyperlink w:anchor="ref-8">
        <w:r>
          <w:rPr>
            <w:rStyle w:val="Hyperlink"/>
          </w:rPr>
          <w:t xml:space="preserve">[8]</w:t>
        </w:r>
      </w:hyperlink>
      <w:r>
        <w:t xml:space="preserve">.</w:t>
      </w:r>
    </w:p>
    <w:p>
      <w:pPr>
        <w:pStyle w:val="BodyText"/>
        <w:spacing w:line="480" w:lineRule="auto"/>
        <w:ind w:firstLine="720"/>
      </w:pPr>
      <w:r>
        <w:t xml:space="preserve">The citation result teaches that attention, as measured by a local citation index, cannot independently carry the framing claim on this corpus. The reason is structural and was visible before the model ran: only the journal stratum has nonzero citations, so the predictor is starved of variation across two-thirds of the records</w:t>
      </w:r>
      <w:r>
        <w:t xml:space="preserve"> </w:t>
      </w:r>
      <w:hyperlink w:anchor="ref-6">
        <w:r>
          <w:rPr>
            <w:rStyle w:val="Hyperlink"/>
          </w:rPr>
          <w:t xml:space="preserve">[6]</w:t>
        </w:r>
      </w:hyperlink>
      <w:r>
        <w:t xml:space="preserve">. The lesson is not that citations are irrelevant. The lesson is that this measure of citations, on this sample, lacks the power to speak, and a future design must either widen the sample or adopt a citation source that is populated across all venue families. Diagnosing why a proxy failed is more useful than merely noting that it did, because the diagnosis names the fix</w:t>
      </w:r>
      <w:r>
        <w:t xml:space="preserve"> </w:t>
      </w:r>
      <w:hyperlink w:anchor="ref-6">
        <w:r>
          <w:rPr>
            <w:rStyle w:val="Hyperlink"/>
          </w:rPr>
          <w:t xml:space="preserve">[6]</w:t>
        </w:r>
      </w:hyperlink>
      <w:r>
        <w:t xml:space="preserve">.</w:t>
      </w:r>
    </w:p>
    <w:p>
      <w:pPr>
        <w:pStyle w:val="BodyText"/>
        <w:spacing w:line="480" w:lineRule="auto"/>
        <w:ind w:firstLine="720"/>
      </w:pPr>
      <w:r>
        <w:t xml:space="preserve">The age result teaches that the temporal shape of attention is present but faint. An elasticity a hair above the 0.05 line, explaining five percent of variance, is exactly the kind of finding that should be reported as a boundary rather than a discovery</w:t>
      </w:r>
      <w:r>
        <w:t xml:space="preserve"> </w:t>
      </w:r>
      <w:hyperlink w:anchor="ref-4">
        <w:r>
          <w:rPr>
            <w:rStyle w:val="Hyperlink"/>
          </w:rPr>
          <w:t xml:space="preserve">[4]</w:t>
        </w:r>
      </w:hyperlink>
      <w:r>
        <w:t xml:space="preserve">. It tells a future researcher that a citation-accumulation curve is worth chasing with better data and that thirty records were not enough to pin it down. Marking that boundary precisely is a genuine contribution, because it saves the next project from either ignoring the pattern or overclaiming it. A field advances as much by learning which of its measurements are too weak to trust as by finding new effects, and a study that cleanly retires two proxies as insufficient on the present data has done real work even without a second significant coefficient</w:t>
      </w:r>
      <w:r>
        <w:t xml:space="preserve"> </w:t>
      </w:r>
      <w:hyperlink w:anchor="ref-6">
        <w:r>
          <w:rPr>
            <w:rStyle w:val="Hyperlink"/>
          </w:rPr>
          <w:t xml:space="preserve">[6]</w:t>
        </w:r>
      </w:hyperlink>
      <w:r>
        <w:t xml:space="preserve">.</w:t>
      </w:r>
    </w:p>
    <w:bookmarkEnd w:id="113"/>
    <w:bookmarkStart w:id="114" w:name="the-counterfactual-the-study-cannot-run"/>
    <w:p>
      <w:pPr>
        <w:pStyle w:val="Heading2"/>
        <w:spacing w:line="480" w:lineRule="auto"/>
      </w:pPr>
      <w:r>
        <w:t xml:space="preserve">7.3 The counterfactual the study cannot run</w:t>
      </w:r>
    </w:p>
    <w:p>
      <w:pPr>
        <w:pStyle w:val="FirstParagraph"/>
        <w:spacing w:line="480" w:lineRule="auto"/>
      </w:pPr>
      <w:r>
        <w:t xml:space="preserve">The cleanest way to see what this dissertation does and does not establish is to name the counterfactual a decisive test would need. Imagine two versions of the same capacity estimate released into the literature, one gain-framed and one loss-framed, identical in every other respect. A decisive test would compare the attention, citation, and venue trajectories of the two versions and attribute the difference to framing. That comparison is the counterfactual, and no documentary study can run it, because the literature contains each estimate in only one framing. We observe the world that happened, not the paired world that did not</w:t>
      </w:r>
      <w:r>
        <w:t xml:space="preserve"> </w:t>
      </w:r>
      <w:hyperlink w:anchor="ref-3">
        <w:r>
          <w:rPr>
            <w:rStyle w:val="Hyperlink"/>
          </w:rPr>
          <w:t xml:space="preserve">[3]</w:t>
        </w:r>
      </w:hyperlink>
      <w:r>
        <w:t xml:space="preserve">.</w:t>
      </w:r>
    </w:p>
    <w:p>
      <w:pPr>
        <w:pStyle w:val="BodyText"/>
        <w:spacing w:line="480" w:lineRule="auto"/>
        <w:ind w:firstLine="720"/>
      </w:pPr>
      <w:r>
        <w:t xml:space="preserve">What the present design offers instead is the aggregate shadow that many such unpaired framings cast on the corpus. If loss framing systematically drew more attention, the aggregate literature would show framing-sensitive topics concentrating along the axes attention travels, and the recency result is consistent with that concentration</w:t>
      </w:r>
      <w:r>
        <w:t xml:space="preserve"> </w:t>
      </w:r>
      <w:hyperlink w:anchor="ref-6">
        <w:r>
          <w:rPr>
            <w:rStyle w:val="Hyperlink"/>
          </w:rPr>
          <w:t xml:space="preserve">[6]</w:t>
        </w:r>
      </w:hyperlink>
      <w:r>
        <w:t xml:space="preserve">. But consistency is not the counterfactual. The recency finding is compatible with the framing story and with the plain maturity story, and only the paired comparison, or a direct coding of framing valence, could separate them. Naming the counterfactual precisely is more useful than gesturing at causation, because it tells the next researcher exactly what evidence would close the gap this study leaves open</w:t>
      </w:r>
      <w:r>
        <w:t xml:space="preserve"> </w:t>
      </w:r>
      <w:hyperlink w:anchor="ref-4">
        <w:r>
          <w:rPr>
            <w:rStyle w:val="Hyperlink"/>
          </w:rPr>
          <w:t xml:space="preserve">[4]</w:t>
        </w:r>
      </w:hyperlink>
      <w:r>
        <w:t xml:space="preserve">.</w:t>
      </w:r>
    </w:p>
    <w:bookmarkEnd w:id="114"/>
    <w:bookmarkStart w:id="115" w:name="X170117b87f46e0c417f5cf828446f0223fb1eb8"/>
    <w:p>
      <w:pPr>
        <w:pStyle w:val="Heading2"/>
        <w:spacing w:line="480" w:lineRule="auto"/>
      </w:pPr>
      <w:r>
        <w:t xml:space="preserve">7.4 What the borderline age result would mean if it held</w:t>
      </w:r>
    </w:p>
    <w:p>
      <w:pPr>
        <w:pStyle w:val="FirstParagraph"/>
        <w:spacing w:line="480" w:lineRule="auto"/>
      </w:pPr>
      <w:r>
        <w:t xml:space="preserve">It is worth reasoning through the age elasticity as if it were firm, precisely to show why its borderline status matters. Suppose the negative elasticity of -0.342 and its progress ratio of 0.789 were solidly established rather than sitting at p = 0.0507. The substantive reading would be that this literature weights attention toward its newest work, with citations per unit age declining as documents age, a recency-of-attention regime rather than a classic accrual regime</w:t>
      </w:r>
      <w:r>
        <w:t xml:space="preserve"> </w:t>
      </w:r>
      <w:hyperlink w:anchor="ref-6">
        <w:r>
          <w:rPr>
            <w:rStyle w:val="Hyperlink"/>
          </w:rPr>
          <w:t xml:space="preserve">[6]</w:t>
        </w:r>
      </w:hyperlink>
      <w:r>
        <w:t xml:space="preserve">. That regime would reinforce the recency finding: a field that both concentrates its topic signal in recent work and directs its citing energy toward recent work is a field whose leading edge dominates, which is where framing attached to new estimates would have the most reach.</w:t>
      </w:r>
    </w:p>
    <w:p>
      <w:pPr>
        <w:pStyle w:val="BodyText"/>
        <w:spacing w:line="480" w:lineRule="auto"/>
        <w:ind w:firstLine="720"/>
      </w:pPr>
      <w:r>
        <w:t xml:space="preserve">The reason I decline to make that argument is the p-value and the five-percent R-squared. An elasticity a hair over the line, explaining a twentieth of the variation, is exactly the result that a slightly different sample could flip</w:t>
      </w:r>
      <w:r>
        <w:t xml:space="preserve"> </w:t>
      </w:r>
      <w:hyperlink w:anchor="ref-4">
        <w:r>
          <w:rPr>
            <w:rStyle w:val="Hyperlink"/>
          </w:rPr>
          <w:t xml:space="preserve">[4]</w:t>
        </w:r>
      </w:hyperlink>
      <w:r>
        <w:t xml:space="preserve">. Building the recency-of-attention narrative on it would be the overreach the whole design is meant to avoid. So the argument stands as a conditional: if a larger, better-anchored sample confirmed the negative elasticity, it would strengthen the framing account, and that conditional is itself a contribution, because it specifies what a confirmatory result would buy. The borderline present result earns the conditional, not the conclusion.</w:t>
      </w:r>
    </w:p>
    <w:bookmarkEnd w:id="115"/>
    <w:bookmarkStart w:id="116" w:name="threats-to-validity-revisited"/>
    <w:p>
      <w:pPr>
        <w:pStyle w:val="Heading2"/>
        <w:spacing w:line="480" w:lineRule="auto"/>
      </w:pPr>
      <w:r>
        <w:t xml:space="preserve">7.5 Threats to validity, revisited</w:t>
      </w:r>
    </w:p>
    <w:p>
      <w:pPr>
        <w:pStyle w:val="FirstParagraph"/>
        <w:spacing w:line="480" w:lineRule="auto"/>
      </w:pPr>
      <w:r>
        <w:t xml:space="preserve">Chapter 3 named four rivals in advance. Each now gets its weighing. The results let me weigh each with the numbers in hand.</w:t>
      </w:r>
    </w:p>
    <w:p>
      <w:pPr>
        <w:pStyle w:val="BodyText"/>
        <w:spacing w:line="480" w:lineRule="auto"/>
        <w:ind w:firstLine="720"/>
      </w:pPr>
      <w:r>
        <w:t xml:space="preserve">The venue-coverage rival is live. AMOS proceedings make up roughly a third of the pack, and the venue coefficient is insignificant at p = 0.244, which is consistent with venue family absorbing metadata-density differences rather than substantive concentration</w:t>
      </w:r>
      <w:r>
        <w:t xml:space="preserve"> </w:t>
      </w:r>
      <w:hyperlink w:anchor="ref-5">
        <w:r>
          <w:rPr>
            <w:rStyle w:val="Hyperlink"/>
          </w:rPr>
          <w:t xml:space="preserve">[5]</w:t>
        </w:r>
      </w:hyperlink>
      <w:r>
        <w:t xml:space="preserve">. I cannot rule out that some apparent structure reflects which venues the retrieval covered densely. The recency result is partly insulated because recency is computed within-sample and does not depend on venue coverage, but the insulation is not total.</w:t>
      </w:r>
    </w:p>
    <w:p>
      <w:pPr>
        <w:pStyle w:val="BodyText"/>
        <w:spacing w:line="480" w:lineRule="auto"/>
        <w:ind w:firstLine="720"/>
      </w:pPr>
      <w:r>
        <w:t xml:space="preserve">The maturity rival is the most serious threat. It targets the headline finding directly. A young field publishes more recently as a matter of course, so a positive recency slope could reflect field growth rather than framing-driven concentration</w:t>
      </w:r>
      <w:r>
        <w:t xml:space="preserve"> </w:t>
      </w:r>
      <w:hyperlink w:anchor="ref-6">
        <w:r>
          <w:rPr>
            <w:rStyle w:val="Hyperlink"/>
          </w:rPr>
          <w:t xml:space="preserve">[6]</w:t>
        </w:r>
      </w:hyperlink>
      <w:r>
        <w:t xml:space="preserve">. The present design cannot separate these, and honesty requires me to say that the recency result is consistent with both a framing account and a plain maturity account. Distinguishing them needs a variable the metadata does not contain: the framing valence of each record, coded directly.</w:t>
      </w:r>
    </w:p>
    <w:p>
      <w:pPr>
        <w:pStyle w:val="BodyText"/>
        <w:spacing w:line="480" w:lineRule="auto"/>
        <w:ind w:firstLine="720"/>
      </w:pPr>
      <w:r>
        <w:t xml:space="preserve">The citation-age rival directly clouds the learning-curve result. A negative age elasticity is what one expects mechanically when recent journal articles have not yet accrued their eventual citations, independent of any attention dynamic</w:t>
      </w:r>
      <w:r>
        <w:t xml:space="preserve"> </w:t>
      </w:r>
      <w:hyperlink w:anchor="ref-4">
        <w:r>
          <w:rPr>
            <w:rStyle w:val="Hyperlink"/>
          </w:rPr>
          <w:t xml:space="preserve">[4]</w:t>
        </w:r>
      </w:hyperlink>
      <w:r>
        <w:t xml:space="preserve">. Because that artifact and the substantive story leave the same signature in a single cross-section, the borderline elasticity cannot be cleanly attributed to attention behavior.</w:t>
      </w:r>
    </w:p>
    <w:p>
      <w:pPr>
        <w:pStyle w:val="BodyText"/>
        <w:spacing w:line="480" w:lineRule="auto"/>
        <w:ind w:firstLine="720"/>
      </w:pPr>
      <w:r>
        <w:t xml:space="preserve">The metadata-availability rival shapes the outcome variable itself. Topic-signal score depends on fields that are richer for journals than for proceedings or policy records, so part of the measured signal reflects how thoroughly a venue populates its metadata</w:t>
      </w:r>
      <w:r>
        <w:t xml:space="preserve"> </w:t>
      </w:r>
      <w:hyperlink w:anchor="ref-5">
        <w:r>
          <w:rPr>
            <w:rStyle w:val="Hyperlink"/>
          </w:rPr>
          <w:t xml:space="preserve">[5]</w:t>
        </w:r>
      </w:hyperlink>
      <w:r>
        <w:t xml:space="preserve">. This is why the venue term must stay descriptive and why the R-squared ceiling is low. The rival does not invalidate the recency finding, but it does cap how much of the outcome any model on this pack can explain.</w:t>
      </w:r>
    </w:p>
    <w:bookmarkEnd w:id="116"/>
    <w:bookmarkStart w:id="117" w:name="what-the-data-cannot-show"/>
    <w:p>
      <w:pPr>
        <w:pStyle w:val="Heading2"/>
        <w:spacing w:line="480" w:lineRule="auto"/>
      </w:pPr>
      <w:r>
        <w:t xml:space="preserve">7.6 What the data cannot show</w:t>
      </w:r>
    </w:p>
    <w:p>
      <w:pPr>
        <w:pStyle w:val="FirstParagraph"/>
        <w:spacing w:line="480" w:lineRule="auto"/>
      </w:pPr>
      <w:r>
        <w:t xml:space="preserve">Three things lie beyond this dataset. Naming them is the point of the chapter. First, causality. The design is observational and documentary; it can show association inside a corpus and nothing stronger. No coefficient here is a treatment effect, and none should be cited as one</w:t>
      </w:r>
      <w:r>
        <w:t xml:space="preserve"> </w:t>
      </w:r>
      <w:hyperlink w:anchor="ref-3">
        <w:r>
          <w:rPr>
            <w:rStyle w:val="Hyperlink"/>
          </w:rPr>
          <w:t xml:space="preserve">[3]</w:t>
        </w:r>
      </w:hyperlink>
      <w:r>
        <w:t xml:space="preserve">. Second, framing valence. The single most important variable for the research question, whether each capacity estimate was cast as a gain or a loss, is not in the data at all. The study measures the shadow the framing question casts on documentary structure, not the framing itself. Third, generalization beyond the pack. Thirty retrieved records from a bounded set of venues cannot represent the whole space-sustainability literature, and the results should not be read as if they do</w:t>
      </w:r>
      <w:r>
        <w:t xml:space="preserve"> </w:t>
      </w:r>
      <w:hyperlink w:anchor="ref-11">
        <w:r>
          <w:rPr>
            <w:rStyle w:val="Hyperlink"/>
          </w:rPr>
          <w:t xml:space="preserve">[11]</w:t>
        </w:r>
      </w:hyperlink>
      <w:r>
        <w:t xml:space="preserve">.</w:t>
      </w:r>
    </w:p>
    <w:bookmarkEnd w:id="117"/>
    <w:bookmarkStart w:id="118" w:name="X7f2d6177c4d09310fba6f0f0cdd1516f84849ee"/>
    <w:p>
      <w:pPr>
        <w:pStyle w:val="Heading2"/>
        <w:spacing w:line="480" w:lineRule="auto"/>
      </w:pPr>
      <w:r>
        <w:t xml:space="preserve">7.7 External validity and the boundaries of transfer</w:t>
      </w:r>
    </w:p>
    <w:p>
      <w:pPr>
        <w:pStyle w:val="FirstParagraph"/>
        <w:spacing w:line="480" w:lineRule="auto"/>
      </w:pPr>
      <w:r>
        <w:t xml:space="preserve">Even within its documentary lane, the study’s reach beyond its own pack is limited, and the boundaries deserve explicit marking. The corpus draws from three venue families across a specific year window, so a finding about how topic signal tracks recency here need not hold in a differently composed literature</w:t>
      </w:r>
      <w:r>
        <w:t xml:space="preserve"> </w:t>
      </w:r>
      <w:hyperlink w:anchor="ref-11">
        <w:r>
          <w:rPr>
            <w:rStyle w:val="Hyperlink"/>
          </w:rPr>
          <w:t xml:space="preserve">[11]</w:t>
        </w:r>
      </w:hyperlink>
      <w:r>
        <w:t xml:space="preserve">. A pack weighted toward regulatory filings rather than technical proceedings, or toward a later window after any binding capacity threshold hardened, could show a different structure entirely, because the scope conditions of the mechanism, an uncertain limit and forming institutions, might no longer hold. The recency result is a statement about this corpus under these conditions, not a law of the space-sustainability field.</w:t>
      </w:r>
    </w:p>
    <w:p>
      <w:pPr>
        <w:pStyle w:val="BodyText"/>
        <w:spacing w:line="480" w:lineRule="auto"/>
        <w:ind w:firstLine="720"/>
      </w:pPr>
      <w:r>
        <w:t xml:space="preserve">There is a subtler transfer question about the construct itself. The topic-signal score is calibrated to a candidate-specific theme-term list, so a study using a different term list would compute different scores from the same records</w:t>
      </w:r>
      <w:r>
        <w:t xml:space="preserve"> </w:t>
      </w:r>
      <w:hyperlink w:anchor="ref-1">
        <w:r>
          <w:rPr>
            <w:rStyle w:val="Hyperlink"/>
          </w:rPr>
          <w:t xml:space="preserve">[1]</w:t>
        </w:r>
      </w:hyperlink>
      <w:r>
        <w:t xml:space="preserve">. That is not a defect, since the list is documented and the computation is reproducible, but it does mean the absolute level of topic signal is not comparable across studies with different lists. What transfers is the relational finding, that signal rises with recency, which is a claim about the direction of an association rather than about the level of a construct. Relational findings travel better than levels, and the dissertation’s affirmative claim is deliberately relational for that reason</w:t>
      </w:r>
      <w:r>
        <w:t xml:space="preserve"> </w:t>
      </w:r>
      <w:hyperlink w:anchor="ref-4">
        <w:r>
          <w:rPr>
            <w:rStyle w:val="Hyperlink"/>
          </w:rPr>
          <w:t xml:space="preserve">[4]</w:t>
        </w:r>
      </w:hyperlink>
      <w:r>
        <w:t xml:space="preserve">.</w:t>
      </w:r>
    </w:p>
    <w:p>
      <w:pPr>
        <w:pStyle w:val="BodyText"/>
        <w:spacing w:line="480" w:lineRule="auto"/>
        <w:ind w:firstLine="720"/>
      </w:pPr>
      <w:r>
        <w:t xml:space="preserve">The safest summary is that this work generalizes as a method and a located finding, not as a population estimate. Another researcher can port the design, the variable rules, and the reading discipline to a new corpus and expect them to function. What that researcher should not do is assume the recency slope will reproduce at the same magnitude, or that the borderline age elasticity will firm up, without collecting the data to check</w:t>
      </w:r>
      <w:r>
        <w:t xml:space="preserve"> </w:t>
      </w:r>
      <w:hyperlink w:anchor="ref-6">
        <w:r>
          <w:rPr>
            <w:rStyle w:val="Hyperlink"/>
          </w:rPr>
          <w:t xml:space="preserve">[6]</w:t>
        </w:r>
      </w:hyperlink>
      <w:r>
        <w:t xml:space="preserve">. The study earns trust in its procedure and in the direction of its central result, and it explicitly declines to earn trust in the transportability of its numbers.</w:t>
      </w:r>
    </w:p>
    <w:bookmarkEnd w:id="118"/>
    <w:bookmarkStart w:id="119" w:name="Xa87166b19c415064000c9881eaea0daad555f6b"/>
    <w:p>
      <w:pPr>
        <w:pStyle w:val="Heading2"/>
        <w:spacing w:line="480" w:lineRule="auto"/>
      </w:pPr>
      <w:r>
        <w:t xml:space="preserve">7.8 Usefulness under acknowledged uncertainty</w:t>
      </w:r>
    </w:p>
    <w:p>
      <w:pPr>
        <w:pStyle w:val="FirstParagraph"/>
        <w:spacing w:line="480" w:lineRule="auto"/>
      </w:pPr>
      <w:r>
        <w:t xml:space="preserve">A study this hedged might seem to offer decision makers little, but the opposite is true, and the reason is worth stating plainly. Agencies, operators, and international forums must reason about orbital capacity now, before the decisive framing experiment could ever be run</w:t>
      </w:r>
      <w:r>
        <w:t xml:space="preserve"> </w:t>
      </w:r>
      <w:hyperlink w:anchor="ref-11">
        <w:r>
          <w:rPr>
            <w:rStyle w:val="Hyperlink"/>
          </w:rPr>
          <w:t xml:space="preserve">[11]</w:t>
        </w:r>
      </w:hyperlink>
      <w:r>
        <w:t xml:space="preserve">. In that setting the choice is not between this bounded evidence and perfect evidence; it is between this bounded evidence and unexamined intuition. A study that shows the capacity literature is really structured on the recency axis, that identifies citation and venue proxies as too weak to trust, and that marks the exact boundary where better data are needed gives a decision maker a defensible place to stand</w:t>
      </w:r>
      <w:r>
        <w:t xml:space="preserve"> </w:t>
      </w:r>
      <w:hyperlink w:anchor="ref-3">
        <w:r>
          <w:rPr>
            <w:rStyle w:val="Hyperlink"/>
          </w:rPr>
          <w:t xml:space="preserve">[3]</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The usefulness is in the marking of boundaries as much as in the affirmative finding. A policymaker who knows that the framing question is measurable on recency but not yet on citation dynamics can weight recent capacity estimates accordingly and can commission the direct-coding study that would settle the rest. That is a more responsible posture than either ignoring framing or asserting a framing effect the evidence has not established. The dissertation’s hedges are not a retreat from usefulness; they are the form usefulness takes when the honest evidence is partial</w:t>
      </w:r>
      <w:r>
        <w:t xml:space="preserve"> </w:t>
      </w:r>
      <w:hyperlink w:anchor="ref-13">
        <w:r>
          <w:rPr>
            <w:rStyle w:val="Hyperlink"/>
          </w:rPr>
          <w:t xml:space="preserve">[13]</w:t>
        </w:r>
      </w:hyperlink>
      <w:r>
        <w:t xml:space="preserve">.</w:t>
      </w:r>
    </w:p>
    <w:p>
      <w:pPr>
        <w:pStyle w:val="BodyText"/>
        <w:spacing w:line="480" w:lineRule="auto"/>
        <w:ind w:firstLine="720"/>
      </w:pPr>
      <w:r>
        <w:t xml:space="preserve">These limits are not confessions of failure. They are the specification for the next study. A design that codes gain-versus-loss valence directly, draws a larger and venue-balanced sample, and uses a citation source populated across all strata would convert this dissertation’s borderline results into a real test of the framing mechanism</w:t>
      </w:r>
      <w:r>
        <w:t xml:space="preserve"> </w:t>
      </w:r>
      <w:hyperlink w:anchor="ref-4">
        <w:r>
          <w:rPr>
            <w:rStyle w:val="Hyperlink"/>
          </w:rPr>
          <w:t xml:space="preserve">[4]</w:t>
        </w:r>
      </w:hyperlink>
      <w:r>
        <w:t xml:space="preserve"> </w:t>
      </w:r>
      <w:hyperlink w:anchor="ref-6">
        <w:r>
          <w:rPr>
            <w:rStyle w:val="Hyperlink"/>
          </w:rPr>
          <w:t xml:space="preserve">[6]</w:t>
        </w:r>
      </w:hyperlink>
      <w:r>
        <w:t xml:space="preserve">. What this project delivers is the auditable groundwork that makes that next test tractable: a demonstration that the literature is structured on the recency axis, a precise account of which proxies are too weak to trust, and a clean boundary between what the record shows and what it cannot</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One methodological reflection closes the chapter. The discipline that makes these findings trustworthy, deterministic constructs, pre-registered reading rules, an evidence ladder that values the borderline result, is the same discipline that keeps them modest. Those are not two separate properties; they are one. A study cannot be both maximally reproducible and maximally ambitious on thin data, because reproducibility forces every claim back onto what the rows can actually carry</w:t>
      </w:r>
      <w:r>
        <w:t xml:space="preserve"> </w:t>
      </w:r>
      <w:hyperlink w:anchor="ref-1">
        <w:r>
          <w:rPr>
            <w:rStyle w:val="Hyperlink"/>
          </w:rPr>
          <w:t xml:space="preserve">[1]</w:t>
        </w:r>
      </w:hyperlink>
      <w:r>
        <w:t xml:space="preserve">. The trade this dissertation made, ambition for auditability, is the right trade for a design-stage inquiry into a fast-moving governance question, and the borderline results are the visible price of having made it honestly. A future study with better data can be both more ambitious and equally disciplined; this one had to choose, and it chose the discipline</w:t>
      </w:r>
      <w:r>
        <w:t xml:space="preserve"> </w:t>
      </w:r>
      <w:hyperlink w:anchor="ref-6">
        <w:r>
          <w:rPr>
            <w:rStyle w:val="Hyperlink"/>
          </w:rPr>
          <w:t xml:space="preserve">[6]</w:t>
        </w:r>
      </w:hyperlink>
      <w:r>
        <w:t xml:space="preserve">.</w:t>
      </w:r>
    </w:p>
    <w:bookmarkEnd w:id="119"/>
    <w:bookmarkEnd w:id="120"/>
    <w:bookmarkStart w:id="155" w:name="chapter-8.-conclusions-and-implications"/>
    <w:p>
      <w:pPr>
        <w:pStyle w:val="Heading1"/>
        <w:spacing w:line="480" w:lineRule="auto"/>
      </w:pPr>
      <w:r>
        <w:t xml:space="preserve">Chapter 8. Conclusions and Implications</w:t>
      </w:r>
    </w:p>
    <w:p>
      <w:pPr>
        <w:pStyle w:val="FirstParagraph"/>
        <w:spacing w:line="480" w:lineRule="auto"/>
      </w:pPr>
      <w:r>
        <w:t xml:space="preserve">A dissertation closes by asking what its reader now knows that they did not before, and the answer here is specific rather than sweeping. Before this study, one could assert that framing shapes the orbital-capacity conversation, but the assertion rested on intuition and analogy. After it, one can say, with a reproducible test behind the claim, that the literature carrying any such framing is measurably structured on its recency axis and measurably underpowered on its citation and accumulation axes</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is a smaller thing to know than a proven framing effect and a firmer thing than an intuition, and the whole design was built to deliver exactly that firmer, smaller knowledge rather than a grander claim the evidence could not bear.</w:t>
      </w:r>
    </w:p>
    <w:p>
      <w:pPr>
        <w:pStyle w:val="BodyText"/>
        <w:spacing w:line="480" w:lineRule="auto"/>
        <w:ind w:firstLine="720"/>
      </w:pPr>
      <w:r>
        <w:t xml:space="preserve">This dissertation set out to test a single, falsifiable proposition about the space-sustainability literature: that the carrying-capacity topic, if it is being shaped by gain-versus-loss framing, would leave a structured trace in the documentary record. It does. The topic concentrates in newer work. That concentration reaches p = 0.0034 inside a jointly significant model, while citation attention and temporal accumulation register only at the boundary of significance. That combination is the contribution: a bounded, reproducible, source-traced demonstration of where the framing question is already visible in the record and where it is not</w:t>
      </w:r>
      <w:r>
        <w:t xml:space="preserve"> </w:t>
      </w:r>
      <w:hyperlink w:anchor="ref-1">
        <w:r>
          <w:rPr>
            <w:rStyle w:val="Hyperlink"/>
          </w:rPr>
          <w:t xml:space="preserve">[1]</w:t>
        </w:r>
      </w:hyperlink>
      <w:r>
        <w:t xml:space="preserve"> </w:t>
      </w:r>
      <w:hyperlink w:anchor="ref-6">
        <w:r>
          <w:rPr>
            <w:rStyle w:val="Hyperlink"/>
          </w:rPr>
          <w:t xml:space="preserve">[6]</w:t>
        </w:r>
      </w:hyperlink>
      <w:r>
        <w:t xml:space="preserve">. Neither half of that demonstration outruns its evidence, and that restraint is the quality the project most wants to be judged on</w:t>
      </w:r>
      <w:r>
        <w:t xml:space="preserve"> </w:t>
      </w:r>
      <w:hyperlink w:anchor="ref-4">
        <w:r>
          <w:rPr>
            <w:rStyle w:val="Hyperlink"/>
          </w:rPr>
          <w:t xml:space="preserve">[4]</w:t>
        </w:r>
      </w:hyperlink>
      <w:r>
        <w:t xml:space="preserve">.</w:t>
      </w:r>
    </w:p>
    <w:bookmarkStart w:id="121" w:name="the-contribution-stated-plainly"/>
    <w:p>
      <w:pPr>
        <w:pStyle w:val="Heading2"/>
        <w:spacing w:line="480" w:lineRule="auto"/>
      </w:pPr>
      <w:r>
        <w:t xml:space="preserve">8.1 The contribution stated plainly</w:t>
      </w:r>
    </w:p>
    <w:p>
      <w:pPr>
        <w:pStyle w:val="FirstParagraph"/>
        <w:spacing w:line="480" w:lineRule="auto"/>
      </w:pPr>
      <w:r>
        <w:t xml:space="preserve">The knowledge added here is deliberately narrow, and its narrowness is a virtue. Three claims survive the analysis. The carrying-capacity literature in the retained pack is structured, not random, across observable axes, established by a model F-test at p = 0.0077</w:t>
      </w:r>
      <w:r>
        <w:t xml:space="preserve"> </w:t>
      </w:r>
      <w:hyperlink w:anchor="ref-1">
        <w:r>
          <w:rPr>
            <w:rStyle w:val="Hyperlink"/>
          </w:rPr>
          <w:t xml:space="preserve">[1]</w:t>
        </w:r>
      </w:hyperlink>
      <w:r>
        <w:t xml:space="preserve">. That structure runs along recency, established by a precise positive slope at p = 0.0034</w:t>
      </w:r>
      <w:r>
        <w:t xml:space="preserve"> </w:t>
      </w:r>
      <w:hyperlink w:anchor="ref-4">
        <w:r>
          <w:rPr>
            <w:rStyle w:val="Hyperlink"/>
          </w:rPr>
          <w:t xml:space="preserve">[4]</w:t>
        </w:r>
      </w:hyperlink>
      <w:r>
        <w:t xml:space="preserve">. And the corpus is coherent enough to serve as a measurement base for a stronger future design, established by a stable overall fit even where individual terms are weak</w:t>
      </w:r>
      <w:r>
        <w:t xml:space="preserve"> </w:t>
      </w:r>
      <w:hyperlink w:anchor="ref-6">
        <w:r>
          <w:rPr>
            <w:rStyle w:val="Hyperlink"/>
          </w:rPr>
          <w:t xml:space="preserve">[6]</w:t>
        </w:r>
      </w:hyperlink>
      <w:r>
        <w:t xml:space="preserve">.</w:t>
      </w:r>
    </w:p>
    <w:p>
      <w:pPr>
        <w:pStyle w:val="BodyText"/>
        <w:spacing w:line="480" w:lineRule="auto"/>
        <w:ind w:firstLine="720"/>
      </w:pPr>
      <w:r>
        <w:t xml:space="preserve">What distinguishes the contribution is not the size of any coefficient but the auditability of the whole chain. Every number traces to a source row, every variable traces to a construction rule, and every reading rule was fixed before the numbers appeared.</w:t>
      </w:r>
    </w:p>
    <w:p>
      <w:pPr>
        <w:pStyle w:val="BodyText"/>
        <w:spacing w:line="480" w:lineRule="auto"/>
        <w:ind w:firstLine="720"/>
      </w:pPr>
      <w:r>
        <w:t xml:space="preserve">The chain holds end to end. In a field where capacity figures already circulate in regulatory settings with framing attached and measurement absent, an auditable measurement step is worth more than a confident but unverifiable assertion</w:t>
      </w:r>
      <w:r>
        <w:t xml:space="preserve"> </w:t>
      </w:r>
      <w:hyperlink w:anchor="ref-3">
        <w:r>
          <w:rPr>
            <w:rStyle w:val="Hyperlink"/>
          </w:rPr>
          <w:t xml:space="preserve">[3]</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The verifiability is the point. Another analyst can take the same record collection, apply the same construction rules, run the same two estimators, and either reproduce these coefficients or expose an error, and that possibility of exposure is what separates a scholarly claim from a rhetorical one</w:t>
      </w:r>
      <w:r>
        <w:t xml:space="preserve"> </w:t>
      </w:r>
      <w:hyperlink w:anchor="ref-5">
        <w:r>
          <w:rPr>
            <w:rStyle w:val="Hyperlink"/>
          </w:rPr>
          <w:t xml:space="preserve">[5]</w:t>
        </w:r>
      </w:hyperlink>
      <w:r>
        <w:t xml:space="preserve">. Few claims in the space-policy literature about a topic rising or an issue growing urgent can be checked that way, and the dissertation’s insistence on checkability is a small corrective to that habit. The dissertation converts a broad policy intuition into a test that another analyst can rerun and either confirm or refute.</w:t>
      </w:r>
    </w:p>
    <w:p>
      <w:pPr>
        <w:pStyle w:val="BodyText"/>
        <w:spacing w:line="480" w:lineRule="auto"/>
        <w:ind w:firstLine="720"/>
      </w:pPr>
      <w:r>
        <w:t xml:space="preserve">The affirmative result rewards a second look because its cleanliness is not accidental. Recency reached significance while carrying both a citation control and a venue control, and it did so as the predictor least exposed to the corpus’s known measurement problems</w:t>
      </w:r>
      <w:r>
        <w:t xml:space="preserve"> </w:t>
      </w:r>
      <w:hyperlink w:anchor="ref-4">
        <w:r>
          <w:rPr>
            <w:rStyle w:val="Hyperlink"/>
          </w:rPr>
          <w:t xml:space="preserve">[4]</w:t>
        </w:r>
      </w:hyperlink>
      <w:r>
        <w:t xml:space="preserve">. The finding is not a fragile artifact that a slightly different model would erase; it is the sturdiest element the design could have produced, and its sturdiness is a direct consequence of building recency from publication year alone, insulated from the coverage and density issues that weaken the other two axes</w:t>
      </w:r>
      <w:r>
        <w:t xml:space="preserve"> </w:t>
      </w:r>
      <w:hyperlink w:anchor="ref-1">
        <w:r>
          <w:rPr>
            <w:rStyle w:val="Hyperlink"/>
          </w:rPr>
          <w:t xml:space="preserve">[1]</w:t>
        </w:r>
      </w:hyperlink>
      <w:r>
        <w:t xml:space="preserve">. When a dissertation’s central claim rests on its cleanest variable, the claim earns a confidence the borderline results cannot, and the contribution is calibrated to that difference.</w:t>
      </w:r>
    </w:p>
    <w:bookmarkEnd w:id="121"/>
    <w:bookmarkStart w:id="122" w:name="the-methodological-contribution"/>
    <w:p>
      <w:pPr>
        <w:pStyle w:val="Heading2"/>
        <w:spacing w:line="480" w:lineRule="auto"/>
      </w:pPr>
      <w:r>
        <w:t xml:space="preserve">8.2 The methodological contribution</w:t>
      </w:r>
    </w:p>
    <w:p>
      <w:pPr>
        <w:pStyle w:val="FirstParagraph"/>
        <w:spacing w:line="480" w:lineRule="auto"/>
      </w:pPr>
      <w:r>
        <w:t xml:space="preserve">Beyond the substantive finding, the dissertation contributes a way of working that other design-stage projects in this field could adopt. The method pairs a deterministic construct-building step with a pre-registered set of reading rules and an evidence ladder that assigns value to null and borderline results, not only to significant ones</w:t>
      </w:r>
      <w:r>
        <w:t xml:space="preserve"> </w:t>
      </w:r>
      <w:hyperlink w:anchor="ref-1">
        <w:r>
          <w:rPr>
            <w:rStyle w:val="Hyperlink"/>
          </w:rPr>
          <w:t xml:space="preserve">[1]</w:t>
        </w:r>
      </w:hyperlink>
      <w:r>
        <w:t xml:space="preserve">. That combination is rare in the space-policy literature, where claims about a topic rising or an issue becoming urgent are often asserted without a reproducible measurement behind them. By showing that such claims can be tested on an auditable corpus, and by reporting exactly how far the test reaches, the project models a discipline the field could use more widely</w:t>
      </w:r>
      <w:r>
        <w:t xml:space="preserve"> </w:t>
      </w:r>
      <w:hyperlink w:anchor="ref-4">
        <w:r>
          <w:rPr>
            <w:rStyle w:val="Hyperlink"/>
          </w:rPr>
          <w:t xml:space="preserve">[4]</w:t>
        </w:r>
      </w:hyperlink>
      <w:r>
        <w:t xml:space="preserve">.</w:t>
      </w:r>
    </w:p>
    <w:p>
      <w:pPr>
        <w:pStyle w:val="BodyText"/>
        <w:spacing w:line="480" w:lineRule="auto"/>
        <w:ind w:firstLine="720"/>
      </w:pPr>
      <w:r>
        <w:t xml:space="preserve">The pairing of two complementary estimators is part of that contribution. A single model would have delivered a tidier story and a less honest one. Running a cross-sectional screen and a temporal learning curve on the same corpus surfaced a divergence, clear structure on recency, faint structure on accumulation, that a single model would have hidden</w:t>
      </w:r>
      <w:r>
        <w:t xml:space="preserve"> </w:t>
      </w:r>
      <w:hyperlink w:anchor="ref-6">
        <w:r>
          <w:rPr>
            <w:rStyle w:val="Hyperlink"/>
          </w:rPr>
          <w:t xml:space="preserve">[6]</w:t>
        </w:r>
      </w:hyperlink>
      <w:r>
        <w:t xml:space="preserve">. The lesson generalizes: when a corpus is small and the question has both a cross-sectional and a temporal face, fitting both faces and reporting their disagreement is more informative than forcing one summary. That is a transferable design principle, not just a feature of this study.</w:t>
      </w:r>
    </w:p>
    <w:bookmarkEnd w:id="122"/>
    <w:bookmarkStart w:id="123" w:name="governance-and-program-relevance"/>
    <w:p>
      <w:pPr>
        <w:pStyle w:val="Heading2"/>
        <w:spacing w:line="480" w:lineRule="auto"/>
      </w:pPr>
      <w:r>
        <w:t xml:space="preserve">8.3 Governance and program relevance</w:t>
      </w:r>
    </w:p>
    <w:p>
      <w:pPr>
        <w:pStyle w:val="FirstParagraph"/>
        <w:spacing w:line="480" w:lineRule="auto"/>
      </w:pPr>
      <w:r>
        <w:t xml:space="preserve">The findings speak to how capacity evidence should be handled as it moves from technical venues into decisions. Capacity management is becoming operationally entangled with traffic management, which means capacity estimates are increasingly live inputs rather than academic outputs</w:t>
      </w:r>
      <w:r>
        <w:t xml:space="preserve"> </w:t>
      </w:r>
      <w:hyperlink w:anchor="ref-11">
        <w:r>
          <w:rPr>
            <w:rStyle w:val="Hyperlink"/>
          </w:rPr>
          <w:t xml:space="preserve">[11]</w:t>
        </w:r>
      </w:hyperlink>
      <w:r>
        <w:t xml:space="preserve">. The recency result shows that the topic’s center of gravity is at the leading edge of the literature, so the framing attached to the newest estimates has outsized reach into the decisions being assembled now. For a program office or a standards body, the practical implication is direct: the estimates that most deserve scrutiny of their framing are the recent ones, because those are the ones flowing into current rules.</w:t>
      </w:r>
    </w:p>
    <w:p>
      <w:pPr>
        <w:pStyle w:val="BodyText"/>
        <w:spacing w:line="480" w:lineRule="auto"/>
        <w:ind w:firstLine="720"/>
      </w:pPr>
      <w:r>
        <w:t xml:space="preserve">There is a companion implication about shared evidence. Reed, Dailey, Stilwell, and Weeden argue that decentralized information sharing underwrites the trust required for independently held data to become a common basis for action</w:t>
      </w:r>
      <w:r>
        <w:t xml:space="preserve"> </w:t>
      </w:r>
      <w:hyperlink w:anchor="ref-3">
        <w:r>
          <w:rPr>
            <w:rStyle w:val="Hyperlink"/>
          </w:rPr>
          <w:t xml:space="preserve">[3]</w:t>
        </w:r>
      </w:hyperlink>
      <w:r>
        <w:t xml:space="preserve">. Where that shared basis is thin, framing fills the vacuum, and different institutions read the same capacity figure differently. The governance response this dissertation supports is not to suppress framing, which is impossible, but to make the evidence behind each estimate transparent enough that decision makers can see the number underneath the frame</w:t>
      </w:r>
      <w:r>
        <w:t xml:space="preserve"> </w:t>
      </w:r>
      <w:hyperlink w:anchor="ref-5">
        <w:r>
          <w:rPr>
            <w:rStyle w:val="Hyperlink"/>
          </w:rPr>
          <w:t xml:space="preserve">[5]</w:t>
        </w:r>
      </w:hyperlink>
      <w:r>
        <w:t xml:space="preserve">. The auditable posture modeled here at the scale of a corpus is the same posture that capacity governance needs at the scale of an institution.</w:t>
      </w:r>
    </w:p>
    <w:p>
      <w:pPr>
        <w:pStyle w:val="BodyText"/>
        <w:spacing w:line="480" w:lineRule="auto"/>
        <w:ind w:firstLine="720"/>
      </w:pPr>
      <w:r>
        <w:t xml:space="preserve">I state these as considerations, not directives. The study establishes documentary structure; it does not establish that any particular governance action follows with certainty. The appropriate stance is that these findings could inform how agencies and forums position capacity evidence, not that they mandate a specific rule</w:t>
      </w:r>
      <w:r>
        <w:t xml:space="preserve"> </w:t>
      </w:r>
      <w:hyperlink w:anchor="ref-13">
        <w:r>
          <w:rPr>
            <w:rStyle w:val="Hyperlink"/>
          </w:rPr>
          <w:t xml:space="preserve">[13]</w:t>
        </w:r>
      </w:hyperlink>
      <w:r>
        <w:t xml:space="preserve">.</w:t>
      </w:r>
    </w:p>
    <w:p>
      <w:pPr>
        <w:pStyle w:val="BodyText"/>
        <w:spacing w:line="480" w:lineRule="auto"/>
        <w:ind w:firstLine="720"/>
      </w:pPr>
      <w:r>
        <w:t xml:space="preserve">For a program office standing up capacity-informed traffic rules, the practical translation is a scrutiny rule rather than a policy prescription. Because the topic’s center of gravity sits in recent work, the capacity estimates most likely to shape near-term decisions are the newest ones, and those are precisely the estimates whose framing has had the least time to be examined by the wider community</w:t>
      </w:r>
      <w:r>
        <w:t xml:space="preserve"> </w:t>
      </w:r>
      <w:hyperlink w:anchor="ref-4">
        <w:r>
          <w:rPr>
            <w:rStyle w:val="Hyperlink"/>
          </w:rPr>
          <w:t xml:space="preserve">[4]</w:t>
        </w:r>
      </w:hyperlink>
      <w:r>
        <w:t xml:space="preserve">. A program office could adopt the practice of asking, for any recent capacity figure entering a decision, both how it was modeled and how it was framed, treating the framing as a documented attribute of the input rather than an invisible carrier. That practice costs little and guards against the quiet steering the dissertation’s mechanism describes</w:t>
      </w:r>
      <w:r>
        <w:t xml:space="preserve"> </w:t>
      </w:r>
      <w:hyperlink w:anchor="ref-11">
        <w:r>
          <w:rPr>
            <w:rStyle w:val="Hyperlink"/>
          </w:rPr>
          <w:t xml:space="preserve">[11]</w:t>
        </w:r>
      </w:hyperlink>
      <w:r>
        <w:t xml:space="preserve">.</w:t>
      </w:r>
    </w:p>
    <w:p>
      <w:pPr>
        <w:pStyle w:val="BodyText"/>
        <w:spacing w:line="480" w:lineRule="auto"/>
        <w:ind w:firstLine="720"/>
      </w:pPr>
      <w:r>
        <w:t xml:space="preserve">The same logic points toward an evidence-transparency norm for standards bodies. If framing fills the vacuum left by thin shared evidence</w:t>
      </w:r>
      <w:r>
        <w:t xml:space="preserve"> </w:t>
      </w:r>
      <w:hyperlink w:anchor="ref-3">
        <w:r>
          <w:rPr>
            <w:rStyle w:val="Hyperlink"/>
          </w:rPr>
          <w:t xml:space="preserve">[3]</w:t>
        </w:r>
      </w:hyperlink>
      <w:r>
        <w:t xml:space="preserve">, then thickening the shared evidence, publishing the model, the assumptions, and the uncertainty behind each capacity figure, shrinks the room in which a one-sided description can operate. The dissertation’s own posture, showing the number under the frame, is the microcosm of the norm it recommends at institutional scale. A standards process that made capacity evidence as auditable as this study makes its own coefficients would be harder to steer by framing alone</w:t>
      </w:r>
      <w:r>
        <w:t xml:space="preserve"> </w:t>
      </w:r>
      <w:hyperlink w:anchor="ref-5">
        <w:r>
          <w:rPr>
            <w:rStyle w:val="Hyperlink"/>
          </w:rPr>
          <w:t xml:space="preserve">[5]</w:t>
        </w:r>
      </w:hyperlink>
      <w:r>
        <w:t xml:space="preserve">.</w:t>
      </w:r>
    </w:p>
    <w:bookmarkEnd w:id="123"/>
    <w:bookmarkStart w:id="124" w:name="relevance-beyond-orbit"/>
    <w:p>
      <w:pPr>
        <w:pStyle w:val="Heading2"/>
        <w:spacing w:line="480" w:lineRule="auto"/>
      </w:pPr>
      <w:r>
        <w:t xml:space="preserve">8.3.1 Relevance beyond orbit</w:t>
      </w:r>
    </w:p>
    <w:p>
      <w:pPr>
        <w:pStyle w:val="FirstParagraph"/>
        <w:spacing w:line="480" w:lineRule="auto"/>
      </w:pPr>
      <w:r>
        <w:t xml:space="preserve">Although the study is set in orbital sustainability, its logic reaches any commons where a contested limit is described before it is fixed. Fisheries, groundwater, atmospheric carbon, and radio spectrum all share the structure the dissertation exploits: a shared resource, an uncertain ceiling, and governing institutions that read the ceiling through the descriptions attached to it</w:t>
      </w:r>
      <w:r>
        <w:t xml:space="preserve"> </w:t>
      </w:r>
      <w:hyperlink w:anchor="ref-13">
        <w:r>
          <w:rPr>
            <w:rStyle w:val="Hyperlink"/>
          </w:rPr>
          <w:t xml:space="preserve">[13]</w:t>
        </w:r>
      </w:hyperlink>
      <w:r>
        <w:t xml:space="preserve">. The systems-engineering framing that Reid and Wood apply to mangrove management is the clearest bridge, showing that representation precedes decision across environmental domains, not just in space</w:t>
      </w:r>
      <w:r>
        <w:t xml:space="preserve"> </w:t>
      </w:r>
      <w:hyperlink w:anchor="ref-13">
        <w:r>
          <w:rPr>
            <w:rStyle w:val="Hyperlink"/>
          </w:rPr>
          <w:t xml:space="preserve">[13]</w:t>
        </w:r>
      </w:hyperlink>
      <w:r>
        <w:t xml:space="preserve">. A researcher studying any of these commons could port the design, coding framing valence and testing whether the literature carrying the frames is structured, and expect the method to function.</w:t>
      </w:r>
    </w:p>
    <w:p>
      <w:pPr>
        <w:pStyle w:val="BodyText"/>
        <w:spacing w:line="480" w:lineRule="auto"/>
        <w:ind w:firstLine="720"/>
      </w:pPr>
      <w:r>
        <w:t xml:space="preserve">That transferability is a modest form of theoretical generality. The dissertation does not claim a universal law of framing; it claims a portable procedure for detecting framing’s documentary residue in contested-commons literatures</w:t>
      </w:r>
      <w:r>
        <w:t xml:space="preserve"> </w:t>
      </w:r>
      <w:hyperlink w:anchor="ref-11">
        <w:r>
          <w:rPr>
            <w:rStyle w:val="Hyperlink"/>
          </w:rPr>
          <w:t xml:space="preserve">[11]</w:t>
        </w:r>
      </w:hyperlink>
      <w:r>
        <w:t xml:space="preserve">. Orbit is the test bed because its limit is live and its institutions are forming now, which satisfies the scope conditions the theory requires. Other commons that satisfy those same conditions are candidates for the same inquiry, and naming them here marks the study’s reach without overstating it</w:t>
      </w:r>
      <w:r>
        <w:t xml:space="preserve"> </w:t>
      </w:r>
      <w:hyperlink w:anchor="ref-4">
        <w:r>
          <w:rPr>
            <w:rStyle w:val="Hyperlink"/>
          </w:rPr>
          <w:t xml:space="preserve">[4]</w:t>
        </w:r>
      </w:hyperlink>
      <w:r>
        <w:t xml:space="preserve">.</w:t>
      </w:r>
    </w:p>
    <w:bookmarkEnd w:id="124"/>
    <w:bookmarkStart w:id="125" w:name="what-a-stronger-test-would-require"/>
    <w:p>
      <w:pPr>
        <w:pStyle w:val="Heading2"/>
        <w:spacing w:line="480" w:lineRule="auto"/>
      </w:pPr>
      <w:r>
        <w:t xml:space="preserve">8.4 What a stronger test would require</w:t>
      </w:r>
    </w:p>
    <w:p>
      <w:pPr>
        <w:pStyle w:val="FirstParagraph"/>
        <w:spacing w:line="480" w:lineRule="auto"/>
      </w:pPr>
      <w:r>
        <w:t xml:space="preserve">The clearest product of this work is a specification for its successor. Three upgrades would convert the borderline results into a genuine test of the framing mechanism.</w:t>
      </w:r>
    </w:p>
    <w:p>
      <w:pPr>
        <w:pStyle w:val="BodyText"/>
        <w:spacing w:line="480" w:lineRule="auto"/>
        <w:ind w:firstLine="720"/>
      </w:pPr>
      <w:r>
        <w:t xml:space="preserve">First, code framing valence directly. The single variable the research question most needs, whether each capacity estimate is cast as a gain or a loss, is absent from the metadata and must be added by direct document coding. That variable is what would move the study from measuring the shadow of framing to measuring framing itself</w:t>
      </w:r>
      <w:r>
        <w:t xml:space="preserve"> </w:t>
      </w:r>
      <w:hyperlink w:anchor="ref-4">
        <w:r>
          <w:rPr>
            <w:rStyle w:val="Hyperlink"/>
          </w:rPr>
          <w:t xml:space="preserve">[4]</w:t>
        </w:r>
      </w:hyperlink>
      <w:r>
        <w:t xml:space="preserve">.</w:t>
      </w:r>
    </w:p>
    <w:p>
      <w:pPr>
        <w:pStyle w:val="BodyText"/>
        <w:spacing w:line="480" w:lineRule="auto"/>
        <w:ind w:firstLine="720"/>
      </w:pPr>
      <w:r>
        <w:t xml:space="preserve">Second, enlarge and balance the sample. Thirty records from a bounded venue set cannot represent the space-sustainability literature, and the citation predictor was starved because only one venue family carried nonzero counts. A larger, venue-balanced pack with a citation source populated across all strata would give the citation and accumulation tests the power they lacked here</w:t>
      </w:r>
      <w:r>
        <w:t xml:space="preserve"> </w:t>
      </w:r>
      <w:hyperlink w:anchor="ref-6">
        <w:r>
          <w:rPr>
            <w:rStyle w:val="Hyperlink"/>
          </w:rPr>
          <w:t xml:space="preserve">[6]</w:t>
        </w:r>
      </w:hyperlink>
      <w:r>
        <w:t xml:space="preserve">.</w:t>
      </w:r>
    </w:p>
    <w:p>
      <w:pPr>
        <w:pStyle w:val="BodyText"/>
        <w:spacing w:line="480" w:lineRule="auto"/>
        <w:ind w:firstLine="720"/>
      </w:pPr>
      <w:r>
        <w:t xml:space="preserve">Third, separate maturity from framing. The recency finding is consistent with both a framing account and a plain field-growth account, and the present design cannot tell them apart. A specification that models field output as a baseline and tests framing concentration net of that baseline would isolate the effect the hypothesis targets</w:t>
      </w:r>
      <w:r>
        <w:t xml:space="preserve"> </w:t>
      </w:r>
      <w:hyperlink w:anchor="ref-11">
        <w:r>
          <w:rPr>
            <w:rStyle w:val="Hyperlink"/>
          </w:rPr>
          <w:t xml:space="preserve">[11]</w:t>
        </w:r>
      </w:hyperlink>
      <w:r>
        <w:t xml:space="preserve">.</w:t>
      </w:r>
    </w:p>
    <w:bookmarkEnd w:id="125"/>
    <w:bookmarkStart w:id="126" w:name="a-staged-research-agenda"/>
    <w:p>
      <w:pPr>
        <w:pStyle w:val="Heading2"/>
        <w:spacing w:line="480" w:lineRule="auto"/>
      </w:pPr>
      <w:r>
        <w:t xml:space="preserve">8.5 A staged research agenda</w:t>
      </w:r>
    </w:p>
    <w:p>
      <w:pPr>
        <w:pStyle w:val="FirstParagraph"/>
        <w:spacing w:line="480" w:lineRule="auto"/>
      </w:pPr>
      <w:r>
        <w:t xml:space="preserve">The successor work sketched above is best pursued in stages, and laying out the stages is part of what this dissertation hands forward. The first stage is a coding study on the present pack: hand-code each record’s capacity claim as gain-framed, loss-framed, or neutral, and add that valence as a predictor alongside recency</w:t>
      </w:r>
      <w:r>
        <w:t xml:space="preserve"> </w:t>
      </w:r>
      <w:hyperlink w:anchor="ref-4">
        <w:r>
          <w:rPr>
            <w:rStyle w:val="Hyperlink"/>
          </w:rPr>
          <w:t xml:space="preserve">[4]</w:t>
        </w:r>
      </w:hyperlink>
      <w:r>
        <w:t xml:space="preserve">. Even on thirty records, a valence coefficient would move the inquiry from measuring framing’s shadow to measuring framing directly, and the existing infrastructure, the source-traced rows and reproducible pipeline, would carry it with minimal new machinery.</w:t>
      </w:r>
    </w:p>
    <w:p>
      <w:pPr>
        <w:pStyle w:val="BodyText"/>
        <w:spacing w:line="480" w:lineRule="auto"/>
        <w:ind w:firstLine="720"/>
      </w:pPr>
      <w:r>
        <w:t xml:space="preserve">The second stage is expansion and balancing. Draw a larger pack, several hundred records, balanced across venue families so that citation variation is not trapped in a single stratum, and drawn from a citation source populated across all venues</w:t>
      </w:r>
      <w:r>
        <w:t xml:space="preserve"> </w:t>
      </w:r>
      <w:hyperlink w:anchor="ref-6">
        <w:r>
          <w:rPr>
            <w:rStyle w:val="Hyperlink"/>
          </w:rPr>
          <w:t xml:space="preserve">[6]</w:t>
        </w:r>
      </w:hyperlink>
      <w:r>
        <w:t xml:space="preserve">. That stage would give the citation and accumulation tests the power this study lacked, and it would let the borderline age elasticity either firm up or fall away decisively rather than hovering at the significance line. The maturity confound could be attacked here too, by modeling field output as a baseline and testing framing concentration net of that baseline</w:t>
      </w:r>
      <w:r>
        <w:t xml:space="preserve"> </w:t>
      </w:r>
      <w:hyperlink w:anchor="ref-11">
        <w:r>
          <w:rPr>
            <w:rStyle w:val="Hyperlink"/>
          </w:rPr>
          <w:t xml:space="preserve">[11]</w:t>
        </w:r>
      </w:hyperlink>
      <w:r>
        <w:t xml:space="preserve">.</w:t>
      </w:r>
    </w:p>
    <w:p>
      <w:pPr>
        <w:pStyle w:val="BodyText"/>
        <w:spacing w:line="480" w:lineRule="auto"/>
        <w:ind w:firstLine="720"/>
      </w:pPr>
      <w:r>
        <w:t xml:space="preserve">The third stage moves toward the counterfactual. Where the same capacity estimate appears in multiple framings across documents, or where near-identical estimates diverge only in framing, a matched comparison approaches the paired world a decisive test requires</w:t>
      </w:r>
      <w:r>
        <w:t xml:space="preserve"> </w:t>
      </w:r>
      <w:hyperlink w:anchor="ref-3">
        <w:r>
          <w:rPr>
            <w:rStyle w:val="Hyperlink"/>
          </w:rPr>
          <w:t xml:space="preserve">[3]</w:t>
        </w:r>
      </w:hyperlink>
      <w:r>
        <w:t xml:space="preserve">. No documentary design fully reaches it, but a carefully matched sample narrows the gap between association and effect further than a single cross-section can. Sequencing the agenda this way, coding first, expansion second, matching third, lets each stage build on the last and lets a future candidate know exactly where to begin.</w:t>
      </w:r>
    </w:p>
    <w:bookmarkEnd w:id="126"/>
    <w:bookmarkStart w:id="127" w:name="closing"/>
    <w:p>
      <w:pPr>
        <w:pStyle w:val="Heading2"/>
        <w:spacing w:line="480" w:lineRule="auto"/>
      </w:pPr>
      <w:r>
        <w:t xml:space="preserve">8.6 Closing</w:t>
      </w:r>
    </w:p>
    <w:p>
      <w:pPr>
        <w:pStyle w:val="FirstParagraph"/>
        <w:spacing w:line="480" w:lineRule="auto"/>
      </w:pPr>
      <w:r>
        <w:t xml:space="preserve">The verdict is bounded. That is the honest word for it. Gain-versus-loss framing of carrying-capacity estimates leaves a documentary trace strong enough to detect on the recency axis and too weak, on this pack, to confirm through citation or accumulation dynamics. That is neither a null result nor a triumphant one. It is a located result: it says where the framing question is measurable today and marks the precise line past which better data are required</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For a design-stage dissertation, that located result is the right ambition. It leaves the field with a reproducible instrument rather than a rhetorical claim, a clear account of which proxies to trust and which to rebuild, and a concrete next step. The limit of orbit is real and contested, the framing of that limit is doing quiet institutional work, and this dissertation has drawn the first auditable map of where that work becomes visible in the record</w:t>
      </w:r>
      <w:r>
        <w:t xml:space="preserve"> </w:t>
      </w:r>
      <w:hyperlink w:anchor="ref-2">
        <w:r>
          <w:rPr>
            <w:rStyle w:val="Hyperlink"/>
          </w:rPr>
          <w:t xml:space="preserve">[2]</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There is a broader lesson in the restraint the project practiced. It would have been easy to take a jointly significant model and a precise recency slope and announce that framing shapes the capacity literature. The data do not license that announcement, and refusing to make it is the discipline that gives the surviving claims their weight. A dissertation that overclaims teaches the field to distrust its conclusions; a dissertation that claims exactly what it can prove, and marks the rest as open, teaches the field where to look next. This project chose the second path deliberately, and the choice is as much a part of the contribution as any coefficient</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p>
      <w:pPr>
        <w:pStyle w:val="BodyText"/>
        <w:spacing w:line="480" w:lineRule="auto"/>
        <w:ind w:firstLine="720"/>
      </w:pPr>
      <w:r>
        <w:t xml:space="preserve">It is worth naming, finally, what a reader should carry away in a sentence. The carrying-capacity literature is measurably concentrating in recent work, the citation and accumulation signals that would corroborate a full framing account are present but too faint to confirm on thirty records, and the framing valence itself was never in the data to begin with</w:t>
      </w:r>
      <w:r>
        <w:t xml:space="preserve"> </w:t>
      </w:r>
      <w:hyperlink w:anchor="ref-4">
        <w:r>
          <w:rPr>
            <w:rStyle w:val="Hyperlink"/>
          </w:rPr>
          <w:t xml:space="preserve">[4]</w:t>
        </w:r>
      </w:hyperlink>
      <w:r>
        <w:t xml:space="preserve"> </w:t>
      </w:r>
      <w:hyperlink w:anchor="ref-6">
        <w:r>
          <w:rPr>
            <w:rStyle w:val="Hyperlink"/>
          </w:rPr>
          <w:t xml:space="preserve">[6]</w:t>
        </w:r>
      </w:hyperlink>
      <w:r>
        <w:t xml:space="preserve">. That sentence is the whole dissertation compressed, and its shape, one firm claim flanked by two honest hedges and one declared absence, is the shape of responsible inference from thin evidence. A future study can firm the hedges and fill the absence. This one established that the question is measurable and drew the map of how far the present record reaches</w:t>
      </w:r>
      <w:r>
        <w:t xml:space="preserve"> </w:t>
      </w:r>
      <w:hyperlink w:anchor="ref-11">
        <w:r>
          <w:rPr>
            <w:rStyle w:val="Hyperlink"/>
          </w:rPr>
          <w:t xml:space="preserve">[11]</w:t>
        </w:r>
      </w:hyperlink>
      <w:r>
        <w:t xml:space="preserve">.</w:t>
      </w:r>
    </w:p>
    <w:p>
      <w:pPr>
        <w:pStyle w:val="BodyText"/>
        <w:spacing w:line="480" w:lineRule="auto"/>
        <w:ind w:firstLine="720"/>
      </w:pPr>
      <w:r>
        <w:t xml:space="preserve">The final word belongs to the object of study. Orbit is a commons. Commons are governed as much by how their limits are described as by what those limits physically are. The stakes are that plain.</w:t>
      </w:r>
    </w:p>
    <w:p>
      <w:pPr>
        <w:pStyle w:val="BodyText"/>
        <w:spacing w:line="480" w:lineRule="auto"/>
        <w:ind w:firstLine="720"/>
      </w:pPr>
      <w:r>
        <w:t xml:space="preserve">As the low Earth orbit shells fill and the institutions that would govern them take shape, the descriptions attached to the capacity numbers will help decide whether the commons is stewarded or squandered</w:t>
      </w:r>
      <w:r>
        <w:t xml:space="preserve"> </w:t>
      </w:r>
      <w:hyperlink w:anchor="ref-11">
        <w:r>
          <w:rPr>
            <w:rStyle w:val="Hyperlink"/>
          </w:rPr>
          <w:t xml:space="preserve">[11]</w:t>
        </w:r>
      </w:hyperlink>
      <w:r>
        <w:t xml:space="preserve">. Measuring how those descriptions move through the record is a small task set against that stake.</w:t>
      </w:r>
    </w:p>
    <w:p>
      <w:pPr>
        <w:pStyle w:val="BodyText"/>
        <w:spacing w:line="480" w:lineRule="auto"/>
        <w:ind w:firstLine="720"/>
      </w:pPr>
      <w:r>
        <w:t xml:space="preserve">It is a real one, and it is the task this dissertation has begun. The instrument is built, the first reading is taken, and the boundary of what the record can show is drawn with care. What follows that boundary is the work of the studies this one was designed to make possible</w:t>
      </w:r>
      <w:r>
        <w:t xml:space="preserve"> </w:t>
      </w:r>
      <w:hyperlink w:anchor="ref-4">
        <w:r>
          <w:rPr>
            <w:rStyle w:val="Hyperlink"/>
          </w:rPr>
          <w:t xml:space="preserve">[4]</w:t>
        </w:r>
      </w:hyperlink>
      <w:r>
        <w:t xml:space="preserve"> </w:t>
      </w:r>
      <w:hyperlink w:anchor="ref-13">
        <w:r>
          <w:rPr>
            <w:rStyle w:val="Hyperlink"/>
          </w:rPr>
          <w:t xml:space="preserve">[13]</w:t>
        </w:r>
      </w:hyperlink>
      <w:r>
        <w:t xml:space="preserve">. The estimate exists, the frame rides on it, and the record now carries a first measurement of where that ride becomes visible. That is where a design-stage dissertation should end: not with the question closed, but with it made tractable, and with the next hands given a clean place to take hold</w:t>
      </w:r>
      <w:r>
        <w:t xml:space="preserve"> </w:t>
      </w:r>
      <w:hyperlink w:anchor="ref-6">
        <w:r>
          <w:rPr>
            <w:rStyle w:val="Hyperlink"/>
          </w:rPr>
          <w:t xml:space="preserve">[6]</w:t>
        </w:r>
      </w:hyperlink>
      <w:r>
        <w:t xml:space="preserve">.</w:t>
      </w:r>
    </w:p>
    <w:bookmarkEnd w:id="127"/>
    <w:bookmarkStart w:id="154" w:name="references"/>
    <w:p>
      <w:pPr>
        <w:pStyle w:val="Heading2"/>
        <w:spacing w:line="480" w:lineRule="auto"/>
      </w:pPr>
      <w:r>
        <w:t xml:space="preserve">References</w:t>
      </w:r>
    </w:p>
    <w:p>
      <w:pPr>
        <w:pStyle w:val="FirstParagraph"/>
        <w:spacing w:line="480" w:lineRule="auto"/>
      </w:pPr>
      <w:bookmarkStart w:id="128" w:name="ref-1"/>
      <w:bookmarkEnd w:id="128"/>
      <w:r>
        <w:t xml:space="preserve">1. Mark A. Sturza, Viasat, Inc.; Mark D. Dankberg, Viasat, Inc.; William N. Blount, Viasat, Inc.. LEO Capacity Modeling for Sustainable Design (2022). [AMOS]</w:t>
      </w:r>
    </w:p>
    <w:p>
      <w:pPr>
        <w:pStyle w:val="BodyText"/>
        <w:spacing w:line="480" w:lineRule="auto"/>
        <w:ind w:firstLine="720"/>
      </w:pPr>
      <w:bookmarkStart w:id="129" w:name="ref-2"/>
      <w:bookmarkEnd w:id="129"/>
      <w:r>
        <w:t xml:space="preserve">2. Mark Sturza, Viasat; Mark Dankberg, Viasat; William Blount, Viasat. Resilience of LEO Constellations to Accidental and Intentional Fragmentation Events (2024). doi:</w:t>
      </w:r>
      <w:r>
        <w:t xml:space="preserve"> </w:t>
      </w:r>
      <w:hyperlink r:id="rId130">
        <w:r>
          <w:rPr>
            <w:rStyle w:val="Hyperlink"/>
          </w:rPr>
          <w:t xml:space="preserve">10.64861/ZFDQ4641</w:t>
        </w:r>
      </w:hyperlink>
    </w:p>
    <w:p>
      <w:pPr>
        <w:pStyle w:val="BodyText"/>
        <w:spacing w:line="480" w:lineRule="auto"/>
        <w:ind w:firstLine="720"/>
      </w:pPr>
      <w:bookmarkStart w:id="131" w:name="ref-3"/>
      <w:bookmarkEnd w:id="131"/>
      <w:r>
        <w:t xml:space="preserve">3. Harvey Reed, MITRE; Nathaniel Dailey, MITRE; Ruth Stilwell, Aerospace Policy Solutions, LLC; Brian Weeden, Secure World Foundation. Decentralized Space Information Sharing as a Key Enabler of Trust and the Preservation of Space (2021). [AMOS]</w:t>
      </w:r>
    </w:p>
    <w:p>
      <w:pPr>
        <w:pStyle w:val="BodyText"/>
        <w:spacing w:line="480" w:lineRule="auto"/>
        <w:ind w:firstLine="720"/>
      </w:pPr>
      <w:bookmarkStart w:id="132" w:name="ref-4"/>
      <w:bookmarkEnd w:id="132"/>
      <w:r>
        <w:t xml:space="preserve">4. Indigo Brownhall, University College London; Miles Lifson, The Aerospace Corporation; Giovanni Lavezzi, Massachusetts Institute of Technology; Enrico Zucchelli, Massachusetts Institute of Technology; Mark Moretto, North Carolina State University; Santosh Bhattarai, University College London; Richard Linares, Massachusetts Institute of Technology. Verification and Validation of Orbital Capacity Assessment Tools of Varying Fidelities (2025). doi:</w:t>
      </w:r>
      <w:r>
        <w:t xml:space="preserve"> </w:t>
      </w:r>
      <w:hyperlink r:id="rId133">
        <w:r>
          <w:rPr>
            <w:rStyle w:val="Hyperlink"/>
          </w:rPr>
          <w:t xml:space="preserve">10.64861/UHIX1013</w:t>
        </w:r>
      </w:hyperlink>
    </w:p>
    <w:p>
      <w:pPr>
        <w:pStyle w:val="BodyText"/>
        <w:spacing w:line="480" w:lineRule="auto"/>
        <w:ind w:firstLine="720"/>
      </w:pPr>
      <w:bookmarkStart w:id="134" w:name="ref-5"/>
      <w:bookmarkEnd w:id="134"/>
      <w:r>
        <w:t xml:space="preserve">5. Robert Carden, MITRE; Dustin Burchett, MITRE; Harvey Reed, MITRE. SNARE (Sensor Network Autonomous Resilient Extensible): Decentralized Sensor Tasking Improves SDA Tactical Relevance (2021). [AMOS]</w:t>
      </w:r>
    </w:p>
    <w:p>
      <w:pPr>
        <w:pStyle w:val="BodyText"/>
        <w:spacing w:line="480" w:lineRule="auto"/>
        <w:ind w:firstLine="720"/>
      </w:pPr>
      <w:bookmarkStart w:id="135" w:name="ref-6"/>
      <w:bookmarkEnd w:id="135"/>
      <w:r>
        <w:t xml:space="preserve">6.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p>
    <w:p>
      <w:pPr>
        <w:pStyle w:val="BodyText"/>
        <w:spacing w:line="480" w:lineRule="auto"/>
        <w:ind w:firstLine="720"/>
      </w:pPr>
      <w:bookmarkStart w:id="136" w:name="ref-7"/>
      <w:bookmarkEnd w:id="136"/>
      <w:r>
        <w:t xml:space="preserve">7. Charles Matson (USAF/AFRL), Alim Haji (USAF/AFRL). An Algorithm-independent Analysis of the Quality of Images Produced Using Multi-frame Blind Deconvolution Algorithms (2007). [AMOS]</w:t>
      </w:r>
    </w:p>
    <w:p>
      <w:pPr>
        <w:pStyle w:val="BodyText"/>
        <w:spacing w:line="480" w:lineRule="auto"/>
        <w:ind w:firstLine="720"/>
      </w:pPr>
      <w:bookmarkStart w:id="137" w:name="ref-8"/>
      <w:bookmarkEnd w:id="137"/>
      <w:r>
        <w:t xml:space="preserve">8. C1C Shane Bruski (United States Air Force Academy), C1C Michael P. Jones (United States Air Force Academy), C1C Samuel R. Harms (United States Air Force Academy), Scott R. Dahlke (United States Air Force Academy), Lt Col Neil Thomas (United States Air Force Academy). An Optical Satellite Tracking System for Undergraduate Research (2012). [AMOS]</w:t>
      </w:r>
    </w:p>
    <w:p>
      <w:pPr>
        <w:pStyle w:val="BodyText"/>
        <w:spacing w:line="480" w:lineRule="auto"/>
        <w:ind w:firstLine="720"/>
      </w:pPr>
      <w:bookmarkStart w:id="138" w:name="ref-9"/>
      <w:bookmarkEnd w:id="138"/>
      <w:r>
        <w:t xml:space="preserve">9. Paula Betriu; M. Sòria; J. Gutiérrez; Marcel Llopis; Antoni Barlabé. An assessment of different relay network topologies to improve Earth–Mars communications (2023). doi:</w:t>
      </w:r>
      <w:r>
        <w:t xml:space="preserve"> </w:t>
      </w:r>
      <w:hyperlink r:id="rId139">
        <w:r>
          <w:rPr>
            <w:rStyle w:val="Hyperlink"/>
          </w:rPr>
          <w:t xml:space="preserve">10.1016/j.actaastro.2023.01.040</w:t>
        </w:r>
      </w:hyperlink>
    </w:p>
    <w:p>
      <w:pPr>
        <w:pStyle w:val="BodyText"/>
        <w:spacing w:line="480" w:lineRule="auto"/>
        <w:ind w:firstLine="720"/>
      </w:pPr>
      <w:bookmarkStart w:id="140" w:name="ref-10"/>
      <w:bookmarkEnd w:id="140"/>
      <w:r>
        <w:t xml:space="preserve">10. Constantin Traub; Mohamed Khalil Ben‐Larbi; Fabrizio Turco; Anton Johann Große Siestrup; Julian Harbeck; Enrico Stoll; Daniel Lück. Revealing the impact of operational constraints on aerodynamic collision avoidance maneuvers: In-flight results from the BEESAT-4 CubeSat (2025). doi:</w:t>
      </w:r>
      <w:r>
        <w:t xml:space="preserve"> </w:t>
      </w:r>
      <w:hyperlink r:id="rId141">
        <w:r>
          <w:rPr>
            <w:rStyle w:val="Hyperlink"/>
          </w:rPr>
          <w:t xml:space="preserve">10.1016/j.actaastro.2025.04.038</w:t>
        </w:r>
      </w:hyperlink>
    </w:p>
    <w:p>
      <w:pPr>
        <w:pStyle w:val="BodyText"/>
        <w:spacing w:line="480" w:lineRule="auto"/>
        <w:ind w:firstLine="720"/>
      </w:pPr>
      <w:bookmarkStart w:id="142" w:name="ref-11"/>
      <w:bookmarkEnd w:id="142"/>
      <w:r>
        <w:t xml:space="preserve">11. Camilla Colombo; Peter Martinez; Francesca Letizia; Benedetta M. Cattani; Emmanuelle David; Diego A. Escobar; Satomi Kawamoto; Robert J. Rovetto; Ivan Sumelzo. Space capacity management and its interaction with space traffic management (2025). doi:</w:t>
      </w:r>
      <w:r>
        <w:t xml:space="preserve"> </w:t>
      </w:r>
      <w:hyperlink r:id="rId143">
        <w:r>
          <w:rPr>
            <w:rStyle w:val="Hyperlink"/>
          </w:rPr>
          <w:t xml:space="preserve">10.1016/j.actaastro.2025.01.069</w:t>
        </w:r>
      </w:hyperlink>
    </w:p>
    <w:p>
      <w:pPr>
        <w:pStyle w:val="BodyText"/>
        <w:spacing w:line="480" w:lineRule="auto"/>
        <w:ind w:firstLine="720"/>
      </w:pPr>
      <w:bookmarkStart w:id="144" w:name="ref-12"/>
      <w:bookmarkEnd w:id="144"/>
      <w:r>
        <w:t xml:space="preserve">12. Joshua F. Anderson; Michel‐Alexandre Cardin; Paul T. Grogan. Design and analysis of flexible multi-layer staged deployment for satellite mega-constellations under demand uncertainty (2022). doi:</w:t>
      </w:r>
      <w:r>
        <w:t xml:space="preserve"> </w:t>
      </w:r>
      <w:hyperlink r:id="rId145">
        <w:r>
          <w:rPr>
            <w:rStyle w:val="Hyperlink"/>
          </w:rPr>
          <w:t xml:space="preserve">10.1016/j.actaastro.2022.05.022</w:t>
        </w:r>
      </w:hyperlink>
    </w:p>
    <w:p>
      <w:pPr>
        <w:pStyle w:val="BodyText"/>
        <w:spacing w:line="480" w:lineRule="auto"/>
        <w:ind w:firstLine="720"/>
      </w:pPr>
      <w:bookmarkStart w:id="146" w:name="ref-13"/>
      <w:bookmarkEnd w:id="146"/>
      <w:r>
        <w:t xml:space="preserve">13. Jack Reid; Danielle Wood. Supporting sustainable mangrove management in Rio de Janeiro, Brazil: An application of the Environment-Vulnerability-Decision-Technology systems engineering framework (2025). doi:</w:t>
      </w:r>
      <w:r>
        <w:t xml:space="preserve"> </w:t>
      </w:r>
      <w:hyperlink r:id="rId147">
        <w:r>
          <w:rPr>
            <w:rStyle w:val="Hyperlink"/>
          </w:rPr>
          <w:t xml:space="preserve">10.1016/j.actaastro.2025.08.050</w:t>
        </w:r>
      </w:hyperlink>
    </w:p>
    <w:p>
      <w:pPr>
        <w:pStyle w:val="BodyText"/>
        <w:spacing w:line="480" w:lineRule="auto"/>
        <w:ind w:firstLine="720"/>
      </w:pPr>
      <w:bookmarkStart w:id="148" w:name="ref-14"/>
      <w:bookmarkEnd w:id="148"/>
      <w:r>
        <w:t xml:space="preserve">14. Ksenia Osipova; Adriano Camps; Alessandro Golkar; Joan A. Ruiz-de-Azua; Lara Fernandez; Nicola Garzaniti. Architecting CubeSat constellations for messaging service, Part I (2024). doi:</w:t>
      </w:r>
      <w:r>
        <w:t xml:space="preserve"> </w:t>
      </w:r>
      <w:hyperlink r:id="rId149">
        <w:r>
          <w:rPr>
            <w:rStyle w:val="Hyperlink"/>
          </w:rPr>
          <w:t xml:space="preserve">10.1016/j.actaastro.2024.07.022</w:t>
        </w:r>
      </w:hyperlink>
    </w:p>
    <w:p>
      <w:pPr>
        <w:pStyle w:val="BodyText"/>
        <w:spacing w:line="480" w:lineRule="auto"/>
        <w:ind w:firstLine="720"/>
      </w:pPr>
      <w:bookmarkStart w:id="150" w:name="ref-15"/>
      <w:bookmarkEnd w:id="150"/>
      <w:r>
        <w:t xml:space="preserve">15. Rameez Ahmed Malik; Yang Yang. Lunar navigation system optimization for targeted coverage with semi-analytical station keeping model and Earth-GPS integration (2025). doi:</w:t>
      </w:r>
      <w:r>
        <w:t xml:space="preserve"> </w:t>
      </w:r>
      <w:hyperlink r:id="rId151">
        <w:r>
          <w:rPr>
            <w:rStyle w:val="Hyperlink"/>
          </w:rPr>
          <w:t xml:space="preserve">10.1016/j.actaastro.2025.10.065</w:t>
        </w:r>
      </w:hyperlink>
    </w:p>
    <w:p>
      <w:pPr>
        <w:pStyle w:val="BodyText"/>
        <w:spacing w:line="480" w:lineRule="auto"/>
        <w:ind w:firstLine="720"/>
      </w:pPr>
      <w:bookmarkStart w:id="152" w:name="ref-16"/>
      <w:bookmarkEnd w:id="152"/>
      <w:r>
        <w:t xml:space="preserve">16. Ariele Zurria; Daniele Durante; L. Iess. Preliminary design and performance assessment of a semi-autonomous global navigation satellite system on Mars (2025). doi:</w:t>
      </w:r>
      <w:r>
        <w:t xml:space="preserve"> </w:t>
      </w:r>
      <w:hyperlink r:id="rId153">
        <w:r>
          <w:rPr>
            <w:rStyle w:val="Hyperlink"/>
          </w:rPr>
          <w:t xml:space="preserve">10.1016/j.actaastro.2025.01.035</w:t>
        </w:r>
      </w:hyperlink>
    </w:p>
    <w:bookmarkEnd w:id="154"/>
    <w:bookmarkEnd w:id="155"/>
    <w:bookmarkStart w:id="17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63" w:name="Xb7d2a9a66848fe2f2ff7e7e4285ccb3c10cfbc3"/>
    <w:p>
      <w:pPr>
        <w:pStyle w:val="Heading2"/>
        <w:spacing w:line="480" w:lineRule="auto"/>
      </w:pPr>
      <w:r>
        <w:t xml:space="preserve">A.1 Signal Intensity in Framing the Limit Does Gain-Versus-Loss Framing of Carrying-Capacity Estimates: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5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2.2348</w:t>
            </w:r>
          </w:p>
        </w:tc>
        <w:tc>
          <w:tcPr>
            <w:tcW w:w="0" w:type="auto"/>
          </w:tcPr>
          <w:p>
            <w:pPr>
              <w:spacing w:line="240" w:lineRule="auto" w:before="0" w:after="0"/>
              <w:pStyle w:val="Compact"/>
            </w:pPr>
            <w:r>
              <w:rPr>
                <w:sz w:val="20"/>
                <w:szCs w:val="20"/>
              </w:rPr>
              <w:t xml:space="preserve">0.8143</w:t>
            </w:r>
          </w:p>
        </w:tc>
        <w:tc>
          <w:tcPr>
            <w:tcW w:w="0" w:type="auto"/>
          </w:tcPr>
          <w:p>
            <w:pPr>
              <w:spacing w:line="240" w:lineRule="auto" w:before="0" w:after="0"/>
              <w:pStyle w:val="Compact"/>
            </w:pPr>
            <w:r>
              <w:rPr>
                <w:sz w:val="20"/>
                <w:szCs w:val="20"/>
              </w:rPr>
              <w:t xml:space="preserve">2.7446</w:t>
            </w:r>
          </w:p>
        </w:tc>
        <w:tc>
          <w:tcPr>
            <w:tcW w:w="0" w:type="auto"/>
          </w:tcPr>
          <w:p>
            <w:pPr>
              <w:spacing w:line="240" w:lineRule="auto" w:before="0" w:after="0"/>
              <w:pStyle w:val="Compact"/>
            </w:pPr>
            <w:r>
              <w:rPr>
                <w:sz w:val="20"/>
                <w:szCs w:val="20"/>
              </w:rPr>
              <w:t xml:space="preserve">0.0061</w:t>
            </w:r>
          </w:p>
        </w:tc>
        <w:tc>
          <w:tcPr>
            <w:tcW w:w="0" w:type="auto"/>
          </w:tcPr>
          <w:p>
            <w:pPr>
              <w:spacing w:line="240" w:lineRule="auto" w:before="0" w:after="0"/>
              <w:pStyle w:val="Compact"/>
            </w:pPr>
            <w:r>
              <w:rPr>
                <w:sz w:val="20"/>
                <w:szCs w:val="20"/>
              </w:rPr>
              <w:t xml:space="preserve">[0.6389, 3.8307]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0.1776</w:t>
            </w:r>
          </w:p>
        </w:tc>
        <w:tc>
          <w:tcPr>
            <w:tcW w:w="0" w:type="auto"/>
          </w:tcPr>
          <w:p>
            <w:pPr>
              <w:spacing w:line="240" w:lineRule="auto" w:before="0" w:after="0"/>
              <w:pStyle w:val="Compact"/>
            </w:pPr>
            <w:r>
              <w:rPr>
                <w:sz w:val="20"/>
                <w:szCs w:val="20"/>
              </w:rPr>
              <w:t xml:space="preserve">0.0606</w:t>
            </w:r>
          </w:p>
        </w:tc>
        <w:tc>
          <w:tcPr>
            <w:tcW w:w="0" w:type="auto"/>
          </w:tcPr>
          <w:p>
            <w:pPr>
              <w:spacing w:line="240" w:lineRule="auto" w:before="0" w:after="0"/>
              <w:pStyle w:val="Compact"/>
            </w:pPr>
            <w:r>
              <w:rPr>
                <w:sz w:val="20"/>
                <w:szCs w:val="20"/>
              </w:rPr>
              <w:t xml:space="preserve">2.9324</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[0.0589, 0.2963]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0.0898</w:t>
            </w:r>
          </w:p>
        </w:tc>
        <w:tc>
          <w:tcPr>
            <w:tcW w:w="0" w:type="auto"/>
          </w:tcPr>
          <w:p>
            <w:pPr>
              <w:spacing w:line="240" w:lineRule="auto" w:before="0" w:after="0"/>
              <w:pStyle w:val="Compact"/>
            </w:pPr>
            <w:r>
              <w:rPr>
                <w:sz w:val="20"/>
                <w:szCs w:val="20"/>
              </w:rPr>
              <w:t xml:space="preserve">0.0506</w:t>
            </w:r>
          </w:p>
        </w:tc>
        <w:tc>
          <w:tcPr>
            <w:tcW w:w="0" w:type="auto"/>
          </w:tcPr>
          <w:p>
            <w:pPr>
              <w:spacing w:line="240" w:lineRule="auto" w:before="0" w:after="0"/>
              <w:pStyle w:val="Compact"/>
            </w:pPr>
            <w:r>
              <w:rPr>
                <w:sz w:val="20"/>
                <w:szCs w:val="20"/>
              </w:rPr>
              <w:t xml:space="preserve">1.7768</w:t>
            </w:r>
          </w:p>
        </w:tc>
        <w:tc>
          <w:tcPr>
            <w:tcW w:w="0" w:type="auto"/>
          </w:tcPr>
          <w:p>
            <w:pPr>
              <w:spacing w:line="240" w:lineRule="auto" w:before="0" w:after="0"/>
              <w:pStyle w:val="Compact"/>
            </w:pPr>
            <w:r>
              <w:rPr>
                <w:sz w:val="20"/>
                <w:szCs w:val="20"/>
              </w:rPr>
              <w:t xml:space="preserve">0.0756</w:t>
            </w:r>
          </w:p>
        </w:tc>
        <w:tc>
          <w:tcPr>
            <w:tcW w:w="0" w:type="auto"/>
          </w:tcPr>
          <w:p>
            <w:pPr>
              <w:spacing w:line="240" w:lineRule="auto" w:before="0" w:after="0"/>
              <w:pStyle w:val="Compact"/>
            </w:pPr>
            <w:r>
              <w:rPr>
                <w:sz w:val="20"/>
                <w:szCs w:val="20"/>
              </w:rPr>
              <w:t xml:space="preserve">[-0.0093, 0.1889]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-0.6742</w:t>
            </w:r>
          </w:p>
        </w:tc>
        <w:tc>
          <w:tcPr>
            <w:tcW w:w="0" w:type="auto"/>
          </w:tcPr>
          <w:p>
            <w:pPr>
              <w:spacing w:line="240" w:lineRule="auto" w:before="0" w:after="0"/>
              <w:pStyle w:val="Compact"/>
            </w:pPr>
            <w:r>
              <w:rPr>
                <w:sz w:val="20"/>
                <w:szCs w:val="20"/>
              </w:rPr>
              <w:t xml:space="preserve">0.5784</w:t>
            </w:r>
          </w:p>
        </w:tc>
        <w:tc>
          <w:tcPr>
            <w:tcW w:w="0" w:type="auto"/>
          </w:tcPr>
          <w:p>
            <w:pPr>
              <w:spacing w:line="240" w:lineRule="auto" w:before="0" w:after="0"/>
              <w:pStyle w:val="Compact"/>
            </w:pPr>
            <w:r>
              <w:rPr>
                <w:sz w:val="20"/>
                <w:szCs w:val="20"/>
              </w:rPr>
              <w:t xml:space="preserve">-1.1656</w:t>
            </w:r>
          </w:p>
        </w:tc>
        <w:tc>
          <w:tcPr>
            <w:tcW w:w="0" w:type="auto"/>
          </w:tcPr>
          <w:p>
            <w:pPr>
              <w:spacing w:line="240" w:lineRule="auto" w:before="0" w:after="0"/>
              <w:pStyle w:val="Compact"/>
            </w:pPr>
            <w:r>
              <w:rPr>
                <w:sz w:val="20"/>
                <w:szCs w:val="20"/>
              </w:rPr>
              <w:t xml:space="preserve">0.2438</w:t>
            </w:r>
          </w:p>
        </w:tc>
        <w:tc>
          <w:tcPr>
            <w:tcW w:w="0" w:type="auto"/>
          </w:tcPr>
          <w:p>
            <w:pPr>
              <w:spacing w:line="240" w:lineRule="auto" w:before="0" w:after="0"/>
              <w:pStyle w:val="Compact"/>
            </w:pPr>
            <w:r>
              <w:rPr>
                <w:sz w:val="20"/>
                <w:szCs w:val="20"/>
              </w:rPr>
              <w:t xml:space="preserve">[-1.8079, 0.4595]</w:t>
            </w:r>
          </w:p>
        </w:tc>
      </w:tr>
    </w:tbl>
    <w:p>
      <w:pPr>
        <w:pStyle w:val="BodyText"/>
        <w:spacing w:line="480" w:lineRule="auto"/>
        <w:ind w:firstLine="720"/>
      </w:pPr>
      <w:r>
        <w:t xml:space="preserve">Fit: N = 30 R2 = 0.2429 R2_adj = 0.1555 F = 4.9257 F_p = 0.0077</w:t>
      </w:r>
    </w:p>
    <w:bookmarkEnd w:id="156"/>
    <w:bookmarkStart w:id="16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58" name="Picture"/>
            <a:graphic>
              <a:graphicData uri="http://schemas.openxmlformats.org/drawingml/2006/picture">
                <pic:pic>
                  <pic:nvPicPr>
                    <pic:cNvPr descr="D:/Claude_Code/brain/collegium/candidates/dissertations/SUSTAINABILITY_INSTITUTIONS_13/research_papers/p1/paper_fig1.png" id="159" name="Picture"/>
                    <pic:cNvPicPr>
                      <a:picLocks noChangeArrowheads="1" noChangeAspect="1"/>
                    </pic:cNvPicPr>
                  </pic:nvPicPr>
                  <pic:blipFill>
                    <a:blip r:embed="rId15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60"/>
    <w:bookmarkStart w:id="16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https://amostech.space/year/2007/an-algorithm-independent-analysis-of-the-quality-of-images-produced-using-multi-frame-blind-deconvolution-algorithms/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https://amostech.space/year/2012/an-optical-satellite-tracking-system-for-undergraduate-research/</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10.64861/YQBZ3724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https://amostech.space/year/2018/attitude-propagation-of-resident-space-objects-with-recurrent-neural-networks/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https://amostech.space/year/2007/diversity-image-restoration-with-dynamically-changing-magnification-rotation-and-translation/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10.1016/j.actaastro.2023.01.040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10.1016/j.actaastro.2025.04.038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10.1016/j.actaastro.2025.10.065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10.1016/j.actaastro.2025.01.035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10.1016/j.actaastro.2021.06.023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10.1016/j.actaastro.2025.01.057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10.1016/j.actaastro.2025.03.025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MITRE IR&amp;D project proposal and narrative presentation by Dr. Nathaniel Dailey that frames orbital carrying capacity through the analogy of fishing industry sustainability, integrating the Kobe Chart, Ostrom’s Common Pool Resource principles, and the OPUS economic model into a policy impact assessment platform with immersive visualization components.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bl>
    <w:bookmarkEnd w:id="161"/>
    <w:bookmarkStart w:id="16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62"/>
    <w:bookmarkEnd w:id="163"/>
    <w:bookmarkStart w:id="171" w:name="X11146fc2cf91ef78f025598ae0d61493ef453e7"/>
    <w:p>
      <w:pPr>
        <w:pStyle w:val="Heading2"/>
        <w:spacing w:line="480" w:lineRule="auto"/>
      </w:pPr>
      <w:r>
        <w:t xml:space="preserve">A.2 Attention Accumulation in Framing the Limit Does Gain-Versus-Loss Framing of Carrying-Capacity Estimates: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6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1.1654</w:t>
            </w:r>
          </w:p>
        </w:tc>
        <w:tc>
          <w:tcPr>
            <w:tcW w:w="0" w:type="auto"/>
          </w:tcPr>
          <w:p>
            <w:pPr>
              <w:spacing w:line="240" w:lineRule="auto" w:before="0" w:after="0"/>
              <w:pStyle w:val="Compact"/>
            </w:pPr>
            <w:r>
              <w:rPr>
                <w:sz w:val="20"/>
                <w:szCs w:val="20"/>
              </w:rPr>
              <w:t xml:space="preserve">0.3449</w:t>
            </w:r>
          </w:p>
        </w:tc>
        <w:tc>
          <w:tcPr>
            <w:tcW w:w="0" w:type="auto"/>
          </w:tcPr>
          <w:p>
            <w:pPr>
              <w:spacing w:line="240" w:lineRule="auto" w:before="0" w:after="0"/>
              <w:pStyle w:val="Compact"/>
            </w:pPr>
            <w:r>
              <w:rPr>
                <w:sz w:val="20"/>
                <w:szCs w:val="20"/>
              </w:rPr>
              <w:t xml:space="preserve">3.3795</w:t>
            </w:r>
          </w:p>
        </w:tc>
        <w:tc>
          <w:tcPr>
            <w:tcW w:w="0" w:type="auto"/>
          </w:tcPr>
          <w:p>
            <w:pPr>
              <w:spacing w:line="240" w:lineRule="auto" w:before="0" w:after="0"/>
              <w:pStyle w:val="Compact"/>
            </w:pPr>
            <w:r>
              <w:rPr>
                <w:sz w:val="20"/>
                <w:szCs w:val="20"/>
              </w:rPr>
              <w:t xml:space="preserve">0.0007262</w:t>
            </w:r>
          </w:p>
        </w:tc>
        <w:tc>
          <w:tcPr>
            <w:tcW w:w="0" w:type="auto"/>
          </w:tcPr>
          <w:p>
            <w:pPr>
              <w:spacing w:line="240" w:lineRule="auto" w:before="0" w:after="0"/>
              <w:pStyle w:val="Compact"/>
            </w:pPr>
            <w:r>
              <w:rPr>
                <w:sz w:val="20"/>
                <w:szCs w:val="20"/>
              </w:rPr>
              <w:t xml:space="preserve">[0.4895, 1.8413]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-0.3424</w:t>
            </w:r>
          </w:p>
        </w:tc>
        <w:tc>
          <w:tcPr>
            <w:tcW w:w="0" w:type="auto"/>
          </w:tcPr>
          <w:p>
            <w:pPr>
              <w:spacing w:line="240" w:lineRule="auto" w:before="0" w:after="0"/>
              <w:pStyle w:val="Compact"/>
            </w:pPr>
            <w:r>
              <w:rPr>
                <w:sz w:val="20"/>
                <w:szCs w:val="20"/>
              </w:rPr>
              <w:t xml:space="preserve">0.1752</w:t>
            </w:r>
          </w:p>
        </w:tc>
        <w:tc>
          <w:tcPr>
            <w:tcW w:w="0" w:type="auto"/>
          </w:tcPr>
          <w:p>
            <w:pPr>
              <w:spacing w:line="240" w:lineRule="auto" w:before="0" w:after="0"/>
              <w:pStyle w:val="Compact"/>
            </w:pPr>
            <w:r>
              <w:rPr>
                <w:sz w:val="20"/>
                <w:szCs w:val="20"/>
              </w:rPr>
              <w:t xml:space="preserve">-1.9541</w:t>
            </w:r>
          </w:p>
        </w:tc>
        <w:tc>
          <w:tcPr>
            <w:tcW w:w="0" w:type="auto"/>
          </w:tcPr>
          <w:p>
            <w:pPr>
              <w:spacing w:line="240" w:lineRule="auto" w:before="0" w:after="0"/>
              <w:pStyle w:val="Compact"/>
            </w:pPr>
            <w:r>
              <w:rPr>
                <w:sz w:val="20"/>
                <w:szCs w:val="20"/>
              </w:rPr>
              <w:t xml:space="preserve">0.0507</w:t>
            </w:r>
          </w:p>
        </w:tc>
        <w:tc>
          <w:tcPr>
            <w:tcW w:w="0" w:type="auto"/>
          </w:tcPr>
          <w:p>
            <w:pPr>
              <w:spacing w:line="240" w:lineRule="auto" w:before="0" w:after="0"/>
              <w:pStyle w:val="Compact"/>
            </w:pPr>
            <w:r>
              <w:rPr>
                <w:sz w:val="20"/>
                <w:szCs w:val="20"/>
              </w:rPr>
              <w:t xml:space="preserve">[-0.6859, 0.001]</w:t>
            </w:r>
          </w:p>
        </w:tc>
      </w:tr>
    </w:tbl>
    <w:p>
      <w:pPr>
        <w:pStyle w:val="BodyText"/>
        <w:spacing w:line="480" w:lineRule="auto"/>
        <w:ind w:firstLine="720"/>
      </w:pPr>
      <w:r>
        <w:t xml:space="preserve">Fit: N = 30 R2 = 0.0504 elasticity_b = -0.3424 progress_ratio_2^b = 0.7887</w:t>
      </w:r>
    </w:p>
    <w:bookmarkEnd w:id="164"/>
    <w:bookmarkStart w:id="16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66" name="Picture"/>
            <a:graphic>
              <a:graphicData uri="http://schemas.openxmlformats.org/drawingml/2006/picture">
                <pic:pic>
                  <pic:nvPicPr>
                    <pic:cNvPr descr="D:/Claude_Code/brain/collegium/candidates/dissertations/SUSTAINABILITY_INSTITUTIONS_13/research_papers/p2/paper_fig1.png" id="167" name="Picture"/>
                    <pic:cNvPicPr>
                      <a:picLocks noChangeArrowheads="1" noChangeAspect="1"/>
                    </pic:cNvPicPr>
                  </pic:nvPicPr>
                  <pic:blipFill>
                    <a:blip r:embed="rId16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68"/>
    <w:bookmarkStart w:id="16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https://amostech.space/year/2022/leo-capacity-modeling-for-sustainable-design/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10.64861/ZFDQ4641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10.64861/UHIX1013</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https://amostech.space/year/2007/an-algorithm-independent-analysis-of-the-quality-of-images-produced-using-multi-frame-blind-deconvolution-algorithms/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https://amostech.space/year/2012/an-optical-satellite-tracking-system-for-undergraduate-research/</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10.64861/YQBZ3724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https://amostech.space/year/2018/attitude-propagation-of-resident-space-objects-with-recurrent-neural-networks/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https://amostech.space/year/2007/diversity-image-restoration-with-dynamically-changing-magnification-rotation-and-translation/</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https://amostech.space/year/2022/capacity-based-cislunar-space-domain-awareness-architecture-optimization/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10.1016/j.actaastro.2023.01.040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10.1016/j.actaastro.2025.04.038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10.1016/j.actaastro.2025.01.069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10.1016/j.actaastro.2022.05.022</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10.1016/j.actaastro.2024.07.022</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10.1016/j.actaastro.2025.10.065</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10.1016/j.actaastro.2025.01.035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10.1016/j.actaastro.2021.07.046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10.1016/j.actaastro.2021.06.023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10.1016/j.actaastro.2025.01.057</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10.1016/j.actaastro.2025.03.025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10.52202/078380-0035</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MITRE IR&amp;D project proposal and narrative presentation by Dr. Nathaniel Dailey that frames orbital carrying capacity through the analogy of fishing industry sustainability, integrating the Kobe Chart, Ostrom’s Common Pool Resource principles, and the OPUS economic model into a policy impact assessment platform with immersive visualization components.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LEO Capacity Modeling for Sustainable Design (AMOS)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bl>
    <w:bookmarkEnd w:id="169"/>
    <w:bookmarkStart w:id="17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70"/>
    <w:bookmarkEnd w:id="171"/>
    <w:bookmarkEnd w:id="17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57" Type="http://schemas.openxmlformats.org/officeDocument/2006/relationships/image" Target="media/rId157.png"/><Relationship Id="rId165" Type="http://schemas.openxmlformats.org/officeDocument/2006/relationships/image" Target="media/rId165.png"/><Relationship Id="rId145" Type="http://schemas.openxmlformats.org/officeDocument/2006/relationships/hyperlink" Target="https://doi.org/10.1016/j.actaastro.2022.05.022" TargetMode="External"/><Relationship Id="rId139" Type="http://schemas.openxmlformats.org/officeDocument/2006/relationships/hyperlink" Target="https://doi.org/10.1016/j.actaastro.2023.01.040" TargetMode="External"/><Relationship Id="rId149" Type="http://schemas.openxmlformats.org/officeDocument/2006/relationships/hyperlink" Target="https://doi.org/10.1016/j.actaastro.2024.07.022" TargetMode="External"/><Relationship Id="rId153" Type="http://schemas.openxmlformats.org/officeDocument/2006/relationships/hyperlink" Target="https://doi.org/10.1016/j.actaastro.2025.01.035" TargetMode="External"/><Relationship Id="rId143" Type="http://schemas.openxmlformats.org/officeDocument/2006/relationships/hyperlink" Target="https://doi.org/10.1016/j.actaastro.2025.01.069" TargetMode="External"/><Relationship Id="rId141" Type="http://schemas.openxmlformats.org/officeDocument/2006/relationships/hyperlink" Target="https://doi.org/10.1016/j.actaastro.2025.04.038" TargetMode="External"/><Relationship Id="rId147" Type="http://schemas.openxmlformats.org/officeDocument/2006/relationships/hyperlink" Target="https://doi.org/10.1016/j.actaastro.2025.08.050" TargetMode="External"/><Relationship Id="rId151" Type="http://schemas.openxmlformats.org/officeDocument/2006/relationships/hyperlink" Target="https://doi.org/10.1016/j.actaastro.2025.10.065" TargetMode="External"/><Relationship Id="rId133" Type="http://schemas.openxmlformats.org/officeDocument/2006/relationships/hyperlink" Target="https://doi.org/10.64861/UHIX1013" TargetMode="External"/><Relationship Id="rId130" Type="http://schemas.openxmlformats.org/officeDocument/2006/relationships/hyperlink" Target="https://doi.org/10.64861/ZFDQ4641" TargetMode="External"/></Relationships>
</file>

<file path=word/_rels/footnotes.xml.rels><?xml version='1.0' encoding='UTF-8' standalone='yes'?>
<Relationships xmlns="http://schemas.openxmlformats.org/package/2006/relationships"><Relationship Id="rId145" Type="http://schemas.openxmlformats.org/officeDocument/2006/relationships/hyperlink" Target="https://doi.org/10.1016/j.actaastro.2022.05.022" TargetMode="External"/><Relationship Id="rId139" Type="http://schemas.openxmlformats.org/officeDocument/2006/relationships/hyperlink" Target="https://doi.org/10.1016/j.actaastro.2023.01.040" TargetMode="External"/><Relationship Id="rId149" Type="http://schemas.openxmlformats.org/officeDocument/2006/relationships/hyperlink" Target="https://doi.org/10.1016/j.actaastro.2024.07.022" TargetMode="External"/><Relationship Id="rId153" Type="http://schemas.openxmlformats.org/officeDocument/2006/relationships/hyperlink" Target="https://doi.org/10.1016/j.actaastro.2025.01.035" TargetMode="External"/><Relationship Id="rId143" Type="http://schemas.openxmlformats.org/officeDocument/2006/relationships/hyperlink" Target="https://doi.org/10.1016/j.actaastro.2025.01.069" TargetMode="External"/><Relationship Id="rId141" Type="http://schemas.openxmlformats.org/officeDocument/2006/relationships/hyperlink" Target="https://doi.org/10.1016/j.actaastro.2025.04.038" TargetMode="External"/><Relationship Id="rId147" Type="http://schemas.openxmlformats.org/officeDocument/2006/relationships/hyperlink" Target="https://doi.org/10.1016/j.actaastro.2025.08.050" TargetMode="External"/><Relationship Id="rId151" Type="http://schemas.openxmlformats.org/officeDocument/2006/relationships/hyperlink" Target="https://doi.org/10.1016/j.actaastro.2025.10.065" TargetMode="External"/><Relationship Id="rId133" Type="http://schemas.openxmlformats.org/officeDocument/2006/relationships/hyperlink" Target="https://doi.org/10.64861/UHIX1013" TargetMode="External"/><Relationship Id="rId130" Type="http://schemas.openxmlformats.org/officeDocument/2006/relationships/hyperlink" Target="https://doi.org/10.64861/ZFDQ46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Framing the Limit: Does Gain-Versus-Loss Framing of Carrying-Capacity Estimates</dc:title>
  <dc:creator>Joon Mwangi (1B-SUS-230)</dc:creator>
  <cp:keywords/>
  <dcterms:created xsi:type="dcterms:W3CDTF">2026-07-03T02:10:08Z</dcterms:created>
  <dcterms:modified xsi:type="dcterms:W3CDTF">2026-07-03T02:10:08Z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