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70bbad74bcf1cc4a1713978924eb200006b5be7"/>
    <w:p>
      <w:pPr>
        <w:pStyle w:val="Heading1"/>
      </w:pPr>
      <w:r>
        <w:t xml:space="preserve">Signal Intensity in Cooperate or Collide A Cliometric Test of Whether Cooperative SSA Sharing Episo: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Vincent Larsson (1B-SUS-214) and the dissertation project</w:t>
      </w:r>
      <w:r>
        <w:t xml:space="preserve"> </w:t>
      </w:r>
      <w:r>
        <w:rPr>
          <w:i/>
          <w:iCs/>
        </w:rPr>
        <w:t xml:space="preserve">Cooperate or Collide: A Cliometric Test of Whether Cooperative SSA Sharing Episo</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R2=0.17225582765077607, R2_adj=0.0767468846874041, F=1.6131585122392496, F_p=0.21042748564244879. The exact term summary is: const coef=3.408839452295215 p=0.003484940572539672; recency_index coef=0.10700603005903214 p=0.21197083312052234; cites_num coef=-0.011052310038844902 p=0.7989267938530581; venue_score coef=-1.050611302222688 p=0.0331265200157451.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T.S. Kelso, Center for Space Standards and Innovation. Analysis of the Iridium 33-Cosmos 2251 Collision (2009). [AMOS]</w:t>
      </w:r>
      <w:r>
        <w:t xml:space="preserve"> </w:t>
      </w:r>
      <w:bookmarkStart w:id="68" w:name="ref-2"/>
      <w:bookmarkEnd w:id="68"/>
      <w:r>
        <w:t xml:space="preserve">2. Jaedong Seong, Korea Aerospace Research Institute (KARI); Okchul Jung, Korea Aerospace Research Institute (KARI); Dae Won Chung, Korea Aerospace Research Institute (KARI). KARI Recent Activities on SSA &amp; STM (2019). [AMOS]</w:t>
      </w:r>
      <w:r>
        <w:t xml:space="preserve"> </w:t>
      </w:r>
      <w:bookmarkStart w:id="69" w:name="ref-3"/>
      <w:bookmarkEnd w:id="69"/>
      <w:r>
        <w:t xml:space="preserve">3. Kipp M. Johnson (Systems Engineer, SASSA Program), Captain Farakh Zaman (Program Manager, SASSA Program). Adding the “Local” Layer to Space Situational Awareness (2012). [AMOS]</w:t>
      </w:r>
      <w:r>
        <w:t xml:space="preserve"> </w:t>
      </w:r>
      <w:bookmarkStart w:id="70" w:name="ref-4"/>
      <w:bookmarkEnd w:id="70"/>
      <w:r>
        <w:t xml:space="preserve">4. S Shivshankar, Indian Institute of Science; Debasish Ghose, Indian Institute of Science. Time-to-Event Data (Survival Analysis) based Modelling of Maneuver Occurrence of Non-Cooperative Satellites (2023). doi:</w:t>
      </w:r>
      <w:r>
        <w:t xml:space="preserve"> </w:t>
      </w:r>
      <w:hyperlink r:id="rId71">
        <w:r>
          <w:rPr>
            <w:rStyle w:val="Hyperlink"/>
          </w:rPr>
          <w:t xml:space="preserve">10.64861/LPFK9568</w:t>
        </w:r>
      </w:hyperlink>
      <w:r>
        <w:t xml:space="preserve"> </w:t>
      </w:r>
      <w:bookmarkStart w:id="72" w:name="ref-5"/>
      <w:bookmarkEnd w:id="72"/>
      <w:r>
        <w:t xml:space="preserve">5. Brian Weeden (Secure World Foundation), Paul Cefola (University at Buffalo, SUNY), Jaganath Sankaran (University of Maryland). Global Space Situational Awareness Sensors (2010). [AMOS]</w:t>
      </w:r>
      <w:r>
        <w:t xml:space="preserve"> </w:t>
      </w:r>
      <w:bookmarkStart w:id="73" w:name="ref-6"/>
      <w:bookmarkEnd w:id="73"/>
      <w:r>
        <w:t xml:space="preserve">6.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74">
        <w:r>
          <w:rPr>
            <w:rStyle w:val="Hyperlink"/>
          </w:rPr>
          <w:t xml:space="preserve">10.64861/OTAL2562</w:t>
        </w:r>
      </w:hyperlink>
      <w:r>
        <w:t xml:space="preserve"> </w:t>
      </w:r>
      <w:bookmarkStart w:id="75" w:name="ref-7"/>
      <w:bookmarkEnd w:id="75"/>
      <w:r>
        <w:t xml:space="preserve">7. Brittany Morreale, United States Air Force, Travis Bessell, National Security and Intelligence, Surveillance, and Reconnaissance Division – Defence Science and Technology Group, Mark Rutten, National Security and Intelligence, Surveillance, and Reconnaissance Division – Defence Science and Technology Group, Brian Cheung, National Security and Intelligence, Surveillance, and Reconnaissance Division – Defence Science and Technology Group. Australian Space Situational Awareness Capability Demonstrations (2017). [AMOS]</w:t>
      </w:r>
      <w:r>
        <w:t xml:space="preserve"> </w:t>
      </w:r>
      <w:bookmarkStart w:id="76" w:name="ref-8"/>
      <w:bookmarkEnd w:id="76"/>
      <w:r>
        <w:t xml:space="preserve">8. Nathaniel Dailey, MITRE &amp; Space Force Association; Braden McGrath, MITRE Australia; Harvey Reed, MITRE; Jonathon Wotton, MITRE Australia. Global Space Domain Awareness, Partnering to Win with AUKUS (2023). doi:</w:t>
      </w:r>
      <w:r>
        <w:t xml:space="preserve"> </w:t>
      </w:r>
      <w:hyperlink r:id="rId77">
        <w:r>
          <w:rPr>
            <w:rStyle w:val="Hyperlink"/>
          </w:rPr>
          <w:t xml:space="preserve">10.64861/FWBL2094</w:t>
        </w:r>
      </w:hyperlink>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3.4088</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2.9214</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[1.1218, 5.6958]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1.2482</w:t>
            </w:r>
          </w:p>
        </w:tc>
        <w:tc>
          <w:tcPr>
            <w:tcW w:w="0" w:type="auto"/>
          </w:tcPr>
          <w:p>
            <w:pPr>
              <w:spacing w:line="240" w:lineRule="auto" w:before="0" w:after="0"/>
              <w:pStyle w:val="Compact"/>
            </w:pPr>
            <w:r>
              <w:rPr>
                <w:sz w:val="20"/>
                <w:szCs w:val="20"/>
              </w:rPr>
              <w:t xml:space="preserve">0.212</w:t>
            </w:r>
          </w:p>
        </w:tc>
        <w:tc>
          <w:tcPr>
            <w:tcW w:w="0" w:type="auto"/>
          </w:tcPr>
          <w:p>
            <w:pPr>
              <w:spacing w:line="240" w:lineRule="auto" w:before="0" w:after="0"/>
              <w:pStyle w:val="Compact"/>
            </w:pPr>
            <w:r>
              <w:rPr>
                <w:sz w:val="20"/>
                <w:szCs w:val="20"/>
              </w:rPr>
              <w:t xml:space="preserve">[-0.061,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0.0434</w:t>
            </w:r>
          </w:p>
        </w:tc>
        <w:tc>
          <w:tcPr>
            <w:tcW w:w="0" w:type="auto"/>
          </w:tcPr>
          <w:p>
            <w:pPr>
              <w:spacing w:line="240" w:lineRule="auto" w:before="0" w:after="0"/>
              <w:pStyle w:val="Compact"/>
            </w:pPr>
            <w:r>
              <w:rPr>
                <w:sz w:val="20"/>
                <w:szCs w:val="20"/>
              </w:rPr>
              <w:t xml:space="preserve">-0.2547</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[-0.0961, 0.074]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-1.0506</w:t>
            </w:r>
          </w:p>
        </w:tc>
        <w:tc>
          <w:tcPr>
            <w:tcW w:w="0" w:type="auto"/>
          </w:tcPr>
          <w:p>
            <w:pPr>
              <w:spacing w:line="240" w:lineRule="auto" w:before="0" w:after="0"/>
              <w:pStyle w:val="Compact"/>
            </w:pPr>
            <w:r>
              <w:rPr>
                <w:sz w:val="20"/>
                <w:szCs w:val="20"/>
              </w:rPr>
              <w:t xml:space="preserve">0.4931</w:t>
            </w:r>
          </w:p>
        </w:tc>
        <w:tc>
          <w:tcPr>
            <w:tcW w:w="0" w:type="auto"/>
          </w:tcPr>
          <w:p>
            <w:pPr>
              <w:spacing w:line="240" w:lineRule="auto" w:before="0" w:after="0"/>
              <w:pStyle w:val="Compact"/>
            </w:pPr>
            <w:r>
              <w:rPr>
                <w:sz w:val="20"/>
                <w:szCs w:val="20"/>
              </w:rPr>
              <w:t xml:space="preserve">-2.1305</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[-2.0171, -0.0841]</w:t>
            </w:r>
          </w:p>
        </w:tc>
      </w:tr>
    </w:tbl>
    <w:p>
      <w:pPr>
        <w:pStyle w:val="BodyText"/>
      </w:pPr>
      <w:r>
        <w:t xml:space="preserve">Fit: N = 30 R2 = 0.1723 R2_adj = 0.0767 F = 1.6132 F_p = 0.2104</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USTAINABILITY_INSTITUTIONS_12\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https://amostech.space/year/2009/analysis-of-the-iridium-33-cosmos-2251-collision/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https://amostech.space/year/2012/adding-the-local-layer-to-space-situational-awareness/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10.64861/LPFK9568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https://amostech.space/year/2017/australian-space-situational-awareness-capability-demonstrations/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https://amostech.space/year/2008/improved-conjunction-analysis-via-collaborative-space-situational-awareness/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https://amostech.space/year/2022/advances-of-arianegroup-capabilities-for-laser-optical-observation-of-leo-objects/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10.1016/j.actaastro.2022.10.050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3.4088</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2.9214</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[1.1218, 5.6958]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1.2482</w:t>
            </w:r>
          </w:p>
        </w:tc>
        <w:tc>
          <w:tcPr>
            <w:tcW w:w="0" w:type="auto"/>
          </w:tcPr>
          <w:p>
            <w:pPr>
              <w:spacing w:line="240" w:lineRule="auto" w:before="0" w:after="0"/>
              <w:pStyle w:val="Compact"/>
            </w:pPr>
            <w:r>
              <w:rPr>
                <w:sz w:val="20"/>
                <w:szCs w:val="20"/>
              </w:rPr>
              <w:t xml:space="preserve">0.212</w:t>
            </w:r>
          </w:p>
        </w:tc>
        <w:tc>
          <w:tcPr>
            <w:tcW w:w="0" w:type="auto"/>
          </w:tcPr>
          <w:p>
            <w:pPr>
              <w:spacing w:line="240" w:lineRule="auto" w:before="0" w:after="0"/>
              <w:pStyle w:val="Compact"/>
            </w:pPr>
            <w:r>
              <w:rPr>
                <w:sz w:val="20"/>
                <w:szCs w:val="20"/>
              </w:rPr>
              <w:t xml:space="preserve">[-0.061,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0.0434</w:t>
            </w:r>
          </w:p>
        </w:tc>
        <w:tc>
          <w:tcPr>
            <w:tcW w:w="0" w:type="auto"/>
          </w:tcPr>
          <w:p>
            <w:pPr>
              <w:spacing w:line="240" w:lineRule="auto" w:before="0" w:after="0"/>
              <w:pStyle w:val="Compact"/>
            </w:pPr>
            <w:r>
              <w:rPr>
                <w:sz w:val="20"/>
                <w:szCs w:val="20"/>
              </w:rPr>
              <w:t xml:space="preserve">-0.2547</w:t>
            </w:r>
          </w:p>
        </w:tc>
        <w:tc>
          <w:tcPr>
            <w:tcW w:w="0" w:type="auto"/>
          </w:tcPr>
          <w:p>
            <w:pPr>
              <w:spacing w:line="240" w:lineRule="auto" w:before="0" w:after="0"/>
              <w:pStyle w:val="Compact"/>
            </w:pPr>
            <w:r>
              <w:rPr>
                <w:sz w:val="20"/>
                <w:szCs w:val="20"/>
              </w:rPr>
              <w:t xml:space="preserve">0.7989</w:t>
            </w:r>
          </w:p>
        </w:tc>
        <w:tc>
          <w:tcPr>
            <w:tcW w:w="0" w:type="auto"/>
          </w:tcPr>
          <w:p>
            <w:pPr>
              <w:spacing w:line="240" w:lineRule="auto" w:before="0" w:after="0"/>
              <w:pStyle w:val="Compact"/>
            </w:pPr>
            <w:r>
              <w:rPr>
                <w:sz w:val="20"/>
                <w:szCs w:val="20"/>
              </w:rPr>
              <w:t xml:space="preserve">[-0.0961, 0.074]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-1.0506</w:t>
            </w:r>
          </w:p>
        </w:tc>
        <w:tc>
          <w:tcPr>
            <w:tcW w:w="0" w:type="auto"/>
          </w:tcPr>
          <w:p>
            <w:pPr>
              <w:spacing w:line="240" w:lineRule="auto" w:before="0" w:after="0"/>
              <w:pStyle w:val="Compact"/>
            </w:pPr>
            <w:r>
              <w:rPr>
                <w:sz w:val="20"/>
                <w:szCs w:val="20"/>
              </w:rPr>
              <w:t xml:space="preserve">0.4931</w:t>
            </w:r>
          </w:p>
        </w:tc>
        <w:tc>
          <w:tcPr>
            <w:tcW w:w="0" w:type="auto"/>
          </w:tcPr>
          <w:p>
            <w:pPr>
              <w:spacing w:line="240" w:lineRule="auto" w:before="0" w:after="0"/>
              <w:pStyle w:val="Compact"/>
            </w:pPr>
            <w:r>
              <w:rPr>
                <w:sz w:val="20"/>
                <w:szCs w:val="20"/>
              </w:rPr>
              <w:t xml:space="preserve">-2.1305</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[-2.0171, -0.0841]</w:t>
            </w:r>
          </w:p>
        </w:tc>
      </w:tr>
    </w:tbl>
    <w:p>
      <w:pPr>
        <w:pStyle w:val="BodyText"/>
      </w:pPr>
      <w:r>
        <w:t xml:space="preserve">Fit: N = 30 R2 = 0.1723 R2_adj = 0.0767 F = 1.6132 F_p = 0.2104</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FWBL2094" TargetMode="External" /><Relationship Type="http://schemas.openxmlformats.org/officeDocument/2006/relationships/hyperlink" Id="rId71" Target="https://doi.org/10.64861/LPFK9568" TargetMode="External" /><Relationship Type="http://schemas.openxmlformats.org/officeDocument/2006/relationships/hyperlink" Id="rId74"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FWBL2094" TargetMode="External" /><Relationship Type="http://schemas.openxmlformats.org/officeDocument/2006/relationships/hyperlink" Id="rId71" Target="https://doi.org/10.64861/LPFK9568" TargetMode="External" /><Relationship Type="http://schemas.openxmlformats.org/officeDocument/2006/relationships/hyperlink" Id="rId74"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2026-06-29T09:42:19Z</dcterms:created>
  <dcterms:modified xsi:type="dcterms:W3CDTF">2026-06-29T09:42:19Z</dcterms:modified>
</cp:coreProperties>
</file>

<file path=docProps/custom.xml><?xml version="1.0" encoding="utf-8"?>
<Properties xmlns="http://schemas.openxmlformats.org/officeDocument/2006/custom-properties" xmlns:vt="http://schemas.openxmlformats.org/officeDocument/2006/docPropsVTypes"/>
</file>