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COOPERATE OR COLLIDE: A CLIOMETRIC TEST OF WHETHER COOPERATIVE SSA SHARING EPISO</w:t>
      </w:r>
    </w:p>
    <w:p>
      <w:pPr>
        <w:jc w:val="center"/>
      </w:pPr>
    </w:p>
    <w:p>
      <w:pPr>
        <w:jc w:val="center"/>
      </w:pPr>
      <w:r>
        <w:rPr>
          <w:rFonts w:ascii="Times New Roman" w:hAnsi="Times New Roman"/>
          <w:sz w:val="24"/>
        </w:rPr>
        <w:t>by</w:t>
      </w:r>
    </w:p>
    <w:p>
      <w:pPr>
        <w:jc w:val="center"/>
      </w:pPr>
      <w:r>
        <w:rPr>
          <w:rFonts w:ascii="Times New Roman" w:hAnsi="Times New Roman"/>
          <w:b/>
          <w:sz w:val="28"/>
        </w:rPr>
        <w:t>Vincent Larsson</w:t>
      </w:r>
    </w:p>
    <w:p>
      <w:pPr>
        <w:jc w:val="center"/>
      </w:pPr>
      <w:r>
        <w:rPr>
          <w:rFonts w:ascii="Times New Roman" w:hAnsi="Times New Roman"/>
          <w:sz w:val="24"/>
        </w:rPr>
        <w:t>1B-SUS-214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chapter-1.-introduction"/>
    <w:p>
      <w:pPr>
        <w:pStyle w:val="Heading1"/>
        <w:spacing w:line="480" w:lineRule="auto"/>
      </w:pPr>
      <w:r>
        <w:t xml:space="preserve">Chapter 1. Introduction</w:t>
      </w:r>
    </w:p>
    <w:p>
      <w:pPr>
        <w:pStyle w:val="FirstParagraph"/>
        <w:spacing w:line="480" w:lineRule="auto"/>
      </w:pPr>
      <w:r>
        <w:t xml:space="preserve">Space governance has a timing problem. A collision, a near miss, or a suspicious maneuver becomes visible in the technical record long before states agree on the rule that should govern the behavior. The Iridium 33 and Cosmos 2251 collision of 2009 sat in engineering analysis for years before it hardened into a settled reference point for how crowded low Earth orbit had become</w:t>
      </w:r>
      <w:r>
        <w:t xml:space="preserve"> </w:t>
      </w:r>
      <w:hyperlink w:anchor="ref-1">
        <w:r>
          <w:rPr>
            <w:rStyle w:val="Hyperlink"/>
          </w:rPr>
          <w:t xml:space="preserve">[1]</w:t>
        </w:r>
      </w:hyperlink>
      <w:r>
        <w:t xml:space="preserve">. That lag between visibility and rule is the practical puzzle behind this dissertation. Vincent Larsson’s project,</w:t>
      </w:r>
      <w:r>
        <w:t xml:space="preserve"> </w:t>
      </w:r>
      <w:r>
        <w:rPr>
          <w:i/>
          <w:iCs/>
        </w:rPr>
        <w:t xml:space="preserve">Cooperate or Collide: A Cliometric Test of Whether Cooperative SSA Sharing Episodes Leave a Measurable Signal</w:t>
      </w:r>
      <w:r>
        <w:t xml:space="preserve">, takes that lag and asks whether it can be studied with evidence a reader can inspect, rather than with the confident narrative that usually fills the gap.</w:t>
      </w:r>
    </w:p>
    <w:p>
      <w:pPr>
        <w:pStyle w:val="BodyText"/>
        <w:spacing w:line="480" w:lineRule="auto"/>
        <w:ind w:firstLine="720"/>
      </w:pPr>
      <w:r>
        <w:t xml:space="preserve">Begin with the plain fact. The question is deliberately modest. It does not ask whether cooperation in space situational awareness is good, or whether shared sensor networks reduce conjunction risk. Those are important questions, and the operational literature already treats them at length</w:t>
      </w:r>
      <w:r>
        <w:t xml:space="preserve"> </w:t>
      </w:r>
      <w:hyperlink w:anchor="ref-5">
        <w:r>
          <w:rPr>
            <w:rStyle w:val="Hyperlink"/>
          </w:rPr>
          <w:t xml:space="preserve">[5]</w:t>
        </w:r>
      </w:hyperlink>
      <w:r>
        <w:t xml:space="preserve"> </w:t>
      </w:r>
      <w:hyperlink w:anchor="ref-6">
        <w:r>
          <w:rPr>
            <w:rStyle w:val="Hyperlink"/>
          </w:rPr>
          <w:t xml:space="preserve">[6]</w:t>
        </w:r>
      </w:hyperlink>
      <w:r>
        <w:t xml:space="preserve">. This dissertation asks something narrower and more testable: does the candidate topic leave a detectable trace in the timing, the citation attention, and the venue structure of the documents that discuss it? If cooperative sharing has become a live governance concern, the retrieved record should show it. If it has not, the record should stay flat, and the honest conclusion is that the signal is weak.</w:t>
      </w:r>
    </w:p>
    <w:p>
      <w:pPr>
        <w:pStyle w:val="BodyText"/>
        <w:spacing w:line="480" w:lineRule="auto"/>
        <w:ind w:firstLine="720"/>
      </w:pPr>
      <w:r>
        <w:t xml:space="preserve">That framing carries a cost the candidate accepts openly. A design that reports only what documentary and bibliometric evidence can support will disappoint anyone hoping for a sweeping verdict on space cooperation. The payoff is trust. Every number in this dissertation comes from an auditable workbook, every citation resolves to a reference the reader can locate, and every interpretation is bounded by the precision of the estimate that supports it. The project chooses reproducibility over reach.</w:t>
      </w:r>
    </w:p>
    <w:bookmarkStart w:id="61" w:name="the-problem-and-its-stakes"/>
    <w:p>
      <w:pPr>
        <w:pStyle w:val="Heading2"/>
        <w:spacing w:line="480" w:lineRule="auto"/>
      </w:pPr>
      <w:r>
        <w:t xml:space="preserve">1.1 The problem and its stakes</w:t>
      </w:r>
    </w:p>
    <w:p>
      <w:pPr>
        <w:pStyle w:val="FirstParagraph"/>
        <w:spacing w:line="480" w:lineRule="auto"/>
      </w:pPr>
      <w:r>
        <w:t xml:space="preserve">The stakes are institutional, not only technical. Sensors detect debris and maneuvers; institutions decide what those detections mean and what rule should follow. The distance between those two activities is where governance either sharpens or drifts. Kelso’s forensic reconstruction of the 2009 collision showed exactly how much operational detail can exist before a coordinated response takes shape</w:t>
      </w:r>
      <w:r>
        <w:t xml:space="preserve"> </w:t>
      </w:r>
      <w:hyperlink w:anchor="ref-1">
        <w:r>
          <w:rPr>
            <w:rStyle w:val="Hyperlink"/>
          </w:rPr>
          <w:t xml:space="preserve">[1]</w:t>
        </w:r>
      </w:hyperlink>
      <w:r>
        <w:t xml:space="preserve">. National programs have since built local sensing layers to close part of that distance, adding regional coverage where global catalogs were thin</w:t>
      </w:r>
      <w:r>
        <w:t xml:space="preserve"> </w:t>
      </w:r>
      <w:hyperlink w:anchor="ref-3">
        <w:r>
          <w:rPr>
            <w:rStyle w:val="Hyperlink"/>
          </w:rPr>
          <w:t xml:space="preserve">[3]</w:t>
        </w:r>
      </w:hyperlink>
      <w:r>
        <w:t xml:space="preserve">. Yet coverage is not coordination. A country can see more of orbit without agreeing with its neighbors on what to do about what it sees.</w:t>
      </w:r>
    </w:p>
    <w:p>
      <w:pPr>
        <w:pStyle w:val="BodyText"/>
        <w:spacing w:line="480" w:lineRule="auto"/>
        <w:ind w:firstLine="720"/>
      </w:pPr>
      <w:r>
        <w:t xml:space="preserve">Cooperative arrangements are supposed to bridge that divide. Korea’s aerospace agency has documented a decade of activity linking situational awareness work to traffic management goals, treating data sharing as a governance instrument rather than a purely engineering one</w:t>
      </w:r>
      <w:r>
        <w:t xml:space="preserve"> </w:t>
      </w:r>
      <w:hyperlink w:anchor="ref-2">
        <w:r>
          <w:rPr>
            <w:rStyle w:val="Hyperlink"/>
          </w:rPr>
          <w:t xml:space="preserve">[2]</w:t>
        </w:r>
      </w:hyperlink>
      <w:r>
        <w:t xml:space="preserve">. Australia’s demonstrations of situational awareness capability were framed around partnership and interoperability, not sovereign capability alone</w:t>
      </w:r>
      <w:r>
        <w:t xml:space="preserve"> </w:t>
      </w:r>
      <w:hyperlink w:anchor="ref-6">
        <w:r>
          <w:rPr>
            <w:rStyle w:val="Hyperlink"/>
          </w:rPr>
          <w:t xml:space="preserve">[6]</w:t>
        </w:r>
      </w:hyperlink>
      <w:r>
        <w:t xml:space="preserve">. These episodes are the raw material of the dissertation’s question. Each is a candidate instance of cooperation leaving a documentary trace.</w:t>
      </w:r>
    </w:p>
    <w:p>
      <w:pPr>
        <w:pStyle w:val="BodyText"/>
        <w:spacing w:line="480" w:lineRule="auto"/>
        <w:ind w:firstLine="720"/>
      </w:pPr>
      <w:r>
        <w:t xml:space="preserve">Why does the trace matter? Because policy communities routinely assert that cooperation is rising without showing the measurement behind the claim. A dissertation that converts the assertion into a falsifiable test does real work. It tells a later analyst which signals are strong enough to build on and which are too faint to carry weight. That is a smaller contribution than a grand theory of space order, and it is a more durable one.</w:t>
      </w:r>
    </w:p>
    <w:p>
      <w:pPr>
        <w:pStyle w:val="BodyText"/>
        <w:spacing w:line="480" w:lineRule="auto"/>
        <w:ind w:firstLine="720"/>
      </w:pPr>
      <w:r>
        <w:t xml:space="preserve">The problem also has a coalition dimension that raises the stakes further. Recent work on partnered domain awareness under trilateral security arrangements shows that data sharing is now a matter of alliance strategy, not merely engineering convenience</w:t>
      </w:r>
      <w:r>
        <w:t xml:space="preserve"> </w:t>
      </w:r>
      <w:hyperlink w:anchor="ref-7">
        <w:r>
          <w:rPr>
            <w:rStyle w:val="Hyperlink"/>
          </w:rPr>
          <w:t xml:space="preserve">[7]</w:t>
        </w:r>
      </w:hyperlink>
      <w:r>
        <w:t xml:space="preserve">. When cooperation becomes an instrument of statecraft, the incentive to overclaim its extent grows, and the value of an independent measurement grows with it. A field that cannot distinguish real cooperation from asserted cooperation cannot govern itself well.</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This dissertation makes one claim that can be proven wrong. The claim is stated as a null and an alternative, so that failure is legible.</w:t>
      </w:r>
    </w:p>
    <w:p>
      <w:pPr>
        <w:pStyle w:val="BodyText"/>
        <w:spacing w:line="480" w:lineRule="auto"/>
        <w:ind w:firstLine="720"/>
      </w:pPr>
      <w:r>
        <w:t xml:space="preserve">The null hypothesis holds that the candidate topic signal is unrelated to publication recency, to citation attention, and to venue family in the retrieved source corpus. Under the null, the documents that discuss cooperative sharing scatter across time, attention, and venue with no discernible structure. The alternative holds that the signal is systematically related to at least one of those dimensions, so that newer work, more cited work, or work in a particular venue family shows a distinguishable topic intensity.</w:t>
      </w:r>
    </w:p>
    <w:p>
      <w:pPr>
        <w:pStyle w:val="BodyText"/>
        <w:spacing w:line="480" w:lineRule="auto"/>
        <w:ind w:firstLine="720"/>
      </w:pPr>
      <w:r>
        <w:t xml:space="preserve">Two empirical papers operationalize the test. The first models topic-signal intensity as a function of recency, citation count, and venue family across the retrieved records. The second models citation accumulation as a function of document age, using a log-log learning-curve form to ask whether attention grows or fades with time. Neither paper settles the policy question. Together they discipline the evidence and show, field by field and coefficient by coefficient, where structure exists and where it does not</w:t>
      </w:r>
      <w:r>
        <w:t xml:space="preserve"> </w:t>
      </w:r>
      <w:hyperlink w:anchor="ref-4">
        <w:r>
          <w:rPr>
            <w:rStyle w:val="Hyperlink"/>
          </w:rPr>
          <w:t xml:space="preserve">[4]</w:t>
        </w:r>
      </w:hyperlink>
      <w:r>
        <w:t xml:space="preserve">.</w:t>
      </w:r>
    </w:p>
    <w:p>
      <w:pPr>
        <w:pStyle w:val="BodyText"/>
        <w:spacing w:line="480" w:lineRule="auto"/>
        <w:ind w:firstLine="720"/>
      </w:pPr>
      <w:r>
        <w:t xml:space="preserve">The contribution is falsifiable precisely because it can return null. If both models produce weak, imprecise coefficients, the dissertation reports that the retrieved corpus does not carry the signal, and it says so without hedging. A design that can only confirm is not science. This one can disconfirm, and Chapter 6 shows that on several terms it does exactly that.</w:t>
      </w:r>
    </w:p>
    <w:bookmarkEnd w:id="62"/>
    <w:bookmarkStart w:id="63" w:name="why-cliometrics-and-why-now"/>
    <w:p>
      <w:pPr>
        <w:pStyle w:val="Heading2"/>
        <w:spacing w:line="480" w:lineRule="auto"/>
      </w:pPr>
      <w:r>
        <w:t xml:space="preserve">1.3 Why cliometrics, and why now</w:t>
      </w:r>
    </w:p>
    <w:p>
      <w:pPr>
        <w:pStyle w:val="FirstParagraph"/>
        <w:spacing w:line="480" w:lineRule="auto"/>
      </w:pPr>
      <w:r>
        <w:t xml:space="preserve">Cliometrics borrows the discipline of quantitative economic history and applies it to a domain that usually resists numbers. The method insists that a claim about the past be tied to a measurable series and an estimator, not to a persuasive story. Applied to space governance, it forces a specific and useful humility: the analyst may only claim what the retained records will support under a stated model.</w:t>
      </w:r>
    </w:p>
    <w:p>
      <w:pPr>
        <w:pStyle w:val="BodyText"/>
        <w:spacing w:line="480" w:lineRule="auto"/>
        <w:ind w:firstLine="720"/>
      </w:pPr>
      <w:r>
        <w:t xml:space="preserve">The timing is right for two reasons. First, the documentary base has thickened. Peer-reviewed venues now carry substantial work on traffic management, collision avoidance, and the governance of shared awareness, where a decade ago the record was thinner and more scattered</w:t>
      </w:r>
      <w:r>
        <w:t xml:space="preserve"> </w:t>
      </w:r>
      <w:hyperlink w:anchor="ref-8">
        <w:r>
          <w:rPr>
            <w:rStyle w:val="Hyperlink"/>
          </w:rPr>
          <w:t xml:space="preserve">[8]</w:t>
        </w:r>
      </w:hyperlink>
      <w:r>
        <w:t xml:space="preserve"> </w:t>
      </w:r>
      <w:hyperlink w:anchor="ref-13">
        <w:r>
          <w:rPr>
            <w:rStyle w:val="Hyperlink"/>
          </w:rPr>
          <w:t xml:space="preserve">[13]</w:t>
        </w:r>
      </w:hyperlink>
      <w:r>
        <w:t xml:space="preserve">. Second, the tooling for auditable analysis has matured. It is now practical to build a deterministic workbook that reads a source corpus, constructs variables by fixed rules, runs an estimator, and preserves the provenance of every row. The candidate uses that capability to keep the evidentiary chain inspectable from source to coefficient.</w:t>
      </w:r>
    </w:p>
    <w:p>
      <w:pPr>
        <w:pStyle w:val="BodyText"/>
        <w:spacing w:line="480" w:lineRule="auto"/>
        <w:ind w:firstLine="720"/>
      </w:pPr>
      <w:r>
        <w:t xml:space="preserve">There is a further reason to prefer this posture. Space cooperation is a topic where advocacy is cheap and measurement is scarce. Actors have incentives to claim that sharing is expanding, whether or not the record bears them out. A cliometric design cannot be captured by advocacy, because it reports the estimate regardless of what the estimate says. That resistance to motivated reasoning is the method’s chief virtue here.</w:t>
      </w:r>
    </w:p>
    <w:bookmarkEnd w:id="63"/>
    <w:bookmarkStart w:id="64" w:name="scope-and-deliberate-limits"/>
    <w:p>
      <w:pPr>
        <w:pStyle w:val="Heading2"/>
        <w:spacing w:line="480" w:lineRule="auto"/>
      </w:pPr>
      <w:r>
        <w:t xml:space="preserve">1.4 Scope and deliberate limits</w:t>
      </w:r>
    </w:p>
    <w:p>
      <w:pPr>
        <w:pStyle w:val="FirstParagraph"/>
        <w:spacing w:line="480" w:lineRule="auto"/>
      </w:pPr>
      <w:r>
        <w:t xml:space="preserve">Several limits are built into the design and should be stated at the outset, so the reader calibrates expectations correctly. The corpus is a candidate-specific source corpus, not a census of all writing on space cooperation. Citation counts are local index measures rather than universal counts, and they will differ from figures a reader might pull from a commercial database. Venue-family coding is ordinal, distinguishing conference proceedings from journal articles from working papers, and it should not be read as a fine-grained quality ranking. The sample is thirty records, which is enough to estimate a small model and far too small to support strong causal claims.</w:t>
      </w:r>
    </w:p>
    <w:p>
      <w:pPr>
        <w:pStyle w:val="BodyText"/>
        <w:spacing w:line="480" w:lineRule="auto"/>
        <w:ind w:firstLine="720"/>
      </w:pPr>
      <w:r>
        <w:t xml:space="preserve">These limits are not defects to be hidden. They define what the dissertation can and cannot say. The design tests corpus structure, which is a real and checkable object, and it declines to test final policy impact, which the data cannot reach. Holding that line is the point. A reader who wants a verdict on whether cooperation prevents collisions will not find it here; a reader who wants to know whether the cooperation signal is measurable in the retrieved record, and how strong it is, will find a precise answer</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64"/>
    <w:bookmarkStart w:id="65" w:name="the-evidentiary-posture"/>
    <w:p>
      <w:pPr>
        <w:pStyle w:val="Heading2"/>
        <w:spacing w:line="480" w:lineRule="auto"/>
      </w:pPr>
      <w:r>
        <w:t xml:space="preserve">1.5 The evidentiary posture</w:t>
      </w:r>
    </w:p>
    <w:p>
      <w:pPr>
        <w:pStyle w:val="FirstParagraph"/>
        <w:spacing w:line="480" w:lineRule="auto"/>
      </w:pPr>
      <w:r>
        <w:t xml:space="preserve">It is worth dwelling on the posture this dissertation adopts toward evidence, because the posture is unusual in space policy writing and because it governs every choice that follows. Most policy analysis in this domain proceeds by assembling a persuasive case: a problem is named, examples are marshaled, and a recommendation is argued. That form has its uses, but it has a characteristic failure. It cannot distinguish a well-evidenced claim from a well-argued one, because the argument itself carries the persuasive weight, and a reader has no independent handle on whether the underlying evidence would support a weaker or stronger conclusion.</w:t>
      </w:r>
    </w:p>
    <w:p>
      <w:pPr>
        <w:pStyle w:val="BodyText"/>
        <w:spacing w:line="480" w:lineRule="auto"/>
        <w:ind w:firstLine="720"/>
      </w:pPr>
      <w:r>
        <w:t xml:space="preserve">The cliometric posture inverts that arrangement. The evidence is specified first, as a corpus and a set of variables constructed by fixed rules. The estimator is specified next, as a model whose output is determined by the data. Only then does interpretation enter, and interpretation is bounded by the precision of the estimate. Under this arrangement, a reader can check every step. The corpus is a file; the variables are constructed by documented rules; the estimator returns a coefficient with a standard error; and the interpretation may not exceed what that coefficient supports. The persuasive burden shifts from the author’s rhetoric to the data’s structure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inversion has a cost that recurs throughout the dissertation. A design that reports only what the data support will often report very little, and it will sometimes report nothing at all. Several coefficients in Chapter 6 are imprecise, and the honest reading of an imprecise coefficient is that the corpus does not support the claim the coefficient was meant to test. A reader accustomed to policy prose may find that disappointing. The alternative, however, is worse: a design that always finds something is a design that cannot be trusted to find nothing, and a design that cannot find nothing cannot find anything either. Falsifiability is not decoration here; it is the whole architecture.</w:t>
      </w:r>
    </w:p>
    <w:p>
      <w:pPr>
        <w:pStyle w:val="BodyText"/>
        <w:spacing w:line="480" w:lineRule="auto"/>
        <w:ind w:firstLine="720"/>
      </w:pPr>
      <w:r>
        <w:t xml:space="preserve">The posture also shapes how the dissertation treats its own sources. The literature is used to establish what is known, to supply the operational vocabulary, and to motivate the variables, but it is never used to substitute for measurement. When the operational record shows that cooperation is pursued, that establishes the phenomenon exists; it does not establish that the phenomenon leaves a measurable bibliometric signal</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gap between those two statements is the gap the dissertation measures, and keeping it open is a discipline the introduction commits to and the later chapters enforce.</w:t>
      </w:r>
    </w:p>
    <w:bookmarkEnd w:id="65"/>
    <w:bookmarkStart w:id="66" w:name="what-success-looks-like"/>
    <w:p>
      <w:pPr>
        <w:pStyle w:val="Heading2"/>
        <w:spacing w:line="480" w:lineRule="auto"/>
      </w:pPr>
      <w:r>
        <w:t xml:space="preserve">1.6 What success looks like</w:t>
      </w:r>
    </w:p>
    <w:p>
      <w:pPr>
        <w:pStyle w:val="FirstParagraph"/>
        <w:spacing w:line="480" w:lineRule="auto"/>
      </w:pPr>
      <w:r>
        <w:t xml:space="preserve">A design of this kind can succeed in either of two ways, and it is important to state both at the outset so that a null result is not mistaken for a failure. The first form of success is a precise finding: a coefficient that clears a conventional threshold and supports a bounded statement about corpus structure. Chapter 6 produces two such findings, on venue family and on document age, and each licenses a specific, checkable claim about how the retrieved record is organized.</w:t>
      </w:r>
    </w:p>
    <w:p>
      <w:pPr>
        <w:pStyle w:val="BodyText"/>
        <w:spacing w:line="480" w:lineRule="auto"/>
        <w:ind w:firstLine="720"/>
      </w:pPr>
      <w:r>
        <w:t xml:space="preserve">The second form of success is a precise null: a coefficient that is imprecise enough to rule out the structure the alternative hypothesis predicted. Chapter 6 produces those too, on citation attention and, more weakly, on recency. A precise null is genuine knowledge. It tells a later analyst that a particular assumption the field makes, that theme-dense documents are the cited ones, or that the topic concentrates cleanly in recent work, does not hold in this corpus at this sample size. Ruling out a false assumption is as much a contribution as confirming a true one, and a design that treats its nulls as failures throws away half of what it learns</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dissertation therefore measures its own success by a single standard: did it produce claims a reader can check, whether those claims are findings or nulls? By that standard the project succeeds, and the chapters that follow are structured to make the checking easy, from the literature that motivates the variables through the estimators that produce the coefficients to the discussion that bounds them.</w:t>
      </w:r>
    </w:p>
    <w:bookmarkEnd w:id="66"/>
    <w:bookmarkStart w:id="67" w:name="Xc3a3806178dbfcd38cf70d90b93af3a2b83b7e3"/>
    <w:p>
      <w:pPr>
        <w:pStyle w:val="Heading2"/>
        <w:spacing w:line="480" w:lineRule="auto"/>
      </w:pPr>
      <w:r>
        <w:t xml:space="preserve">1.7 The case against the intuitive alternative</w:t>
      </w:r>
    </w:p>
    <w:p>
      <w:pPr>
        <w:pStyle w:val="FirstParagraph"/>
        <w:spacing w:line="480" w:lineRule="auto"/>
      </w:pPr>
      <w:r>
        <w:t xml:space="preserve">There is an intuitive alternative to this dissertation’s design, and confronting it clarifies why the cliometric route is preferable. The intuitive alternative would proceed by case study: pick three or four prominent cooperation episodes, describe each in depth, and argue from their features to a general claim about whether cooperation is rising and whether it works. This is the dominant form in space policy scholarship, and it has real strengths. Depth of description captures nuance a coefficient cannot, and a well-chosen case can illuminate a mechanism vividly.</w:t>
      </w:r>
    </w:p>
    <w:p>
      <w:pPr>
        <w:pStyle w:val="BodyText"/>
        <w:spacing w:line="480" w:lineRule="auto"/>
        <w:ind w:firstLine="720"/>
      </w:pPr>
      <w:r>
        <w:t xml:space="preserve">The trouble is selection. A case-study analyst chooses which episodes to examine, and the choice is made with knowledge of what the episodes show. That knowledge, however careful the analyst, biases the sample toward episodes that fit the argument, and it gives the reader no independent handle on whether the un-chosen episodes would tell a different story. The Korean and Australian records, for instance, could each anchor a persuasive case for rising cooperation, but a case built on them would not reveal whether the broader record supports the same conclusion</w:t>
      </w:r>
      <w:r>
        <w:t xml:space="preserve"> </w:t>
      </w:r>
      <w:hyperlink w:anchor="ref-2">
        <w:r>
          <w:rPr>
            <w:rStyle w:val="Hyperlink"/>
          </w:rPr>
          <w:t xml:space="preserve">[2]</w:t>
        </w:r>
      </w:hyperlink>
      <w:r>
        <w:t xml:space="preserve"> </w:t>
      </w:r>
      <w:hyperlink w:anchor="ref-6">
        <w:r>
          <w:rPr>
            <w:rStyle w:val="Hyperlink"/>
          </w:rPr>
          <w:t xml:space="preserve">[6]</w:t>
        </w:r>
      </w:hyperlink>
      <w:r>
        <w:t xml:space="preserve">. Selection on the dependent variable is the characteristic weakness of the form, and it is exactly the weakness a corpus-level design avoids.</w:t>
      </w:r>
    </w:p>
    <w:p>
      <w:pPr>
        <w:pStyle w:val="BodyText"/>
        <w:spacing w:line="480" w:lineRule="auto"/>
        <w:ind w:firstLine="720"/>
      </w:pPr>
      <w:r>
        <w:t xml:space="preserve">The cliometric design trades depth for coverage and discretion for rule. It examines all thirty records, not a chosen few, and it constructs its variables by fixed rules rather than by interpretive judgment. The cost is real: no single record is described in the depth a case study would afford, and the coarse variables miss nuance a close reading would catch. The benefit is that the analyst cannot tilt the result by choosing what to look at, because the design looks at everything in the corpus and reports whatever the estimator returns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Neither form is strictly superior; they answer different questions. A case study answers how a particular episode worked. This design answers whether the record as a whole carries structure. The dissertation chooses the second question because it is the question the field has not asked in a checkable form, and because the answer, unlike a case study’s, cannot be an artifact of which episodes the author found most congenial</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67"/>
    <w:bookmarkStart w:id="68" w:name="roadmap"/>
    <w:p>
      <w:pPr>
        <w:pStyle w:val="Heading2"/>
        <w:spacing w:line="480" w:lineRule="auto"/>
      </w:pPr>
      <w:r>
        <w:t xml:space="preserve">1.8 Roadmap</w:t>
      </w:r>
    </w:p>
    <w:p>
      <w:pPr>
        <w:pStyle w:val="FirstParagraph"/>
        <w:spacing w:line="480" w:lineRule="auto"/>
      </w:pPr>
      <w:r>
        <w:t xml:space="preserve">The dissertation proceeds in eight chapters. This introduction has stated the problem, the stakes, the falsifiable contribution, and the limits. Chapter 2 situates the project against the prior literature, drawing the boundary between operational work on sensing and coordination and the measurement work this dissertation attempts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Chapter 3 develops the mechanism: why cooperative episodes might leave a documentary signal, and what testable predictions follow from that mechanism.</w:t>
      </w:r>
    </w:p>
    <w:p>
      <w:pPr>
        <w:pStyle w:val="BodyText"/>
        <w:spacing w:line="480" w:lineRule="auto"/>
        <w:ind w:firstLine="720"/>
      </w:pPr>
      <w:r>
        <w:t xml:space="preserve">Chapter 4 sets out the methodology and identification, explaining the two estimators, the ordinary least squares model and the log-log learning curve, and arguing what each can and cannot identify given the design. Chapter 5 describes the data and measurement in detail, covering the source corpus, the deterministic construction of each variable, the venue coding, and the sample of thirty records. Chapter 6 reports the results exactly as the workbooks produced them, giving coefficients, standard errors, p values, and sample size for both papers, then interprets the signs and magnitudes without inflating them.</w:t>
      </w:r>
    </w:p>
    <w:p>
      <w:pPr>
        <w:pStyle w:val="BodyText"/>
        <w:spacing w:line="480" w:lineRule="auto"/>
        <w:ind w:firstLine="720"/>
      </w:pPr>
      <w:r>
        <w:t xml:space="preserve">Chapter 7 discusses what the findings mean and catalogs the threats to validity, distinguishing what the evidence supports from what it merely suggests and from what it cannot address at all. Chapter 8 closes with the contribution, its relevance to governance and program decisions, and the specific next data collection that would let a later project ask a stronger question</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Throughout, the discipline is the same: report the estimate, bound the claim, and keep the chain from source to conclusion open to inspection.</w:t>
      </w:r>
    </w:p>
    <w:bookmarkEnd w:id="68"/>
    <w:bookmarkEnd w:id="69"/>
    <w:bookmarkStart w:id="79" w:name="chapter-2.-literature-review"/>
    <w:p>
      <w:pPr>
        <w:pStyle w:val="Heading1"/>
        <w:spacing w:line="480" w:lineRule="auto"/>
      </w:pPr>
      <w:r>
        <w:t xml:space="preserve">Chapter 2. Literature Review</w:t>
      </w:r>
    </w:p>
    <w:p>
      <w:pPr>
        <w:pStyle w:val="FirstParagraph"/>
        <w:spacing w:line="480" w:lineRule="auto"/>
      </w:pPr>
      <w:r>
        <w:t xml:space="preserve">One point stands out. The literature this dissertation draws on was not written to answer its question. That is the first thing to understand about the field. The documents that discuss cooperative situational awareness were written to solve engineering problems, to describe national programs, or to argue for particular governance arrangements. None was written to test whether cooperation leaves a bibliometric signal. The review that follows therefore reads the literature twice: once for what it says about space cooperation, and once for what its structure reveals about how the topic circulates. The two readings are distinct, and keeping them distinct is the discipline of a cliometric approach.</w:t>
      </w:r>
    </w:p>
    <w:bookmarkStart w:id="70" w:name="X4a78b511e47843bf47af09151486b29a1be01ef"/>
    <w:p>
      <w:pPr>
        <w:pStyle w:val="Heading2"/>
        <w:spacing w:line="480" w:lineRule="auto"/>
      </w:pPr>
      <w:r>
        <w:t xml:space="preserve">2.1 The forensic origin of the coordination problem</w:t>
      </w:r>
    </w:p>
    <w:p>
      <w:pPr>
        <w:pStyle w:val="FirstParagraph"/>
        <w:spacing w:line="480" w:lineRule="auto"/>
      </w:pPr>
      <w:r>
        <w:t xml:space="preserve">A short observation first. The modern conversation about situational awareness has a founding event. When Iridium 33 struck Cosmos 2251 in February 2009, an active commercial satellite and a defunct Russian one collided at orbital velocity, producing a debris cloud that catalogs are still tracking. Kelso’s reconstruction of that collision is more than an engineering post-mortem; it is the document that made the coordination gap concrete</w:t>
      </w:r>
      <w:r>
        <w:t xml:space="preserve"> </w:t>
      </w:r>
      <w:hyperlink w:anchor="ref-1">
        <w:r>
          <w:rPr>
            <w:rStyle w:val="Hyperlink"/>
          </w:rPr>
          <w:t xml:space="preserve">[1]</w:t>
        </w:r>
      </w:hyperlink>
      <w:r>
        <w:t xml:space="preserve">. The analysis showed that the elements needed to anticipate the event existed in principle, distributed across catalogs and operators, but were never assembled into a warning. Visibility without coordination produced a collision.</w:t>
      </w:r>
    </w:p>
    <w:p>
      <w:pPr>
        <w:pStyle w:val="BodyText"/>
        <w:spacing w:line="480" w:lineRule="auto"/>
        <w:ind w:firstLine="720"/>
      </w:pPr>
      <w:r>
        <w:t xml:space="preserve">That lesson set the agenda for a decade of work. If the data existed but the coordination did not, then the problem was institutional. Subsequent programs treated the assembly of distributed observations as the central challenge, and the literature shifted from detection toward integration. This dissertation inherits that framing directly. Its question, whether cooperation leaves a measurable trace, is a descendant of Kelso’s finding that the trace of the 2009 collision was latent in the record before anyone read it as a whole.</w:t>
      </w:r>
    </w:p>
    <w:bookmarkEnd w:id="70"/>
    <w:bookmarkStart w:id="71" w:name="national-and-regional-sensing-layers"/>
    <w:p>
      <w:pPr>
        <w:pStyle w:val="Heading2"/>
        <w:spacing w:line="480" w:lineRule="auto"/>
      </w:pPr>
      <w:r>
        <w:t xml:space="preserve">2.2 National and regional sensing layers</w:t>
      </w:r>
    </w:p>
    <w:p>
      <w:pPr>
        <w:pStyle w:val="FirstParagraph"/>
        <w:spacing w:line="480" w:lineRule="auto"/>
      </w:pPr>
      <w:r>
        <w:t xml:space="preserve">A second strand of the literature documents the construction of sensing capability, especially outside the historically dominant catalogs. The rationale is coverage. A global picture assembled from a single vantage has gaps, and regional sensors fill them. The argument for adding a local layer to situational awareness was made explicitly by program engineers who saw that sovereign and regional coverage complemented rather than duplicated the global catalog</w:t>
      </w:r>
      <w:r>
        <w:t xml:space="preserve"> </w:t>
      </w:r>
      <w:hyperlink w:anchor="ref-3">
        <w:r>
          <w:rPr>
            <w:rStyle w:val="Hyperlink"/>
          </w:rPr>
          <w:t xml:space="preserve">[3]</w:t>
        </w:r>
      </w:hyperlink>
      <w:r>
        <w:t xml:space="preserve">. Their case was practical: the more independent vantages contribute observations, the more robust the aggregate picture becomes.</w:t>
      </w:r>
    </w:p>
    <w:p>
      <w:pPr>
        <w:pStyle w:val="BodyText"/>
        <w:spacing w:line="480" w:lineRule="auto"/>
        <w:ind w:firstLine="720"/>
      </w:pPr>
      <w:r>
        <w:t xml:space="preserve">Set the scene briefly. The census of situational awareness sensors compiled by Weeden and colleagues gave that argument an empirical spine</w:t>
      </w:r>
      <w:r>
        <w:t xml:space="preserve"> </w:t>
      </w:r>
      <w:hyperlink w:anchor="ref-5">
        <w:r>
          <w:rPr>
            <w:rStyle w:val="Hyperlink"/>
          </w:rPr>
          <w:t xml:space="preserve">[5]</w:t>
        </w:r>
      </w:hyperlink>
      <w:r>
        <w:t xml:space="preserve">. It mapped who could see what, and it made clear that capability was distributed unevenly across states and organizations. That unevenness matters for the present study. If capability is concentrated, cooperation is a transaction between a few well-resourced actors; if it is distributed, cooperation is a genuine coalition problem. The sensor census suggests the field sits somewhere between, which is exactly the condition under which a signal might be faint and worth measuring carefully.</w:t>
      </w:r>
    </w:p>
    <w:p>
      <w:pPr>
        <w:pStyle w:val="BodyText"/>
        <w:spacing w:line="480" w:lineRule="auto"/>
        <w:ind w:firstLine="720"/>
      </w:pPr>
      <w:r>
        <w:t xml:space="preserve">Korea’s aerospace program supplies a longitudinal case of a regional actor building capability and tying it to governance goals</w:t>
      </w:r>
      <w:r>
        <w:t xml:space="preserve"> </w:t>
      </w:r>
      <w:hyperlink w:anchor="ref-2">
        <w:r>
          <w:rPr>
            <w:rStyle w:val="Hyperlink"/>
          </w:rPr>
          <w:t xml:space="preserve">[2]</w:t>
        </w:r>
      </w:hyperlink>
      <w:r>
        <w:t xml:space="preserve">. The documented activities span sensing, cataloging, and traffic management, and they treat cooperation as an explicit objective rather than an afterthought. Australia’s capability demonstrations offer a parallel case with an alliance flavor, framing situational awareness work as interoperable by design</w:t>
      </w:r>
      <w:r>
        <w:t xml:space="preserve"> </w:t>
      </w:r>
      <w:hyperlink w:anchor="ref-6">
        <w:r>
          <w:rPr>
            <w:rStyle w:val="Hyperlink"/>
          </w:rPr>
          <w:t xml:space="preserve">[6]</w:t>
        </w:r>
      </w:hyperlink>
      <w:r>
        <w:t xml:space="preserve">. Read together, these national records show cooperation being asserted and pursued. Whether that pursuit registers as a bibliometric signal is the empirical question this dissertation carries.</w:t>
      </w:r>
    </w:p>
    <w:bookmarkEnd w:id="71"/>
    <w:bookmarkStart w:id="72" w:name="from-sensing-to-traffic-management"/>
    <w:p>
      <w:pPr>
        <w:pStyle w:val="Heading2"/>
        <w:spacing w:line="480" w:lineRule="auto"/>
      </w:pPr>
      <w:r>
        <w:t xml:space="preserve">2.3 From sensing to traffic management</w:t>
      </w:r>
    </w:p>
    <w:p>
      <w:pPr>
        <w:pStyle w:val="FirstParagraph"/>
        <w:spacing w:line="480" w:lineRule="auto"/>
      </w:pPr>
      <w:r>
        <w:t xml:space="preserve">A third strand moves from seeing objects to managing their behavior. Space traffic management treats the orbital environment as a shared resource requiring coordination rules, and the recent literature has grown substantially around collision avoidance in particular. The work on improvements to spacecraft collision avoidance assembled a broad set of authors and institutions around the operational problem of keeping active objects apart</w:t>
      </w:r>
      <w:r>
        <w:t xml:space="preserve"> </w:t>
      </w:r>
      <w:hyperlink w:anchor="ref-13">
        <w:r>
          <w:rPr>
            <w:rStyle w:val="Hyperlink"/>
          </w:rPr>
          <w:t xml:space="preserve">[13]</w:t>
        </w:r>
      </w:hyperlink>
      <w:r>
        <w:t xml:space="preserve">. That breadth is itself a signal: collision avoidance has become a venue where many actors converge, which is one of the structural features this dissertation measures through venue family.</w:t>
      </w:r>
    </w:p>
    <w:p>
      <w:pPr>
        <w:pStyle w:val="BodyText"/>
        <w:spacing w:line="480" w:lineRule="auto"/>
        <w:ind w:firstLine="720"/>
      </w:pPr>
      <w:r>
        <w:t xml:space="preserve">Adjacent technical work extends the coordination frontier. Cooperative inter-satellite ranging proposes that spacecraft themselves become nodes in a shared measurement network, turning the constellation into a distributed sensor for traffic management</w:t>
      </w:r>
      <w:r>
        <w:t xml:space="preserve"> </w:t>
      </w:r>
      <w:hyperlink w:anchor="ref-10">
        <w:r>
          <w:rPr>
            <w:rStyle w:val="Hyperlink"/>
          </w:rPr>
          <w:t xml:space="preserve">[10]</w:t>
        </w:r>
      </w:hyperlink>
      <w:r>
        <w:t xml:space="preserve">. Debris detection using intersatellite communication signals pushes in the same direction, repurposing links built for one function as observation channels for another</w:t>
      </w:r>
      <w:r>
        <w:t xml:space="preserve"> </w:t>
      </w:r>
      <w:hyperlink w:anchor="ref-9">
        <w:r>
          <w:rPr>
            <w:rStyle w:val="Hyperlink"/>
          </w:rPr>
          <w:t xml:space="preserve">[9]</w:t>
        </w:r>
      </w:hyperlink>
      <w:r>
        <w:t xml:space="preserve">. These proposals matter to the review because they show the field expanding its notion of what cooperation means. Cooperation is no longer only states sharing catalogs; it is systems sharing measurements. That widening is part of why the topic’s documentary footprint has grown.</w:t>
      </w:r>
    </w:p>
    <w:p>
      <w:pPr>
        <w:pStyle w:val="BodyText"/>
        <w:spacing w:line="480" w:lineRule="auto"/>
        <w:ind w:firstLine="720"/>
      </w:pPr>
      <w:r>
        <w:t xml:space="preserve">Governance-facing work rounds out the strand. Outreach on traffic management, treating the diffusion of norms as an activity in its own right, signals that the field now attends to how coordination spreads and not only to how it is engineered</w:t>
      </w:r>
      <w:r>
        <w:t xml:space="preserve"> </w:t>
      </w:r>
      <w:hyperlink w:anchor="ref-8">
        <w:r>
          <w:rPr>
            <w:rStyle w:val="Hyperlink"/>
          </w:rPr>
          <w:t xml:space="preserve">[8]</w:t>
        </w:r>
      </w:hyperlink>
      <w:r>
        <w:t xml:space="preserve">. The European treatment of defense and security strategy for space against hybrid threats places coordination inside a contested strategic environment, where sharing is complicated by adversarial behavior</w:t>
      </w:r>
      <w:r>
        <w:t xml:space="preserve"> </w:t>
      </w:r>
      <w:hyperlink w:anchor="ref-12">
        <w:r>
          <w:rPr>
            <w:rStyle w:val="Hyperlink"/>
          </w:rPr>
          <w:t xml:space="preserve">[12]</w:t>
        </w:r>
      </w:hyperlink>
      <w:r>
        <w:t xml:space="preserve">. Both documents belong to the newer, more governance-oriented layer of the corpus, and both illustrate the venue shift this dissertation tracks.</w:t>
      </w:r>
    </w:p>
    <w:bookmarkEnd w:id="72"/>
    <w:bookmarkStart w:id="73" w:name="reading-the-literature-for-structure"/>
    <w:p>
      <w:pPr>
        <w:pStyle w:val="Heading2"/>
        <w:spacing w:line="480" w:lineRule="auto"/>
      </w:pPr>
      <w:r>
        <w:t xml:space="preserve">2.4 Reading the literature for structure</w:t>
      </w:r>
    </w:p>
    <w:p>
      <w:pPr>
        <w:pStyle w:val="FirstParagraph"/>
        <w:spacing w:line="480" w:lineRule="auto"/>
      </w:pPr>
      <w:r>
        <w:t xml:space="preserve">The second reading is the cliometric one. Here the concern is not what any document argues but how the documents are distributed. Three structural features organize the analysis, and each corresponds to a variable in the empirical papers.</w:t>
      </w:r>
    </w:p>
    <w:p>
      <w:pPr>
        <w:pStyle w:val="BodyText"/>
        <w:spacing w:line="480" w:lineRule="auto"/>
        <w:ind w:firstLine="720"/>
      </w:pPr>
      <w:r>
        <w:t xml:space="preserve">Recency is the first. If cooperative sharing is a rising concern, the newer records should carry more topic intensity than the older ones. The corpus spans from the 2008 and 2009 collision-era analyses to journal work dated 2025 and 2026, giving enough temporal range to detect a trend if one exists</w:t>
      </w:r>
      <w:r>
        <w:t xml:space="preserve"> </w:t>
      </w:r>
      <w:hyperlink w:anchor="ref-1">
        <w:r>
          <w:rPr>
            <w:rStyle w:val="Hyperlink"/>
          </w:rPr>
          <w:t xml:space="preserve">[1]</w:t>
        </w:r>
      </w:hyperlink>
      <w:r>
        <w:t xml:space="preserve"> </w:t>
      </w:r>
      <w:hyperlink w:anchor="ref-13">
        <w:r>
          <w:rPr>
            <w:rStyle w:val="Hyperlink"/>
          </w:rPr>
          <w:t xml:space="preserve">[13]</w:t>
        </w:r>
      </w:hyperlink>
      <w:r>
        <w:t xml:space="preserve">. The survival-analysis treatment of maneuver occurrence, though methodologically distinct, reinforces the point that timing is now a first-class object of study in this field</w:t>
      </w:r>
      <w:r>
        <w:t xml:space="preserve"> </w:t>
      </w:r>
      <w:hyperlink w:anchor="ref-4">
        <w:r>
          <w:rPr>
            <w:rStyle w:val="Hyperlink"/>
          </w:rPr>
          <w:t xml:space="preserve">[4]</w:t>
        </w:r>
      </w:hyperlink>
      <w:r>
        <w:t xml:space="preserve">.</w:t>
      </w:r>
    </w:p>
    <w:p>
      <w:pPr>
        <w:pStyle w:val="BodyText"/>
        <w:spacing w:line="480" w:lineRule="auto"/>
        <w:ind w:firstLine="720"/>
      </w:pPr>
      <w:r>
        <w:t xml:space="preserve">Citation attention is the second feature. A topic that has gained salience should draw citations, and the distribution of citation counts across the corpus reveals where attention concentrates. The literature here is unevenly cited, and the unevenness matters: the conference and working-paper records carry little or no indexed citation attention, while a handful of journal articles carry most of it</w:t>
      </w:r>
      <w:r>
        <w:t xml:space="preserve"> </w:t>
      </w:r>
      <w:hyperlink w:anchor="ref-14">
        <w:r>
          <w:rPr>
            <w:rStyle w:val="Hyperlink"/>
          </w:rPr>
          <w:t xml:space="preserve">[14]</w:t>
        </w:r>
      </w:hyperlink>
      <w:r>
        <w:t xml:space="preserve">. That skew is not noise to be smoothed away; it is a structural fact about how the field’s attention is allocated, and the second empirical paper models it directly.</w:t>
      </w:r>
    </w:p>
    <w:p>
      <w:pPr>
        <w:pStyle w:val="BodyText"/>
        <w:spacing w:line="480" w:lineRule="auto"/>
        <w:ind w:firstLine="720"/>
      </w:pPr>
      <w:r>
        <w:t xml:space="preserve">Venue family is the third feature. The corpus draws from three families: conference proceedings, journal articles, and working papers on the space economy. These families differ in review intensity, in indexing, and in audience. Coding venue as an ordinal variable lets the analysis ask whether topic intensity travels with venue, which would indicate that certain kinds of forums carry the cooperation conversation more than others. The gamification and outreach literatures suggest that governance ideas increasingly reach beyond traditional venues, which is one reason venue structure is worth measuring rather than assuming</w:t>
      </w:r>
      <w:r>
        <w:t xml:space="preserve"> </w:t>
      </w:r>
      <w:hyperlink w:anchor="ref-11">
        <w:r>
          <w:rPr>
            <w:rStyle w:val="Hyperlink"/>
          </w:rPr>
          <w:t xml:space="preserve">[11]</w:t>
        </w:r>
      </w:hyperlink>
      <w:r>
        <w:t xml:space="preserve"> </w:t>
      </w:r>
      <w:hyperlink w:anchor="ref-8">
        <w:r>
          <w:rPr>
            <w:rStyle w:val="Hyperlink"/>
          </w:rPr>
          <w:t xml:space="preserve">[8]</w:t>
        </w:r>
      </w:hyperlink>
      <w:r>
        <w:t xml:space="preserve">.</w:t>
      </w:r>
    </w:p>
    <w:bookmarkEnd w:id="73"/>
    <w:bookmarkStart w:id="74" w:name="Xeea547b07e673ac67d47eaf72f277167f39d6a2"/>
    <w:p>
      <w:pPr>
        <w:pStyle w:val="Heading2"/>
        <w:spacing w:line="480" w:lineRule="auto"/>
      </w:pPr>
      <w:r>
        <w:t xml:space="preserve">2.5 The bibliometric and cliometric tradition</w:t>
      </w:r>
    </w:p>
    <w:p>
      <w:pPr>
        <w:pStyle w:val="FirstParagraph"/>
        <w:spacing w:line="480" w:lineRule="auto"/>
      </w:pPr>
      <w:r>
        <w:t xml:space="preserve">The measurement side of this dissertation draws on a tradition the space literature rarely engages. Bibliometrics treats the record of scholarship as data: citation counts, publication dates, venue types, and co-authorship structures become variables that describe how a field organizes attention. Cliometrics, its cousin in economic history, insists that claims about the past be tied to measurable series and estimators rather than to narrative. Neither tradition is native to space policy, and importing them is part of the dissertation’s method contribution.</w:t>
      </w:r>
    </w:p>
    <w:p>
      <w:pPr>
        <w:pStyle w:val="BodyText"/>
        <w:spacing w:line="480" w:lineRule="auto"/>
        <w:ind w:firstLine="720"/>
      </w:pPr>
      <w:r>
        <w:t xml:space="preserve">The learning-curve form used in the second empirical paper comes directly from this tradition. Learning curves originated as descriptions of how unit costs fall with cumulative production, and they were later generalized to any cumulative process with a measurable rate of change. Applying the form to citation accumulation treats a document’s attention as a cumulative quantity that grows, or fails to grow, with time. That analogy is not perfect, but it is disciplined: it commits the analysis to a specific functional form whose parameter, the elasticity, carries a clear interpretation</w:t>
      </w:r>
      <w:r>
        <w:t xml:space="preserve"> </w:t>
      </w:r>
      <w:hyperlink w:anchor="ref-4">
        <w:r>
          <w:rPr>
            <w:rStyle w:val="Hyperlink"/>
          </w:rPr>
          <w:t xml:space="preserve">[4]</w:t>
        </w:r>
      </w:hyperlink>
      <w:r>
        <w:t xml:space="preserve">. The survival-analysis literature on maneuver timing shows a parallel importation of a quantitative method into the space domain, and its careful treatment of time-to-event data is a model for how borrowed methods should be handled</w:t>
      </w:r>
      <w:r>
        <w:t xml:space="preserve"> </w:t>
      </w:r>
      <w:hyperlink w:anchor="ref-4">
        <w:r>
          <w:rPr>
            <w:rStyle w:val="Hyperlink"/>
          </w:rPr>
          <w:t xml:space="preserve">[4]</w:t>
        </w:r>
      </w:hyperlink>
      <w:r>
        <w:t xml:space="preserve">.</w:t>
      </w:r>
    </w:p>
    <w:p>
      <w:pPr>
        <w:pStyle w:val="BodyText"/>
        <w:spacing w:line="480" w:lineRule="auto"/>
        <w:ind w:firstLine="720"/>
      </w:pPr>
      <w:r>
        <w:t xml:space="preserve">The cross-sectional side draws on the older regression tradition, where the goal is to describe conditional association among a small set of variables. The value of the regression here is not prediction but decomposition: it separates the recency, attention, and venue contributions to topic intensity, so that each can be read net of the others. The operational literature never performs this decomposition because it has no reason to; its concern is the phenomenon, not the phenomenon’s documentary footprint</w:t>
      </w:r>
      <w:r>
        <w:t xml:space="preserve"> </w:t>
      </w:r>
      <w:hyperlink w:anchor="ref-5">
        <w:r>
          <w:rPr>
            <w:rStyle w:val="Hyperlink"/>
          </w:rPr>
          <w:t xml:space="preserve">[5]</w:t>
        </w:r>
      </w:hyperlink>
      <w:r>
        <w:t xml:space="preserve"> </w:t>
      </w:r>
      <w:hyperlink w:anchor="ref-3">
        <w:r>
          <w:rPr>
            <w:rStyle w:val="Hyperlink"/>
          </w:rPr>
          <w:t xml:space="preserve">[3]</w:t>
        </w:r>
      </w:hyperlink>
      <w:r>
        <w:t xml:space="preserve">. That difference in purpose is exactly why the measurement tradition adds something the domain literature lacks.</w:t>
      </w:r>
    </w:p>
    <w:p>
      <w:pPr>
        <w:pStyle w:val="BodyText"/>
        <w:spacing w:line="480" w:lineRule="auto"/>
        <w:ind w:firstLine="720"/>
      </w:pPr>
      <w:r>
        <w:t xml:space="preserve">Importing these traditions carries risks the review should acknowledge. Bibliometric measures are noisy, citation counts are venue-dependent, and small corpora produce unstable estimates. The dissertation does not claim that the imported methods are perfectly suited to the space record; it claims that they are more disciplined than the narrative alternative, and that their outputs are checkable in a way narrative is not. That is a defensible claim even where the methods strain against the data</w:t>
      </w:r>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bookmarkEnd w:id="74"/>
    <w:bookmarkStart w:id="75" w:name="X7418f42963404e5fd5f48a1733ec62b5da08f0d"/>
    <w:p>
      <w:pPr>
        <w:pStyle w:val="Heading2"/>
        <w:spacing w:line="480" w:lineRule="auto"/>
      </w:pPr>
      <w:r>
        <w:t xml:space="preserve">2.6 Positioning within the sustainability-institutions category</w:t>
      </w:r>
    </w:p>
    <w:p>
      <w:pPr>
        <w:pStyle w:val="FirstParagraph"/>
        <w:spacing w:line="480" w:lineRule="auto"/>
      </w:pPr>
      <w:r>
        <w:t xml:space="preserve">This dissertation belongs to a category concerned with the institutions that sustain shared use of the orbital environment. That category framing matters for how the literature is read. Sustainability, in the orbital sense, is not only a matter of debris counts and carrying capacity; it is a matter of whether institutions can coordinate fast enough to keep the environment usable. Cooperation in situational awareness is one of the earliest and most concrete forms that coordination takes, which is why it is a natural test case for the category</w:t>
      </w:r>
      <w:r>
        <w:t xml:space="preserve"> </w:t>
      </w:r>
      <w:hyperlink w:anchor="ref-11">
        <w:r>
          <w:rPr>
            <w:rStyle w:val="Hyperlink"/>
          </w:rPr>
          <w:t xml:space="preserve">[11]</w:t>
        </w:r>
      </w:hyperlink>
      <w:r>
        <w:t xml:space="preserve">.</w:t>
      </w:r>
    </w:p>
    <w:p>
      <w:pPr>
        <w:pStyle w:val="BodyText"/>
        <w:spacing w:line="480" w:lineRule="auto"/>
        <w:ind w:firstLine="720"/>
      </w:pPr>
      <w:r>
        <w:t xml:space="preserve">The circular-economy and gamification strands in the corpus connect the technical problem to the institutional one. Circular-economy framings treat orbital sustainability as a systems problem requiring coordinated norms, and gamification treats norm adoption as a behavioral challenge to be designed for</w:t>
      </w:r>
      <w:r>
        <w:t xml:space="preserve"> </w:t>
      </w:r>
      <w:hyperlink w:anchor="ref-11">
        <w:r>
          <w:rPr>
            <w:rStyle w:val="Hyperlink"/>
          </w:rPr>
          <w:t xml:space="preserve">[11]</w:t>
        </w:r>
      </w:hyperlink>
      <w:r>
        <w:t xml:space="preserve">. Both belong to the institutions category because both are about how coordination is produced, not only about the physics of debris. The venue diversity these strands introduce, spanning economic working papers and behavioral analyses, is part of why the venue variable in the empirical design carries real contrast.</w:t>
      </w:r>
    </w:p>
    <w:p>
      <w:pPr>
        <w:pStyle w:val="BodyText"/>
        <w:spacing w:line="480" w:lineRule="auto"/>
        <w:ind w:firstLine="720"/>
      </w:pPr>
      <w:r>
        <w:t xml:space="preserve">The European strategic literature adds the security dimension that any sustainability-institutions framing must confront</w:t>
      </w:r>
      <w:r>
        <w:t xml:space="preserve"> </w:t>
      </w:r>
      <w:hyperlink w:anchor="ref-12">
        <w:r>
          <w:rPr>
            <w:rStyle w:val="Hyperlink"/>
          </w:rPr>
          <w:t xml:space="preserve">[12]</w:t>
        </w:r>
      </w:hyperlink>
      <w:r>
        <w:t xml:space="preserve">. Coordination in a contested environment is harder than coordination among aligned actors, and the presence of hybrid threats complicates every sharing arrangement. Placing this literature in the review is not a detour; it establishes that the institutions the dissertation studies operate under strategic pressure, which is one reason cooperation may be asserted more readily than it is achieved</w:t>
      </w:r>
      <w:r>
        <w:t xml:space="preserve"> </w:t>
      </w:r>
      <w:hyperlink w:anchor="ref-7">
        <w:r>
          <w:rPr>
            <w:rStyle w:val="Hyperlink"/>
          </w:rPr>
          <w:t xml:space="preserve">[7]</w:t>
        </w:r>
      </w:hyperlink>
      <w:r>
        <w:t xml:space="preserve"> </w:t>
      </w:r>
      <w:hyperlink w:anchor="ref-12">
        <w:r>
          <w:rPr>
            <w:rStyle w:val="Hyperlink"/>
          </w:rPr>
          <w:t xml:space="preserve">[12]</w:t>
        </w:r>
      </w:hyperlink>
      <w:r>
        <w:t xml:space="preserve">.</w:t>
      </w:r>
    </w:p>
    <w:bookmarkEnd w:id="75"/>
    <w:bookmarkStart w:id="76" w:name="what-the-prior-work-leaves-open"/>
    <w:p>
      <w:pPr>
        <w:pStyle w:val="Heading2"/>
        <w:spacing w:line="480" w:lineRule="auto"/>
      </w:pPr>
      <w:r>
        <w:t xml:space="preserve">2.7 What the prior work leaves open</w:t>
      </w:r>
    </w:p>
    <w:p>
      <w:pPr>
        <w:pStyle w:val="FirstParagraph"/>
        <w:spacing w:line="480" w:lineRule="auto"/>
      </w:pPr>
      <w:r>
        <w:t xml:space="preserve">The gap this dissertation occupies is now visible. The operational literature establishes that cooperation is pursued and that it is technically feasible</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10">
        <w:r>
          <w:rPr>
            <w:rStyle w:val="Hyperlink"/>
          </w:rPr>
          <w:t xml:space="preserve">[10]</w:t>
        </w:r>
      </w:hyperlink>
      <w:r>
        <w:t xml:space="preserve">. The governance literature establishes that coordination is contested and that norm diffusion is an active concern</w:t>
      </w:r>
      <w:r>
        <w:t xml:space="preserve"> </w:t>
      </w:r>
      <w:hyperlink w:anchor="ref-8">
        <w:r>
          <w:rPr>
            <w:rStyle w:val="Hyperlink"/>
          </w:rPr>
          <w:t xml:space="preserve">[8]</w:t>
        </w:r>
      </w:hyperlink>
      <w:r>
        <w:t xml:space="preserve"> </w:t>
      </w:r>
      <w:hyperlink w:anchor="ref-12">
        <w:r>
          <w:rPr>
            <w:rStyle w:val="Hyperlink"/>
          </w:rPr>
          <w:t xml:space="preserve">[12]</w:t>
        </w:r>
      </w:hyperlink>
      <w:r>
        <w:t xml:space="preserve">. Neither literature establishes whether the cooperation topic leaves a measurable signal in the record of its own discussion. That is a measurement question, and the field has not asked it in this form.</w:t>
      </w:r>
    </w:p>
    <w:p>
      <w:pPr>
        <w:pStyle w:val="BodyText"/>
        <w:spacing w:line="480" w:lineRule="auto"/>
        <w:ind w:firstLine="720"/>
      </w:pPr>
      <w:r>
        <w:t xml:space="preserve">The omission is understandable. Practitioners write to solve problems, not to audit their own bibliometric footprint. But the omission has a cost. Without a measurement baseline, the field cannot distinguish a genuine rise in cooperation from a rise in talk about cooperation, and it cannot tell an advocate’s assertion from an observable trend. Recent surveys of agent-based approaches to distributed space systems show the field organizing itself around coordination as a first principle, which makes the absence of a measurement baseline more conspicuous, not less</w:t>
      </w:r>
      <w:r>
        <w:t xml:space="preserve"> </w:t>
      </w:r>
      <w:hyperlink w:anchor="ref-14">
        <w:r>
          <w:rPr>
            <w:rStyle w:val="Hyperlink"/>
          </w:rPr>
          <w:t xml:space="preserve">[14]</w:t>
        </w:r>
      </w:hyperlink>
      <w:r>
        <w:t xml:space="preserve">.</w:t>
      </w:r>
    </w:p>
    <w:p>
      <w:pPr>
        <w:pStyle w:val="BodyText"/>
        <w:spacing w:line="480" w:lineRule="auto"/>
        <w:ind w:firstLine="720"/>
      </w:pPr>
      <w:r>
        <w:t xml:space="preserve">This dissertation does not claim to fill the gap completely. It claims to take the first disciplined step: to specify a falsifiable test, to run it on a provenance-preserving corpus, and to report the result whether or not it flatters the hypothesis.</w:t>
      </w:r>
    </w:p>
    <w:bookmarkEnd w:id="76"/>
    <w:bookmarkStart w:id="77" w:name="X0f59bfc3f6318030f8376bcc654742970584d50"/>
    <w:p>
      <w:pPr>
        <w:pStyle w:val="Heading2"/>
        <w:spacing w:line="480" w:lineRule="auto"/>
      </w:pPr>
      <w:r>
        <w:t xml:space="preserve">2.8 The distributed-systems turn and its bibliometric footprint</w:t>
      </w:r>
    </w:p>
    <w:p>
      <w:pPr>
        <w:pStyle w:val="FirstParagraph"/>
        <w:spacing w:line="480" w:lineRule="auto"/>
      </w:pPr>
      <w:r>
        <w:t xml:space="preserve">A final strand of recent literature deserves separate treatment, because it is reshaping what cooperation means and, with it, what a cooperation signal should look like. The distributed-systems turn treats spacecraft, sensors, and constellations as nodes in a coordinated network rather than as sovereign assets that occasionally exchange data. Agent-based approaches to distributed space systems formalize this turn, modeling mission management as a problem of coordinating autonomous nodes under shared rules</w:t>
      </w:r>
      <w:r>
        <w:t xml:space="preserve"> </w:t>
      </w:r>
      <w:hyperlink w:anchor="ref-14">
        <w:r>
          <w:rPr>
            <w:rStyle w:val="Hyperlink"/>
          </w:rPr>
          <w:t xml:space="preserve">[14]</w:t>
        </w:r>
      </w:hyperlink>
      <w:r>
        <w:t xml:space="preserve">. Cooperative inter-satellite ranging and debris detection over communication links are concrete instances of the same turn, in which the coordination is engineered into the system rather than negotiated between operators</w:t>
      </w:r>
      <w:r>
        <w:t xml:space="preserve"> </w:t>
      </w:r>
      <w:hyperlink w:anchor="ref-10">
        <w:r>
          <w:rPr>
            <w:rStyle w:val="Hyperlink"/>
          </w:rPr>
          <w:t xml:space="preserve">[10]</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This turn matters to the review for two reasons. Substantively, it widens the definition of cooperation from an institutional act to a systems property, which means the documentary footprint of cooperation now spans engineering venues that a governance-focused search might miss. A study that looked only for institutional sharing agreements would undercount the cooperation embedded in distributed-system designs. Methodologically, the turn concentrates in recent, technically dense journal work, which is precisely the venue and recency region where the empirical papers find their structure. The distributed-systems literature is therefore not only a substantive development but a source of the bibliometric pattern the dissertation measures</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turn also complicates the sustainability-institutions framing in a productive way. If cooperation is increasingly a systems property, then sustaining the orbital environment depends partly on how well distributed systems coordinate, not only on how well states agree. The radiation-hardness-assurance literature, though focused on avionics reliability, belongs to this widened frame: the resilience of the distributed nodes on which coordination depends is itself an institutional concern, because a coordination network is only as reliable as its least hardened node</w:t>
      </w:r>
      <w:r>
        <w:t xml:space="preserve"> </w:t>
      </w:r>
      <w:hyperlink w:anchor="ref-15">
        <w:r>
          <w:rPr>
            <w:rStyle w:val="Hyperlink"/>
          </w:rPr>
          <w:t xml:space="preserve">[15]</w:t>
        </w:r>
      </w:hyperlink>
      <w:r>
        <w:t xml:space="preserve">. Reviewing this literature establishes that the cooperation the dissertation measures is a moving target, expanding from institutional acts toward engineered coordination, which is one more reason a measurement baseline is worth building now rather than later</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w:t>
      </w:r>
    </w:p>
    <w:bookmarkEnd w:id="77"/>
    <w:bookmarkStart w:id="78" w:name="Xcac0e9f2e72c12ccb67cd31a7c3c413aa81621d"/>
    <w:p>
      <w:pPr>
        <w:pStyle w:val="Heading2"/>
        <w:spacing w:line="480" w:lineRule="auto"/>
      </w:pPr>
      <w:r>
        <w:t xml:space="preserve">2.9 What a measurement baseline would let the field do</w:t>
      </w:r>
    </w:p>
    <w:p>
      <w:pPr>
        <w:pStyle w:val="FirstParagraph"/>
        <w:spacing w:line="480" w:lineRule="auto"/>
      </w:pPr>
      <w:r>
        <w:t xml:space="preserve">It helps to state concretely what the field would gain from the measurement baseline this dissertation begins to build, because the gain motivates the whole design. A baseline is a reference point against which later change can be judged. Without one, every claim that cooperation is rising is unfalsifiable, because there is no prior measurement to compare against. With one, a later study can ask whether the venue structure has shifted, whether attention has realigned with content, and whether the topic has concentrated further in recent work, each question answerable by re-running the same estimators on a later corpus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baseline also lets the field distinguish its genuine progress from its rhetoric. When a coalition asserts that partnered awareness is deepening, a baseline gives an independent check: does the documentary footprint of the partnership show the structure a deepening cooperation would produce</w:t>
      </w:r>
      <w:r>
        <w:t xml:space="preserve"> </w:t>
      </w:r>
      <w:hyperlink w:anchor="ref-7">
        <w:r>
          <w:rPr>
            <w:rStyle w:val="Hyperlink"/>
          </w:rPr>
          <w:t xml:space="preserve">[7]</w:t>
        </w:r>
      </w:hyperlink>
      <w:r>
        <w:t xml:space="preserve">? The operational literature cannot supply that check, because it reports activity rather than measuring its own record. A measurement design supplies exactly the independent handle the field lacks, and building the first version of it is a contribution even when the first version is small</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baseline has value for program evaluation as well as for scholarship. A funder that supports a cooperation activity wants to know whether the activity produced a real conversation, and a baseline lets the funder compare the activity’s documentary footprint against a prior reference rather than against the funder’s own hopes. This is the kind of independent, low-cost evaluation instrument the coalition and partnership literature implicitly calls for but does not itself build</w:t>
      </w:r>
      <w:r>
        <w:t xml:space="preserve"> </w:t>
      </w:r>
      <w:hyperlink w:anchor="ref-7">
        <w:r>
          <w:rPr>
            <w:rStyle w:val="Hyperlink"/>
          </w:rPr>
          <w:t xml:space="preserve">[7]</w:t>
        </w:r>
      </w:hyperlink>
      <w:r>
        <w:t xml:space="preserve"> </w:t>
      </w:r>
      <w:hyperlink w:anchor="ref-13">
        <w:r>
          <w:rPr>
            <w:rStyle w:val="Hyperlink"/>
          </w:rPr>
          <w:t xml:space="preserve">[13]</w:t>
        </w:r>
      </w:hyperlink>
      <w:r>
        <w:t xml:space="preserve">. Reviewing that literature establishes both the demand for a baseline and the absence of one, which together define the opening this dissertation steps into.</w:t>
      </w:r>
    </w:p>
    <w:p>
      <w:pPr>
        <w:pStyle w:val="BodyText"/>
        <w:spacing w:line="480" w:lineRule="auto"/>
        <w:ind w:firstLine="720"/>
      </w:pPr>
      <w:r>
        <w:t xml:space="preserve">The next chapter builds the mechanism that connects the substantive literature to the structural measurement, explaining why a cooperation episode might leave a documentary signal and what that signal should look like if the alternative hypothesis is true</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78"/>
    <w:bookmarkEnd w:id="79"/>
    <w:bookmarkStart w:id="89"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A test needs a theory of why the test should work. This chapter supplies that theory. It explains the mechanism by which a cooperative situational-awareness episode might leave a documentary signal, derives the testable predictions that follow, and states the hypotheses in a form the empirical papers can either support or reject. The theory is deliberately spare. It commits only to claims the design can check, and it declines the temptation to explain more than the evidence can bear.</w:t>
      </w:r>
    </w:p>
    <w:bookmarkStart w:id="80" w:name="the-mechanism-episodes-leave-traces"/>
    <w:p>
      <w:pPr>
        <w:pStyle w:val="Heading2"/>
        <w:spacing w:line="480" w:lineRule="auto"/>
      </w:pPr>
      <w:r>
        <w:t xml:space="preserve">3.1 The mechanism: episodes leave traces</w:t>
      </w:r>
    </w:p>
    <w:p>
      <w:pPr>
        <w:pStyle w:val="FirstParagraph"/>
        <w:spacing w:line="480" w:lineRule="auto"/>
      </w:pPr>
      <w:r>
        <w:t xml:space="preserve">Start with the object of interest. A cooperative episode is any documented instance in which actors share situational-awareness data, or build the capacity to do so, as a coordination act rather than a sovereign one. Korea’s linkage of awareness activity to traffic management is one such episode; Australia’s interoperable demonstrations are another</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dissertation’s premise is that episodes of this kind do not occur silently. They generate documents, and those documents carry features that can be measured.</w:t>
      </w:r>
    </w:p>
    <w:p>
      <w:pPr>
        <w:pStyle w:val="BodyText"/>
        <w:spacing w:line="480" w:lineRule="auto"/>
        <w:ind w:firstLine="720"/>
      </w:pPr>
      <w:r>
        <w:t xml:space="preserve">First, a small clarification. The mechanism has three steps. First, an episode creates a reason to write: a program to describe, a capability to demonstrate, a governance argument to make. Second, the resulting document enters a venue, and the choice of venue is not random. Engineering demonstrations go to conference proceedings; maturing governance arguments migrate to journals; economic and strategic framings appear in working papers. Third, once in a venue, the document accumulates attention over time, and the rate of accumulation reflects how central the topic has become.</w:t>
      </w:r>
    </w:p>
    <w:p>
      <w:pPr>
        <w:pStyle w:val="BodyText"/>
        <w:spacing w:line="480" w:lineRule="auto"/>
        <w:ind w:firstLine="720"/>
      </w:pPr>
      <w:r>
        <w:t xml:space="preserve">Each step maps to an observable. The reason to write shows up as topic-signal intensity, the density of theme-relevant terms in a record. The venue choice shows up as venue family. The attention accumulation shows up as citation count conditioned on age. If the mechanism operates, these observables should be structured; if cooperation is only asserted and not genuinely rising, they should be flat. The forensic lesson of the 2009 collision anchors the mechanism: the trace of an event can exist in the record before anyone reads it as a whole, which is precisely the latent structure the design tries to surface</w:t>
      </w:r>
      <w:r>
        <w:t xml:space="preserve"> </w:t>
      </w:r>
      <w:hyperlink w:anchor="ref-1">
        <w:r>
          <w:rPr>
            <w:rStyle w:val="Hyperlink"/>
          </w:rPr>
          <w:t xml:space="preserve">[1]</w:t>
        </w:r>
      </w:hyperlink>
      <w:r>
        <w:t xml:space="preserve">.</w:t>
      </w:r>
    </w:p>
    <w:bookmarkEnd w:id="80"/>
    <w:bookmarkStart w:id="81" w:name="why-the-signal-might-be-faint"/>
    <w:p>
      <w:pPr>
        <w:pStyle w:val="Heading2"/>
        <w:spacing w:line="480" w:lineRule="auto"/>
      </w:pPr>
      <w:r>
        <w:t xml:space="preserve">3.2 Why the signal might be faint</w:t>
      </w:r>
    </w:p>
    <w:p>
      <w:pPr>
        <w:pStyle w:val="FirstParagraph"/>
        <w:spacing w:line="480" w:lineRule="auto"/>
      </w:pPr>
      <w:r>
        <w:t xml:space="preserve">Honesty about the mechanism requires acknowledging why the signal could be weak even if cooperation is real. Three attenuating forces are built into the domain.</w:t>
      </w:r>
    </w:p>
    <w:p>
      <w:pPr>
        <w:pStyle w:val="BodyText"/>
        <w:spacing w:line="480" w:lineRule="auto"/>
        <w:ind w:firstLine="720"/>
      </w:pPr>
      <w:r>
        <w:t xml:space="preserve">Two things are worth separating. The first is venue fragmentation. A topic that spreads across conference proceedings, journals, and working papers divides its documentary footprint among forums with different indexing and different citation cultures. A record that would be heavily cited in a journal may sit uncited in a conference proceeding, not because it lacks importance but because the venue does not index citations the same way</w:t>
      </w:r>
      <w:r>
        <w:t xml:space="preserve"> </w:t>
      </w:r>
      <w:hyperlink w:anchor="ref-5">
        <w:r>
          <w:rPr>
            <w:rStyle w:val="Hyperlink"/>
          </w:rPr>
          <w:t xml:space="preserve">[5]</w:t>
        </w:r>
      </w:hyperlink>
      <w:r>
        <w:t xml:space="preserve"> </w:t>
      </w:r>
      <w:hyperlink w:anchor="ref-3">
        <w:r>
          <w:rPr>
            <w:rStyle w:val="Hyperlink"/>
          </w:rPr>
          <w:t xml:space="preserve">[3]</w:t>
        </w:r>
      </w:hyperlink>
      <w:r>
        <w:t xml:space="preserve">. Fragmentation dilutes any single signal.</w:t>
      </w:r>
    </w:p>
    <w:p>
      <w:pPr>
        <w:pStyle w:val="BodyText"/>
        <w:spacing w:line="480" w:lineRule="auto"/>
        <w:ind w:firstLine="720"/>
      </w:pPr>
      <w:r>
        <w:t xml:space="preserve">Here matters diverge. The second is the youth of the governance layer. Much of the cooperation-oriented writing is recent, and recent work has had little time to accumulate citations. A 2025 or 2026 article may be central to the field and still carry a citation count near zero simply because the field has not yet responded to it</w:t>
      </w:r>
      <w:r>
        <w:t xml:space="preserve"> </w:t>
      </w:r>
      <w:hyperlink w:anchor="ref-8">
        <w:r>
          <w:rPr>
            <w:rStyle w:val="Hyperlink"/>
          </w:rPr>
          <w:t xml:space="preserve">[8]</w:t>
        </w:r>
      </w:hyperlink>
      <w:r>
        <w:t xml:space="preserve"> </w:t>
      </w:r>
      <w:hyperlink w:anchor="ref-13">
        <w:r>
          <w:rPr>
            <w:rStyle w:val="Hyperlink"/>
          </w:rPr>
          <w:t xml:space="preserve">[13]</w:t>
        </w:r>
      </w:hyperlink>
      <w:r>
        <w:t xml:space="preserve">. Age confounds attention, and the design must model that confound rather than ignore it.</w:t>
      </w:r>
    </w:p>
    <w:p>
      <w:pPr>
        <w:pStyle w:val="BodyText"/>
        <w:spacing w:line="480" w:lineRule="auto"/>
        <w:ind w:firstLine="720"/>
      </w:pPr>
      <w:r>
        <w:t xml:space="preserve">A distinction is due here. The third is measurement coarseness. Topic-signal intensity is built from term hits, which is a blunt instrument. A sophisticated cooperation argument phrased in unusual language may score low, while a routine record dense with keywords may score high. This coarseness adds noise, and noise pushes coefficients toward imprecision. The survival-analysis literature on maneuver timing shows how much care temporal measurement demands even in a purely technical setting, which is a reminder that the present proxies are approximations, not ground truth</w:t>
      </w:r>
      <w:r>
        <w:t xml:space="preserve"> </w:t>
      </w:r>
      <w:hyperlink w:anchor="ref-4">
        <w:r>
          <w:rPr>
            <w:rStyle w:val="Hyperlink"/>
          </w:rPr>
          <w:t xml:space="preserve">[4]</w:t>
        </w:r>
      </w:hyperlink>
      <w:r>
        <w:t xml:space="preserve">.</w:t>
      </w:r>
    </w:p>
    <w:p>
      <w:pPr>
        <w:pStyle w:val="BodyText"/>
        <w:spacing w:line="480" w:lineRule="auto"/>
        <w:ind w:firstLine="720"/>
      </w:pPr>
      <w:r>
        <w:t xml:space="preserve">These forces are reasons to expect modest results, and they are reasons the design reports precision honestly. A faint signal correctly measured is more valuable than a strong signal manufactured by wishful coding.</w:t>
      </w:r>
    </w:p>
    <w:bookmarkEnd w:id="81"/>
    <w:bookmarkStart w:id="82" w:name="predictions"/>
    <w:p>
      <w:pPr>
        <w:pStyle w:val="Heading2"/>
        <w:spacing w:line="480" w:lineRule="auto"/>
      </w:pPr>
      <w:r>
        <w:t xml:space="preserve">3.3 Predictions</w:t>
      </w:r>
    </w:p>
    <w:p>
      <w:pPr>
        <w:pStyle w:val="FirstParagraph"/>
        <w:spacing w:line="480" w:lineRule="auto"/>
      </w:pPr>
      <w:r>
        <w:t xml:space="preserve">From the mechanism, three predictions follow, one for each structural feature.</w:t>
      </w:r>
    </w:p>
    <w:p>
      <w:pPr>
        <w:pStyle w:val="BodyText"/>
        <w:spacing w:line="480" w:lineRule="auto"/>
        <w:ind w:firstLine="720"/>
      </w:pPr>
      <w:r>
        <w:t xml:space="preserve">Some context helps. The recency prediction. If cooperation is a rising concern, topic-signal intensity should be higher in newer records. The recency index, constructed so that later years take larger values, should carry a positive coefficient in the cross-sectional model. A null or negative coefficient would indicate that the topic is not concentrating in recent work, which would undercut the rising-concern story</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attention prediction. If the topic is central rather than peripheral, records that discuss it should draw citations. Citation count should carry a positive coefficient on topic intensity, or at least be non-negative. A negative or negligible coefficient would suggest that attention and topic intensity move independently, which would mean the field’s citation behavior does not track its cooperation content</w:t>
      </w:r>
      <w:r>
        <w:t xml:space="preserve"> </w:t>
      </w:r>
      <w:hyperlink w:anchor="ref-14">
        <w:r>
          <w:rPr>
            <w:rStyle w:val="Hyperlink"/>
          </w:rPr>
          <w:t xml:space="preserve">[14]</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venue prediction. If cooperation has migrated toward higher-review, higher-indexing forums, topic intensity should travel with venue family. The direction here is not obvious in advance. Migration toward journals would predict a positive venue coefficient, but if the richest cooperation content still sits in working papers and proceedings, the coefficient could be negative. The design leaves the sign open and lets the estimate decide</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A fourth, temporal prediction governs the second paper. If attention accumulates in a structured way, citation count should vary with document age along a measurable curve. A learning-curve form predicts that older documents, having had more time, carry more citations, so the elasticity of citations with respect to age should be positive. A flat or negative elasticity would indicate that age does not translate into attention in this corpus, which would itself be an informative result about how the field allocates citations</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82"/>
    <w:bookmarkStart w:id="83" w:name="hypotheses"/>
    <w:p>
      <w:pPr>
        <w:pStyle w:val="Heading2"/>
        <w:spacing w:line="480" w:lineRule="auto"/>
      </w:pPr>
      <w:r>
        <w:t xml:space="preserve">3.4 Hypotheses</w:t>
      </w:r>
    </w:p>
    <w:p>
      <w:pPr>
        <w:pStyle w:val="FirstParagraph"/>
        <w:spacing w:line="480" w:lineRule="auto"/>
      </w:pPr>
      <w:r>
        <w:t xml:space="preserve">The predictions collapse into a paired null and alternative for each paper, stated so that rejection is unambiguous.</w:t>
      </w:r>
    </w:p>
    <w:p>
      <w:pPr>
        <w:pStyle w:val="BodyText"/>
        <w:spacing w:line="480" w:lineRule="auto"/>
        <w:ind w:firstLine="720"/>
      </w:pPr>
      <w:r>
        <w:t xml:space="preserve">For the cross-sectional model, the null holds that topic-signal intensity is unrelated to recency, citation attention, and venue family. The alternative holds that topic-signal intensity increases with recency and citation attention. The venue term enters as a control whose sign is estimated rather than predicted, because the theory does not fix the direction of venue migration.</w:t>
      </w:r>
    </w:p>
    <w:p>
      <w:pPr>
        <w:pStyle w:val="BodyText"/>
        <w:spacing w:line="480" w:lineRule="auto"/>
        <w:ind w:firstLine="720"/>
      </w:pPr>
      <w:r>
        <w:t xml:space="preserve">For the temporal model, the null holds that citation accumulation is unrelated to article age. The alternative holds that citation accumulation follows a measurable age-based curve. The log-log form makes the age coefficient an elasticity, so its magnitude and sign carry a direct interpretation about how attention scales with time.</w:t>
      </w:r>
    </w:p>
    <w:p>
      <w:pPr>
        <w:pStyle w:val="BodyText"/>
        <w:spacing w:line="480" w:lineRule="auto"/>
        <w:ind w:firstLine="720"/>
      </w:pPr>
      <w:r>
        <w:t xml:space="preserve">Both hypotheses are stated at the level of the retrieved corpus, not at the level of space cooperation in general. That scoping is essential. The dissertation can reject or fail to reject a claim about structure in thirty records; it cannot reject or fail to reject a claim about whether cooperation prevents collisions. Confusing the two would be the central error the design exists to avoid, and the framing here forecloses it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83"/>
    <w:bookmarkStart w:id="84" w:name="Xf14a63f2818da67d1bccd9002c1b0ce03eaeeba"/>
    <w:p>
      <w:pPr>
        <w:pStyle w:val="Heading2"/>
        <w:spacing w:line="480" w:lineRule="auto"/>
      </w:pPr>
      <w:r>
        <w:t xml:space="preserve">3.5 Rival explanations the mechanism must survive</w:t>
      </w:r>
    </w:p>
    <w:p>
      <w:pPr>
        <w:pStyle w:val="FirstParagraph"/>
        <w:spacing w:line="480" w:lineRule="auto"/>
      </w:pPr>
      <w:r>
        <w:t xml:space="preserve">A mechanism is only credible if it survives comparison with the rival explanations that could produce the same observable pattern. Three rivals deserve explicit treatment, because each could generate structure in the corpus without any genuine rise in cooperation.</w:t>
      </w:r>
    </w:p>
    <w:p>
      <w:pPr>
        <w:pStyle w:val="BodyText"/>
        <w:spacing w:line="480" w:lineRule="auto"/>
        <w:ind w:firstLine="720"/>
      </w:pPr>
      <w:r>
        <w:t xml:space="preserve">The first rival is venue selection. Suppose that cooperation content has always been dense, but that authors increasingly route it to particular venues for reasons unrelated to the topic’s salience, such as page limits, review speed, or disciplinary convention. In that case a venue coefficient would appear even though topic intensity had not changed. The design partly guards against this by conditioning venue on recency and attention, so a pure venue-routing effect must survive those controls to register. But the guard is imperfect, and the discussion in Chapter 7 returns to it</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second rival is attention inflation. Suppose that citation counts rise across the board for reasons unrelated to cooperation, such as growth in the number of publishing authors or changes in indexing coverage. Then a citation coefficient could reflect field-wide inflation rather than topic-specific attention. The design addresses this by measuring citation attention within the retrieved topic corpus rather than against a field baseline, but it cannot fully separate topic-specific attention from ambient growth</w:t>
      </w:r>
      <w:r>
        <w:t xml:space="preserve"> </w:t>
      </w:r>
      <w:hyperlink w:anchor="ref-14">
        <w:r>
          <w:rPr>
            <w:rStyle w:val="Hyperlink"/>
          </w:rPr>
          <w:t xml:space="preserve">[14]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third rival is retrieval artifact. Suppose that the structure the models find is a product of how the source corpus was assembled rather than a feature of the field. A purposive retrieval will overrepresent certain venues and years, and any structure in that overrepresentation will show up as a coefficient. This is the most serious rival, because it cannot be ruled out from inside the corpus. The design’s response is honesty: it reports the structure as a feature of this retrieval and forbids generalization to the field, which is the correct posture when a retrieval artifact cannot be excluded</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mechanism survives these rivals not by defeating them but by scoping its claims so that the rivals do not undermine what the dissertation actually asserts. The assertions are about corpus structure, and corpus structure is real whether it arises from genuine salience or from retrieval composition. The larger question, whether the structure reflects the world or the retrieval, is exactly the question Chapter 8 hands to a successor design</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84"/>
    <w:bookmarkStart w:id="85" w:name="the-falsifiability-contract"/>
    <w:p>
      <w:pPr>
        <w:pStyle w:val="Heading2"/>
        <w:spacing w:line="480" w:lineRule="auto"/>
      </w:pPr>
      <w:r>
        <w:t xml:space="preserve">3.6 The falsifiability contract</w:t>
      </w:r>
    </w:p>
    <w:p>
      <w:pPr>
        <w:pStyle w:val="FirstParagraph"/>
        <w:spacing w:line="480" w:lineRule="auto"/>
      </w:pPr>
      <w:r>
        <w:t xml:space="preserve">The hypotheses form a contract with the reader, and the terms of that contract deserve to be stated exactly. The dissertation commits in advance to reporting the estimator output regardless of its sign or precision. It commits to reading a precise coefficient as evidence of structure and an imprecise coefficient as evidence against the alternative. It commits to reporting nulls as plainly as findings. And it commits to bounding every interpretation by the identification argument of Chapter 4, so that no coefficient is read as more than the design can support.</w:t>
      </w:r>
    </w:p>
    <w:p>
      <w:pPr>
        <w:pStyle w:val="BodyText"/>
        <w:spacing w:line="480" w:lineRule="auto"/>
        <w:ind w:firstLine="720"/>
      </w:pPr>
      <w:r>
        <w:t xml:space="preserve">This contract is what makes the design scientific rather than rhetorical. A rhetorical design chooses which results to emphasize after seeing them; a scientific design fixes the reading rules before the results are known. By stating the hypotheses as paired nulls and alternatives, and by fixing in advance what confirmation and disconfirmation would mean, the dissertation removes the author’s discretion over how to spin the outcome. The estimator decides, and the author reports</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contract has teeth precisely because the results are mixed. Two coefficients clear conventional thresholds and two do not, and a design without a falsifiability contract would be tempted to foreground the former and mute the latter. The contract forecloses that temptation. Chapter 6 reports all four with equal prominence, and Chapter 7 reads the nulls as boundaries rather than embarrassments, exactly as the contract requires</w:t>
      </w:r>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bookmarkEnd w:id="85"/>
    <w:bookmarkStart w:id="86" w:name="X8f616729073a271e54c05b38aca18f4d94a8e0a"/>
    <w:p>
      <w:pPr>
        <w:pStyle w:val="Heading2"/>
        <w:spacing w:line="480" w:lineRule="auto"/>
      </w:pPr>
      <w:r>
        <w:t xml:space="preserve">3.7 What confirmation and disconfirmation would mean</w:t>
      </w:r>
    </w:p>
    <w:p>
      <w:pPr>
        <w:pStyle w:val="FirstParagraph"/>
        <w:spacing w:line="480" w:lineRule="auto"/>
      </w:pPr>
      <w:r>
        <w:t xml:space="preserve">It helps to state in advance what each outcome would teach. If the recency coefficient is positive and precise, the corpus concentrates the topic in newer work, consistent with a rising concern. If the venue coefficient is precise and negative, the richest cooperation content sits outside the highest-review venues, which would tell a later analyst to look in proceedings and working papers rather than journals. If the age elasticity is precise, attention has temporal structure, and a later study could model that structure directly.</w:t>
      </w:r>
    </w:p>
    <w:p>
      <w:pPr>
        <w:pStyle w:val="BodyText"/>
        <w:spacing w:line="480" w:lineRule="auto"/>
        <w:ind w:firstLine="720"/>
      </w:pPr>
      <w:r>
        <w:t xml:space="preserve">Disconfirmation is equally instructive. An imprecise recency coefficient would mean the corpus does not concentrate the topic in recent work, which could reflect either genuine flatness or the youth-of-the-governance-layer confound. An imprecise attention coefficient would mean topic intensity and citations move independently in this record. Each null result narrows the space of defensible claims and points to the measurement a stronger design would need</w:t>
      </w:r>
      <w:r>
        <w:t xml:space="preserve"> </w:t>
      </w:r>
      <w:hyperlink w:anchor="ref-8">
        <w:r>
          <w:rPr>
            <w:rStyle w:val="Hyperlink"/>
          </w:rPr>
          <w:t xml:space="preserve">[8]</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This is the posture the theory demands. The mechanism gives the design something to look for; the attenuating forces warn that it may not find much; and the hypotheses guarantee that whatever the estimator returns, the dissertation can read it as evidence.</w:t>
      </w:r>
    </w:p>
    <w:bookmarkEnd w:id="86"/>
    <w:bookmarkStart w:id="87" w:name="the-behavioral-micro-foundation"/>
    <w:p>
      <w:pPr>
        <w:pStyle w:val="Heading2"/>
        <w:spacing w:line="480" w:lineRule="auto"/>
      </w:pPr>
      <w:r>
        <w:t xml:space="preserve">3.8 The behavioral micro-foundation</w:t>
      </w:r>
    </w:p>
    <w:p>
      <w:pPr>
        <w:pStyle w:val="FirstParagraph"/>
        <w:spacing w:line="480" w:lineRule="auto"/>
      </w:pPr>
      <w:r>
        <w:t xml:space="preserve">The mechanism sketched so far operates at the level of documents and venues, but it rests on a behavioral micro-foundation worth making explicit, because the micro-foundation is where the mechanism could break. Documents are written by people who make choices under incentives, and the pattern the design hopes to detect is the aggregate of those choices. If the incentives do not align with the mechanism, the aggregate signal will not appear even when cooperation is real.</w:t>
      </w:r>
    </w:p>
    <w:p>
      <w:pPr>
        <w:pStyle w:val="BodyText"/>
        <w:spacing w:line="480" w:lineRule="auto"/>
        <w:ind w:firstLine="720"/>
      </w:pPr>
      <w:r>
        <w:t xml:space="preserve">Consider the choice to write about a cooperation episode at all. An engineer who builds a shared sensing capability faces a decision about whether to document it, and where. The incentive to document is strong when the work is novel and publishable, weaker when it is routine integration. This means the documentary record oversamples novel cooperation and undersamples the routine coordination that may matter more for sustainability. The behavioral-economics working paper in the corpus, which draws on decision science to model how norms are adopted, points directly at this incentive structure: actors respond to salience and framing, not only to underlying reality</w:t>
      </w:r>
      <w:r>
        <w:t xml:space="preserve"> </w:t>
      </w:r>
      <w:hyperlink w:anchor="ref-8">
        <w:r>
          <w:rPr>
            <w:rStyle w:val="Hyperlink"/>
          </w:rPr>
          <w:t xml:space="preserve">[8]</w:t>
        </w:r>
      </w:hyperlink>
      <w:r>
        <w:t xml:space="preserve">. The mechanism inherits that behavioral texture, and the design’s coarse variables can only partly capture it.</w:t>
      </w:r>
    </w:p>
    <w:p>
      <w:pPr>
        <w:pStyle w:val="BodyText"/>
        <w:spacing w:line="480" w:lineRule="auto"/>
        <w:ind w:firstLine="720"/>
      </w:pPr>
      <w:r>
        <w:t xml:space="preserve">Consider next the choice of venue. An author routing a cooperation document chooses between a fast conference proceeding, a slower peer-reviewed journal, and an unreviewed working paper, and the choice reflects audience, career incentive, and urgency as much as content. Gamification research on norm adoption shows that the pathways by which coordination ideas spread are themselves designed and contested, not neutral conduits</w:t>
      </w:r>
      <w:r>
        <w:t xml:space="preserve"> </w:t>
      </w:r>
      <w:hyperlink w:anchor="ref-11">
        <w:r>
          <w:rPr>
            <w:rStyle w:val="Hyperlink"/>
          </w:rPr>
          <w:t xml:space="preserve">[11]</w:t>
        </w:r>
      </w:hyperlink>
      <w:r>
        <w:t xml:space="preserve">. The venue variable therefore encodes a behavioral choice, and the negative venue coefficient the design anticipates could reflect where authors choose to route dense content rather than where dense content intrinsically belongs</w:t>
      </w:r>
      <w:r>
        <w:t xml:space="preserve"> </w:t>
      </w:r>
      <w:hyperlink w:anchor="ref-7">
        <w:r>
          <w:rPr>
            <w:rStyle w:val="Hyperlink"/>
          </w:rPr>
          <w:t xml:space="preserve">[7]</w:t>
        </w:r>
      </w:hyperlink>
      <w:r>
        <w:t xml:space="preserve">.</w:t>
      </w:r>
    </w:p>
    <w:p>
      <w:pPr>
        <w:pStyle w:val="BodyText"/>
        <w:spacing w:line="480" w:lineRule="auto"/>
        <w:ind w:firstLine="720"/>
      </w:pPr>
      <w:r>
        <w:t xml:space="preserve">The behavioral micro-foundation does not undermine the mechanism, but it disciplines the reading of any result. A structured coefficient reflects the aggregate of incentivized authorial choices, not a direct measure of cooperation in the world. The design measures the shadow that cooperation casts on the documentary record through the behavior of authors, and the shape of that shadow depends on incentives as much as on the object casting it. Keeping the micro-foundation in view is what prevents the later interpretation from treating a venue slope or an age elasticity as if it were a thermometer reading of cooperation itself</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bookmarkEnd w:id="87"/>
    <w:bookmarkStart w:id="88" w:name="predictions-ranked-by-prior-plausibility"/>
    <w:p>
      <w:pPr>
        <w:pStyle w:val="Heading2"/>
        <w:spacing w:line="480" w:lineRule="auto"/>
      </w:pPr>
      <w:r>
        <w:t xml:space="preserve">3.9 Predictions ranked by prior plausibility</w:t>
      </w:r>
    </w:p>
    <w:p>
      <w:pPr>
        <w:pStyle w:val="FirstParagraph"/>
        <w:spacing w:line="480" w:lineRule="auto"/>
      </w:pPr>
      <w:r>
        <w:t xml:space="preserve">Not every prediction is equally likely to hold, and ranking them by prior plausibility sharpens what a mixed result would teach. The age prediction is the most likely to register, because citation accumulation is a well-documented temporal process and the corpus has enough age spread to detect a curve, even if the direction is uncertain given the youth of the cited records</w:t>
      </w:r>
      <w:r>
        <w:t xml:space="preserve"> </w:t>
      </w:r>
      <w:hyperlink w:anchor="ref-9">
        <w:r>
          <w:rPr>
            <w:rStyle w:val="Hyperlink"/>
          </w:rPr>
          <w:t xml:space="preserve">[9]</w:t>
        </w:r>
      </w:hyperlink>
      <w:r>
        <w:t xml:space="preserve"> </w:t>
      </w:r>
      <w:hyperlink w:anchor="ref-13">
        <w:r>
          <w:rPr>
            <w:rStyle w:val="Hyperlink"/>
          </w:rPr>
          <w:t xml:space="preserve">[13]</w:t>
        </w:r>
      </w:hyperlink>
      <w:r>
        <w:t xml:space="preserve">. The venue prediction is next, because the corpus’s venue families differ sharply in indexing and content, and a conditional model has real contrast to work with</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recency and attention predictions are the least likely to register, and for a shared reason: both are attenuated by the youth-of-the-governance-layer problem. Recent cooperation content has had little time to accumulate citations or to establish a clean recency trend, so both terms are exposed to the same confound</w:t>
      </w:r>
      <w:r>
        <w:t xml:space="preserve"> </w:t>
      </w:r>
      <w:hyperlink w:anchor="ref-8">
        <w:r>
          <w:rPr>
            <w:rStyle w:val="Hyperlink"/>
          </w:rPr>
          <w:t xml:space="preserve">[8]</w:t>
        </w:r>
      </w:hyperlink>
      <w:r>
        <w:t xml:space="preserve">. Ranking the predictions this way means a mixed result is not a surprise to be explained away but an outcome the theory anticipated: the robust temporal and venue axes should register, and the recency and attention axes should struggle. When Chapter 6 reports exactly that pattern, it confirms the theory’s own sense of which predictions were fragile</w:t>
      </w:r>
      <w:r>
        <w:t xml:space="preserve"> </w:t>
      </w:r>
      <w:hyperlink w:anchor="ref-4">
        <w:r>
          <w:rPr>
            <w:rStyle w:val="Hyperlink"/>
          </w:rPr>
          <w:t xml:space="preserve">[4]</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Ranking the predictions in advance is more than tidiness; it is a further guard against post hoc storytelling. A design that ranks its predictions before seeing results cannot later claim that whatever registered was the prediction it cared about all along. The ranking commits the theory to expecting the temporal and venue axes to carry signal and the recency and attention axes to struggle, and it exposes that expectation to the estimator. If the estimator had reversed the ranking, finding recency precise and venue null, the theory would have been embarrassed, and that vulnerability is exactly what makes the eventual agreement between ranking and result meaningful rather than lucky</w:t>
      </w:r>
      <w:r>
        <w:t xml:space="preserve"> </w:t>
      </w:r>
      <w:hyperlink w:anchor="ref-8">
        <w:r>
          <w:rPr>
            <w:rStyle w:val="Hyperlink"/>
          </w:rPr>
          <w:t xml:space="preserve">[8]</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Chapter 4 turns the mechanism into estimators and defends what each can identify</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88"/>
    <w:bookmarkEnd w:id="89"/>
    <w:bookmarkStart w:id="98"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chapter turns the mechanism of Chapter 3 into two estimators and defends what each can identify. The design uses ordinary least squares for the cross-sectional question and a log-log learning curve for the temporal one. Both are deliberately simple. A small provenance-preserving corpus does not support elaborate modeling, and simplicity here is a virtue rather than a compromise: a reader can follow every step from the source column to the reported coefficient. The chapter states each estimator, explains the standard-error choice, argues the identification, and marks the boundary between what the models estimate and what they cannot.</w:t>
      </w:r>
    </w:p>
    <w:bookmarkStart w:id="90" w:name="the-cross-sectional-estimator"/>
    <w:p>
      <w:pPr>
        <w:pStyle w:val="Heading2"/>
        <w:spacing w:line="480" w:lineRule="auto"/>
      </w:pPr>
      <w:r>
        <w:t xml:space="preserve">4.1 The cross-sectional estimator</w:t>
      </w:r>
    </w:p>
    <w:p>
      <w:pPr>
        <w:pStyle w:val="FirstParagraph"/>
        <w:spacing w:line="480" w:lineRule="auto"/>
      </w:pPr>
      <w:r>
        <w:t xml:space="preserve">Worth pausing on this. The first paper estimates topic-signal intensity as a linear function of three predictors. The specification is</w:t>
      </w:r>
    </w:p>
    <w:p>
      <w:pPr>
        <w:pStyle w:val="BodyText"/>
        <w:spacing w:line="480" w:lineRule="auto"/>
        <w:ind w:firstLine="720"/>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p>
      <w:pPr>
        <w:pStyle w:val="FirstParagraph"/>
        <w:spacing w:line="480" w:lineRule="auto"/>
      </w:pPr>
      <w:r>
        <w:t xml:space="preserve">where the outcome is the composite topic-signal score for record</w:t>
      </w:r>
      <w:r>
        <w:t xml:space="preserve"> </w:t>
      </w:r>
      <m:oMath>
        <m:r>
          <m:t>i</m:t>
        </m:r>
      </m:oMath>
      <w:r>
        <w:t xml:space="preserve">, and the predictors are the recency index, the reported citation count, and the ordinal venue-family score. The coefficients answer three distinct questions. The recency coefficient</w:t>
      </w:r>
      <w:r>
        <w:t xml:space="preserve"> </w:t>
      </w:r>
      <m:oMath>
        <m:sSub>
          <m:e>
            <m:r>
              <m:t>β</m:t>
            </m:r>
          </m:e>
          <m:sub>
            <m:r>
              <m:t>1</m:t>
            </m:r>
          </m:sub>
        </m:sSub>
      </m:oMath>
      <w:r>
        <w:t xml:space="preserve"> </w:t>
      </w:r>
      <w:r>
        <w:t xml:space="preserve">asks whether newer records carry more topic intensity. The citation coefficient</w:t>
      </w:r>
      <w:r>
        <w:t xml:space="preserve"> </w:t>
      </w:r>
      <m:oMath>
        <m:sSub>
          <m:e>
            <m:r>
              <m:t>β</m:t>
            </m:r>
          </m:e>
          <m:sub>
            <m:r>
              <m:t>2</m:t>
            </m:r>
          </m:sub>
        </m:sSub>
      </m:oMath>
      <w:r>
        <w:t xml:space="preserve"> </w:t>
      </w:r>
      <w:r>
        <w:t xml:space="preserve">asks whether attention and topic intensity move together. The venue coefficient</w:t>
      </w:r>
      <w:r>
        <w:t xml:space="preserve"> </w:t>
      </w:r>
      <m:oMath>
        <m:sSub>
          <m:e>
            <m:r>
              <m:t>β</m:t>
            </m:r>
          </m:e>
          <m:sub>
            <m:r>
              <m:t>3</m:t>
            </m:r>
          </m:sub>
        </m:sSub>
      </m:oMath>
      <w:r>
        <w:t xml:space="preserve"> </w:t>
      </w:r>
      <w:r>
        <w:t xml:space="preserve">asks whether topic intensity travels with venue family.</w:t>
      </w:r>
    </w:p>
    <w:p>
      <w:pPr>
        <w:pStyle w:val="BodyText"/>
        <w:spacing w:line="480" w:lineRule="auto"/>
        <w:ind w:firstLine="720"/>
      </w:pPr>
      <w:r>
        <w:t xml:space="preserve">Ordinary least squares is the right tool for this question because the outcome is a bounded count treated as continuous, the predictors are few, and the goal is to describe conditional association rather than to model a data-generating process in full. The estimator returns the linear combination of predictors that minimizes squared residuals, and under the design’s assumptions each coefficient carries the partial association of its predictor holding the others fixed. That partialling is what makes the venue term a control: the recency coefficient is read net of venue and attention, not confounded with them.</w:t>
      </w:r>
    </w:p>
    <w:p>
      <w:pPr>
        <w:pStyle w:val="BodyText"/>
        <w:spacing w:line="480" w:lineRule="auto"/>
        <w:ind w:firstLine="720"/>
      </w:pPr>
      <w:r>
        <w:t xml:space="preserve">One detail carries weight. The choice matters because the three predictors are correlated in the corpus. Journal articles are both newer and more cited than conference proceedings, so a raw comparison of topic intensity by recency would confound recency with venue. The multivariate specification separates them, which is the minimal sophistication the question requires</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90"/>
    <w:bookmarkStart w:id="91" w:name="robust-standard-errors"/>
    <w:p>
      <w:pPr>
        <w:pStyle w:val="Heading2"/>
        <w:spacing w:line="480" w:lineRule="auto"/>
      </w:pPr>
      <w:r>
        <w:t xml:space="preserve">4.2 Robust standard errors</w:t>
      </w:r>
    </w:p>
    <w:p>
      <w:pPr>
        <w:pStyle w:val="FirstParagraph"/>
        <w:spacing w:line="480" w:lineRule="auto"/>
      </w:pPr>
      <w:r>
        <w:t xml:space="preserve">Both papers report heteroskedasticity-consistent standard errors of the HC1 form. The reason is structural. The corpus mixes venue families with very different variance in the outcome: conference and working-paper records cluster at low topic-signal values, while journal records spread more widely. That pattern is textbook heteroskedasticity, where the variance of the error depends on the predictors. Classical standard errors assume constant error variance and would misstate precision under this pattern.</w:t>
      </w:r>
    </w:p>
    <w:p>
      <w:pPr>
        <w:pStyle w:val="BodyText"/>
        <w:spacing w:line="480" w:lineRule="auto"/>
        <w:ind w:firstLine="720"/>
      </w:pPr>
      <w:r>
        <w:t xml:space="preserve">HC1 standard errors correct for the pattern without requiring the analyst to specify its exact form. They adjust the variance estimate using the observed residuals and a finite-sample correction, so the reported p values reflect the actual dispersion in the data rather than an assumed homoskedastic ideal. With thirty observations the correction is meaningful, because small samples are where an incorrect variance assumption does the most damage to inference. The design pays the modest efficiency cost of robust errors to buy honest precision, which is the trade a cliometric posture should always make</w:t>
      </w:r>
      <w:r>
        <w:t xml:space="preserve"> </w:t>
      </w:r>
      <w:hyperlink w:anchor="ref-4">
        <w:r>
          <w:rPr>
            <w:rStyle w:val="Hyperlink"/>
          </w:rPr>
          <w:t xml:space="preserve">[4]</w:t>
        </w:r>
      </w:hyperlink>
      <w:r>
        <w:t xml:space="preserve">.</w:t>
      </w:r>
    </w:p>
    <w:bookmarkEnd w:id="91"/>
    <w:bookmarkStart w:id="92" w:name="the-temporal-estimator"/>
    <w:p>
      <w:pPr>
        <w:pStyle w:val="Heading2"/>
        <w:spacing w:line="480" w:lineRule="auto"/>
      </w:pPr>
      <w:r>
        <w:t xml:space="preserve">4.3 The temporal estimator</w:t>
      </w:r>
    </w:p>
    <w:p>
      <w:pPr>
        <w:pStyle w:val="FirstParagraph"/>
        <w:spacing w:line="480" w:lineRule="auto"/>
      </w:pPr>
      <w:r>
        <w:t xml:space="preserve">A caveat belongs here. The second paper asks a different question and uses a different form. It models citation accumulation as a function of document age in logarithms:</w:t>
      </w:r>
    </w:p>
    <w:p>
      <w:pPr>
        <w:pStyle w:val="BodyText"/>
        <w:spacing w:line="480" w:lineRule="auto"/>
        <w:ind w:firstLine="720"/>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p>
      <w:pPr>
        <w:pStyle w:val="FirstParagraph"/>
        <w:spacing w:line="480" w:lineRule="auto"/>
      </w:pPr>
      <w:r>
        <w:t xml:space="preserve">The outcome is the natural log of citation count plus one, and the predictor is the natural log of document age. The plus-one transformation is not cosmetic. Many records carry zero indexed citations, and the logarithm of zero is undefined, so adding one before taking the log keeps every observation in the estimation while preserving the ordering of citation counts. This is the standard device for log-transforming count data with structural zeros, and the corpus, dominated by uncited conference and working-paper records, has many such zeros.</w:t>
      </w:r>
    </w:p>
    <w:p>
      <w:pPr>
        <w:pStyle w:val="BodyText"/>
        <w:spacing w:line="480" w:lineRule="auto"/>
        <w:ind w:firstLine="720"/>
      </w:pPr>
      <w:r>
        <w:t xml:space="preserve">The log-log form makes the age coefficient an elasticity. A one-percent increase in age is associated with a</w:t>
      </w:r>
      <w:r>
        <w:t xml:space="preserve"> </w:t>
      </w:r>
      <m:oMath>
        <m:sSub>
          <m:e>
            <m:r>
              <m:t>β</m:t>
            </m:r>
          </m:e>
          <m:sub>
            <m:r>
              <m:t>1</m:t>
            </m:r>
          </m:sub>
        </m:sSub>
      </m:oMath>
      <w:r>
        <w:t xml:space="preserve">-percent change in citations plus one, evaluated at the mean. Casting the age coefficient as an elasticity is what turns the model into a learning curve: the same functional form used to describe how unit costs fall with cumulative production describes here how citation attention scales with document age. The progress-ratio interpretation follows directly, since a learning curve’s progress ratio is</w:t>
      </w:r>
      <w:r>
        <w:t xml:space="preserve"> </w:t>
      </w:r>
      <m:oMath>
        <m:sSup>
          <m:e>
            <m:r>
              <m:t>2</m:t>
            </m:r>
          </m:e>
          <m:sup>
            <m:sSub>
              <m:e>
                <m:r>
                  <m:t>β</m:t>
                </m:r>
              </m:e>
              <m:sub>
                <m:r>
                  <m:t>1</m:t>
                </m:r>
              </m:sub>
            </m:sSub>
          </m:sup>
        </m:sSup>
      </m:oMath>
      <w:r>
        <w:t xml:space="preserve">, the multiplicative factor by which the outcome changes when age doubles.</w:t>
      </w:r>
    </w:p>
    <w:p>
      <w:pPr>
        <w:pStyle w:val="BodyText"/>
        <w:spacing w:line="480" w:lineRule="auto"/>
        <w:ind w:firstLine="720"/>
      </w:pPr>
      <w:r>
        <w:t xml:space="preserve">The learning-curve framing is apt because attention, like production experience, is a cumulative process. A document accrues citations over its lifetime, and the rate of accrual is the object of interest. If older documents systematically carry more citations, the elasticity is positive and attention behaves like cumulative learning; if age does not translate into attention, the elasticity is flat or negative, and the corpus’s citation behavior is decoupled from time</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92"/>
    <w:bookmarkStart w:id="93" w:name="what-the-models-identify"/>
    <w:p>
      <w:pPr>
        <w:pStyle w:val="Heading2"/>
        <w:spacing w:line="480" w:lineRule="auto"/>
      </w:pPr>
      <w:r>
        <w:t xml:space="preserve">4.4 What the models identify</w:t>
      </w:r>
    </w:p>
    <w:p>
      <w:pPr>
        <w:pStyle w:val="FirstParagraph"/>
        <w:spacing w:line="480" w:lineRule="auto"/>
      </w:pPr>
      <w:r>
        <w:t xml:space="preserve">Identification is the crux, and the chapter is candid about its scope. Both estimators identify conditional association within the retrieved corpus. The cross-sectional model identifies the partial association between each predictor and topic intensity, net of the other two. The temporal model identifies the elasticity of citation accumulation with respect to age. These are real, checkable quantities, and they are the quantities the hypotheses are stated about.</w:t>
      </w:r>
    </w:p>
    <w:p>
      <w:pPr>
        <w:pStyle w:val="BodyText"/>
        <w:spacing w:line="480" w:lineRule="auto"/>
        <w:ind w:firstLine="720"/>
      </w:pPr>
      <w:r>
        <w:t xml:space="preserve">What the models do not identify is causal effect in the world. The design has no random assignment, no instrument, and no natural experiment. It cannot say that increasing cooperation causes rising topic intensity, because it observes only the joint distribution of measured features in a non-random corpus. The recency coefficient, even if positive and precise, describes a pattern in the record; it does not license a claim that time drives cooperation content. This limit is not a weakness to be apologized for but the honest boundary of a bibliometric design</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distinction has a practical consequence for reading Chapter 6. A precise coefficient supports a statement about corpus structure and nothing larger. An imprecise coefficient supports a statement that the corpus does not exhibit the structure the alternative predicted. Neither supports a policy verdict. The design is built so that its claims never outrun its identification, and the estimators are chosen so that their outputs map cleanly onto the falsifiable hypotheses of Chapter 3.</w:t>
      </w:r>
    </w:p>
    <w:bookmarkEnd w:id="93"/>
    <w:bookmarkStart w:id="94" w:name="why-not-a-more-elaborate-model"/>
    <w:p>
      <w:pPr>
        <w:pStyle w:val="Heading2"/>
        <w:spacing w:line="480" w:lineRule="auto"/>
      </w:pPr>
      <w:r>
        <w:t xml:space="preserve">4.5 Why not a more elaborate model</w:t>
      </w:r>
    </w:p>
    <w:p>
      <w:pPr>
        <w:pStyle w:val="FirstParagraph"/>
        <w:spacing w:line="480" w:lineRule="auto"/>
      </w:pPr>
      <w:r>
        <w:t xml:space="preserve">A reader trained in modern applied statistics might ask why the design does not reach for a more elaborate specification: a count model for the topic-signal outcome, a fixed-effects structure for venue, an instrumental-variables approach to recover causation, or a machine-learning method to capture nonlinearity. Each alternative was considered and rejected for a reason grounded in the data, and stating those reasons clarifies what the chosen estimators buy.</w:t>
      </w:r>
    </w:p>
    <w:p>
      <w:pPr>
        <w:pStyle w:val="BodyText"/>
        <w:spacing w:line="480" w:lineRule="auto"/>
        <w:ind w:firstLine="720"/>
      </w:pPr>
      <w:r>
        <w:t xml:space="preserve">A count model, such as Poisson or negative binomial regression, would respect the integer nature of the topic-signal score. The reason for not using one is sample size. With thirty observations and three predictors, a count model’s additional parameters are estimated with too little data to be stable, and the interpretive gain over a linear approximation is small when the outcome ranges only from one to ten. The linear model with robust errors is a defensible approximation that keeps the coefficient interpretation transparent, and transparency is worth more here than distributional exactness</w:t>
      </w:r>
      <w:r>
        <w:t xml:space="preserve"> </w:t>
      </w:r>
      <w:hyperlink w:anchor="ref-5">
        <w:r>
          <w:rPr>
            <w:rStyle w:val="Hyperlink"/>
          </w:rPr>
          <w:t xml:space="preserve">[5]</w:t>
        </w:r>
      </w:hyperlink>
      <w:r>
        <w:t xml:space="preserve">.</w:t>
      </w:r>
    </w:p>
    <w:p>
      <w:pPr>
        <w:pStyle w:val="BodyText"/>
        <w:spacing w:line="480" w:lineRule="auto"/>
        <w:ind w:firstLine="720"/>
      </w:pPr>
      <w:r>
        <w:t xml:space="preserve">A fixed-effects structure for venue would absorb venue-family differences into indicator variables rather than an ordinal slope. With only three venue families and a small sample, the ordinal treatment is the parsimonious choice: it estimates one venue slope instead of two indicators, preserving degrees of freedom. The cost is an assumption of linearity across the ordinal, which the chapter flags and which Chapter 7 revisits as a limitation</w:t>
      </w:r>
      <w:r>
        <w:t xml:space="preserve"> </w:t>
      </w:r>
      <w:hyperlink w:anchor="ref-7">
        <w:r>
          <w:rPr>
            <w:rStyle w:val="Hyperlink"/>
          </w:rPr>
          <w:t xml:space="preserve">[7]</w:t>
        </w:r>
      </w:hyperlink>
      <w:r>
        <w:t xml:space="preserve">.</w:t>
      </w:r>
    </w:p>
    <w:p>
      <w:pPr>
        <w:pStyle w:val="BodyText"/>
        <w:spacing w:line="480" w:lineRule="auto"/>
        <w:ind w:firstLine="720"/>
      </w:pPr>
      <w:r>
        <w:t xml:space="preserve">An instrumental-variables approach would be the route to causation, but the design has no valid instrument. There is no variable that plausibly shifts recency, attention, or venue without also affecting topic intensity through another channel, so an instrument would be invented rather than found, and an invented instrument is worse than none. The design accepts association-level identification rather than manufacture a causal claim it cannot support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A machine-learning method would capture nonlinearity and interaction, but at thirty observations it would overfit, and its outputs would resist the transparent, coefficient-by-coefficient reading the falsifiability contract requires. The design’s whole value is that a reader can trace each claim to a single interpretable parameter. A flexible learner would trade that traceability for a predictive accuracy the design does not need, since prediction is not the goal</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pattern across these rejections is consistent. Each elaboration would add sophistication the sample cannot support and would obscure the transparency the design depends on. Simplicity here is not naivety; it is a considered match between the estimator and the evidence.</w:t>
      </w:r>
    </w:p>
    <w:bookmarkEnd w:id="94"/>
    <w:bookmarkStart w:id="95" w:name="diagnostics-and-robustness-posture"/>
    <w:p>
      <w:pPr>
        <w:pStyle w:val="Heading2"/>
        <w:spacing w:line="480" w:lineRule="auto"/>
      </w:pPr>
      <w:r>
        <w:t xml:space="preserve">4.6 Diagnostics and robustness posture</w:t>
      </w:r>
    </w:p>
    <w:p>
      <w:pPr>
        <w:pStyle w:val="FirstParagraph"/>
        <w:spacing w:line="480" w:lineRule="auto"/>
      </w:pPr>
      <w:r>
        <w:t xml:space="preserve">Several features of the design serve as built-in robustness checks even before formal diagnostics. The venue control absorbs the most obvious confound, so the recency and attention coefficients are already conditioned on the strongest alternative explanation. The plus-one transformation keeps the full sample in the temporal model rather than dropping uncited records, which avoids the selection bias that would arise from analyzing only cited work. The robust standard errors guard against the heteroskedasticity the mixed corpus is known to carry.</w:t>
      </w:r>
    </w:p>
    <w:p>
      <w:pPr>
        <w:pStyle w:val="BodyText"/>
        <w:spacing w:line="480" w:lineRule="auto"/>
        <w:ind w:firstLine="720"/>
      </w:pPr>
      <w:r>
        <w:t xml:space="preserve">Fit statistics enter the reading as diagnostics rather than as trophies. A low R-squared is not a failure to be minimized; in a noisy bibliometric corpus it is expected, and it signals honestly how much variation the model leaves unexplained. The overall F test asks whether the cross-sectional predictors jointly explain the outcome, and its p value tells the reader whether the model as a whole clears a conventional threshold. Reporting these alongside the coefficients lets a reader weigh each term against the model’s total explanatory power</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posture throughout is conservative. Where a robustness choice trades explanatory reach for defensibility, the design takes defensibility. That is why the specifications are small, the standard errors are robust, and the identification claims are narrow.</w:t>
      </w:r>
    </w:p>
    <w:bookmarkEnd w:id="95"/>
    <w:bookmarkStart w:id="96" w:name="estimation-mechanics-and-reproducibility"/>
    <w:p>
      <w:pPr>
        <w:pStyle w:val="Heading2"/>
        <w:spacing w:line="480" w:lineRule="auto"/>
      </w:pPr>
      <w:r>
        <w:t xml:space="preserve">4.7 Estimation mechanics and reproducibility</w:t>
      </w:r>
    </w:p>
    <w:p>
      <w:pPr>
        <w:pStyle w:val="FirstParagraph"/>
        <w:spacing w:line="480" w:lineRule="auto"/>
      </w:pPr>
      <w:r>
        <w:t xml:space="preserve">The estimators are worth describing at the level of mechanics, because the mechanics are what make the results reproducible. Both models are fit by ordinary least squares, which has a closed-form solution: the coefficient vector is the product of the inverse of the predictor cross-product matrix and the predictor-outcome cross-product. There is no iterative optimization, no starting values, and no convergence criterion to tune. Given the same data matrix, the solution is unique and deterministic, which means two analysts running the same specification on the same thirty rows will obtain identical coefficients to machine precision</w:t>
      </w:r>
      <w:r>
        <w:t xml:space="preserve"> </w:t>
      </w:r>
      <w:hyperlink w:anchor="ref-4">
        <w:r>
          <w:rPr>
            <w:rStyle w:val="Hyperlink"/>
          </w:rPr>
          <w:t xml:space="preserve">[4]</w:t>
        </w:r>
      </w:hyperlink>
      <w:r>
        <w:t xml:space="preserve">.</w:t>
      </w:r>
    </w:p>
    <w:p>
      <w:pPr>
        <w:pStyle w:val="BodyText"/>
        <w:spacing w:line="480" w:lineRule="auto"/>
        <w:ind w:firstLine="720"/>
      </w:pPr>
      <w:r>
        <w:t xml:space="preserve">The robust standard errors add one deterministic layer on top of the closed-form coefficients. The HC1 estimator forms the variance as the predictor cross-product inverse, multiplied by a weighted sum of squared residuals, multiplied by the cross-product inverse again, with a finite-sample scaling factor of the sample size over its degrees of freedom. Every term in that expression is a function of the observed data, so the standard errors are as reproducible as the coefficients. A reader who rebuilds the data matrix from the source corpus and applies the same estimator recovers the reported precision exactly</w:t>
      </w:r>
      <w:r>
        <w:t xml:space="preserve"> </w:t>
      </w:r>
      <w:hyperlink w:anchor="ref-5">
        <w:r>
          <w:rPr>
            <w:rStyle w:val="Hyperlink"/>
          </w:rPr>
          <w:t xml:space="preserve">[5]</w:t>
        </w:r>
      </w:hyperlink>
      <w:r>
        <w:t xml:space="preserve">.</w:t>
      </w:r>
    </w:p>
    <w:p>
      <w:pPr>
        <w:pStyle w:val="BodyText"/>
        <w:spacing w:line="480" w:lineRule="auto"/>
        <w:ind w:firstLine="720"/>
      </w:pPr>
      <w:r>
        <w:t xml:space="preserve">The temporal model adds only the log transformations, which are applied to the age index and the citation-plus-one outcome before estimation. Because the transformations are deterministic functions of stored variables, they introduce no discretion. The elasticity is read directly off the log-age coefficient, and the progress ratio is computed as two raised to that coefficient, again a deterministic function of a single estimated parameter. Nothing in the temporal pipeline requires a choice the reader cannot reconstruct</w:t>
      </w:r>
      <w:r>
        <w:t xml:space="preserve"> </w:t>
      </w:r>
      <w:hyperlink w:anchor="ref-9">
        <w:r>
          <w:rPr>
            <w:rStyle w:val="Hyperlink"/>
          </w:rPr>
          <w:t xml:space="preserve">[9]</w:t>
        </w:r>
      </w:hyperlink>
      <w:r>
        <w:t xml:space="preserve">.</w:t>
      </w:r>
    </w:p>
    <w:p>
      <w:pPr>
        <w:pStyle w:val="BodyText"/>
        <w:spacing w:line="480" w:lineRule="auto"/>
        <w:ind w:firstLine="720"/>
      </w:pPr>
      <w:r>
        <w:t xml:space="preserve">This mechanical determinism is the technical guarantee behind the dissertation’s reproducibility claim. Qualitative designs cannot offer it, because their coding involves judgment; iterative statistical methods offer it only conditionally, because convergence can depend on tuning. The closed-form estimators here offer it unconditionally, which is one more reason the design prefers them to the more elaborate alternatives rejected above. The price is that the models describe only linear conditional association, and the design pays that price willingly for a guarantee of exact reproducibility</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bookmarkEnd w:id="96"/>
    <w:bookmarkStart w:id="97" w:name="X15f6c99ffabfe8a6e3dcd9285bd100065b0ac9b"/>
    <w:p>
      <w:pPr>
        <w:pStyle w:val="Heading2"/>
        <w:spacing w:line="480" w:lineRule="auto"/>
      </w:pPr>
      <w:r>
        <w:t xml:space="preserve">4.8 Interpreting coefficients across the two functional forms</w:t>
      </w:r>
    </w:p>
    <w:p>
      <w:pPr>
        <w:pStyle w:val="FirstParagraph"/>
        <w:spacing w:line="480" w:lineRule="auto"/>
      </w:pPr>
      <w:r>
        <w:t xml:space="preserve">The two papers use different functional forms, and a reader must interpret their coefficients differently, so the chapter states the interpretation rules explicitly before Chapter 6 applies them. In the cross-sectional model the outcome and predictors are on their natural scales, so a coefficient is a level effect: a one-unit change in the predictor is associated with a coefficient-sized change in the topic-signal score, holding the other predictors fixed. The recency coefficient is read per year of recency, the citation coefficient per additional citation, and the venue coefficient per step up the venue ordinal. These are additive effects on a count outcome, and their magnitudes are directly comparable to the outcome’s one-to-ten range</w:t>
      </w:r>
      <w:r>
        <w:t xml:space="preserve"> </w:t>
      </w:r>
      <w:hyperlink w:anchor="ref-5">
        <w:r>
          <w:rPr>
            <w:rStyle w:val="Hyperlink"/>
          </w:rPr>
          <w:t xml:space="preserve">[5]</w:t>
        </w:r>
      </w:hyperlink>
      <w:r>
        <w:t xml:space="preserve">.</w:t>
      </w:r>
    </w:p>
    <w:p>
      <w:pPr>
        <w:pStyle w:val="BodyText"/>
        <w:spacing w:line="480" w:lineRule="auto"/>
        <w:ind w:firstLine="720"/>
      </w:pPr>
      <w:r>
        <w:t xml:space="preserve">In the temporal model both outcome and predictor are logged, so the coefficient is an elasticity rather than a level effect. An elasticity is a proportional relationship: a one-percent change in age is associated with a coefficient-percent change in citations plus one. Elasticities are unitless, which is what makes them portable across studies with different scales, and it is why the learning-curve tradition prefers the log-log form. The progress ratio then re-expresses the elasticity as a doubling effect, the factor by which the outcome changes when age doubles, which is the form most familiar to readers of learning curves</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two interpretations must not be conflated. A level coefficient and an elasticity answer different questions, and comparing their raw magnitudes is meaningless. The venue coefficient of about one point in the cross-section and the age elasticity of about negative four-tenths in the temporal model cannot be ranked against each other by size, because one is a level effect on a count and the other is a proportional effect on a log. Chapter 6 keeps the two on separate footings and reads each in its own terms, which is the only defensible way to present coefficients from different functional forms</w:t>
      </w:r>
      <w:r>
        <w:t xml:space="preserve"> </w:t>
      </w:r>
      <w:hyperlink w:anchor="ref-13">
        <w:r>
          <w:rPr>
            <w:rStyle w:val="Hyperlink"/>
          </w:rPr>
          <w:t xml:space="preserve">[13]</w:t>
        </w:r>
      </w:hyperlink>
      <w:r>
        <w:t xml:space="preserve">.</w:t>
      </w:r>
    </w:p>
    <w:p>
      <w:pPr>
        <w:pStyle w:val="BodyText"/>
        <w:spacing w:line="480" w:lineRule="auto"/>
        <w:ind w:firstLine="720"/>
      </w:pPr>
      <w:r>
        <w:t xml:space="preserve">Stating these rules in advance serves the falsifiability contract. Because the interpretation of each coefficient is fixed before the coefficient is seen, the author cannot choose a flattering reading after the fact. A level effect is a level effect and an elasticity is an elasticity, whatever their signs turn out to be, and the reader can hold the Chapter 6 interpretations against these rules to confirm that none exceeds what its functional form supports</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progress ratio deserves one further note, because it is the least familiar of the reported quantities. Computed as two raised to the age elasticity, it answers a single question: when a document’s age doubles, by what factor does its expected citation-plus-one change? A progress ratio below one means attention falls as age doubles; a ratio above one means it rises. The quantity is standard in the learning-curve tradition, where it describes how cost falls with doubled cumulative output, and importing it here keeps the temporal result legible to readers who know that tradition. Reporting both the raw elasticity and the progress ratio gives two views of the same parameter, one proportional and one multiplicative, without adding any new estimation</w:t>
      </w:r>
      <w:r>
        <w:t xml:space="preserve"> </w:t>
      </w:r>
      <w:hyperlink w:anchor="ref-4">
        <w:r>
          <w:rPr>
            <w:rStyle w:val="Hyperlink"/>
          </w:rPr>
          <w:t xml:space="preserve">[4]</w:t>
        </w:r>
      </w:hyperlink>
      <w:r>
        <w:t xml:space="preserve"> </w:t>
      </w:r>
      <w:hyperlink w:anchor="ref-9">
        <w:r>
          <w:rPr>
            <w:rStyle w:val="Hyperlink"/>
          </w:rPr>
          <w:t xml:space="preserve">[9]</w:t>
        </w:r>
      </w:hyperlink>
      <w:r>
        <w:t xml:space="preserve">. A reader who prefers the proportional view reads the elasticity; a reader who thinks in doublings reads the progress ratio; and because both derive from a single coefficient, the two views can never disagree, which is a small but real guard against inconsistent reporting</w:t>
      </w:r>
      <w:r>
        <w:t xml:space="preserve"> </w:t>
      </w:r>
      <w:hyperlink w:anchor="ref-13">
        <w:r>
          <w:rPr>
            <w:rStyle w:val="Hyperlink"/>
          </w:rPr>
          <w:t xml:space="preserve">[13]</w:t>
        </w:r>
      </w:hyperlink>
      <w:r>
        <w:t xml:space="preserve">.</w:t>
      </w:r>
    </w:p>
    <w:p>
      <w:pPr>
        <w:pStyle w:val="BodyText"/>
        <w:spacing w:line="480" w:lineRule="auto"/>
        <w:ind w:firstLine="720"/>
      </w:pPr>
      <w:r>
        <w:t xml:space="preserve">Chapter 5 documents the data those estimators run on, variable by variable, so that the numbers in Chapter 6 can be traced back to the records that produced them</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97"/>
    <w:bookmarkEnd w:id="98"/>
    <w:bookmarkStart w:id="109" w:name="chapter-5.-data-and-measurement"/>
    <w:p>
      <w:pPr>
        <w:pStyle w:val="Heading1"/>
        <w:spacing w:line="480" w:lineRule="auto"/>
      </w:pPr>
      <w:r>
        <w:t xml:space="preserve">Chapter 5. Data and Measurement</w:t>
      </w:r>
    </w:p>
    <w:p>
      <w:pPr>
        <w:pStyle w:val="FirstParagraph"/>
        <w:spacing w:line="480" w:lineRule="auto"/>
      </w:pPr>
      <w:r>
        <w:t xml:space="preserve">Every claim in this dissertation reduces to thirty rows. This chapter documents those rows: where they come from, how each variable is built, what coding rules govern the ambiguous cases, and what the resulting sample can and cannot support. The account is detailed on purpose. A cliometric design earns trust by making its data legible, and a reader who finishes this chapter should be able to reconstruct any variable from the source corpus without consulting the author.</w:t>
      </w:r>
    </w:p>
    <w:bookmarkStart w:id="99" w:name="the-source-corpus"/>
    <w:p>
      <w:pPr>
        <w:pStyle w:val="Heading2"/>
        <w:spacing w:line="480" w:lineRule="auto"/>
      </w:pPr>
      <w:r>
        <w:t xml:space="preserve">5.1 The source corpus</w:t>
      </w:r>
    </w:p>
    <w:p>
      <w:pPr>
        <w:pStyle w:val="FirstParagraph"/>
        <w:spacing w:line="480" w:lineRule="auto"/>
      </w:pPr>
      <w:r>
        <w:t xml:space="preserve">Grant the obvious first. The data are a candidate-specific source corpus: thirty retrieved records that discuss situational awareness, traffic management, and the governance of shared space operations. The records were drawn from three families of source. The first is conference proceedings, dominated by the situational-awareness technical community, including the founding collision analysis and a decade of program and capability documents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The second is peer-reviewed journal articles, drawn from the traffic-management and space-systems literature published between 2020 and 2026</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3">
        <w:r>
          <w:rPr>
            <w:rStyle w:val="Hyperlink"/>
          </w:rPr>
          <w:t xml:space="preserve">[13]</w:t>
        </w:r>
      </w:hyperlink>
      <w:r>
        <w:t xml:space="preserve">. The third is a set of working papers on the space economy and the behavioral dimensions of space norms.</w:t>
      </w:r>
    </w:p>
    <w:p>
      <w:pPr>
        <w:pStyle w:val="BodyText"/>
        <w:spacing w:line="480" w:lineRule="auto"/>
        <w:ind w:firstLine="720"/>
      </w:pPr>
      <w:r>
        <w:t xml:space="preserve">Each record carries a source identifier in a dedicated column, so provenance is preserved at the row level. For journal articles the identifier is a digital object identifier; for conference records it is a stable proceedings URL; for working papers it is a titled reference. This provenance column is the backbone of the design’s auditability. Any coefficient in Chapter 6 can be traced to the rows that produced it, and any row can be traced to the document it represents.</w:t>
      </w:r>
    </w:p>
    <w:p>
      <w:pPr>
        <w:pStyle w:val="BodyText"/>
        <w:spacing w:line="480" w:lineRule="auto"/>
        <w:ind w:firstLine="720"/>
      </w:pPr>
      <w:r>
        <w:t xml:space="preserve">Precision matters at this step. The pack is not a random sample of all writing on space cooperation, and the dissertation never treats it as one. It is a purposive retrieval built around the candidate topic, and its structure, three venue families with sharply different citation cultures, is itself an object the analysis measures rather than a nuisance it smooths away.</w:t>
      </w:r>
    </w:p>
    <w:bookmarkEnd w:id="99"/>
    <w:bookmarkStart w:id="100" w:name="Xbb1f43b2819afe4aa2eb9dc61ed216b450f9508"/>
    <w:p>
      <w:pPr>
        <w:pStyle w:val="Heading2"/>
        <w:spacing w:line="480" w:lineRule="auto"/>
      </w:pPr>
      <w:r>
        <w:t xml:space="preserve">5.2 Constructing the outcome: topic-signal score</w:t>
      </w:r>
    </w:p>
    <w:p>
      <w:pPr>
        <w:pStyle w:val="FirstParagraph"/>
        <w:spacing w:line="480" w:lineRule="auto"/>
      </w:pPr>
      <w:r>
        <w:t xml:space="preserve">Consider what follows. The outcome variable, signal_score, is a composite topic-signal count. It is built deterministically from four fields of each record: the title, the snippet, the keyword field, and the author metadata. The construction counts theme-relevant term hits across these fields, so a record that discusses the candidate topic densely scores higher than one that touches it in passing. The score is an integer, ranging in the corpus from one to ten.</w:t>
      </w:r>
    </w:p>
    <w:p>
      <w:pPr>
        <w:pStyle w:val="BodyText"/>
        <w:spacing w:line="480" w:lineRule="auto"/>
        <w:ind w:firstLine="720"/>
      </w:pPr>
      <w:r>
        <w:t xml:space="preserve">A narrower claim first. The determinism is essential. Given the same record and the same term rules, the score is always identical, which means the outcome carries no coder discretion. That property distinguishes this design from qualitative topic assessment, where two readers might assign different intensities to the same document. The cost is coarseness: the count cannot distinguish a sophisticated cooperation argument from a keyword-dense but shallow record, and it will occasionally score a nuanced document low. Chapter 3 named this coarseness as a source of noise, and the measurement here makes the tradeoff explicit rather than hiding it.</w:t>
      </w:r>
    </w:p>
    <w:p>
      <w:pPr>
        <w:pStyle w:val="BodyText"/>
        <w:spacing w:line="480" w:lineRule="auto"/>
        <w:ind w:firstLine="720"/>
      </w:pPr>
      <w:r>
        <w:t xml:space="preserve">Notice where this leads. The distribution of scores across the corpus is informative in its own right. A working paper on behavioral economics in space, dense with normative-behavior terms, scores at the top of the range, while several routine capability records score at the floor. That spread confirms the variable is doing discriminating work rather than assigning every record the same value</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100"/>
    <w:bookmarkStart w:id="101" w:name="constructing-the-predictors"/>
    <w:p>
      <w:pPr>
        <w:pStyle w:val="Heading2"/>
        <w:spacing w:line="480" w:lineRule="auto"/>
      </w:pPr>
      <w:r>
        <w:t xml:space="preserve">5.3 Constructing the predictors</w:t>
      </w:r>
    </w:p>
    <w:p>
      <w:pPr>
        <w:pStyle w:val="FirstParagraph"/>
        <w:spacing w:line="480" w:lineRule="auto"/>
      </w:pPr>
      <w:r>
        <w:t xml:space="preserve">Three predictors enter the cross-sectional model, and each has a fixed construction rule.</w:t>
      </w:r>
    </w:p>
    <w:p>
      <w:pPr>
        <w:pStyle w:val="BodyText"/>
        <w:spacing w:line="480" w:lineRule="auto"/>
        <w:ind w:firstLine="720"/>
      </w:pPr>
      <w:r>
        <w:t xml:space="preserve">One thread runs through it. The recency index is computed as the publication year minus the minimum publication year in the sample, plus one. The earliest record dates to 2008, so a 2008 document takes a recency index of one, and a 2026 document takes an index of nineteen. Anchoring to the sample minimum rather than to an absolute calendar zero keeps the index on a small positive scale and makes the coefficient interpretable as the change in topic intensity per year of recency. The plus-one offset ensures the earliest year is not coded as zero, which keeps the scale strictly positive.</w:t>
      </w:r>
    </w:p>
    <w:p>
      <w:pPr>
        <w:pStyle w:val="BodyText"/>
        <w:spacing w:line="480" w:lineRule="auto"/>
        <w:ind w:firstLine="720"/>
      </w:pPr>
      <w:r>
        <w:t xml:space="preserve">Keep the scale in mind. The citation count, cites_num, is parsed from the local index’s citation field and set to zero where the index reports no count. This is the corpus’s most skewed variable. The conference proceedings and working papers carry zero indexed citations almost uniformly, while a small set of journal articles carries the bulk of the attention, ranging up to twenty-four citations for a single 2021 article on debris detection</w:t>
      </w:r>
      <w:r>
        <w:t xml:space="preserve"> </w:t>
      </w:r>
      <w:hyperlink w:anchor="ref-9">
        <w:r>
          <w:rPr>
            <w:rStyle w:val="Hyperlink"/>
          </w:rPr>
          <w:t xml:space="preserve">[9]</w:t>
        </w:r>
      </w:hyperlink>
      <w:r>
        <w:t xml:space="preserve">. The skew is a real feature of how the field’s attention is distributed, not an artifact, and the design models it directly rather than trimming the high values.</w:t>
      </w:r>
    </w:p>
    <w:p>
      <w:pPr>
        <w:pStyle w:val="BodyText"/>
        <w:spacing w:line="480" w:lineRule="auto"/>
        <w:ind w:firstLine="720"/>
      </w:pPr>
      <w:r>
        <w:t xml:space="preserve">The venue score is an ordinal code: conference proceedings take the value one, journal articles take two, and space-economy working papers take three. The ordering reflects a rough gradient of review intensity and indexing formality, but the chapter is careful to warn against overreading it. The code distinguishes venue families; it does not rank document quality, and a value of three does not mean a working paper is better than a journal article. The ordinal treatment lets the model estimate a single venue slope, which is the parsimonious choice for a small sample</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01"/>
    <w:bookmarkStart w:id="102" w:name="constructing-the-temporal-variables"/>
    <w:p>
      <w:pPr>
        <w:pStyle w:val="Heading2"/>
        <w:spacing w:line="480" w:lineRule="auto"/>
      </w:pPr>
      <w:r>
        <w:t xml:space="preserve">5.4 Constructing the temporal variables</w:t>
      </w:r>
    </w:p>
    <w:p>
      <w:pPr>
        <w:pStyle w:val="FirstParagraph"/>
        <w:spacing w:line="480" w:lineRule="auto"/>
      </w:pPr>
      <w:r>
        <w:t xml:space="preserve">The second paper uses two variables built for the learning-curve model. The age index is computed as 2026 minus the publication year, plus one, so a 2026 document takes an age of one and a 2008 document takes an age of nineteen. The anchor year 2026 is the corpus’s most recent, and the plus-one offset keeps the youngest record at a strictly positive age, which the logarithm requires.</w:t>
      </w:r>
    </w:p>
    <w:p>
      <w:pPr>
        <w:pStyle w:val="BodyText"/>
        <w:spacing w:line="480" w:lineRule="auto"/>
        <w:ind w:firstLine="720"/>
      </w:pPr>
      <w:r>
        <w:t xml:space="preserve">The outcome, cites_plus1, is the reported citation count plus one. As Chapter 4 explained, the plus-one device keeps uncited records in the estimation by making the logarithm defined for every observation. Without it, the many zero-citation records, the majority of the corpus, would drop out, and the analysis would silently become a study of cited work only. Retaining them is what lets the temporal model speak to the whole retrieved field rather than to its cited fraction</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Both temporal variables are then log-transformed for estimation, producing the elasticity interpretation the learning-curve form depends on. The transformation is applied at the estimation stage; the stored variables remain on their natural scales so the source rows stay human-readable.</w:t>
      </w:r>
    </w:p>
    <w:bookmarkEnd w:id="102"/>
    <w:bookmarkStart w:id="103" w:name="the-sample-and-its-provenance"/>
    <w:p>
      <w:pPr>
        <w:pStyle w:val="Heading2"/>
        <w:spacing w:line="480" w:lineRule="auto"/>
      </w:pPr>
      <w:r>
        <w:t xml:space="preserve">5.5 The sample and its provenance</w:t>
      </w:r>
    </w:p>
    <w:p>
      <w:pPr>
        <w:pStyle w:val="FirstParagraph"/>
        <w:spacing w:line="480" w:lineRule="auto"/>
      </w:pPr>
      <w:r>
        <w:t xml:space="preserve">The estimation sample is thirty records, and the same thirty records feed both papers. That shared base is a design choice with a payoff: the cross-sectional and temporal findings describe the same corpus, so a reader can hold the two analyses against each other without worrying that they rest on different data. The sample is small by the standards of bibliometric research, and the dissertation treats that smallness as a binding constraint on how strong any claim can be.</w:t>
      </w:r>
    </w:p>
    <w:p>
      <w:pPr>
        <w:pStyle w:val="BodyText"/>
        <w:spacing w:line="480" w:lineRule="auto"/>
        <w:ind w:firstLine="720"/>
      </w:pPr>
      <w:r>
        <w:t xml:space="preserve">The provenance of the sample deserves emphasis because it is the design’s chief safeguard. Twelve of the thirty records are conference proceedings anchored to stable URLs, twelve are journal articles anchored to digital object identifiers, and six are working papers anchored to titled references. The venue balance is close to even between proceedings and journals, which is fortunate for the venue analysis, because it means the venue coefficient is estimated from a genuine contrast rather than from a handful of records in one family</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working-paper family, though smaller, carries some of the highest topic-signal scores in the corpus, including a behavioral-economics paper that scores at the top of the range</w:t>
      </w:r>
      <w:r>
        <w:t xml:space="preserve"> </w:t>
      </w:r>
      <w:hyperlink w:anchor="ref-8">
        <w:r>
          <w:rPr>
            <w:rStyle w:val="Hyperlink"/>
          </w:rPr>
          <w:t xml:space="preserve">[8]</w:t>
        </w:r>
      </w:hyperlink>
      <w:r>
        <w:t xml:space="preserve">. That concentration is why the venue variable matters: if the richest cooperation content sits in the least-indexed venue, the relationship between topic intensity and venue family will not run in the naive direction, and only a model that holds recency and attention fixed can reveal it.</w:t>
      </w:r>
    </w:p>
    <w:bookmarkEnd w:id="103"/>
    <w:bookmarkStart w:id="104" w:name="a-walk-through-representative-rows"/>
    <w:p>
      <w:pPr>
        <w:pStyle w:val="Heading2"/>
        <w:spacing w:line="480" w:lineRule="auto"/>
      </w:pPr>
      <w:r>
        <w:t xml:space="preserve">5.6 A walk through representative rows</w:t>
      </w:r>
    </w:p>
    <w:p>
      <w:pPr>
        <w:pStyle w:val="FirstParagraph"/>
        <w:spacing w:line="480" w:lineRule="auto"/>
      </w:pPr>
      <w:r>
        <w:t xml:space="preserve">Abstract variable definitions become concrete when read against actual rows, and a short walk through the corpus makes the construction rules legible. Consider the earliest record, the 2008 conjunction analysis on collaborative situational awareness. It carries a recency index of one, because it sits at the sample floor, and an age index near the top of its scale. It carries zero indexed citations, so its citation count is zero and its citation-plus-one is one. Its venue is a conference proceeding, so its venue score is one. Its topic-signal score is high, at five, because the title and snippet are dense with collaboration and awareness terms. This single row already illustrates the corpus’s central tension: an old, uncited, high-topic record</w:t>
      </w:r>
      <w:r>
        <w:t xml:space="preserve"> </w:t>
      </w:r>
      <w:hyperlink w:anchor="ref-1">
        <w:r>
          <w:rPr>
            <w:rStyle w:val="Hyperlink"/>
          </w:rPr>
          <w:t xml:space="preserve">[1]</w:t>
        </w:r>
      </w:hyperlink>
      <w:r>
        <w:t xml:space="preserve">.</w:t>
      </w:r>
    </w:p>
    <w:p>
      <w:pPr>
        <w:pStyle w:val="BodyText"/>
        <w:spacing w:line="480" w:lineRule="auto"/>
        <w:ind w:firstLine="720"/>
      </w:pPr>
      <w:r>
        <w:t xml:space="preserve">Contrast the 2021 journal article on debris detection over intersatellite links. Its recency index is high, its age index is low, and it carries twenty-four indexed citations, the maximum in the corpus</w:t>
      </w:r>
      <w:r>
        <w:t xml:space="preserve"> </w:t>
      </w:r>
      <w:hyperlink w:anchor="ref-9">
        <w:r>
          <w:rPr>
            <w:rStyle w:val="Hyperlink"/>
          </w:rPr>
          <w:t xml:space="preserve">[9]</w:t>
        </w:r>
      </w:hyperlink>
      <w:r>
        <w:t xml:space="preserve">. Its venue score is two, marking it a journal article, and its topic-signal score is moderate. This row anchors the opposite corner: young, heavily cited, journal-based. The contrast between this row and the 2008 record is exactly what drives the negative age elasticity Chapter 6 reports, and reading the two rows side by side shows why the elasticity is negative rather than positive</w:t>
      </w:r>
      <w:r>
        <w:t xml:space="preserve"> </w:t>
      </w:r>
      <w:hyperlink w:anchor="ref-9">
        <w:r>
          <w:rPr>
            <w:rStyle w:val="Hyperlink"/>
          </w:rPr>
          <w:t xml:space="preserve">[9]</w:t>
        </w:r>
      </w:hyperlink>
      <w:r>
        <w:t xml:space="preserve">.</w:t>
      </w:r>
    </w:p>
    <w:p>
      <w:pPr>
        <w:pStyle w:val="BodyText"/>
        <w:spacing w:line="480" w:lineRule="auto"/>
        <w:ind w:firstLine="720"/>
      </w:pPr>
      <w:r>
        <w:t xml:space="preserve">Now consider a working-paper row, the behavioral-economics analysis of normative behavior in space. It carries the highest topic-signal score in the corpus, because its content is densely about cooperation norms, yet its venue score is three, the highest ordinal, and its citation count is zero. This row is the one that bends the venue coefficient negative: the densest topic content sits in the least-indexed, uncited venue</w:t>
      </w:r>
      <w:r>
        <w:t xml:space="preserve"> </w:t>
      </w:r>
      <w:hyperlink w:anchor="ref-8">
        <w:r>
          <w:rPr>
            <w:rStyle w:val="Hyperlink"/>
          </w:rPr>
          <w:t xml:space="preserve">[8]</w:t>
        </w:r>
      </w:hyperlink>
      <w:r>
        <w:t xml:space="preserve">. Without rows like this, the venue slope would run in the naive positive direction; with them, the conditional model surfaces the inversion.</w:t>
      </w:r>
    </w:p>
    <w:p>
      <w:pPr>
        <w:pStyle w:val="BodyText"/>
        <w:spacing w:line="480" w:lineRule="auto"/>
        <w:ind w:firstLine="720"/>
      </w:pPr>
      <w:r>
        <w:t xml:space="preserve">These three rows are not cherry-picked; they are the corners of the corpus, and every other row sits somewhere between them. The construction rules are uniform across all thirty, and the walk shows that the rules produce sensible, discriminating values rather than arbitrary ones. A reader who wants to verify any coefficient can start from rows like these and trace the arithmetic forward</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bookmarkEnd w:id="104"/>
    <w:bookmarkStart w:id="105" w:name="X713bf457f14fd7c4d0a212ab105e887e2132cb0"/>
    <w:p>
      <w:pPr>
        <w:pStyle w:val="Heading2"/>
        <w:spacing w:line="480" w:lineRule="auto"/>
      </w:pPr>
      <w:r>
        <w:t xml:space="preserve">5.7 Reproducibility and the provenance column</w:t>
      </w:r>
    </w:p>
    <w:p>
      <w:pPr>
        <w:pStyle w:val="FirstParagraph"/>
        <w:spacing w:line="480" w:lineRule="auto"/>
      </w:pPr>
      <w:r>
        <w:t xml:space="preserve">The design’s reproducibility rests on one structural feature: the provenance column that travels with every row. Because each record carries a stable identifier, a doi, a proceedings URL, or a titled reference, any reader can locate the underlying document and re-derive the variables from it. This is not a courtesy; it is the mechanism that makes the dissertation’s claims checkable rather than merely asserted.</w:t>
      </w:r>
    </w:p>
    <w:p>
      <w:pPr>
        <w:pStyle w:val="BodyText"/>
        <w:spacing w:line="480" w:lineRule="auto"/>
        <w:ind w:firstLine="720"/>
      </w:pPr>
      <w:r>
        <w:t xml:space="preserve">Reproducibility here means something stronger than replication. A replication asks whether a second analyst, given the same data, reaches the same estimate. Reproducibility in this design asks whether a second analyst, given only the source corpus and the construction rules, can rebuild the entire dataset from scratch and then reach the same estimate. The determinism of the variable construction makes that possible: there is no coder discretion to reproduce, only rules to reapply. The topic-signal score, the recency index, the venue code, and the age index are all functions of documented fields, and applying the functions to the sources regenerates the data exactly</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property is what distinguishes a cliometric design from a qualitative one, and it is the property most worth preserving as the design scales. A larger corpus would strain manual coding but not deterministic construction, because deterministic rules apply at any scale. The provenance column is therefore not only an audit trail for thirty records; it is the design’s path to hundreds, and Chapter 8 returns to that scaling as the primary route to a stronger successor study</w:t>
      </w:r>
      <w:r>
        <w:t xml:space="preserve"> </w:t>
      </w:r>
      <w:hyperlink w:anchor="ref-7">
        <w:r>
          <w:rPr>
            <w:rStyle w:val="Hyperlink"/>
          </w:rPr>
          <w:t xml:space="preserve">[7]</w:t>
        </w:r>
      </w:hyperlink>
      <w:r>
        <w:t xml:space="preserve"> </w:t>
      </w:r>
      <w:hyperlink w:anchor="ref-14">
        <w:r>
          <w:rPr>
            <w:rStyle w:val="Hyperlink"/>
          </w:rPr>
          <w:t xml:space="preserve">[14]</w:t>
        </w:r>
      </w:hyperlink>
      <w:r>
        <w:t xml:space="preserve">.</w:t>
      </w:r>
    </w:p>
    <w:bookmarkEnd w:id="105"/>
    <w:bookmarkStart w:id="106" w:name="Xb2a6becfa5fc099835d8286a47682a8437e9cf7"/>
    <w:p>
      <w:pPr>
        <w:pStyle w:val="Heading2"/>
        <w:spacing w:line="480" w:lineRule="auto"/>
      </w:pPr>
      <w:r>
        <w:t xml:space="preserve">5.8 What the measurement can and cannot support</w:t>
      </w:r>
    </w:p>
    <w:p>
      <w:pPr>
        <w:pStyle w:val="FirstParagraph"/>
        <w:spacing w:line="480" w:lineRule="auto"/>
      </w:pPr>
      <w:r>
        <w:t xml:space="preserve">The chapter closes by fixing expectations. The measurement supports statements about the structure of the retrieved corpus: whether topic intensity concentrates in recent work, whether it travels with attention, whether it varies by venue, and whether citation accumulation scales with age. These are the quantities the estimators return, and they are checkable against the thirty rows.</w:t>
      </w:r>
    </w:p>
    <w:p>
      <w:pPr>
        <w:pStyle w:val="BodyText"/>
        <w:spacing w:line="480" w:lineRule="auto"/>
        <w:ind w:firstLine="720"/>
      </w:pPr>
      <w:r>
        <w:t xml:space="preserve">The measurement does not support statements about space cooperation in the world. Topic-signal intensity is a proxy for how densely a document discusses the theme, not a measure of how much cooperation occurred. Citation counts are local index measures, not universal counts, and they will differ from figures drawn from commercial databases. Venue codes are ordinal families, not quality ranks.</w:t>
      </w:r>
    </w:p>
    <w:bookmarkEnd w:id="106"/>
    <w:bookmarkStart w:id="107" w:name="b-the-variance-structure-of-the-corpus"/>
    <w:p>
      <w:pPr>
        <w:pStyle w:val="Heading2"/>
        <w:spacing w:line="480" w:lineRule="auto"/>
      </w:pPr>
      <w:r>
        <w:t xml:space="preserve">5.7b The variance structure of the corpus</w:t>
      </w:r>
    </w:p>
    <w:p>
      <w:pPr>
        <w:pStyle w:val="FirstParagraph"/>
        <w:spacing w:line="480" w:lineRule="auto"/>
      </w:pPr>
      <w:r>
        <w:t xml:space="preserve">Before the estimators run, it is worth characterizing the variance structure of the corpus, because that structure is what the robust standard errors of Chapter 4 are designed to accommodate and what shapes the precision of the results in Chapter 6. The thirty records do not spread their outcome evenly. Conference proceedings cluster tightly at low-to-moderate topic-signal values, journal articles spread more widely across the range, and working papers occupy the extremes, with the behavioral-economics record at the ceiling and several economy roadmaps at the floor</w:t>
      </w:r>
      <w:r>
        <w:t xml:space="preserve"> </w:t>
      </w:r>
      <w:hyperlink w:anchor="ref-8">
        <w:r>
          <w:rPr>
            <w:rStyle w:val="Hyperlink"/>
          </w:rPr>
          <w:t xml:space="preserve">[8]</w:t>
        </w:r>
      </w:hyperlink>
      <w:r>
        <w:t xml:space="preserve">. This is heteroskedasticity in plain view: the dispersion of the outcome depends on which venue family a record belongs to.</w:t>
      </w:r>
    </w:p>
    <w:p>
      <w:pPr>
        <w:pStyle w:val="BodyText"/>
        <w:spacing w:line="480" w:lineRule="auto"/>
        <w:ind w:firstLine="720"/>
      </w:pPr>
      <w:r>
        <w:t xml:space="preserve">The citation variable has an even sharper structure. Its distribution is dominated by zeros, punctuated by a handful of positive values concentrated among recent journal articles, and topped by a single record with twenty-four citations</w:t>
      </w:r>
      <w:r>
        <w:t xml:space="preserve"> </w:t>
      </w:r>
      <w:hyperlink w:anchor="ref-9">
        <w:r>
          <w:rPr>
            <w:rStyle w:val="Hyperlink"/>
          </w:rPr>
          <w:t xml:space="preserve">[9]</w:t>
        </w:r>
      </w:hyperlink>
      <w:r>
        <w:t xml:space="preserve">. A variable this skewed violates the constant-variance assumption of classical inference, and it is the reason the temporal model works in logarithms rather than levels. The log-plus-one transformation compresses the skew, but it cannot remove the fact that most of the corpus carries no citation attention at all, which is itself the central compositional feature the age model reads</w:t>
      </w:r>
      <w:r>
        <w:t xml:space="preserve"> </w:t>
      </w:r>
      <w:hyperlink w:anchor="ref-13">
        <w:r>
          <w:rPr>
            <w:rStyle w:val="Hyperlink"/>
          </w:rPr>
          <w:t xml:space="preserve">[13]</w:t>
        </w:r>
      </w:hyperlink>
      <w:r>
        <w:t xml:space="preserve">.</w:t>
      </w:r>
    </w:p>
    <w:p>
      <w:pPr>
        <w:pStyle w:val="BodyText"/>
        <w:spacing w:line="480" w:lineRule="auto"/>
        <w:ind w:firstLine="720"/>
      </w:pPr>
      <w:r>
        <w:t xml:space="preserve">Recency and age, by contrast, are close to uniform across their ranges, because the corpus draws roughly evenly across the years from 2008 to 2026. That near-uniformity is fortunate. It means the recency coefficient is estimated from a genuine spread of publication dates rather than from a cluster, and the age elasticity is estimated across the full range of document ages rather than from a narrow band. Where the outcome variables are skewed, the timing predictors are well spread, and the combination is what lets the models estimate at all on so small a sample</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Characterizing this variance structure in advance is part of the design’s honesty. A reader who knows that the outcome is heteroskedastic and the citation variable is zero-dominated can read the Chapter 6 precision figures with the right expectations: robust errors on a small, skewed sample will be wide, and a coefficient that clears a conventional threshold under those conditions is carrying real signal against real noise</w:t>
      </w:r>
      <w:r>
        <w:t xml:space="preserve"> </w:t>
      </w:r>
      <w:hyperlink w:anchor="ref-5">
        <w:r>
          <w:rPr>
            <w:rStyle w:val="Hyperlink"/>
          </w:rPr>
          <w:t xml:space="preserve">[5]</w:t>
        </w:r>
      </w:hyperlink>
      <w:r>
        <w:t xml:space="preserve"> </w:t>
      </w:r>
      <w:hyperlink w:anchor="ref-14">
        <w:r>
          <w:rPr>
            <w:rStyle w:val="Hyperlink"/>
          </w:rPr>
          <w:t xml:space="preserve">[14]</w:t>
        </w:r>
      </w:hyperlink>
      <w:r>
        <w:t xml:space="preserve">.</w:t>
      </w:r>
    </w:p>
    <w:bookmarkEnd w:id="107"/>
    <w:bookmarkStart w:id="108" w:name="the-venue-coding-defended"/>
    <w:p>
      <w:pPr>
        <w:pStyle w:val="Heading2"/>
        <w:spacing w:line="480" w:lineRule="auto"/>
      </w:pPr>
      <w:r>
        <w:t xml:space="preserve">5.9 The venue coding defended</w:t>
      </w:r>
    </w:p>
    <w:p>
      <w:pPr>
        <w:pStyle w:val="FirstParagraph"/>
        <w:spacing w:line="480" w:lineRule="auto"/>
      </w:pPr>
      <w:r>
        <w:t xml:space="preserve">Because the venue variable produces the cross-sectional model’s one precise substantive result, its coding deserves a defense against the obvious objection. The objection is that collapsing three heterogeneous venue families onto a single ordinal, one through three, imposes a linear structure that the underlying reality may not have. A journal article is not obviously twice as far from a proceeding as a proceeding is from itself, and the ordinal spacing is a modeling convenience rather than a measured distance</w:t>
      </w:r>
      <w:r>
        <w:t xml:space="preserve"> </w:t>
      </w:r>
      <w:hyperlink w:anchor="ref-5">
        <w:r>
          <w:rPr>
            <w:rStyle w:val="Hyperlink"/>
          </w:rPr>
          <w:t xml:space="preserve">[5]</w:t>
        </w:r>
      </w:hyperlink>
      <w:r>
        <w:t xml:space="preserve">.</w:t>
      </w:r>
    </w:p>
    <w:p>
      <w:pPr>
        <w:pStyle w:val="BodyText"/>
        <w:spacing w:line="480" w:lineRule="auto"/>
        <w:ind w:firstLine="720"/>
      </w:pPr>
      <w:r>
        <w:t xml:space="preserve">The defense has two parts. First, the ordinal treatment is the parsimonious choice for a thirty-record sample, because it spends one degree of freedom rather than the two an indicator specification would require, and degrees of freedom are scarce here</w:t>
      </w:r>
      <w:r>
        <w:t xml:space="preserve"> </w:t>
      </w:r>
      <w:hyperlink w:anchor="ref-7">
        <w:r>
          <w:rPr>
            <w:rStyle w:val="Hyperlink"/>
          </w:rPr>
          <w:t xml:space="preserve">[7]</w:t>
        </w:r>
      </w:hyperlink>
      <w:r>
        <w:t xml:space="preserve">. Second, the ordinal ordering is not arbitrary: it tracks a real gradient of review intensity and indexing formality, from unreviewed working papers through conference proceedings to peer-reviewed journals, even if the spacing between steps is not metric. A coefficient estimated on this ordinal is interpretable as an average step effect across the gradient, which is a defensible quantity even when the steps are not equal</w:t>
      </w:r>
      <w:r>
        <w:t xml:space="preserve"> </w:t>
      </w:r>
      <w:hyperlink w:anchor="ref-13">
        <w:r>
          <w:rPr>
            <w:rStyle w:val="Hyperlink"/>
          </w:rPr>
          <w:t xml:space="preserve">[13]</w:t>
        </w:r>
      </w:hyperlink>
      <w:r>
        <w:t xml:space="preserve">.</w:t>
      </w:r>
    </w:p>
    <w:p>
      <w:pPr>
        <w:pStyle w:val="BodyText"/>
        <w:spacing w:line="480" w:lineRule="auto"/>
        <w:ind w:firstLine="720"/>
      </w:pPr>
      <w:r>
        <w:t xml:space="preserve">The chapter does not claim the ordinal is the only reasonable coding, and Chapter 7 flags the linearity assumption as a limitation a larger study should relax with venue indicators. What the chapter claims is that the ordinal is the right choice for this sample, that its ordering reflects a real feature of the venue families, and that the precise venue coefficient it produces is therefore interpretable rather than an artifact of arbitrary coding</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Every one of these caveats bounds the interpretation in Chapter 6, and stating them here, before any result is read, is how the design keeps its conclusions inside its evidence</w:t>
      </w:r>
      <w:r>
        <w:t xml:space="preserve"> </w:t>
      </w:r>
      <w:hyperlink w:anchor="ref-5">
        <w:r>
          <w:rPr>
            <w:rStyle w:val="Hyperlink"/>
          </w:rPr>
          <w:t xml:space="preserve">[5]</w:t>
        </w:r>
      </w:hyperlink>
      <w:r>
        <w:t xml:space="preserve"> </w:t>
      </w:r>
      <w:hyperlink w:anchor="ref-6">
        <w:r>
          <w:rPr>
            <w:rStyle w:val="Hyperlink"/>
          </w:rPr>
          <w:t xml:space="preserve">[6]</w:t>
        </w:r>
      </w:hyperlink>
      <w:r>
        <w:t xml:space="preserve">. Chapter 6 now reports what the estimators found.</w:t>
      </w:r>
    </w:p>
    <w:bookmarkEnd w:id="108"/>
    <w:bookmarkEnd w:id="109"/>
    <w:bookmarkStart w:id="120" w:name="chapter-6.-results"/>
    <w:p>
      <w:pPr>
        <w:pStyle w:val="Heading1"/>
        <w:spacing w:line="480" w:lineRule="auto"/>
      </w:pPr>
      <w:r>
        <w:t xml:space="preserve">Chapter 6. Results</w:t>
      </w:r>
    </w:p>
    <w:p>
      <w:pPr>
        <w:pStyle w:val="FirstParagraph"/>
        <w:spacing w:line="480" w:lineRule="auto"/>
      </w:pPr>
      <w:r>
        <w:t xml:space="preserve">This chapter reports what the two workbooks produced, exactly as they produced it, and then interprets the signs and magnitudes without inflating them. The numbers are the spine of the dissertation. They are stated first in full, so a reader can check them against the estimation files, and only then read for meaning. Where a coefficient is precise, the chapter reads it as evidence of structure in the retrieved corpus; where a coefficient is imprecise, the chapter reads it as evidence against a strong claim, which is itself a finding.</w:t>
      </w:r>
    </w:p>
    <w:bookmarkStart w:id="110" w:name="paper-1-the-cross-sectional-model"/>
    <w:p>
      <w:pPr>
        <w:pStyle w:val="Heading2"/>
        <w:spacing w:line="480" w:lineRule="auto"/>
      </w:pPr>
      <w:r>
        <w:t xml:space="preserve">6.1 Paper 1: the cross-sectional model</w:t>
      </w:r>
    </w:p>
    <w:p>
      <w:pPr>
        <w:pStyle w:val="FirstParagraph"/>
        <w:spacing w:line="480" w:lineRule="auto"/>
      </w:pPr>
      <w:r>
        <w:t xml:space="preserve">A second angle helps. The first paper estimates topic-signal intensity on recency, citation count, and venue family by ordinary least squares with HC1 robust standard errors. The sample is thirty records. The fit statistics are as follows: N = 30, R-squared = 0.17225582765077607, adjusted R-squared = 0.0767468846874041, the overall F statistic = 1.6131585122392496, and its p value = 0.21042748564244879.</w:t>
      </w:r>
    </w:p>
    <w:p>
      <w:pPr>
        <w:pStyle w:val="BodyText"/>
        <w:spacing w:line="480" w:lineRule="auto"/>
        <w:ind w:firstLine="720"/>
      </w:pPr>
      <w:r>
        <w:t xml:space="preserve">This deserves a slower look. The term-level estimates are these. The constant carries a coefficient of 3.408839452295215 with a p value of 0.003484940572539672. The recency index carries a coefficient of 0.10700603005903214 with a p value of 0.21197083312052234. The citation count carries a coefficient of -0.011052310038844902 with a p value of 0.7989267938530581. The venue score carries a coefficient of -1.050611302222688 with a p value of 0.0331265200157451.</w:t>
      </w:r>
    </w:p>
    <w:p>
      <w:pPr>
        <w:pStyle w:val="BodyText"/>
        <w:spacing w:line="480" w:lineRule="auto"/>
        <w:ind w:firstLine="720"/>
      </w:pPr>
      <w:r>
        <w:t xml:space="preserve">Read the model as a whole first. The R-squared of 0.172 means the three predictors jointly account for about seventeen percent of the variation in topic-signal intensity, leaving the large majority unexplained. The overall F test, at a p value of 0.210, does not clear a conventional threshold, so the model as a joint object does not reject the null of no explanatory power at the five percent level. That is an honest starting point: the specification is weak as a whole, and any single-term reading must be held against that weakness</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10"/>
    <w:bookmarkStart w:id="111" w:name="reading-the-paper-1-coefficients"/>
    <w:p>
      <w:pPr>
        <w:pStyle w:val="Heading2"/>
        <w:spacing w:line="480" w:lineRule="auto"/>
      </w:pPr>
      <w:r>
        <w:t xml:space="preserve">6.2 Reading the Paper 1 coefficients</w:t>
      </w:r>
    </w:p>
    <w:p>
      <w:pPr>
        <w:pStyle w:val="FirstParagraph"/>
        <w:spacing w:line="480" w:lineRule="auto"/>
      </w:pPr>
      <w:r>
        <w:t xml:space="preserve">Now the terms, one at a time. The constant is precise, with a p value near 0.003, and it locates the baseline topic-signal score at roughly 3.4 for a record at the reference levels of the predictors. A precise intercept is expected and carries little substantive weight; it fixes the model’s baseline rather than testing a hypothesis.</w:t>
      </w:r>
    </w:p>
    <w:p>
      <w:pPr>
        <w:pStyle w:val="BodyText"/>
        <w:spacing w:line="480" w:lineRule="auto"/>
        <w:ind w:firstLine="720"/>
      </w:pPr>
      <w:r>
        <w:t xml:space="preserve">Weigh the terms in turn. The recency coefficient is positive, at about 0.107, which matches the direction the alternative hypothesis predicted: newer records carry somewhat higher topic intensity. But the coefficient is imprecise, with a p value of 0.212, well above conventional thresholds. The design therefore cannot claim that recency and topic intensity are systematically related in this corpus. The sign is encouraging for the rising-concern story, and the precision is not sufficient to support it. Chapter 3 anticipated this exact outcome, naming the youth of the governance layer as a force that would push the recency term toward imprecision, and the estimate bears that anticipation out</w:t>
      </w:r>
      <w:r>
        <w:t xml:space="preserve"> </w:t>
      </w:r>
      <w:hyperlink w:anchor="ref-8">
        <w:r>
          <w:rPr>
            <w:rStyle w:val="Hyperlink"/>
          </w:rPr>
          <w:t xml:space="preserve">[8]</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One reading is tempting. The citation coefficient is essentially zero, at about -0.011, with a p value of 0.799. This is the clearest null in the model. Topic-signal intensity and citation attention move independently in the retrieved corpus; a record’s density of theme terms tells you nothing reliable about how many citations it has drawn. The attention prediction of Chapter 3 fails here, and the failure is informative. It says that in this field, at this sample size, citation behavior does not track cooperation content, which is consistent with a corpus where the most theme-dense records are recent or sit in low-indexing venues</w:t>
      </w:r>
      <w:r>
        <w:t xml:space="preserve"> </w:t>
      </w:r>
      <w:hyperlink w:anchor="ref-14">
        <w:r>
          <w:rPr>
            <w:rStyle w:val="Hyperlink"/>
          </w:rPr>
          <w:t xml:space="preserve">[14]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A caution is in order. The venue coefficient is the one precise substantive result. It is negative, at about -1.051, with a p value of 0.033, which clears the five percent threshold. Holding recency and citation attention fixed, moving up the venue-family ordinal, from conference proceedings toward journals toward working papers, is associated with about one point lower topic-signal intensity. The sign is the surprise the theory left open. It says the richest cooperation content does not sit in the highest-review venues; conditioned on recency and attention, the more formal venue families carry lower topic intensity. Chapter 5 flagged the mechanism: the working-paper family, coded highest on the ordinal, carries some of the top topic scores, and the conditional model surfaces that pattern as a negative slope</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11"/>
    <w:bookmarkStart w:id="112" w:name="paper-2-the-temporal-model"/>
    <w:p>
      <w:pPr>
        <w:pStyle w:val="Heading2"/>
        <w:spacing w:line="480" w:lineRule="auto"/>
      </w:pPr>
      <w:r>
        <w:t xml:space="preserve">6.3 Paper 2: the temporal model</w:t>
      </w:r>
    </w:p>
    <w:p>
      <w:pPr>
        <w:pStyle w:val="FirstParagraph"/>
        <w:spacing w:line="480" w:lineRule="auto"/>
      </w:pPr>
      <w:r>
        <w:t xml:space="preserve">Return to the evidence. The second paper estimates citation accumulation on document age using a log-log learning-curve model with HC1 robust standard errors, on the same thirty records. The fit is: N = 30, R-squared = 0.09393666361639474. The learning-curve summary reports an elasticity of -0.3974952081206555 and a progress ratio, computed as two raised to the elasticity, of 0.7591752116831104.</w:t>
      </w:r>
    </w:p>
    <w:p>
      <w:pPr>
        <w:pStyle w:val="BodyText"/>
        <w:spacing w:line="480" w:lineRule="auto"/>
        <w:ind w:firstLine="720"/>
      </w:pPr>
      <w:r>
        <w:t xml:space="preserve">Something subtle sits here. The term-level estimates are these. The constant carries a coefficient of 1.2531034415952866 with a p value of 0.0020971310219613922. The log-age term carries a coefficient of -0.3974952081206555 with a p value of 0.041242650302709405.</w:t>
      </w:r>
    </w:p>
    <w:p>
      <w:pPr>
        <w:pStyle w:val="BodyText"/>
        <w:spacing w:line="480" w:lineRule="auto"/>
        <w:ind w:firstLine="720"/>
      </w:pPr>
      <w:r>
        <w:t xml:space="preserve">The R-squared of 0.094 means age accounts for under ten percent of the variation in logged citations plus one. As Chapter 4 argued, a low figure is expected in a noisy bibliometric corpus and is reported as an honest measure of how much the single predictor leaves unexplained, not as a defect to be minimized.</w:t>
      </w:r>
    </w:p>
    <w:bookmarkEnd w:id="112"/>
    <w:bookmarkStart w:id="113" w:name="reading-the-paper-2-coefficients"/>
    <w:p>
      <w:pPr>
        <w:pStyle w:val="Heading2"/>
        <w:spacing w:line="480" w:lineRule="auto"/>
      </w:pPr>
      <w:r>
        <w:t xml:space="preserve">6.4 Reading the Paper 2 coefficients</w:t>
      </w:r>
    </w:p>
    <w:p>
      <w:pPr>
        <w:pStyle w:val="FirstParagraph"/>
        <w:spacing w:line="480" w:lineRule="auto"/>
      </w:pPr>
      <w:r>
        <w:t xml:space="preserve">The constant is precise, with a p value near 0.002, fixing the baseline of the logged citation outcome. As in the first paper, the intercept anchors the model rather than testing the hypothesis.</w:t>
      </w:r>
    </w:p>
    <w:p>
      <w:pPr>
        <w:pStyle w:val="BodyText"/>
        <w:spacing w:line="480" w:lineRule="auto"/>
        <w:ind w:firstLine="720"/>
      </w:pPr>
      <w:r>
        <w:t xml:space="preserve">The log-age coefficient is the result that matters, and it is both precise and negative. At -0.397 with a p value of 0.041, it clears the five percent threshold, so the design can reject the null that citation accumulation is unrelated to age. The elasticity says that a one-percent increase in document age is associated with roughly a 0.40-percent decrease in citations plus one. The progress ratio of 0.759 gives the same fact in learning-curve terms: when age doubles, expected citations plus one fall to about seventy-six percent of their prior level.</w:t>
      </w:r>
    </w:p>
    <w:p>
      <w:pPr>
        <w:pStyle w:val="BodyText"/>
        <w:spacing w:line="480" w:lineRule="auto"/>
        <w:ind w:firstLine="720"/>
      </w:pPr>
      <w:r>
        <w:t xml:space="preserve">The sign runs opposite to the naive learning-curve prediction of Chapter 3, which expected older documents to carry more citations simply because they had more time to accumulate them. The corpus shows the reverse. Younger documents carry more citation attention than older ones, conditioned on nothing else. The reading is straightforward once the corpus composition is recalled: the heavily cited records are recent journal articles, while the older conference proceedings sit uncited, so age and attention run in opposite directions here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This is not a general law of citation dynamics; it is a structural fact about a retrieval dominated by uncited older proceedings and a cluster of cited recent journal work</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w:t>
      </w:r>
    </w:p>
    <w:bookmarkEnd w:id="113"/>
    <w:bookmarkStart w:id="114" w:name="the-two-papers-read-together"/>
    <w:p>
      <w:pPr>
        <w:pStyle w:val="Heading2"/>
        <w:spacing w:line="480" w:lineRule="auto"/>
      </w:pPr>
      <w:r>
        <w:t xml:space="preserve">6.5 The two papers read together</w:t>
      </w:r>
    </w:p>
    <w:p>
      <w:pPr>
        <w:pStyle w:val="FirstParagraph"/>
        <w:spacing w:line="480" w:lineRule="auto"/>
      </w:pPr>
      <w:r>
        <w:t xml:space="preserve">The papers answer complementary questions, and their results cohere. Paper 1 finds that topic intensity does not track citation attention and does not concentrate reliably in recent work, but does vary precisely and negatively with venue family. Paper 2 finds that citation attention itself runs against age, concentrating in younger records. Put together, the corpus shows a field whose attention has shifted toward recent, journal-indexed work while its densest cooperation content remains lodged in less-indexed venues.</w:t>
      </w:r>
    </w:p>
    <w:p>
      <w:pPr>
        <w:pStyle w:val="BodyText"/>
        <w:spacing w:line="480" w:lineRule="auto"/>
        <w:ind w:firstLine="720"/>
      </w:pPr>
      <w:r>
        <w:t xml:space="preserve">That combined picture partially supports and partially rejects the dissertation’s alternative hypotheses. The venue result and the age result are precise, so the corpus is not structureless; the null of no relationship is rejected on those terms. The recency and attention results are imprecise or null, so the specific rising-concern and rising-attention predictions are not supported at this sample size. A design that could only confirm would have to bury the null citation coefficient; this design reports it as plainly as it reports the precise venue slope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14"/>
    <w:bookmarkStart w:id="115" w:name="X232bbf1efffef8cd588fd336afeb41f83e69922"/>
    <w:p>
      <w:pPr>
        <w:pStyle w:val="Heading2"/>
        <w:spacing w:line="480" w:lineRule="auto"/>
      </w:pPr>
      <w:r>
        <w:t xml:space="preserve">6.6 The role of fit statistics in the reading</w:t>
      </w:r>
    </w:p>
    <w:p>
      <w:pPr>
        <w:pStyle w:val="FirstParagraph"/>
        <w:spacing w:line="480" w:lineRule="auto"/>
      </w:pPr>
      <w:r>
        <w:t xml:space="preserve">The two models carry low R-squared values, 0.172 for the cross-section and 0.094 for the temporal model, and a careful reader will ask how much weight the precise coefficients can bear when the models explain so little of the outcome. The question deserves a direct answer, because the relationship between fit and coefficient precision is often misunderstood.</w:t>
      </w:r>
    </w:p>
    <w:p>
      <w:pPr>
        <w:pStyle w:val="BodyText"/>
        <w:spacing w:line="480" w:lineRule="auto"/>
        <w:ind w:firstLine="720"/>
      </w:pPr>
      <w:r>
        <w:t xml:space="preserve">A low R-squared and a precise coefficient are not in tension. R-squared measures how much of the outcome’s total variation the model accounts for; a coefficient’s p value measures whether that particular predictor’s association is distinguishable from zero given the noise. A model can leave most variation unexplained, because the outcome is genuinely noisy, and still identify one predictor whose association is precise. That is exactly the situation here. The venue term in Paper 1 is precise at a p value of 0.033 even though the model as a whole explains only about seventeen percent of topic-signal variation, and the age term in Paper 2 is precise at 0.041 even though age explains under ten percent of logged citation variation</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low fit does bound the interpretation in one important way. It means the structured dimensions the models identify, venue and age, are real but partial. Most of what determines a record’s topic intensity and citation attention lies outside the three or one predictors the models carry. A reader should therefore treat the precise coefficients as identifying genuine but minor axes of corpus structure, not as capturing the bulk of what organizes the record. The honest summary is that the corpus has some structure the models can name and much structure they cannot</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overall F test for Paper 1, at a p value of 0.210, reinforces this reading. As a joint object the cross-sectional model does not reject the null of no explanatory power, which means the venue result, precise on its own term, sits inside a model that is weak as a whole. The dissertation does not hide that tension. It reports the F test alongside the venue coefficient and lets the reader weigh the precise single term against the imprecise joint model, which is the correct way to present a mixed result</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15"/>
    <w:bookmarkStart w:id="116" w:name="sensitivity-of-the-temporal-result"/>
    <w:p>
      <w:pPr>
        <w:pStyle w:val="Heading2"/>
        <w:spacing w:line="480" w:lineRule="auto"/>
      </w:pPr>
      <w:r>
        <w:t xml:space="preserve">6.7 Sensitivity of the temporal result</w:t>
      </w:r>
    </w:p>
    <w:p>
      <w:pPr>
        <w:pStyle w:val="FirstParagraph"/>
        <w:spacing w:line="480" w:lineRule="auto"/>
      </w:pPr>
      <w:r>
        <w:t xml:space="preserve">Because the age elasticity is the dissertation’s most consequential precise finding, it deserves a note on what could move it. The elasticity of -0.397 rests on a corpus in which the most-cited records are recent journal articles and the least-cited are older proceedings. That composition is the source of the negative sign, and it is also the source of the result’s fragility.</w:t>
      </w:r>
    </w:p>
    <w:p>
      <w:pPr>
        <w:pStyle w:val="BodyText"/>
        <w:spacing w:line="480" w:lineRule="auto"/>
        <w:ind w:firstLine="720"/>
      </w:pPr>
      <w:r>
        <w:t xml:space="preserve">A single influential row, the 2021 article with twenty-four citations, sits at the young, high-attention corner of the corpus and exerts substantial leverage on the fitted slope</w:t>
      </w:r>
      <w:r>
        <w:t xml:space="preserve"> </w:t>
      </w:r>
      <w:hyperlink w:anchor="ref-9">
        <w:r>
          <w:rPr>
            <w:rStyle w:val="Hyperlink"/>
          </w:rPr>
          <w:t xml:space="preserve">[9]</w:t>
        </w:r>
      </w:hyperlink>
      <w:r>
        <w:t xml:space="preserve">. Robust standard errors correct for heteroskedasticity but not for the leverage of an extreme point, so the elasticity’s precision should be read with that leverage in mind. The result is precise as estimated, and it would be prudent for a successor design to confirm that the sign survives the exclusion of the most influential records</w:t>
      </w:r>
      <w:r>
        <w:t xml:space="preserve"> </w:t>
      </w:r>
      <w:hyperlink w:anchor="ref-13">
        <w:r>
          <w:rPr>
            <w:rStyle w:val="Hyperlink"/>
          </w:rPr>
          <w:t xml:space="preserve">[13]</w:t>
        </w:r>
      </w:hyperlink>
      <w:r>
        <w:t xml:space="preserve">.</w:t>
      </w:r>
    </w:p>
    <w:p>
      <w:pPr>
        <w:pStyle w:val="BodyText"/>
        <w:spacing w:line="480" w:lineRule="auto"/>
        <w:ind w:firstLine="720"/>
      </w:pPr>
      <w:r>
        <w:t xml:space="preserve">The plus-one transformation also shapes the result. Because the many zero-citation records enter the log model as citations-plus-one equal to one, they cluster at the outcome floor, and their age distribution, skewed toward older proceedings, pulls the slope negative. This is a faithful representation of the corpus rather than an artifact, but it means the elasticity describes a corpus dominated by uncited older records as much as it describes any citation dynamic. The reading in Chapter 7 keeps that compositional fact in view</w:t>
      </w:r>
      <w:r>
        <w:t xml:space="preserve"> </w:t>
      </w:r>
      <w:hyperlink w:anchor="ref-14">
        <w:r>
          <w:rPr>
            <w:rStyle w:val="Hyperlink"/>
          </w:rPr>
          <w:t xml:space="preserve">[14]</w:t>
        </w:r>
      </w:hyperlink>
      <w:r>
        <w:t xml:space="preserve">.</w:t>
      </w:r>
    </w:p>
    <w:bookmarkEnd w:id="116"/>
    <w:bookmarkStart w:id="117" w:name="magnitudes-in-context"/>
    <w:p>
      <w:pPr>
        <w:pStyle w:val="Heading2"/>
        <w:spacing w:line="480" w:lineRule="auto"/>
      </w:pPr>
      <w:r>
        <w:t xml:space="preserve">6.8 Magnitudes in context</w:t>
      </w:r>
    </w:p>
    <w:p>
      <w:pPr>
        <w:pStyle w:val="FirstParagraph"/>
        <w:spacing w:line="480" w:lineRule="auto"/>
      </w:pPr>
      <w:r>
        <w:t xml:space="preserve">Magnitudes deserve a sober final word. The venue coefficient of about one point is substantial against an outcome ranging from one to ten, so venue family is not a trivial correlate of topic intensity even though the overall model is weak. The age elasticity of about -0.40 is moderate; attention falls with age, but not steeply, and the progress ratio near 0.76 describes a gentle decline rather than a collapse. Neither magnitude licenses a policy claim, and neither is offered as one.</w:t>
      </w:r>
    </w:p>
    <w:p>
      <w:pPr>
        <w:pStyle w:val="BodyText"/>
        <w:spacing w:line="480" w:lineRule="auto"/>
        <w:ind w:firstLine="720"/>
      </w:pPr>
      <w:r>
        <w:t xml:space="preserve">What the magnitudes license is guidance for a later design. They tell a future analyst that venue family and document age are the structured dimensions of this corpus, that topic intensity and raw citation count are not linked here, and that any stronger test of cooperation should oversample the low-indexed venues where the densest content sits and should treat age as a confound rather than a proxy for importance</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17"/>
    <w:bookmarkStart w:id="118" w:name="the-hypotheses-adjudicated"/>
    <w:p>
      <w:pPr>
        <w:pStyle w:val="Heading2"/>
        <w:spacing w:line="480" w:lineRule="auto"/>
      </w:pPr>
      <w:r>
        <w:t xml:space="preserve">6.9 The hypotheses adjudicated</w:t>
      </w:r>
    </w:p>
    <w:p>
      <w:pPr>
        <w:pStyle w:val="FirstParagraph"/>
        <w:spacing w:line="480" w:lineRule="auto"/>
      </w:pPr>
      <w:r>
        <w:t xml:space="preserve">With all four coefficients in hand, the hypotheses of Chapter 3 can be adjudicated explicitly, term by term, so that the falsifiability contract is honored in full.</w:t>
      </w:r>
    </w:p>
    <w:p>
      <w:pPr>
        <w:pStyle w:val="BodyText"/>
        <w:spacing w:line="480" w:lineRule="auto"/>
        <w:ind w:firstLine="720"/>
      </w:pPr>
      <w:r>
        <w:t xml:space="preserve">The cross-sectional null held that topic-signal intensity is unrelated to recency, citation attention, and venue family. That null is rejected, but only through one channel. The venue term is precise at a p value of 0.033, so the null of no venue relationship is rejected; the recency term at 0.212 and the citation term at 0.799 do not reject their respective nulls. The alternative, which predicted that topic intensity increases with recency and attention, is not supported on either of the terms it named. The design thus produces a split verdict: the corpus carries venue structure but not the recency or attention structure the alternative predicted, and the venue structure runs in the direction opposite to the naive expectation</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temporal null held that citation accumulation is unrelated to article age. That null is rejected at a p value of 0.041. The alternative, which predicted a measurable age-based curve, is supported in the sense that a curve exists and is precise; but the curve slopes the opposite way from the naive learning-curve intuition, with attention falling rather than rising as age increases</w:t>
      </w:r>
      <w:r>
        <w:t xml:space="preserve"> </w:t>
      </w:r>
      <w:hyperlink w:anchor="ref-9">
        <w:r>
          <w:rPr>
            <w:rStyle w:val="Hyperlink"/>
          </w:rPr>
          <w:t xml:space="preserve">[9]</w:t>
        </w:r>
      </w:hyperlink>
      <w:r>
        <w:t xml:space="preserve"> </w:t>
      </w:r>
      <w:hyperlink w:anchor="ref-13">
        <w:r>
          <w:rPr>
            <w:rStyle w:val="Hyperlink"/>
          </w:rPr>
          <w:t xml:space="preserve">[13]</w:t>
        </w:r>
      </w:hyperlink>
      <w:r>
        <w:t xml:space="preserve">. The verdict here is that the temporal alternative is confirmed in form, a measurable curve, and inverted in direction.</w:t>
      </w:r>
    </w:p>
    <w:p>
      <w:pPr>
        <w:pStyle w:val="BodyText"/>
        <w:spacing w:line="480" w:lineRule="auto"/>
        <w:ind w:firstLine="720"/>
      </w:pPr>
      <w:r>
        <w:t xml:space="preserve">Read against the dissertation’s single falsifiable contribution, stated in Chapter 1 as whether the candidate topic signal is systematically related to recency, attention, and venue, the adjudication is precise. The signal is related to venue and to age, and it is not related to recency or to raw attention, at this sample size and in this corpus. That is neither a clean confirmation nor a clean refutation, and the design reports it as the mixed result it is rather than resolving it toward whichever reading would be more satisfying</w:t>
      </w:r>
      <w:r>
        <w:t xml:space="preserve"> </w:t>
      </w:r>
      <w:hyperlink w:anchor="ref-1">
        <w:r>
          <w:rPr>
            <w:rStyle w:val="Hyperlink"/>
          </w:rPr>
          <w:t xml:space="preserve">[1]</w:t>
        </w:r>
      </w:hyperlink>
      <w:r>
        <w:t xml:space="preserve"> </w:t>
      </w:r>
      <w:hyperlink w:anchor="ref-4">
        <w:r>
          <w:rPr>
            <w:rStyle w:val="Hyperlink"/>
          </w:rPr>
          <w:t xml:space="preserve">[4]</w:t>
        </w:r>
      </w:hyperlink>
      <w:r>
        <w:t xml:space="preserve">. A contract that fixed the reading rules in advance is what makes this mixed verdict a finding rather than a disappointment.</w:t>
      </w:r>
    </w:p>
    <w:bookmarkEnd w:id="118"/>
    <w:bookmarkStart w:id="119" w:name="what-a-skeptical-reader-should-check"/>
    <w:p>
      <w:pPr>
        <w:pStyle w:val="Heading2"/>
        <w:spacing w:line="480" w:lineRule="auto"/>
      </w:pPr>
      <w:r>
        <w:t xml:space="preserve">6.10 What a skeptical reader should check</w:t>
      </w:r>
    </w:p>
    <w:p>
      <w:pPr>
        <w:pStyle w:val="FirstParagraph"/>
        <w:spacing w:line="480" w:lineRule="auto"/>
      </w:pPr>
      <w:r>
        <w:t xml:space="preserve">A results chapter in this design invites checking rather than trust, and it is worth telling a skeptical reader exactly where to look. The four coefficients, the two R-squared values, the F statistic, and the progress ratio are all reproducible from the two estimation files, and a reader who rebuilds the data matrices from the source corpus should recover every figure to machine precision</w:t>
      </w:r>
      <w:r>
        <w:t xml:space="preserve"> </w:t>
      </w:r>
      <w:hyperlink w:anchor="ref-5">
        <w:r>
          <w:rPr>
            <w:rStyle w:val="Hyperlink"/>
          </w:rPr>
          <w:t xml:space="preserve">[5]</w:t>
        </w:r>
      </w:hyperlink>
      <w:r>
        <w:t xml:space="preserve">. The venue coefficient of about negative one and the age elasticity of about negative four-tenths are the two precise substantive results, and a skeptic’s first move should be to confirm their signs by inspecting the rows: the highest-topic working papers coded at venue three, and the most-cited records dated most recently</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p>
      <w:pPr>
        <w:pStyle w:val="BodyText"/>
        <w:spacing w:line="480" w:lineRule="auto"/>
        <w:ind w:firstLine="720"/>
      </w:pPr>
      <w:r>
        <w:t xml:space="preserve">A skeptic should also check the nulls, because a null is only informative if it is real rather than an artifact of a coding error. The citation coefficient near zero should be confirmed against the citation column, where the many zeros and the single value of twenty-four are visible, and where the absence of any relationship between those citations and the topic-signal column can be read directly</w:t>
      </w:r>
      <w:r>
        <w:t xml:space="preserve"> </w:t>
      </w:r>
      <w:hyperlink w:anchor="ref-14">
        <w:r>
          <w:rPr>
            <w:rStyle w:val="Hyperlink"/>
          </w:rPr>
          <w:t xml:space="preserve">[14]</w:t>
        </w:r>
      </w:hyperlink>
      <w:r>
        <w:t xml:space="preserve">. The recency coefficient’s imprecision should be confirmed against the year column, whose even spread across 2008 to 2026 rules out a clustering artifact</w:t>
      </w:r>
      <w:r>
        <w:t xml:space="preserve"> </w:t>
      </w:r>
      <w:hyperlink w:anchor="ref-13">
        <w:r>
          <w:rPr>
            <w:rStyle w:val="Hyperlink"/>
          </w:rPr>
          <w:t xml:space="preserve">[13]</w:t>
        </w:r>
      </w:hyperlink>
      <w:r>
        <w:t xml:space="preserve">. Every claim in this chapter is exposed to this kind of check, which is the point of reporting the figures in full rather than in rounded summary.</w:t>
      </w:r>
    </w:p>
    <w:p>
      <w:pPr>
        <w:pStyle w:val="BodyText"/>
        <w:spacing w:line="480" w:lineRule="auto"/>
        <w:ind w:firstLine="720"/>
      </w:pPr>
      <w:r>
        <w:t xml:space="preserve">The results are modest, precise where they can be, null where they must be, and fully traceable to the thirty rows that produced them. Chapter 7 takes up what they mean and where they can go wrong.</w:t>
      </w:r>
    </w:p>
    <w:bookmarkEnd w:id="119"/>
    <w:bookmarkEnd w:id="120"/>
    <w:bookmarkStart w:id="130" w:name="chapter-7.-discussion-and-limitations"/>
    <w:p>
      <w:pPr>
        <w:pStyle w:val="Heading1"/>
        <w:spacing w:line="480" w:lineRule="auto"/>
      </w:pPr>
      <w:r>
        <w:t xml:space="preserve">Chapter 7. Discussion and Limitations</w:t>
      </w:r>
    </w:p>
    <w:p>
      <w:pPr>
        <w:pStyle w:val="FirstParagraph"/>
        <w:spacing w:line="480" w:lineRule="auto"/>
      </w:pPr>
      <w:r>
        <w:t xml:space="preserve">Mark this carefully. The results are modest, and this chapter takes them seriously as modest. Two coefficients are precise, two are not, and the honest task is to say what the precise ones mean, what the null ones rule out, and where every one of them could be wrong. A discussion chapter earns its keep by resisting two temptations at once: the temptation to inflate a precise coefficient into a policy verdict, and the temptation to dismiss a null coefficient as a failure. Both temptations distort the evidence. The findings are read here for exactly what they support and no more.</w:t>
      </w:r>
    </w:p>
    <w:bookmarkStart w:id="121" w:name="what-the-precise-findings-mean"/>
    <w:p>
      <w:pPr>
        <w:pStyle w:val="Heading2"/>
        <w:spacing w:line="480" w:lineRule="auto"/>
      </w:pPr>
      <w:r>
        <w:t xml:space="preserve">7.1 What the precise findings mean</w:t>
      </w:r>
    </w:p>
    <w:p>
      <w:pPr>
        <w:pStyle w:val="FirstParagraph"/>
        <w:spacing w:line="480" w:lineRule="auto"/>
      </w:pPr>
      <w:r>
        <w:t xml:space="preserve">Two results cleared conventional thresholds: the negative venue slope in the cross-sectional model and the negative age elasticity in the temporal one. Both are structural facts about the retrieved corpus, and both point in the same direction.</w:t>
      </w:r>
    </w:p>
    <w:p>
      <w:pPr>
        <w:pStyle w:val="BodyText"/>
        <w:spacing w:line="480" w:lineRule="auto"/>
        <w:ind w:firstLine="720"/>
      </w:pPr>
      <w:r>
        <w:t xml:space="preserve">Start with venue. Holding recency and citation attention fixed, the densest cooperation content does not live in the most formal venues. Conference proceedings and working papers carry higher topic intensity than journal articles once the other predictors are controlled. This inverts a natural assumption. A reader might expect the maturing governance conversation to migrate into peer-reviewed journals, but the corpus says the theme-dense material remains lodged in proceedings and grey literature</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behavioral-economics working paper that scores at the top of the topic-signal range is emblematic: its cooperation content is dense, and its venue is the least indexed</w:t>
      </w:r>
      <w:r>
        <w:t xml:space="preserve"> </w:t>
      </w:r>
      <w:hyperlink w:anchor="ref-8">
        <w:r>
          <w:rPr>
            <w:rStyle w:val="Hyperlink"/>
          </w:rPr>
          <w:t xml:space="preserve">[8]</w:t>
        </w:r>
      </w:hyperlink>
      <w:r>
        <w:t xml:space="preserve">.</w:t>
      </w:r>
    </w:p>
    <w:p>
      <w:pPr>
        <w:pStyle w:val="BodyText"/>
        <w:spacing w:line="480" w:lineRule="auto"/>
        <w:ind w:firstLine="720"/>
      </w:pPr>
      <w:r>
        <w:t xml:space="preserve">Age tells the same kind of story. Citation attention runs against document age in this corpus: younger records carry more citations, older ones fewer. That is the opposite of the accumulation story a learning curve usually tells, and it reflects a specific compositional fact: the cited records are recent journal articles, while the older conference proceedings sit uncited</w:t>
      </w:r>
      <w:r>
        <w:t xml:space="preserve"> </w:t>
      </w:r>
      <w:hyperlink w:anchor="ref-9">
        <w:r>
          <w:rPr>
            <w:rStyle w:val="Hyperlink"/>
          </w:rPr>
          <w:t xml:space="preserve">[9]</w:t>
        </w:r>
      </w:hyperlink>
      <w:r>
        <w:t xml:space="preserve"> </w:t>
      </w:r>
      <w:hyperlink w:anchor="ref-13">
        <w:r>
          <w:rPr>
            <w:rStyle w:val="Hyperlink"/>
          </w:rPr>
          <w:t xml:space="preserve">[13]</w:t>
        </w:r>
      </w:hyperlink>
      <w:r>
        <w:t xml:space="preserve">. The elasticity of about -0.40 and the progress ratio near 0.76 quantify a gentle decline of attention with age, not a collapse.</w:t>
      </w:r>
    </w:p>
    <w:p>
      <w:pPr>
        <w:pStyle w:val="BodyText"/>
        <w:spacing w:line="480" w:lineRule="auto"/>
        <w:ind w:firstLine="720"/>
      </w:pPr>
      <w:r>
        <w:t xml:space="preserve">Read together, the two precise findings describe a field in transition. Attention has moved toward recent journal work, but the substantive cooperation content has not fully followed it. The measurement community and the governance community are, in this corpus, partly out of phase. That is a genuine finding, and it is the kind of finding a bibliometric design is well suited to surface</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21"/>
    <w:bookmarkStart w:id="122" w:name="what-the-null-findings-rule-out"/>
    <w:p>
      <w:pPr>
        <w:pStyle w:val="Heading2"/>
        <w:spacing w:line="480" w:lineRule="auto"/>
      </w:pPr>
      <w:r>
        <w:t xml:space="preserve">7.2 What the null findings rule out</w:t>
      </w:r>
    </w:p>
    <w:p>
      <w:pPr>
        <w:pStyle w:val="FirstParagraph"/>
        <w:spacing w:line="480" w:lineRule="auto"/>
      </w:pPr>
      <w:r>
        <w:t xml:space="preserve">A plainer statement helps. The recency and citation coefficients did not clear conventional thresholds, and their nulls are informative rather than empty.</w:t>
      </w:r>
    </w:p>
    <w:p>
      <w:pPr>
        <w:pStyle w:val="BodyText"/>
        <w:spacing w:line="480" w:lineRule="auto"/>
        <w:ind w:firstLine="720"/>
      </w:pPr>
      <w:r>
        <w:t xml:space="preserve">Recency comes first. Its imprecise coefficient rules out a confident claim that the cooperation topic is concentrating in recent work. The sign is positive, consistent with rising concern, but the precision is insufficient to support the claim, and the design says so</w:t>
      </w:r>
      <w:r>
        <w:t xml:space="preserve"> </w:t>
      </w:r>
      <w:hyperlink w:anchor="ref-8">
        <w:r>
          <w:rPr>
            <w:rStyle w:val="Hyperlink"/>
          </w:rPr>
          <w:t xml:space="preserve">[8]</w:t>
        </w:r>
      </w:hyperlink>
      <w:r>
        <w:t xml:space="preserve">. This matters because the rising-concern narrative is exactly the kind of assertion the field makes without measurement. The dissertation cannot confirm it at this sample size, and refusing to confirm it is the honest result.</w:t>
      </w:r>
    </w:p>
    <w:p>
      <w:pPr>
        <w:pStyle w:val="BodyText"/>
        <w:spacing w:line="480" w:lineRule="auto"/>
        <w:ind w:firstLine="720"/>
      </w:pPr>
      <w:r>
        <w:t xml:space="preserve">Consider the alternative. The null citation coefficient rules out a link between topic intensity and raw citation attention. A record’s density of cooperation terms does not predict how many citations it has drawn</w:t>
      </w:r>
      <w:r>
        <w:t xml:space="preserve"> </w:t>
      </w:r>
      <w:hyperlink w:anchor="ref-14">
        <w:r>
          <w:rPr>
            <w:rStyle w:val="Hyperlink"/>
          </w:rPr>
          <w:t xml:space="preserve">[14]</w:t>
        </w:r>
      </w:hyperlink>
      <w:r>
        <w:t xml:space="preserve">. This decoupling is substantively interesting. It means that in this field, the documents that talk most about cooperation are not the documents the field cites most, which is consistent with the venue and age findings: the cited work is recent and journal-based, while the theme-dense work is older, grey, or both. The null is not a hole in the analysis; it is a boundary the analysis draws.</w:t>
      </w:r>
    </w:p>
    <w:p>
      <w:pPr>
        <w:pStyle w:val="BodyText"/>
        <w:spacing w:line="480" w:lineRule="auto"/>
        <w:ind w:firstLine="720"/>
      </w:pPr>
      <w:r>
        <w:t xml:space="preserve">Neither null is a verdict against cooperation in space. Both are verdicts against specific measurable structures in a specific small corpus. Keeping that distinction sharp is what prevents a null from being overread as evidence that cooperation does not matter, which it emphatically is not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22"/>
    <w:bookmarkStart w:id="123" w:name="threats-to-validity"/>
    <w:p>
      <w:pPr>
        <w:pStyle w:val="Heading2"/>
        <w:spacing w:line="480" w:lineRule="auto"/>
      </w:pPr>
      <w:r>
        <w:t xml:space="preserve">7.3 Threats to validity</w:t>
      </w:r>
    </w:p>
    <w:p>
      <w:pPr>
        <w:pStyle w:val="FirstParagraph"/>
        <w:spacing w:line="480" w:lineRule="auto"/>
      </w:pPr>
      <w:r>
        <w:t xml:space="preserve">One asymmetry is telling. The design carries threats to validity that a candid discussion must name, and they fall into four groups.</w:t>
      </w:r>
    </w:p>
    <w:p>
      <w:pPr>
        <w:pStyle w:val="BodyText"/>
        <w:spacing w:line="480" w:lineRule="auto"/>
        <w:ind w:firstLine="720"/>
      </w:pPr>
      <w:r>
        <w:t xml:space="preserve">Construct validity comes first. Topic-signal intensity is a term-hit count, and term counts are a coarse proxy for how much a document actually engages cooperation. A sophisticated argument phrased in unusual language scores low; a shallow but keyword-dense record scores high. The venue and age findings survive this coarseness only if the noise it introduces is not systematically correlated with venue or age, which cannot be fully guaranteed. If, for instance, journal articles use more standardized vocabulary that the term list misses, the venue coefficient could partly reflect a vocabulary artifact rather than a content difference</w:t>
      </w:r>
      <w:r>
        <w:t xml:space="preserve"> </w:t>
      </w:r>
      <w:hyperlink w:anchor="ref-5">
        <w:r>
          <w:rPr>
            <w:rStyle w:val="Hyperlink"/>
          </w:rPr>
          <w:t xml:space="preserve">[5]</w:t>
        </w:r>
      </w:hyperlink>
      <w:r>
        <w:t xml:space="preserve">.</w:t>
      </w:r>
    </w:p>
    <w:p>
      <w:pPr>
        <w:pStyle w:val="BodyText"/>
        <w:spacing w:line="480" w:lineRule="auto"/>
        <w:ind w:firstLine="720"/>
      </w:pPr>
      <w:r>
        <w:t xml:space="preserve">Measurement validity of the citation counts comes next. These are local index measures, not universal counts, and they will differ from figures a reader pulls from a commercial database. If the local index systematically undercounts older proceedings, the age elasticity could be exaggerated: some of the apparent decline of attention with age might be an indexing gap rather than a real attention gap</w:t>
      </w:r>
      <w:r>
        <w:t xml:space="preserve"> </w:t>
      </w:r>
      <w:hyperlink w:anchor="ref-9">
        <w:r>
          <w:rPr>
            <w:rStyle w:val="Hyperlink"/>
          </w:rPr>
          <w:t xml:space="preserve">[9]</w:t>
        </w:r>
      </w:hyperlink>
      <w:r>
        <w:t xml:space="preserve"> </w:t>
      </w:r>
      <w:hyperlink w:anchor="ref-14">
        <w:r>
          <w:rPr>
            <w:rStyle w:val="Hyperlink"/>
          </w:rPr>
          <w:t xml:space="preserve">[14]</w:t>
        </w:r>
      </w:hyperlink>
      <w:r>
        <w:t xml:space="preserve">. The design cannot separate these without an external citation source.</w:t>
      </w:r>
    </w:p>
    <w:p>
      <w:pPr>
        <w:pStyle w:val="BodyText"/>
        <w:spacing w:line="480" w:lineRule="auto"/>
        <w:ind w:firstLine="720"/>
      </w:pPr>
      <w:r>
        <w:t xml:space="preserve">Sample validity is the third. Thirty records is a small sample, and small samples produce unstable estimates. A handful of influential records, especially the most cited journal article, could be driving the age result. The robust standard errors guard against heteroskedasticity but not against the leverage of a few high-citation points, and a larger corpus could move the coefficients</w:t>
      </w:r>
      <w:r>
        <w:t xml:space="preserve"> </w:t>
      </w:r>
      <w:hyperlink w:anchor="ref-13">
        <w:r>
          <w:rPr>
            <w:rStyle w:val="Hyperlink"/>
          </w:rPr>
          <w:t xml:space="preserve">[13]</w:t>
        </w:r>
      </w:hyperlink>
      <w:r>
        <w:t xml:space="preserve">.</w:t>
      </w:r>
    </w:p>
    <w:p>
      <w:pPr>
        <w:pStyle w:val="BodyText"/>
        <w:spacing w:line="480" w:lineRule="auto"/>
        <w:ind w:firstLine="720"/>
      </w:pPr>
      <w:r>
        <w:t xml:space="preserve">The fourth is external validity. The corpus is a purposive retrieval around one candidate topic, not a random sample of the field. Whatever structure it shows describes this retrieval, and generalizing to space cooperation writ large is exactly the inference the design forbids. The venue and age patterns may be artifacts of how this particular pack was assembled rather than features of the field</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23"/>
    <w:bookmarkStart w:id="124" w:name="what-the-data-cannot-show"/>
    <w:p>
      <w:pPr>
        <w:pStyle w:val="Heading2"/>
        <w:spacing w:line="480" w:lineRule="auto"/>
      </w:pPr>
      <w:r>
        <w:t xml:space="preserve">7.4 What the data cannot show</w:t>
      </w:r>
    </w:p>
    <w:p>
      <w:pPr>
        <w:pStyle w:val="FirstParagraph"/>
        <w:spacing w:line="480" w:lineRule="auto"/>
      </w:pPr>
      <w:r>
        <w:t xml:space="preserve">Beyond specific threats, whole classes of question sit outside the design’s reach, and naming them protects the reader from expecting answers the data cannot give.</w:t>
      </w:r>
    </w:p>
    <w:p>
      <w:pPr>
        <w:pStyle w:val="BodyText"/>
        <w:spacing w:line="480" w:lineRule="auto"/>
        <w:ind w:firstLine="720"/>
      </w:pPr>
      <w:r>
        <w:t xml:space="preserve">The data cannot show causation. There is no random assignment, no instrument, no natural experiment, so no coefficient can be read as an effect. The venue slope describes an association, not a mechanism by which venue changes content</w:t>
      </w:r>
      <w:r>
        <w:t xml:space="preserve"> </w:t>
      </w:r>
      <w:hyperlink w:anchor="ref-1">
        <w:r>
          <w:rPr>
            <w:rStyle w:val="Hyperlink"/>
          </w:rPr>
          <w:t xml:space="preserve">[1]</w:t>
        </w:r>
      </w:hyperlink>
      <w:r>
        <w:t xml:space="preserve">.</w:t>
      </w:r>
    </w:p>
    <w:p>
      <w:pPr>
        <w:pStyle w:val="BodyText"/>
        <w:spacing w:line="480" w:lineRule="auto"/>
        <w:ind w:firstLine="720"/>
      </w:pPr>
      <w:r>
        <w:t xml:space="preserve">The data cannot show whether cooperation reduced collision risk, improved catalog accuracy, or changed any operational outcome. The corpus is a record of discussion, not of consequence. A document dense with cooperation terms is evidence that cooperation was discussed, not that it occurred or that it worked</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data cannot show the direction of the venue relationship over time. The cross-section is a single snapshot, and the age model speaks to citation accumulation, not to venue migration. Whether cooperation content is moving into or out of journals is a longitudinal question this design does not answer</w:t>
      </w:r>
      <w:r>
        <w:t xml:space="preserve"> </w:t>
      </w:r>
      <w:hyperlink w:anchor="ref-8">
        <w:r>
          <w:rPr>
            <w:rStyle w:val="Hyperlink"/>
          </w:rPr>
          <w:t xml:space="preserve">[8]</w:t>
        </w:r>
      </w:hyperlink>
      <w:r>
        <w:t xml:space="preserve">.</w:t>
      </w:r>
    </w:p>
    <w:p>
      <w:pPr>
        <w:pStyle w:val="BodyText"/>
        <w:spacing w:line="480" w:lineRule="auto"/>
        <w:ind w:firstLine="720"/>
      </w:pPr>
      <w:r>
        <w:t xml:space="preserve">The data cannot distinguish a genuine rise in cooperation from a rise in talk about cooperation. This was the field’s original problem, named in Chapter 1, and the honest result is that a thirty-record bibliometric design narrows it but does not resolve it. A stronger design with document-level coding of actual sharing episodes would be needed to close that gap</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bookmarkEnd w:id="124"/>
    <w:bookmarkStart w:id="125" w:name="the-out-of-phase-field-examined"/>
    <w:p>
      <w:pPr>
        <w:pStyle w:val="Heading2"/>
        <w:spacing w:line="480" w:lineRule="auto"/>
      </w:pPr>
      <w:r>
        <w:t xml:space="preserve">7.5 The out-of-phase field, examined</w:t>
      </w:r>
    </w:p>
    <w:p>
      <w:pPr>
        <w:pStyle w:val="FirstParagraph"/>
        <w:spacing w:line="480" w:lineRule="auto"/>
      </w:pPr>
      <w:r>
        <w:t xml:space="preserve">The dissertation’s most interesting substantive claim is that the corpus shows a field partly out of phase: attention has moved toward recent journal work while the densest cooperation content remains in less-indexed venues. This section examines that claim more closely, because it is both the finding most worth developing and the finding most exposed to alternative readings.</w:t>
      </w:r>
    </w:p>
    <w:p>
      <w:pPr>
        <w:pStyle w:val="BodyText"/>
        <w:spacing w:line="480" w:lineRule="auto"/>
        <w:ind w:firstLine="720"/>
      </w:pPr>
      <w:r>
        <w:t xml:space="preserve">Take the claim at face value first. If the measurement community, which publishes cited journal work on detection and collision avoidance, is running ahead of the governance community, which produces theme-dense working papers and proceedings, then the field’s attention and its substance are tracking different things</w:t>
      </w:r>
      <w:r>
        <w:t xml:space="preserve"> </w:t>
      </w:r>
      <w:hyperlink w:anchor="ref-9">
        <w:r>
          <w:rPr>
            <w:rStyle w:val="Hyperlink"/>
          </w:rPr>
          <w:t xml:space="preserve">[9]</w:t>
        </w:r>
      </w:hyperlink>
      <w:r>
        <w:t xml:space="preserve"> </w:t>
      </w:r>
      <w:hyperlink w:anchor="ref-13">
        <w:r>
          <w:rPr>
            <w:rStyle w:val="Hyperlink"/>
          </w:rPr>
          <w:t xml:space="preserve">[13]</w:t>
        </w:r>
      </w:hyperlink>
      <w:r>
        <w:t xml:space="preserve">. Attention rewards recent technical novelty; substance accumulates in venues that draw little citation. A field in that condition risks a coordination failure of its own: the work that would inform a cooperation norm is the work the field cites least, so the norm-relevant content struggles to reach the actors who set citations and, through them, agendas</w:t>
      </w:r>
      <w:r>
        <w:t xml:space="preserve"> </w:t>
      </w:r>
      <w:hyperlink w:anchor="ref-8">
        <w:r>
          <w:rPr>
            <w:rStyle w:val="Hyperlink"/>
          </w:rPr>
          <w:t xml:space="preserve">[8]</w:t>
        </w:r>
      </w:hyperlink>
      <w:r>
        <w:t xml:space="preserve">.</w:t>
      </w:r>
    </w:p>
    <w:p>
      <w:pPr>
        <w:pStyle w:val="BodyText"/>
        <w:spacing w:line="480" w:lineRule="auto"/>
        <w:ind w:firstLine="720"/>
      </w:pPr>
      <w:r>
        <w:t xml:space="preserve">There is a benign reading and a worrying one. The benign reading is that this is a maturation lag: governance content is newer and grey, and it will migrate into cited venues as the field matures, at which point attention and substance will realign. The worrying reading is that the split is structural, that governance content will always sit in low-indexing venues because its audience is practitioners and policymakers rather than citing researchers, and that the field’s citation behavior will therefore chronically underweight the material most relevant to coordination</w:t>
      </w:r>
      <w:r>
        <w:t xml:space="preserve"> </w:t>
      </w:r>
      <w:hyperlink w:anchor="ref-7">
        <w:r>
          <w:rPr>
            <w:rStyle w:val="Hyperlink"/>
          </w:rPr>
          <w:t xml:space="preserve">[7]</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design cannot adjudicate between these readings, because it observes a single cross-section and a single age model, not a trajectory. That limit is real and is stated plainly. What the design can say is that the split exists in this corpus and is precise on both the venue and age terms, which is enough to make the split a documented phenomenon worth a successor’s longitudinal attention rather than a speculation</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25"/>
    <w:bookmarkStart w:id="126" w:name="Xff37c493460761c26a1ea11ec76e980bbf99054"/>
    <w:p>
      <w:pPr>
        <w:pStyle w:val="Heading2"/>
        <w:spacing w:line="480" w:lineRule="auto"/>
      </w:pPr>
      <w:r>
        <w:t xml:space="preserve">7.6 Comparison with the operational literature’s self-understanding</w:t>
      </w:r>
    </w:p>
    <w:p>
      <w:pPr>
        <w:pStyle w:val="FirstParagraph"/>
        <w:spacing w:line="480" w:lineRule="auto"/>
      </w:pPr>
      <w:r>
        <w:t xml:space="preserve">It is illuminating to hold the findings against how the operational literature understands itself. That literature generally presents cooperation as advancing: national programs describe expanding capability, coalition arrangements describe deepening partnership, and traffic-management work describes converging practice</w:t>
      </w:r>
      <w:r>
        <w:t xml:space="preserve"> </w:t>
      </w:r>
      <w:hyperlink w:anchor="ref-2">
        <w:r>
          <w:rPr>
            <w:rStyle w:val="Hyperlink"/>
          </w:rPr>
          <w:t xml:space="preserve">[2]</w:t>
        </w:r>
      </w:hyperlink>
      <w:r>
        <w:t xml:space="preserve"> </w:t>
      </w:r>
      <w:hyperlink w:anchor="ref-6">
        <w:r>
          <w:rPr>
            <w:rStyle w:val="Hyperlink"/>
          </w:rPr>
          <w:t xml:space="preserve">[6]</w:t>
        </w:r>
      </w:hyperlink>
      <w:r>
        <w:t xml:space="preserve"> </w:t>
      </w:r>
      <w:hyperlink w:anchor="ref-13">
        <w:r>
          <w:rPr>
            <w:rStyle w:val="Hyperlink"/>
          </w:rPr>
          <w:t xml:space="preserve">[13]</w:t>
        </w:r>
      </w:hyperlink>
      <w:r>
        <w:t xml:space="preserve">. The self-understanding is one of momentum.</w:t>
      </w:r>
    </w:p>
    <w:p>
      <w:pPr>
        <w:pStyle w:val="BodyText"/>
        <w:spacing w:line="480" w:lineRule="auto"/>
        <w:ind w:firstLine="720"/>
      </w:pPr>
      <w:r>
        <w:t xml:space="preserve">The bibliometric findings neither confirm nor deny that momentum, and the mismatch is instructive. The recency coefficient, positive but imprecise, cannot confirm that cooperation content is rising, even though the operational literature asserts it is</w:t>
      </w:r>
      <w:r>
        <w:t xml:space="preserve"> </w:t>
      </w:r>
      <w:hyperlink w:anchor="ref-8">
        <w:r>
          <w:rPr>
            <w:rStyle w:val="Hyperlink"/>
          </w:rPr>
          <w:t xml:space="preserve">[8]</w:t>
        </w:r>
      </w:hyperlink>
      <w:r>
        <w:t xml:space="preserve">. The citation null shows that the field’s attention does not track its cooperation content, which the operational self-understanding would not predict</w:t>
      </w:r>
      <w:r>
        <w:t xml:space="preserve"> </w:t>
      </w:r>
      <w:hyperlink w:anchor="ref-14">
        <w:r>
          <w:rPr>
            <w:rStyle w:val="Hyperlink"/>
          </w:rPr>
          <w:t xml:space="preserve">[14]</w:t>
        </w:r>
      </w:hyperlink>
      <w:r>
        <w:t xml:space="preserve">. And the venue result shows the densest content sitting outside the highest-review venues, which complicates any story of smooth advancement into the peer-reviewed core</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None of this contradicts the operational claims, because the operational claims are about activity in the world and the findings are about structure in a corpus. But the mismatch is exactly the value a measurement design adds. It shows that the field’s confident self-narrative is not automatically visible in the record of its own discussion, and that an assertion of momentum is not the same as a measured trend. A field that wants to govern itself well should notice the gap between what it says about its progress and what its documentary footprint shows</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26"/>
    <w:bookmarkStart w:id="127" w:name="holding-the-line"/>
    <w:p>
      <w:pPr>
        <w:pStyle w:val="Heading2"/>
        <w:spacing w:line="480" w:lineRule="auto"/>
      </w:pPr>
      <w:r>
        <w:t xml:space="preserve">7.7 Holding the line</w:t>
      </w:r>
    </w:p>
    <w:p>
      <w:pPr>
        <w:pStyle w:val="FirstParagraph"/>
        <w:spacing w:line="480" w:lineRule="auto"/>
      </w:pPr>
      <w:r>
        <w:t xml:space="preserve">The through-line of this chapter is discipline. Every precise coefficient is read as corpus structure, every null as a boundary, every threat as a real limit on the claim. The venue and age findings are worth reporting because they are precise and interpretable, and the recency and citation nulls are worth reporting because they rule out specific structures the field often assumes. Nothing here is inflated into a policy conclusion, because nothing in the identification supports one.</w:t>
      </w:r>
    </w:p>
    <w:p>
      <w:pPr>
        <w:pStyle w:val="BodyText"/>
        <w:spacing w:line="480" w:lineRule="auto"/>
        <w:ind w:firstLine="720"/>
      </w:pPr>
      <w:r>
        <w:t xml:space="preserve">That restraint is not timidity. It is the condition under which a small, transparent design produces trustworthy knowledge. A reader can take the four coefficients, hold them against the thirty rows, and reach the same conclusions, which is the entire point of a cliometric posture.</w:t>
      </w:r>
    </w:p>
    <w:bookmarkEnd w:id="127"/>
    <w:bookmarkStart w:id="128" w:name="X744a6226a075bdf79a3bec146c64e60ef2834a5"/>
    <w:p>
      <w:pPr>
        <w:pStyle w:val="Heading2"/>
        <w:spacing w:line="480" w:lineRule="auto"/>
      </w:pPr>
      <w:r>
        <w:t xml:space="preserve">7.8 Implications for how the field measures itself</w:t>
      </w:r>
    </w:p>
    <w:p>
      <w:pPr>
        <w:pStyle w:val="FirstParagraph"/>
        <w:spacing w:line="480" w:lineRule="auto"/>
      </w:pPr>
      <w:r>
        <w:t xml:space="preserve">The discussion so far has treated the findings as facts about a corpus. They also carry a reflexive implication for how the field measures its own cooperation, and drawing that implication is part of what the findings are good for. The field routinely uses citation counts and journal presence as proxies for a topic’s importance. The results here suggest both proxies are unreliable for cooperation content specifically.</w:t>
      </w:r>
    </w:p>
    <w:p>
      <w:pPr>
        <w:pStyle w:val="BodyText"/>
        <w:spacing w:line="480" w:lineRule="auto"/>
        <w:ind w:firstLine="720"/>
      </w:pPr>
      <w:r>
        <w:t xml:space="preserve">Citation count fails as a proxy because topic intensity and citations are decoupled in this corpus</w:t>
      </w:r>
      <w:r>
        <w:t xml:space="preserve"> </w:t>
      </w:r>
      <w:hyperlink w:anchor="ref-14">
        <w:r>
          <w:rPr>
            <w:rStyle w:val="Hyperlink"/>
          </w:rPr>
          <w:t xml:space="preserve">[14]</w:t>
        </w:r>
      </w:hyperlink>
      <w:r>
        <w:t xml:space="preserve">. A field that ranks cooperation work by citation count will systematically misrank it, elevating recent technical articles over the theme-dense governance and working-paper material that carries the substantive coordination content</w:t>
      </w:r>
      <w:r>
        <w:t xml:space="preserve"> </w:t>
      </w:r>
      <w:hyperlink w:anchor="ref-8">
        <w:r>
          <w:rPr>
            <w:rStyle w:val="Hyperlink"/>
          </w:rPr>
          <w:t xml:space="preserve">[8]</w:t>
        </w:r>
      </w:hyperlink>
      <w:r>
        <w:t xml:space="preserve">. This is not a marginal caveat; it is a direct challenge to a common evaluation practice. Any body that funds or assesses cooperation activity by counting citations is measuring the wrong thing, and the citation null gives that critique an empirical anchor rather than leaving it as an assertion.</w:t>
      </w:r>
    </w:p>
    <w:p>
      <w:pPr>
        <w:pStyle w:val="BodyText"/>
        <w:spacing w:line="480" w:lineRule="auto"/>
        <w:ind w:firstLine="720"/>
      </w:pPr>
      <w:r>
        <w:t xml:space="preserve">Journal presence fails as a proxy because the venue coefficient runs negative</w:t>
      </w:r>
      <w:r>
        <w:t xml:space="preserve"> </w:t>
      </w:r>
      <w:hyperlink w:anchor="ref-5">
        <w:r>
          <w:rPr>
            <w:rStyle w:val="Hyperlink"/>
          </w:rPr>
          <w:t xml:space="preserve">[5]</w:t>
        </w:r>
      </w:hyperlink>
      <w:r>
        <w:t xml:space="preserve">. If the densest cooperation content sits outside the highest-review venues, then treating journal publication as the mark of serious cooperation work will undercount the field’s real substance. The distributed-systems and behavioral literatures both illustrate the point: some of the most consequential cooperation thinking appears in proceedings and grey literature that a journal-only assessment would miss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venue finding tells an assessor to widen the aperture, and it quantifies the cost of not doing so.</w:t>
      </w:r>
    </w:p>
    <w:p>
      <w:pPr>
        <w:pStyle w:val="BodyText"/>
        <w:spacing w:line="480" w:lineRule="auto"/>
        <w:ind w:firstLine="720"/>
      </w:pPr>
      <w:r>
        <w:t xml:space="preserve">These reflexive implications are modest in scope but sharp in direction. They do not tell the field whether cooperation is rising or working. They tell the field that two of its habitual measurement shortcuts, citation count and journal presence, mislead when applied to cooperation content, and they specify why. For a design whose whole purpose is disciplined measurement, delivering a corrective to the field’s own measurement habits is a fitting result, and it is one the operational literature could not have produced because it does not measure its own footprint</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28"/>
    <w:bookmarkStart w:id="129" w:name="the-limits-stated-as-a-single-principle"/>
    <w:p>
      <w:pPr>
        <w:pStyle w:val="Heading2"/>
        <w:spacing w:line="480" w:lineRule="auto"/>
      </w:pPr>
      <w:r>
        <w:t xml:space="preserve">7.9 The limits stated as a single principle</w:t>
      </w:r>
    </w:p>
    <w:p>
      <w:pPr>
        <w:pStyle w:val="FirstParagraph"/>
        <w:spacing w:line="480" w:lineRule="auto"/>
      </w:pPr>
      <w:r>
        <w:t xml:space="preserve">The threats and boundaries catalogued above reduce to one principle, and stating it plainly is the cleanest way to close the discussion. The principle is that the dissertation measures a shadow, not the object that casts it. The documentary record is the shadow; cooperation in the world is the object; and a shadow’s shape depends on the light, the surface, and the angle as much as on the object. Every threat to validity is a version of this: term-hit coarseness distorts the shadow’s edges, local indexing dims part of it, the small sample makes it flicker, and the purposive retrieval fixes the angle</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p>
      <w:pPr>
        <w:pStyle w:val="BodyText"/>
        <w:spacing w:line="480" w:lineRule="auto"/>
        <w:ind w:firstLine="720"/>
      </w:pPr>
      <w:r>
        <w:t xml:space="preserve">Reading the shadow tells you something real. It tells you the object exists, that it has structure along the venue and age axes, and that the structure is precise enough to reject the null of no relationship on those terms</w:t>
      </w:r>
      <w:r>
        <w:t xml:space="preserve"> </w:t>
      </w:r>
      <w:hyperlink w:anchor="ref-13">
        <w:r>
          <w:rPr>
            <w:rStyle w:val="Hyperlink"/>
          </w:rPr>
          <w:t xml:space="preserve">[13]</w:t>
        </w:r>
      </w:hyperlink>
      <w:r>
        <w:t xml:space="preserve">. But reading the shadow cannot tell you the object’s causal powers, its operational effects, or whether it is growing, because those properties do not survive the projection onto the documentary surface</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The discipline of the discussion has been to say only what the shadow supports, and the principle names why that discipline is not optional: the design has access to the shadow alone, and a claim about the object beyond what the shadow shows would be a claim without evidence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shadow principle also explains why the successor work Chapter 8 specifies is the right next step rather than a mere enlargement. Adding records makes the shadow sharper but keeps it a shadow; adding universal citation data corrects the light; but only document-level coding of actual sharing episodes begins to touch the object directly, by recording what happened rather than what was written densely about. That is why the causal question requires episode coding and not just scale: scale improves the projection, while coding changes what is being projected</w:t>
      </w:r>
      <w:r>
        <w:t xml:space="preserve"> </w:t>
      </w:r>
      <w:hyperlink w:anchor="ref-2">
        <w:r>
          <w:rPr>
            <w:rStyle w:val="Hyperlink"/>
          </w:rPr>
          <w:t xml:space="preserve">[2]</w:t>
        </w:r>
      </w:hyperlink>
      <w:r>
        <w:t xml:space="preserve"> </w:t>
      </w:r>
      <w:hyperlink w:anchor="ref-7">
        <w:r>
          <w:rPr>
            <w:rStyle w:val="Hyperlink"/>
          </w:rPr>
          <w:t xml:space="preserve">[7]</w:t>
        </w:r>
      </w:hyperlink>
      <w:r>
        <w:t xml:space="preserve">. The discussion thus hands forward not only a larger version of the same design but a design that reaches past the shadow toward the object, which is the only route to the causal claim this dissertation declined to make</w:t>
      </w:r>
      <w:r>
        <w:t xml:space="preserve"> </w:t>
      </w:r>
      <w:hyperlink w:anchor="ref-6">
        <w:r>
          <w:rPr>
            <w:rStyle w:val="Hyperlink"/>
          </w:rPr>
          <w:t xml:space="preserve">[6]</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Chapter 8 draws the contribution together and specifies the data collection that would let a successor design ask the causal question this one deliberately declined</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29"/>
    <w:bookmarkEnd w:id="130"/>
    <w:bookmarkStart w:id="166" w:name="chapter-8.-conclusions-and-implications"/>
    <w:p>
      <w:pPr>
        <w:pStyle w:val="Heading1"/>
        <w:spacing w:line="480" w:lineRule="auto"/>
      </w:pPr>
      <w:r>
        <w:t xml:space="preserve">Chapter 8. Conclusions and Implications</w:t>
      </w:r>
    </w:p>
    <w:p>
      <w:pPr>
        <w:pStyle w:val="FirstParagraph"/>
        <w:spacing w:line="480" w:lineRule="auto"/>
      </w:pPr>
      <w:r>
        <w:t xml:space="preserve">A brief aside is useful. The dissertation set out to convert a policy intuition into a falsifiable test, and it did. The intuition was that cooperative situational-awareness sharing has become a rising concern that should leave a trace in the record. The test asked whether that trace is visible in the timing, the attention, and the venue structure of thirty retrieved documents. The answer came back mixed and precise: two structured findings, two nulls, all traceable to the data. This closing chapter states the contribution plainly, draws the governance and program relevance that the bounded findings can honestly support, and specifies the next data collection that would let a successor design ask the larger question.</w:t>
      </w:r>
    </w:p>
    <w:bookmarkStart w:id="131" w:name="the-contribution"/>
    <w:p>
      <w:pPr>
        <w:pStyle w:val="Heading2"/>
        <w:spacing w:line="480" w:lineRule="auto"/>
      </w:pPr>
      <w:r>
        <w:t xml:space="preserve">8.1 The contribution</w:t>
      </w:r>
    </w:p>
    <w:p>
      <w:pPr>
        <w:pStyle w:val="FirstParagraph"/>
        <w:spacing w:line="480" w:lineRule="auto"/>
      </w:pPr>
      <w:r>
        <w:t xml:space="preserve">Look at the composition. The contribution is a method as much as a result. The dissertation shows that a claim about space cooperation can be stated as a null and an alternative, operationalized on a provenance-preserving corpus, estimated with defensible tools, and reported whether or not the estimate flatters the hypothesis. That procedure is the deliverable. It gives the field a template for turning assertions about cooperation into checkable measurements, and it demonstrates the template on a real corpus rather than a toy one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Hold the caveat in view. The substantive contribution is narrower but real. The corpus is not structureless. Venue family predicts topic-signal intensity, precisely and negatively, so the densest cooperation content sits in the least formal venues</w:t>
      </w:r>
      <w:r>
        <w:t xml:space="preserve"> </w:t>
      </w:r>
      <w:hyperlink w:anchor="ref-7">
        <w:r>
          <w:rPr>
            <w:rStyle w:val="Hyperlink"/>
          </w:rPr>
          <w:t xml:space="preserve">[7]</w:t>
        </w:r>
      </w:hyperlink>
      <w:r>
        <w:t xml:space="preserve"> </w:t>
      </w:r>
      <w:hyperlink w:anchor="ref-8">
        <w:r>
          <w:rPr>
            <w:rStyle w:val="Hyperlink"/>
          </w:rPr>
          <w:t xml:space="preserve">[8]</w:t>
        </w:r>
      </w:hyperlink>
      <w:r>
        <w:t xml:space="preserve">. Document age predicts citation attention, precisely and negatively, so attention concentrates in recent work while older proceedings sit uncited</w:t>
      </w:r>
      <w:r>
        <w:t xml:space="preserve"> </w:t>
      </w:r>
      <w:hyperlink w:anchor="ref-9">
        <w:r>
          <w:rPr>
            <w:rStyle w:val="Hyperlink"/>
          </w:rPr>
          <w:t xml:space="preserve">[9]</w:t>
        </w:r>
      </w:hyperlink>
      <w:r>
        <w:t xml:space="preserve"> </w:t>
      </w:r>
      <w:hyperlink w:anchor="ref-13">
        <w:r>
          <w:rPr>
            <w:rStyle w:val="Hyperlink"/>
          </w:rPr>
          <w:t xml:space="preserve">[13]</w:t>
        </w:r>
      </w:hyperlink>
      <w:r>
        <w:t xml:space="preserve">. These two facts describe a field whose measurement community and governance community are partly out of phase, and they were not visible before the analysis surfaced them.</w:t>
      </w:r>
    </w:p>
    <w:p>
      <w:pPr>
        <w:pStyle w:val="BodyText"/>
        <w:spacing w:line="480" w:lineRule="auto"/>
        <w:ind w:firstLine="720"/>
      </w:pPr>
      <w:r>
        <w:t xml:space="preserve">Take the pieces in order. The nulls are part of the contribution too. Topic intensity does not track raw citation attention, and it does not concentrate reliably in recent work at this sample size. These nulls rule out structures the field routinely assumes, and ruling them out is a service. A design that can only confirm adds noise to a literature already thick with advocacy; a design that reports its nulls adds signal</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bookmarkEnd w:id="131"/>
    <w:bookmarkStart w:id="132" w:name="relevance-to-governance"/>
    <w:p>
      <w:pPr>
        <w:pStyle w:val="Heading2"/>
        <w:spacing w:line="480" w:lineRule="auto"/>
      </w:pPr>
      <w:r>
        <w:t xml:space="preserve">8.2 Relevance to governance</w:t>
      </w:r>
    </w:p>
    <w:p>
      <w:pPr>
        <w:pStyle w:val="FirstParagraph"/>
        <w:spacing w:line="480" w:lineRule="auto"/>
      </w:pPr>
      <w:r>
        <w:t xml:space="preserve">A last point remains. The findings carry governance relevance, though of a specific and bounded kind. The venue result tells governance analysts where to look. If the densest cooperation content lives in conference proceedings and working papers rather than journals, then a governance body scanning only the peer-reviewed literature will miss much of the substantive conversation. Norm diffusion work already treats outreach beyond traditional venues as a first-class activity, and the venue finding gives that intuition an empirical anchor</w:t>
      </w:r>
      <w:r>
        <w:t xml:space="preserve"> </w:t>
      </w:r>
      <w:hyperlink w:anchor="ref-8">
        <w:r>
          <w:rPr>
            <w:rStyle w:val="Hyperlink"/>
          </w:rPr>
          <w:t xml:space="preserve">[8]</w:t>
        </w:r>
      </w:hyperlink>
      <w:r>
        <w:t xml:space="preserve">. The material that would inform a cooperation norm is disproportionately in the grey and conference literature, and governance processes should be built to ingest it.</w:t>
      </w:r>
    </w:p>
    <w:p>
      <w:pPr>
        <w:pStyle w:val="BodyText"/>
        <w:spacing w:line="480" w:lineRule="auto"/>
        <w:ind w:firstLine="720"/>
      </w:pPr>
      <w:r>
        <w:t xml:space="preserve">The age result tells governance analysts about the tempo of attention. Attention concentrates in recent work, which means the field’s citation behavior tracks novelty more than accumulated importance. A governance body that weights sources by citation count will therefore overweight recent journal articles and underweight foundational proceedings, including the collision analyses that defined the coordination problem in the first place</w:t>
      </w:r>
      <w:r>
        <w:t xml:space="preserve"> </w:t>
      </w:r>
      <w:hyperlink w:anchor="ref-1">
        <w:r>
          <w:rPr>
            <w:rStyle w:val="Hyperlink"/>
          </w:rPr>
          <w:t xml:space="preserve">[1]</w:t>
        </w:r>
      </w:hyperlink>
      <w:r>
        <w:t xml:space="preserve"> </w:t>
      </w:r>
      <w:hyperlink w:anchor="ref-13">
        <w:r>
          <w:rPr>
            <w:rStyle w:val="Hyperlink"/>
          </w:rPr>
          <w:t xml:space="preserve">[13]</w:t>
        </w:r>
      </w:hyperlink>
      <w:r>
        <w:t xml:space="preserve">. Correcting for that tempo, by deliberately revisiting older foundational work, is a concrete process recommendation the findings support.</w:t>
      </w:r>
    </w:p>
    <w:p>
      <w:pPr>
        <w:pStyle w:val="BodyText"/>
        <w:spacing w:line="480" w:lineRule="auto"/>
        <w:ind w:firstLine="720"/>
      </w:pPr>
      <w:r>
        <w:t xml:space="preserve">Neither recommendation is a claim that cooperation works or that any particular rule should be adopted. The design does not reach operational outcomes, and the governance relevance stays at the level of how the field reads its own record. That is a modest but usable form of relevance</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32"/>
    <w:bookmarkStart w:id="133" w:name="relevance-to-programs"/>
    <w:p>
      <w:pPr>
        <w:pStyle w:val="Heading2"/>
        <w:spacing w:line="480" w:lineRule="auto"/>
      </w:pPr>
      <w:r>
        <w:t xml:space="preserve">8.3 Relevance to programs</w:t>
      </w:r>
    </w:p>
    <w:p>
      <w:pPr>
        <w:pStyle w:val="FirstParagraph"/>
        <w:spacing w:line="480" w:lineRule="auto"/>
      </w:pPr>
      <w:r>
        <w:t xml:space="preserve">Program offices that fund situational-awareness cooperation face an evaluation problem: how to tell whether a cooperative arrangement is producing a real conversation or only a claimed one. The dissertation’s method offers a lightweight instrument. A program can assemble a provenance-preserving corpus around a funded cooperation activity, run the same two models, and ask whether the activity’s documentary footprint shows structure. The instrument is cheap, auditable, and resistant to the advocacy pressures that distort self-reported program success</w:t>
      </w:r>
      <w:r>
        <w:t xml:space="preserve"> </w:t>
      </w:r>
      <w:hyperlink w:anchor="ref-7">
        <w:r>
          <w:rPr>
            <w:rStyle w:val="Hyperlink"/>
          </w:rPr>
          <w:t xml:space="preserve">[7]</w:t>
        </w:r>
      </w:hyperlink>
      <w:r>
        <w:t xml:space="preserve">.</w:t>
      </w:r>
    </w:p>
    <w:p>
      <w:pPr>
        <w:pStyle w:val="BodyText"/>
        <w:spacing w:line="480" w:lineRule="auto"/>
        <w:ind w:firstLine="720"/>
      </w:pPr>
      <w:r>
        <w:t xml:space="preserve">The specific findings sharpen that instrument. A program should not expect topic intensity and citation count to move together, so citation count is a poor proxy for a cooperation activity’s substantive footprint</w:t>
      </w:r>
      <w:r>
        <w:t xml:space="preserve"> </w:t>
      </w:r>
      <w:hyperlink w:anchor="ref-14">
        <w:r>
          <w:rPr>
            <w:rStyle w:val="Hyperlink"/>
          </w:rPr>
          <w:t xml:space="preserve">[14]</w:t>
        </w:r>
      </w:hyperlink>
      <w:r>
        <w:t xml:space="preserve">. A program should expect the densest content in low-indexed venues, so an evaluation that counts only journal outputs will undercount real activity</w:t>
      </w:r>
      <w:r>
        <w:t xml:space="preserve"> </w:t>
      </w:r>
      <w:hyperlink w:anchor="ref-5">
        <w:r>
          <w:rPr>
            <w:rStyle w:val="Hyperlink"/>
          </w:rPr>
          <w:t xml:space="preserve">[5]</w:t>
        </w:r>
      </w:hyperlink>
      <w:r>
        <w:t xml:space="preserve">. And a program should treat document age as a confound in any attention measure, because attention runs against age in this kind of corpus</w:t>
      </w:r>
      <w:r>
        <w:t xml:space="preserve"> </w:t>
      </w:r>
      <w:hyperlink w:anchor="ref-9">
        <w:r>
          <w:rPr>
            <w:rStyle w:val="Hyperlink"/>
          </w:rPr>
          <w:t xml:space="preserve">[9]</w:t>
        </w:r>
      </w:hyperlink>
      <w:r>
        <w:t xml:space="preserve">. These are practical calibration points for anyone building a bibliometric evaluation of a cooperation program.</w:t>
      </w:r>
    </w:p>
    <w:p>
      <w:pPr>
        <w:pStyle w:val="BodyText"/>
        <w:spacing w:line="480" w:lineRule="auto"/>
        <w:ind w:firstLine="720"/>
      </w:pPr>
      <w:r>
        <w:t xml:space="preserve">Coalition programs in particular stand to benefit. Partnered domain-awareness arrangements are now instruments of alliance strategy, and their sponsors have every incentive to overstate cooperation</w:t>
      </w:r>
      <w:r>
        <w:t xml:space="preserve"> </w:t>
      </w:r>
      <w:hyperlink w:anchor="ref-7">
        <w:r>
          <w:rPr>
            <w:rStyle w:val="Hyperlink"/>
          </w:rPr>
          <w:t xml:space="preserve">[7]</w:t>
        </w:r>
      </w:hyperlink>
      <w:r>
        <w:t xml:space="preserve">. An independent, auditable measurement of the documentary footprint gives a coalition a way to check its own claims, which is a governance good in its own right</w:t>
      </w:r>
      <w:r>
        <w:t xml:space="preserve"> </w:t>
      </w:r>
      <w:hyperlink w:anchor="ref-6">
        <w:r>
          <w:rPr>
            <w:rStyle w:val="Hyperlink"/>
          </w:rPr>
          <w:t xml:space="preserve">[6]</w:t>
        </w:r>
      </w:hyperlink>
      <w:r>
        <w:t xml:space="preserve">.</w:t>
      </w:r>
    </w:p>
    <w:bookmarkEnd w:id="133"/>
    <w:bookmarkStart w:id="134" w:name="future-work"/>
    <w:p>
      <w:pPr>
        <w:pStyle w:val="Heading2"/>
        <w:spacing w:line="480" w:lineRule="auto"/>
      </w:pPr>
      <w:r>
        <w:t xml:space="preserve">8.4 Future work</w:t>
      </w:r>
    </w:p>
    <w:p>
      <w:pPr>
        <w:pStyle w:val="FirstParagraph"/>
        <w:spacing w:line="480" w:lineRule="auto"/>
      </w:pPr>
      <w:r>
        <w:t xml:space="preserve">The design was built to be extended, and the extensions are specific. The first is scale. Thirty records is enough to estimate a small model and too few to stabilize it. A successor should assemble hundreds of records, which would tighten the standard errors, reduce the leverage of individual high-citation points, and let the recency coefficient, positive but imprecise here, be estimated with real power</w:t>
      </w:r>
      <w:r>
        <w:t xml:space="preserve"> </w:t>
      </w:r>
      <w:hyperlink w:anchor="ref-8">
        <w:r>
          <w:rPr>
            <w:rStyle w:val="Hyperlink"/>
          </w:rPr>
          <w:t xml:space="preserve">[8]</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second is external citation data. The local index measures used here are a known weakness, and pairing each record with a universal citation count would separate genuine attention decline from indexing gaps in older proceedings. That single addition would sharply strengthen the age result and let the analysis distinguish a real attention curve from an artifact of local indexing</w:t>
      </w:r>
      <w:r>
        <w:t xml:space="preserve"> </w:t>
      </w:r>
      <w:hyperlink w:anchor="ref-9">
        <w:r>
          <w:rPr>
            <w:rStyle w:val="Hyperlink"/>
          </w:rPr>
          <w:t xml:space="preserve">[9]</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third is document-level coding of actual sharing episodes. This is the step that would move the design from measuring discussion to measuring cooperation. Instead of counting theme terms, a coder would identify, in each document, whether a concrete sharing episode occurred, between which actors, and with what data. That coding would let a successor test whether real episodes, not just dense discussion, leave the structural trace this dissertation looked for, and it would open the door to the causal questions the present design deliberately declined</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fourth is a longitudinal venue design. The cross-section here is a snapshot, and it cannot say whether cooperation content is migrating into or out of journals over time. A panel of corpora across years would answer that, and it would tell the field whether the out-of-phase condition this dissertation found is stable, closing, or widening</w:t>
      </w:r>
      <w:r>
        <w:t xml:space="preserve"> </w:t>
      </w:r>
      <w:hyperlink w:anchor="ref-5">
        <w:r>
          <w:rPr>
            <w:rStyle w:val="Hyperlink"/>
          </w:rPr>
          <w:t xml:space="preserve">[5]</w:t>
        </w:r>
      </w:hyperlink>
      <w:r>
        <w:t xml:space="preserve"> </w:t>
      </w:r>
      <w:hyperlink w:anchor="ref-10">
        <w:r>
          <w:rPr>
            <w:rStyle w:val="Hyperlink"/>
          </w:rPr>
          <w:t xml:space="preserve">[10]</w:t>
        </w:r>
      </w:hyperlink>
      <w:r>
        <w:t xml:space="preserve">.</w:t>
      </w:r>
    </w:p>
    <w:bookmarkEnd w:id="134"/>
    <w:bookmarkStart w:id="135" w:name="the-methodological-legacy"/>
    <w:p>
      <w:pPr>
        <w:pStyle w:val="Heading2"/>
        <w:spacing w:line="480" w:lineRule="auto"/>
      </w:pPr>
      <w:r>
        <w:t xml:space="preserve">8.5 The methodological legacy</w:t>
      </w:r>
    </w:p>
    <w:p>
      <w:pPr>
        <w:pStyle w:val="FirstParagraph"/>
        <w:spacing w:line="480" w:lineRule="auto"/>
      </w:pPr>
      <w:r>
        <w:t xml:space="preserve">Beyond its specific findings, the dissertation leaves a methodological legacy worth stating on its own terms, because the method may outlast the particular corpus it was tested on. The legacy is a procedure for turning a contested policy assertion into a checkable measurement, and it has four movements that generalize well beyond space cooperation.</w:t>
      </w:r>
    </w:p>
    <w:p>
      <w:pPr>
        <w:pStyle w:val="BodyText"/>
        <w:spacing w:line="480" w:lineRule="auto"/>
        <w:ind w:firstLine="720"/>
      </w:pPr>
      <w:r>
        <w:t xml:space="preserve">The first movement is to state the assertion as a falsifiable pair of hypotheses scoped to a corpus rather than to the world. This scoping is what keeps the design honest, because it forbids the analysis from claiming more than a bibliometric record can support</w:t>
      </w:r>
      <w:r>
        <w:t xml:space="preserve"> </w:t>
      </w:r>
      <w:hyperlink w:anchor="ref-4">
        <w:r>
          <w:rPr>
            <w:rStyle w:val="Hyperlink"/>
          </w:rPr>
          <w:t xml:space="preserve">[4]</w:t>
        </w:r>
      </w:hyperlink>
      <w:r>
        <w:t xml:space="preserve">. The second movement is to construct variables deterministically from documented source fields, so that the data carry no coder discretion and can be rebuilt from the sources by any second analyst</w:t>
      </w:r>
      <w:r>
        <w:t xml:space="preserve"> </w:t>
      </w:r>
      <w:hyperlink w:anchor="ref-5">
        <w:r>
          <w:rPr>
            <w:rStyle w:val="Hyperlink"/>
          </w:rPr>
          <w:t xml:space="preserve">[5]</w:t>
        </w:r>
      </w:hyperlink>
      <w:r>
        <w:t xml:space="preserve">. The third movement is to estimate with the simplest defensible tool, robust standard errors and interpretable coefficients, so that every claim traces to a single parameter</w:t>
      </w:r>
      <w:r>
        <w:t xml:space="preserve"> </w:t>
      </w:r>
      <w:hyperlink w:anchor="ref-1">
        <w:r>
          <w:rPr>
            <w:rStyle w:val="Hyperlink"/>
          </w:rPr>
          <w:t xml:space="preserve">[1]</w:t>
        </w:r>
      </w:hyperlink>
      <w:r>
        <w:t xml:space="preserve">. The fourth movement is to report the estimator output in full, nulls included, bounded by an explicit identification argument</w:t>
      </w:r>
      <w:r>
        <w:t xml:space="preserve"> </w:t>
      </w:r>
      <w:hyperlink w:anchor="ref-14">
        <w:r>
          <w:rPr>
            <w:rStyle w:val="Hyperlink"/>
          </w:rPr>
          <w:t xml:space="preserve">[14]</w:t>
        </w:r>
      </w:hyperlink>
      <w:r>
        <w:t xml:space="preserve">.</w:t>
      </w:r>
    </w:p>
    <w:p>
      <w:pPr>
        <w:pStyle w:val="BodyText"/>
        <w:spacing w:line="480" w:lineRule="auto"/>
        <w:ind w:firstLine="720"/>
      </w:pPr>
      <w:r>
        <w:t xml:space="preserve">This sequence of steps is portable. Any domain where advocacy is cheap and measurement is scarce, and space governance is only one such domain, could adopt it to discipline its claims. The sustainability-institutions category in particular, where coordination assertions outrun coordination evidence, is fertile ground for the approach</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dissertation’s demonstration that the procedure produces usable findings on a real, difficult corpus is itself a contribution independent of what those findings say about cooperation.</w:t>
      </w:r>
    </w:p>
    <w:p>
      <w:pPr>
        <w:pStyle w:val="BodyText"/>
        <w:spacing w:line="480" w:lineRule="auto"/>
        <w:ind w:firstLine="720"/>
      </w:pPr>
      <w:r>
        <w:t xml:space="preserve">The legacy carries a caution as well. The approach is only as good as the corpus it runs on, and a purposive retrieval will always leave the retrieval-artifact rival unresolved</w:t>
      </w:r>
      <w:r>
        <w:t xml:space="preserve"> </w:t>
      </w:r>
      <w:hyperlink w:anchor="ref-3">
        <w:r>
          <w:rPr>
            <w:rStyle w:val="Hyperlink"/>
          </w:rPr>
          <w:t xml:space="preserve">[3]</w:t>
        </w:r>
      </w:hyperlink>
      <w:r>
        <w:t xml:space="preserve">. A mature version of the method would pair deterministic construction with a documented sampling frame, so that generalization to a field became defensible rather than forbidden. That pairing is the frontier the method points toward, and it is within reach of a successor willing to build the frame</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35"/>
    <w:bookmarkStart w:id="136" w:name="a-note-on-modesty-as-a-virtue"/>
    <w:p>
      <w:pPr>
        <w:pStyle w:val="Heading2"/>
        <w:spacing w:line="480" w:lineRule="auto"/>
      </w:pPr>
      <w:r>
        <w:t xml:space="preserve">8.6 A note on modesty as a virtue</w:t>
      </w:r>
    </w:p>
    <w:p>
      <w:pPr>
        <w:pStyle w:val="FirstParagraph"/>
        <w:spacing w:line="480" w:lineRule="auto"/>
      </w:pPr>
      <w:r>
        <w:t xml:space="preserve">It would be easy to read this dissertation’s modesty as a weakness, and the closing chapter should resist that reading directly. The design produced two precise findings and two nulls on a corpus of thirty records, reached association rather than causation, and forbade generalization to the field. Measured against the ambition of a grand theory of space cooperation, that is a small yield.</w:t>
      </w:r>
    </w:p>
    <w:p>
      <w:pPr>
        <w:pStyle w:val="BodyText"/>
        <w:spacing w:line="480" w:lineRule="auto"/>
        <w:ind w:firstLine="720"/>
      </w:pPr>
      <w:r>
        <w:t xml:space="preserve">Measured against the standard that matters, checkability, it is a large one. Every claim in the dissertation can be reconstructed from the source corpus by a skeptical reader, which is more than most policy writing on this topic can say</w:t>
      </w:r>
      <w:r>
        <w:t xml:space="preserve"> </w:t>
      </w:r>
      <w:hyperlink w:anchor="ref-5">
        <w:r>
          <w:rPr>
            <w:rStyle w:val="Hyperlink"/>
          </w:rPr>
          <w:t xml:space="preserve">[5]</w:t>
        </w:r>
      </w:hyperlink>
      <w:r>
        <w:t xml:space="preserve">. The nulls are reported as plainly as the findings, which resists the advocacy pressure that distorts the field</w:t>
      </w:r>
      <w:r>
        <w:t xml:space="preserve"> </w:t>
      </w:r>
      <w:hyperlink w:anchor="ref-14">
        <w:r>
          <w:rPr>
            <w:rStyle w:val="Hyperlink"/>
          </w:rPr>
          <w:t xml:space="preserve">[14]</w:t>
        </w:r>
      </w:hyperlink>
      <w:r>
        <w:t xml:space="preserve">. And the identification claims never exceed what the design supports, which means a reader is never asked to trust the author beyond what the data warrant</w:t>
      </w:r>
      <w:r>
        <w:t xml:space="preserve"> </w:t>
      </w:r>
      <w:hyperlink w:anchor="ref-1">
        <w:r>
          <w:rPr>
            <w:rStyle w:val="Hyperlink"/>
          </w:rPr>
          <w:t xml:space="preserve">[1]</w:t>
        </w:r>
      </w:hyperlink>
      <w:r>
        <w:t xml:space="preserve">. Modesty of claim is the price of trustworthiness of claim, and the dissertation pays it deliberately.</w:t>
      </w:r>
    </w:p>
    <w:p>
      <w:pPr>
        <w:pStyle w:val="BodyText"/>
        <w:spacing w:line="480" w:lineRule="auto"/>
        <w:ind w:firstLine="720"/>
      </w:pPr>
      <w:r>
        <w:t xml:space="preserve">The field this dissertation serves has no shortage of confident assertions about cooperation. What it lacks is measurement that can be checked, nulls that are reported, and claims that stay inside their evidence. A design that supplies those, even at the cost of a small yield, does work the confident assertions cannot.</w:t>
      </w:r>
    </w:p>
    <w:bookmarkEnd w:id="136"/>
    <w:bookmarkStart w:id="137" w:name="synthesis-of-the-empirical-verdict"/>
    <w:p>
      <w:pPr>
        <w:pStyle w:val="Heading2"/>
        <w:spacing w:line="480" w:lineRule="auto"/>
      </w:pPr>
      <w:r>
        <w:t xml:space="preserve">8.7 Synthesis of the empirical verdict</w:t>
      </w:r>
    </w:p>
    <w:p>
      <w:pPr>
        <w:pStyle w:val="FirstParagraph"/>
        <w:spacing w:line="480" w:lineRule="auto"/>
      </w:pPr>
      <w:r>
        <w:t xml:space="preserve">It is worth gathering the empirical verdict into a single synthesis, because the two papers together say something the sustainability-institutions category should hear. The corpus that discusses cooperative situational awareness is structured on two axes and unstructured on two others. It is structured by venue, with the densest cooperation content lodged in the least-indexed venues, and by age, with citation attention concentrated in the youngest records. It is unstructured, at this sample size, by the association between topic intensity and recency, and by the association between topic intensity and raw citation attention</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Translated into the category’s terms, this says that the institutions of cooperation leave a documentary footprint that is real but oblique. Cooperation does not announce itself through rising citation counts or clean concentration in recent journals. It accumulates in venues and formats that the field’s standard attention measures underweight, and its most cited traces are recent and technical rather than governance-oriented</w:t>
      </w:r>
      <w:r>
        <w:t xml:space="preserve"> </w:t>
      </w:r>
      <w:hyperlink w:anchor="ref-8">
        <w:r>
          <w:rPr>
            <w:rStyle w:val="Hyperlink"/>
          </w:rPr>
          <w:t xml:space="preserve">[8]</w:t>
        </w:r>
      </w:hyperlink>
      <w:r>
        <w:t xml:space="preserve"> </w:t>
      </w:r>
      <w:hyperlink w:anchor="ref-13">
        <w:r>
          <w:rPr>
            <w:rStyle w:val="Hyperlink"/>
          </w:rPr>
          <w:t xml:space="preserve">[13]</w:t>
        </w:r>
      </w:hyperlink>
      <w:r>
        <w:t xml:space="preserve">. An institution trying to read the state of cooperation from the literature would be misled by the obvious signals and would need the conditional, provenance-preserving analysis the dissertation demonstrates to see the structure at all.</w:t>
      </w:r>
    </w:p>
    <w:p>
      <w:pPr>
        <w:pStyle w:val="BodyText"/>
        <w:spacing w:line="480" w:lineRule="auto"/>
        <w:ind w:firstLine="720"/>
      </w:pPr>
      <w:r>
        <w:t xml:space="preserve">That synthesis is the dissertation’s answer to its founding question. Cooperation leaves a signal, but the signal is not where intuition would look for it, and detecting it requires exactly the disciplined, checkable measurement the project was built to provide. The answer is bounded, mixed, and honest, and it points a successor toward the venues, the ages, and the coding that a stronger test would need</w:t>
      </w:r>
      <w:r>
        <w:t xml:space="preserve"> </w:t>
      </w:r>
      <w:hyperlink w:anchor="ref-7">
        <w:r>
          <w:rPr>
            <w:rStyle w:val="Hyperlink"/>
          </w:rPr>
          <w:t xml:space="preserve">[7]</w:t>
        </w:r>
      </w:hyperlink>
      <w:r>
        <w:t xml:space="preserve"> </w:t>
      </w:r>
      <w:hyperlink w:anchor="ref-14">
        <w:r>
          <w:rPr>
            <w:rStyle w:val="Hyperlink"/>
          </w:rPr>
          <w:t xml:space="preserve">[14]</w:t>
        </w:r>
      </w:hyperlink>
      <w:r>
        <w:t xml:space="preserve">.</w:t>
      </w:r>
    </w:p>
    <w:bookmarkEnd w:id="137"/>
    <w:bookmarkStart w:id="138" w:name="the-successor-study-specified-concretely"/>
    <w:p>
      <w:pPr>
        <w:pStyle w:val="Heading2"/>
        <w:spacing w:line="480" w:lineRule="auto"/>
      </w:pPr>
      <w:r>
        <w:t xml:space="preserve">8.8 The successor study, specified concretely</w:t>
      </w:r>
    </w:p>
    <w:p>
      <w:pPr>
        <w:pStyle w:val="FirstParagraph"/>
        <w:spacing w:line="480" w:lineRule="auto"/>
      </w:pPr>
      <w:r>
        <w:t xml:space="preserve">A dissertation that hands its causal question forward owes its successor a concrete specification, not a vague call for more work. The specification follows directly from the four extensions already named, and stating it precisely is the last service this chapter performs.</w:t>
      </w:r>
    </w:p>
    <w:p>
      <w:pPr>
        <w:pStyle w:val="BodyText"/>
        <w:spacing w:line="480" w:lineRule="auto"/>
        <w:ind w:firstLine="720"/>
      </w:pPr>
      <w:r>
        <w:t xml:space="preserve">The successor should assemble a corpus of at least several hundred records drawn from a documented sampling frame, so that generalization to the field becomes defensible and the retrieval-artifact rival is retired</w:t>
      </w:r>
      <w:r>
        <w:t xml:space="preserve"> </w:t>
      </w:r>
      <w:hyperlink w:anchor="ref-3">
        <w:r>
          <w:rPr>
            <w:rStyle w:val="Hyperlink"/>
          </w:rPr>
          <w:t xml:space="preserve">[3]</w:t>
        </w:r>
      </w:hyperlink>
      <w:r>
        <w:t xml:space="preserve">. Each record should carry both a local and a universal citation count, so that the age result can be re-estimated with attention measured consistently and the indexing-gap threat separated from a real attention curve</w:t>
      </w:r>
      <w:r>
        <w:t xml:space="preserve"> </w:t>
      </w:r>
      <w:hyperlink w:anchor="ref-9">
        <w:r>
          <w:rPr>
            <w:rStyle w:val="Hyperlink"/>
          </w:rPr>
          <w:t xml:space="preserve">[9]</w:t>
        </w:r>
      </w:hyperlink>
      <w:r>
        <w:t xml:space="preserve"> </w:t>
      </w:r>
      <w:hyperlink w:anchor="ref-14">
        <w:r>
          <w:rPr>
            <w:rStyle w:val="Hyperlink"/>
          </w:rPr>
          <w:t xml:space="preserve">[14]</w:t>
        </w:r>
      </w:hyperlink>
      <w:r>
        <w:t xml:space="preserve">. Each record should be coded at the document level for whether it reports a concrete sharing episode, between which actors, and with what data, so that the analysis measures cooperation rather than discussion of cooperation</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p>
      <w:pPr>
        <w:pStyle w:val="BodyText"/>
        <w:spacing w:line="480" w:lineRule="auto"/>
        <w:ind w:firstLine="720"/>
      </w:pPr>
      <w:r>
        <w:t xml:space="preserve">With that corpus the successor can run three analyses the present design cannot. A panel of corpora across years would test whether the out-of-phase condition, dense content in low-indexed venues, is stable, closing, or widening, answering the longitudinal question the cross-section leaves open</w:t>
      </w:r>
      <w:r>
        <w:t xml:space="preserve"> </w:t>
      </w:r>
      <w:hyperlink w:anchor="ref-5">
        <w:r>
          <w:rPr>
            <w:rStyle w:val="Hyperlink"/>
          </w:rPr>
          <w:t xml:space="preserve">[5]</w:t>
        </w:r>
      </w:hyperlink>
      <w:r>
        <w:t xml:space="preserve">. An episode-level model would test whether documented sharing episodes, not merely theme-dense text, carry the venue and age structure found here, moving the analysis toward the phenomenon itself</w:t>
      </w:r>
      <w:r>
        <w:t xml:space="preserve"> </w:t>
      </w:r>
      <w:hyperlink w:anchor="ref-10">
        <w:r>
          <w:rPr>
            <w:rStyle w:val="Hyperlink"/>
          </w:rPr>
          <w:t xml:space="preserve">[10]</w:t>
        </w:r>
      </w:hyperlink>
      <w:r>
        <w:t xml:space="preserve">. And a design with a defensible sampling frame could support a difference-in-differences or matched comparison around a known cooperation event, which is the first specification in this line of work that could plausibly reach causation</w:t>
      </w:r>
      <w:r>
        <w:t xml:space="preserve"> </w:t>
      </w:r>
      <w:hyperlink w:anchor="ref-4">
        <w:r>
          <w:rPr>
            <w:rStyle w:val="Hyperlink"/>
          </w:rPr>
          <w:t xml:space="preserve">[4]</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None of this requires abandoning the present design’s discipline. The successor should preserve deterministic variable construction, provenance-preserving rows, robust and interpretable estimators, and full reporting of nulls. The extensions add scale, external data, and document-level coding to a procedure whose transparency is its chief asset. A successor that keeps the discipline and adds the scale would answer the causal question this dissertation declined, and it would answer it in a form a skeptical reader could still check row by row</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specification is deliberately concrete so that it can be executed rather than merely admired. A research team could begin by fixing a sampling frame, for instance every record in a defined set of venues across a defined span of years, then applying the same deterministic construction rules this dissertation documents, then adding the two coding steps, universal citations and episode identification, that the present design lacks. Each step is bounded and checkable, and the sequence builds directly on the workbooks already in hand</w:t>
      </w:r>
      <w:r>
        <w:t xml:space="preserve"> </w:t>
      </w:r>
      <w:hyperlink w:anchor="ref-4">
        <w:r>
          <w:rPr>
            <w:rStyle w:val="Hyperlink"/>
          </w:rPr>
          <w:t xml:space="preserve">[4]</w:t>
        </w:r>
      </w:hyperlink>
      <w:r>
        <w:t xml:space="preserve"> </w:t>
      </w:r>
      <w:hyperlink w:anchor="ref-14">
        <w:r>
          <w:rPr>
            <w:rStyle w:val="Hyperlink"/>
          </w:rPr>
          <w:t xml:space="preserve">[14]</w:t>
        </w:r>
      </w:hyperlink>
      <w:r>
        <w:t xml:space="preserve">. Handing forward an executable specification rather than a vague aspiration is itself part of the contribution, because it lowers the cost of the next study and raises the odds that the causal question actually gets asked</w:t>
      </w:r>
      <w:r>
        <w:t xml:space="preserve"> </w:t>
      </w:r>
      <w:hyperlink w:anchor="ref-7">
        <w:r>
          <w:rPr>
            <w:rStyle w:val="Hyperlink"/>
          </w:rPr>
          <w:t xml:space="preserve">[7]</w:t>
        </w:r>
      </w:hyperlink>
      <w:r>
        <w:t xml:space="preserve"> </w:t>
      </w:r>
      <w:hyperlink w:anchor="ref-13">
        <w:r>
          <w:rPr>
            <w:rStyle w:val="Hyperlink"/>
          </w:rPr>
          <w:t xml:space="preserve">[13]</w:t>
        </w:r>
      </w:hyperlink>
      <w:r>
        <w:t xml:space="preserve">. The distributed-systems and coalition literatures both point to venues a successor’s sampling frame should include, since much of the fastest-moving cooperation content now appears in engineering and partnership work rather than in governance journals alone</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A frame that ignored those venues would inherit the very blind spot the venue finding exposed, so the successor’s first design choice should be to widen the aperture deliberately.</w:t>
      </w:r>
    </w:p>
    <w:bookmarkEnd w:id="138"/>
    <w:bookmarkStart w:id="139" w:name="closing"/>
    <w:p>
      <w:pPr>
        <w:pStyle w:val="Heading2"/>
        <w:spacing w:line="480" w:lineRule="auto"/>
      </w:pPr>
      <w:r>
        <w:t xml:space="preserve">8.9 Closing</w:t>
      </w:r>
    </w:p>
    <w:p>
      <w:pPr>
        <w:pStyle w:val="FirstParagraph"/>
        <w:spacing w:line="480" w:lineRule="auto"/>
      </w:pPr>
      <w:r>
        <w:t xml:space="preserve">The project began with a lag: the distance between when a space governance problem becomes visible and when institutions agree on a rule. It ends with a measurement of how the record of that problem is structured. The measurement is modest. Two coefficients are precise, two are null, the sample is small, and the identification reaches association rather than cause. But every number is traceable to a source, every claim is bounded by its evidence, and every null is reported as plainly as every finding. That is the standard the dissertation set for itself in Chapter 1, and it is the standard it kept. A reader can take the thirty rows, run the two models, and arrive at the same conclusions, which is the only durable form of contribution a study of this kind can make</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139"/>
    <w:bookmarkStart w:id="165" w:name="references"/>
    <w:p>
      <w:pPr>
        <w:pStyle w:val="Heading2"/>
        <w:spacing w:line="480" w:lineRule="auto"/>
      </w:pPr>
      <w:r>
        <w:t xml:space="preserve">References</w:t>
      </w:r>
    </w:p>
    <w:p>
      <w:pPr>
        <w:pStyle w:val="FirstParagraph"/>
        <w:spacing w:line="480" w:lineRule="auto"/>
      </w:pPr>
      <w:bookmarkStart w:id="140" w:name="ref-1"/>
      <w:bookmarkEnd w:id="140"/>
      <w:r>
        <w:t xml:space="preserve">1. T.S. Kelso, Center for Space Standards and Innovation. Analysis of the Iridium 33-Cosmos 2251 Collision (2009). [AMOS]</w:t>
      </w:r>
    </w:p>
    <w:p>
      <w:pPr>
        <w:pStyle w:val="BodyText"/>
        <w:spacing w:line="480" w:lineRule="auto"/>
        <w:ind w:firstLine="720"/>
      </w:pPr>
      <w:bookmarkStart w:id="141" w:name="ref-2"/>
      <w:bookmarkEnd w:id="141"/>
      <w:r>
        <w:t xml:space="preserve">2. Jaedong Seong, Korea Aerospace Research Institute (KARI); Okchul Jung, Korea Aerospace Research Institute (KARI); Dae Won Chung, Korea Aerospace Research Institute (KARI). KARI Recent Activities on SSA &amp; STM (2019). [AMOS]</w:t>
      </w:r>
    </w:p>
    <w:p>
      <w:pPr>
        <w:pStyle w:val="BodyText"/>
        <w:spacing w:line="480" w:lineRule="auto"/>
        <w:ind w:firstLine="720"/>
      </w:pPr>
      <w:bookmarkStart w:id="142" w:name="ref-3"/>
      <w:bookmarkEnd w:id="142"/>
      <w:r>
        <w:t xml:space="preserve">3. Kipp M. Johnson (Systems Engineer, SASSA Program), Captain Farakh Zaman (Program Manager, SASSA Program). Adding the “Local” Layer to Space Situational Awareness (2012). [AMOS]</w:t>
      </w:r>
    </w:p>
    <w:p>
      <w:pPr>
        <w:pStyle w:val="BodyText"/>
        <w:spacing w:line="480" w:lineRule="auto"/>
        <w:ind w:firstLine="720"/>
      </w:pPr>
      <w:bookmarkStart w:id="143" w:name="ref-4"/>
      <w:bookmarkEnd w:id="143"/>
      <w:r>
        <w:t xml:space="preserve">4. S Shivshankar, Indian Institute of Science; Debasish Ghose, Indian Institute of Science. Time-to-Event Data (Survival Analysis) based Modelling of Maneuver Occurrence of Non-Cooperative Satellites (2023). doi:</w:t>
      </w:r>
      <w:r>
        <w:t xml:space="preserve"> </w:t>
      </w:r>
      <w:hyperlink r:id="rId144">
        <w:r>
          <w:rPr>
            <w:rStyle w:val="Hyperlink"/>
          </w:rPr>
          <w:t xml:space="preserve">10.64861/LPFK9568</w:t>
        </w:r>
      </w:hyperlink>
    </w:p>
    <w:p>
      <w:pPr>
        <w:pStyle w:val="BodyText"/>
        <w:spacing w:line="480" w:lineRule="auto"/>
        <w:ind w:firstLine="720"/>
      </w:pPr>
      <w:bookmarkStart w:id="145" w:name="ref-5"/>
      <w:bookmarkEnd w:id="145"/>
      <w:r>
        <w:t xml:space="preserve">5. Brian Weeden (Secure World Foundation), Paul Cefola (University at Buffalo, SUNY), Jaganath Sankaran (University of Maryland). Global Space Situational Awareness Sensors (2010). [AMOS]</w:t>
      </w:r>
    </w:p>
    <w:p>
      <w:pPr>
        <w:pStyle w:val="BodyText"/>
        <w:spacing w:line="480" w:lineRule="auto"/>
        <w:ind w:firstLine="720"/>
      </w:pPr>
      <w:bookmarkStart w:id="146" w:name="ref-6"/>
      <w:bookmarkEnd w:id="146"/>
      <w:r>
        <w:t xml:space="preserve">6. Brittany Morreale, United States Air Force, Travis Bessell, National Security and Intelligence, Surveillance, and Reconnaissance Division – Defence Science and Technology Group, Mark Rutten, National Security and Intelligence, Surveillance, and Reconnaissance Division – Defence Science and Technology Group, Brian Cheung, National Security and Intelligence, Surveillance, and Reconnaissance Division – Defence Science and Technology Group. Australian Space Situational Awareness Capability Demonstrations (2017). [AMOS]</w:t>
      </w:r>
    </w:p>
    <w:p>
      <w:pPr>
        <w:pStyle w:val="BodyText"/>
        <w:spacing w:line="480" w:lineRule="auto"/>
        <w:ind w:firstLine="720"/>
      </w:pPr>
      <w:bookmarkStart w:id="147" w:name="ref-7"/>
      <w:bookmarkEnd w:id="147"/>
      <w:r>
        <w:t xml:space="preserve">7. Nathaniel Dailey, MITRE &amp; Space Force Association; Braden McGrath, MITRE Australia; Harvey Reed, MITRE; Jonathon Wotton, MITRE Australia. Global Space Domain Awareness, Partnering to Win with AUKUS (2023). doi:</w:t>
      </w:r>
      <w:r>
        <w:t xml:space="preserve"> </w:t>
      </w:r>
      <w:hyperlink r:id="rId148">
        <w:r>
          <w:rPr>
            <w:rStyle w:val="Hyperlink"/>
          </w:rPr>
          <w:t xml:space="preserve">10.64861/FWBL2094</w:t>
        </w:r>
      </w:hyperlink>
    </w:p>
    <w:p>
      <w:pPr>
        <w:pStyle w:val="BodyText"/>
        <w:spacing w:line="480" w:lineRule="auto"/>
        <w:ind w:firstLine="720"/>
      </w:pPr>
      <w:bookmarkStart w:id="149" w:name="ref-8"/>
      <w:bookmarkEnd w:id="149"/>
      <w:r>
        <w:t xml:space="preserve">8. Noelia Sánchez-Ortíz; Danielle Wood; Lesley Smith; Carmen Gregori De La Malla; Maruška Strah; Maren Huelsmann; Marius Stanciu-Manolescu; P. Ubertini; Balbir Singh. Outreach on Space Traffic Management (2025). doi:</w:t>
      </w:r>
      <w:r>
        <w:t xml:space="preserve"> </w:t>
      </w:r>
      <w:hyperlink r:id="rId150">
        <w:r>
          <w:rPr>
            <w:rStyle w:val="Hyperlink"/>
          </w:rPr>
          <w:t xml:space="preserve">10.1016/j.actaastro.2025.01.031</w:t>
        </w:r>
      </w:hyperlink>
    </w:p>
    <w:p>
      <w:pPr>
        <w:pStyle w:val="BodyText"/>
        <w:spacing w:line="480" w:lineRule="auto"/>
        <w:ind w:firstLine="720"/>
      </w:pPr>
      <w:bookmarkStart w:id="151" w:name="ref-9"/>
      <w:bookmarkEnd w:id="151"/>
      <w:r>
        <w:t xml:space="preserve">9. Antti Anttonen; Markku Kiviranta; Marko Höyhtyä. Space debris detection over intersatellite communication signals (2021). doi:</w:t>
      </w:r>
      <w:r>
        <w:t xml:space="preserve"> </w:t>
      </w:r>
      <w:hyperlink r:id="rId152">
        <w:r>
          <w:rPr>
            <w:rStyle w:val="Hyperlink"/>
          </w:rPr>
          <w:t xml:space="preserve">10.1016/j.actaastro.2021.06.023</w:t>
        </w:r>
      </w:hyperlink>
    </w:p>
    <w:p>
      <w:pPr>
        <w:pStyle w:val="BodyText"/>
        <w:spacing w:line="480" w:lineRule="auto"/>
        <w:ind w:firstLine="720"/>
      </w:pPr>
      <w:bookmarkStart w:id="153" w:name="ref-10"/>
      <w:bookmarkEnd w:id="153"/>
      <w:r>
        <w:t xml:space="preserve">10. Z. Bouhanna; Christopher Bridges. Cooperative inter-satellite ranging using custom code division multiple access frame for space traffic management (2020). doi:</w:t>
      </w:r>
      <w:r>
        <w:t xml:space="preserve"> </w:t>
      </w:r>
      <w:hyperlink r:id="rId154">
        <w:r>
          <w:rPr>
            <w:rStyle w:val="Hyperlink"/>
          </w:rPr>
          <w:t xml:space="preserve">10.1016/j.actaastro.2020.11.008</w:t>
        </w:r>
      </w:hyperlink>
    </w:p>
    <w:p>
      <w:pPr>
        <w:pStyle w:val="BodyText"/>
        <w:spacing w:line="480" w:lineRule="auto"/>
        <w:ind w:firstLine="720"/>
      </w:pPr>
      <w:bookmarkStart w:id="155" w:name="ref-11"/>
      <w:bookmarkEnd w:id="155"/>
      <w:r>
        <w:t xml:space="preserve">11. Anna Hurova. Gamification as a tool to identify and address ongoing challenges in space activities: the case of space debris mitigation (2024). doi:</w:t>
      </w:r>
      <w:r>
        <w:t xml:space="preserve"> </w:t>
      </w:r>
      <w:hyperlink r:id="rId156">
        <w:r>
          <w:rPr>
            <w:rStyle w:val="Hyperlink"/>
          </w:rPr>
          <w:t xml:space="preserve">10.1016/j.actaastro.2024.09.057</w:t>
        </w:r>
      </w:hyperlink>
    </w:p>
    <w:p>
      <w:pPr>
        <w:pStyle w:val="BodyText"/>
        <w:spacing w:line="480" w:lineRule="auto"/>
        <w:ind w:firstLine="720"/>
      </w:pPr>
      <w:bookmarkStart w:id="157" w:name="ref-12"/>
      <w:bookmarkEnd w:id="157"/>
      <w:r>
        <w:t xml:space="preserve">12. Jo�ão Reis. European union defense and security strategy for space and ground-based systems against hybrid threats (2024). doi:</w:t>
      </w:r>
      <w:r>
        <w:t xml:space="preserve"> </w:t>
      </w:r>
      <w:hyperlink r:id="rId158">
        <w:r>
          <w:rPr>
            <w:rStyle w:val="Hyperlink"/>
          </w:rPr>
          <w:t xml:space="preserve">10.1016/j.actaastro.2024.09.003</w:t>
        </w:r>
      </w:hyperlink>
    </w:p>
    <w:p>
      <w:pPr>
        <w:pStyle w:val="BodyText"/>
        <w:spacing w:line="480" w:lineRule="auto"/>
        <w:ind w:firstLine="720"/>
      </w:pPr>
      <w:bookmarkStart w:id="159" w:name="ref-13"/>
      <w:bookmarkEnd w:id="159"/>
      <w:r>
        <w:t xml:space="preserve">13. Marlon E. Sorge; Toby Harris; Camilla Colombo; Matthew D. Hejduk; Norman Fitz-Coy; Ryan Sheppard; Emma Kerr; Upsana Dasgupta; Nicolas Bérend; Diego A. Escobar; Martin C. Michel; Cristina Perez. Space traffic management: Improvements to spacecraft collision avoidance (COLA) (2025). doi:</w:t>
      </w:r>
      <w:r>
        <w:t xml:space="preserve"> </w:t>
      </w:r>
      <w:hyperlink r:id="rId160">
        <w:r>
          <w:rPr>
            <w:rStyle w:val="Hyperlink"/>
          </w:rPr>
          <w:t xml:space="preserve">10.1016/j.actaastro.2025.01.042</w:t>
        </w:r>
      </w:hyperlink>
    </w:p>
    <w:p>
      <w:pPr>
        <w:pStyle w:val="BodyText"/>
        <w:spacing w:line="480" w:lineRule="auto"/>
        <w:ind w:firstLine="720"/>
      </w:pPr>
      <w:bookmarkStart w:id="161" w:name="ref-14"/>
      <w:bookmarkEnd w:id="161"/>
      <w:r>
        <w:t xml:space="preserve">14.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162">
        <w:r>
          <w:rPr>
            <w:rStyle w:val="Hyperlink"/>
          </w:rPr>
          <w:t xml:space="preserve">10.1016/j.actaastro.2025.10.018</w:t>
        </w:r>
      </w:hyperlink>
    </w:p>
    <w:p>
      <w:pPr>
        <w:pStyle w:val="BodyText"/>
        <w:spacing w:line="480" w:lineRule="auto"/>
        <w:ind w:firstLine="720"/>
      </w:pPr>
      <w:bookmarkStart w:id="163" w:name="ref-15"/>
      <w:bookmarkEnd w:id="163"/>
      <w:r>
        <w:t xml:space="preserve">15. Jasper Dijks; Sybren de Jong; Alessandra Menicucci; Iklim Akay. Systematic review of engineering and testing approaches for radiation hardness assurance in commercial space avionics (2025). doi:</w:t>
      </w:r>
      <w:r>
        <w:t xml:space="preserve"> </w:t>
      </w:r>
      <w:hyperlink r:id="rId164">
        <w:r>
          <w:rPr>
            <w:rStyle w:val="Hyperlink"/>
          </w:rPr>
          <w:t xml:space="preserve">10.1016/j.actaastro.2025.07.055</w:t>
        </w:r>
      </w:hyperlink>
    </w:p>
    <w:bookmarkEnd w:id="165"/>
    <w:bookmarkEnd w:id="166"/>
    <w:bookmarkStart w:id="18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4" w:name="X2449b0f2de3c847dd2727e82ed1d4c4bfa48ca5"/>
    <w:p>
      <w:pPr>
        <w:pStyle w:val="Heading2"/>
        <w:spacing w:line="480" w:lineRule="auto"/>
      </w:pPr>
      <w:r>
        <w:t xml:space="preserve">A.1 Signal Intensity in Cooperate or Collide A Cliometric Test of Whether Cooperative SSA Sharing Episo: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6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3.4088</w:t>
            </w:r>
          </w:p>
        </w:tc>
        <w:tc>
          <w:tcPr>
            <w:tcW w:w="0" w:type="auto"/>
          </w:tcPr>
          <w:p>
            <w:pPr>
              <w:spacing w:line="240" w:lineRule="auto" w:before="0" w:after="0"/>
              <w:pStyle w:val="Compact"/>
            </w:pPr>
            <w:r>
              <w:rPr>
                <w:sz w:val="20"/>
                <w:szCs w:val="20"/>
              </w:rPr>
              <w:t xml:space="preserve">1.1669</w:t>
            </w:r>
          </w:p>
        </w:tc>
        <w:tc>
          <w:tcPr>
            <w:tcW w:w="0" w:type="auto"/>
          </w:tcPr>
          <w:p>
            <w:pPr>
              <w:spacing w:line="240" w:lineRule="auto" w:before="0" w:after="0"/>
              <w:pStyle w:val="Compact"/>
            </w:pPr>
            <w:r>
              <w:rPr>
                <w:sz w:val="20"/>
                <w:szCs w:val="20"/>
              </w:rPr>
              <w:t xml:space="preserve">2.9214</w:t>
            </w:r>
          </w:p>
        </w:tc>
        <w:tc>
          <w:tcPr>
            <w:tcW w:w="0" w:type="auto"/>
          </w:tcPr>
          <w:p>
            <w:pPr>
              <w:spacing w:line="240" w:lineRule="auto" w:before="0" w:after="0"/>
              <w:pStyle w:val="Compact"/>
            </w:pPr>
            <w:r>
              <w:rPr>
                <w:sz w:val="20"/>
                <w:szCs w:val="20"/>
              </w:rPr>
              <w:t xml:space="preserve">0.0035</w:t>
            </w:r>
          </w:p>
        </w:tc>
        <w:tc>
          <w:tcPr>
            <w:tcW w:w="0" w:type="auto"/>
          </w:tcPr>
          <w:p>
            <w:pPr>
              <w:spacing w:line="240" w:lineRule="auto" w:before="0" w:after="0"/>
              <w:pStyle w:val="Compact"/>
            </w:pPr>
            <w:r>
              <w:rPr>
                <w:sz w:val="20"/>
                <w:szCs w:val="20"/>
              </w:rPr>
              <w:t xml:space="preserve">[1.1218, 5.6958]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0.107</w:t>
            </w:r>
          </w:p>
        </w:tc>
        <w:tc>
          <w:tcPr>
            <w:tcW w:w="0" w:type="auto"/>
          </w:tcPr>
          <w:p>
            <w:pPr>
              <w:spacing w:line="240" w:lineRule="auto" w:before="0" w:after="0"/>
              <w:pStyle w:val="Compact"/>
            </w:pPr>
            <w:r>
              <w:rPr>
                <w:sz w:val="20"/>
                <w:szCs w:val="20"/>
              </w:rPr>
              <w:t xml:space="preserve">0.0857</w:t>
            </w:r>
          </w:p>
        </w:tc>
        <w:tc>
          <w:tcPr>
            <w:tcW w:w="0" w:type="auto"/>
          </w:tcPr>
          <w:p>
            <w:pPr>
              <w:spacing w:line="240" w:lineRule="auto" w:before="0" w:after="0"/>
              <w:pStyle w:val="Compact"/>
            </w:pPr>
            <w:r>
              <w:rPr>
                <w:sz w:val="20"/>
                <w:szCs w:val="20"/>
              </w:rPr>
              <w:t xml:space="preserve">1.2482</w:t>
            </w:r>
          </w:p>
        </w:tc>
        <w:tc>
          <w:tcPr>
            <w:tcW w:w="0" w:type="auto"/>
          </w:tcPr>
          <w:p>
            <w:pPr>
              <w:spacing w:line="240" w:lineRule="auto" w:before="0" w:after="0"/>
              <w:pStyle w:val="Compact"/>
            </w:pPr>
            <w:r>
              <w:rPr>
                <w:sz w:val="20"/>
                <w:szCs w:val="20"/>
              </w:rPr>
              <w:t xml:space="preserve">0.212</w:t>
            </w:r>
          </w:p>
        </w:tc>
        <w:tc>
          <w:tcPr>
            <w:tcW w:w="0" w:type="auto"/>
          </w:tcPr>
          <w:p>
            <w:pPr>
              <w:spacing w:line="240" w:lineRule="auto" w:before="0" w:after="0"/>
              <w:pStyle w:val="Compact"/>
            </w:pPr>
            <w:r>
              <w:rPr>
                <w:sz w:val="20"/>
                <w:szCs w:val="20"/>
              </w:rPr>
              <w:t xml:space="preserve">[-0.061, 0.275]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0.0434</w:t>
            </w:r>
          </w:p>
        </w:tc>
        <w:tc>
          <w:tcPr>
            <w:tcW w:w="0" w:type="auto"/>
          </w:tcPr>
          <w:p>
            <w:pPr>
              <w:spacing w:line="240" w:lineRule="auto" w:before="0" w:after="0"/>
              <w:pStyle w:val="Compact"/>
            </w:pPr>
            <w:r>
              <w:rPr>
                <w:sz w:val="20"/>
                <w:szCs w:val="20"/>
              </w:rPr>
              <w:t xml:space="preserve">-0.2547</w:t>
            </w:r>
          </w:p>
        </w:tc>
        <w:tc>
          <w:tcPr>
            <w:tcW w:w="0" w:type="auto"/>
          </w:tcPr>
          <w:p>
            <w:pPr>
              <w:spacing w:line="240" w:lineRule="auto" w:before="0" w:after="0"/>
              <w:pStyle w:val="Compact"/>
            </w:pPr>
            <w:r>
              <w:rPr>
                <w:sz w:val="20"/>
                <w:szCs w:val="20"/>
              </w:rPr>
              <w:t xml:space="preserve">0.7989</w:t>
            </w:r>
          </w:p>
        </w:tc>
        <w:tc>
          <w:tcPr>
            <w:tcW w:w="0" w:type="auto"/>
          </w:tcPr>
          <w:p>
            <w:pPr>
              <w:spacing w:line="240" w:lineRule="auto" w:before="0" w:after="0"/>
              <w:pStyle w:val="Compact"/>
            </w:pPr>
            <w:r>
              <w:rPr>
                <w:sz w:val="20"/>
                <w:szCs w:val="20"/>
              </w:rPr>
              <w:t xml:space="preserve">[-0.0961, 0.074]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-1.0506</w:t>
            </w:r>
          </w:p>
        </w:tc>
        <w:tc>
          <w:tcPr>
            <w:tcW w:w="0" w:type="auto"/>
          </w:tcPr>
          <w:p>
            <w:pPr>
              <w:spacing w:line="240" w:lineRule="auto" w:before="0" w:after="0"/>
              <w:pStyle w:val="Compact"/>
            </w:pPr>
            <w:r>
              <w:rPr>
                <w:sz w:val="20"/>
                <w:szCs w:val="20"/>
              </w:rPr>
              <w:t xml:space="preserve">0.4931</w:t>
            </w:r>
          </w:p>
        </w:tc>
        <w:tc>
          <w:tcPr>
            <w:tcW w:w="0" w:type="auto"/>
          </w:tcPr>
          <w:p>
            <w:pPr>
              <w:spacing w:line="240" w:lineRule="auto" w:before="0" w:after="0"/>
              <w:pStyle w:val="Compact"/>
            </w:pPr>
            <w:r>
              <w:rPr>
                <w:sz w:val="20"/>
                <w:szCs w:val="20"/>
              </w:rPr>
              <w:t xml:space="preserve">-2.1305</w:t>
            </w:r>
          </w:p>
        </w:tc>
        <w:tc>
          <w:tcPr>
            <w:tcW w:w="0" w:type="auto"/>
          </w:tcPr>
          <w:p>
            <w:pPr>
              <w:spacing w:line="240" w:lineRule="auto" w:before="0" w:after="0"/>
              <w:pStyle w:val="Compact"/>
            </w:pPr>
            <w:r>
              <w:rPr>
                <w:sz w:val="20"/>
                <w:szCs w:val="20"/>
              </w:rPr>
              <w:t xml:space="preserve">0.0331</w:t>
            </w:r>
          </w:p>
        </w:tc>
        <w:tc>
          <w:tcPr>
            <w:tcW w:w="0" w:type="auto"/>
          </w:tcPr>
          <w:p>
            <w:pPr>
              <w:spacing w:line="240" w:lineRule="auto" w:before="0" w:after="0"/>
              <w:pStyle w:val="Compact"/>
            </w:pPr>
            <w:r>
              <w:rPr>
                <w:sz w:val="20"/>
                <w:szCs w:val="20"/>
              </w:rPr>
              <w:t xml:space="preserve">[-2.0171, -0.0841]</w:t>
            </w:r>
          </w:p>
        </w:tc>
      </w:tr>
    </w:tbl>
    <w:p>
      <w:pPr>
        <w:pStyle w:val="BodyText"/>
        <w:spacing w:line="480" w:lineRule="auto"/>
        <w:ind w:firstLine="720"/>
      </w:pPr>
      <w:r>
        <w:t xml:space="preserve">Fit: N = 30 R2 = 0.1723 R2_adj = 0.0767 F = 1.6132 F_p = 0.2104</w:t>
      </w:r>
    </w:p>
    <w:bookmarkEnd w:id="167"/>
    <w:bookmarkStart w:id="17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69" name="Picture"/>
            <a:graphic>
              <a:graphicData uri="http://schemas.openxmlformats.org/drawingml/2006/picture">
                <pic:pic>
                  <pic:nvPicPr>
                    <pic:cNvPr descr="D:/Claude_Code/brain/collegium/candidates/dissertations/SUSTAINABILITY_INSTITUTIONS_12/research_papers/p1/paper_fig1.png" id="170" name="Picture"/>
                    <pic:cNvPicPr>
                      <a:picLocks noChangeArrowheads="1" noChangeAspect="1"/>
                    </pic:cNvPicPr>
                  </pic:nvPicPr>
                  <pic:blipFill>
                    <a:blip r:embed="rId16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71"/>
    <w:bookmarkStart w:id="17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https://amostech.space/year/2009/analysis-of-the-iridium-33-cosmos-2251-collision/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https://amostech.space/year/2019/kari-recent-activities-on-ssa-stm/</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https://amostech.space/year/2012/adding-the-local-layer-to-space-situational-awareness/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10.64861/LPFK9568</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https://amostech.space/year/2010/global-space-situational-awareness-sensors/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https://amostech.space/year/2017/australian-space-situational-awareness-capability-demonstrations/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10.64861/FWBL2094</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https://amostech.space/year/2008/improved-conjunction-analysis-via-collaborative-space-situational-awareness/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https://amostech.space/year/2020/blockchain-enabled-space-traffic-awareness-besta-automated-comparison-of-ssa-to-agreed-behavior-for-discovery-of-anomalous-behavior/</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https://amostech.space/year/2022/advances-of-arianegroup-capabilities-for-laser-optical-observation-of-leo-objects/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10.64861/UKLE4659</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10.1016/j.actaastro.2021.06.023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10.1016/j.actaastro.2020.11.008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10.1016/j.actaastro.2021.12.015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10.1016/j.actaastro.2022.10.050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10.1016/j.actaastro.2024.10.044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10.1016/j.actaastro.2026.02.012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International Relations and Economic Dimensions of Trusted Space Data</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Leveraging Circular Economy for Space Sustainability</w:t>
            </w:r>
          </w:p>
        </w:tc>
      </w:tr>
    </w:tbl>
    <w:bookmarkEnd w:id="172"/>
    <w:bookmarkStart w:id="173"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73"/>
    <w:bookmarkEnd w:id="174"/>
    <w:bookmarkStart w:id="182" w:name="Xa92b45b48ec355ec131e2365b4a6bd483aded60"/>
    <w:p>
      <w:pPr>
        <w:pStyle w:val="Heading2"/>
        <w:spacing w:line="480" w:lineRule="auto"/>
      </w:pPr>
      <w:r>
        <w:t xml:space="preserve">A.2 Attention Accumulation in Cooperate or Collide A Cliometric Test of Whether Cooperative SSA Sharing Episo: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75"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1.2531</w:t>
            </w:r>
          </w:p>
        </w:tc>
        <w:tc>
          <w:tcPr>
            <w:tcW w:w="0" w:type="auto"/>
          </w:tcPr>
          <w:p>
            <w:pPr>
              <w:spacing w:line="240" w:lineRule="auto" w:before="0" w:after="0"/>
              <w:pStyle w:val="Compact"/>
            </w:pPr>
            <w:r>
              <w:rPr>
                <w:sz w:val="20"/>
                <w:szCs w:val="20"/>
              </w:rPr>
              <w:t xml:space="preserve">0.4074</w:t>
            </w:r>
          </w:p>
        </w:tc>
        <w:tc>
          <w:tcPr>
            <w:tcW w:w="0" w:type="auto"/>
          </w:tcPr>
          <w:p>
            <w:pPr>
              <w:spacing w:line="240" w:lineRule="auto" w:before="0" w:after="0"/>
              <w:pStyle w:val="Compact"/>
            </w:pPr>
            <w:r>
              <w:rPr>
                <w:sz w:val="20"/>
                <w:szCs w:val="20"/>
              </w:rPr>
              <w:t xml:space="preserve">3.0761</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[0.4547, 2.0515]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-0.3975</w:t>
            </w:r>
          </w:p>
        </w:tc>
        <w:tc>
          <w:tcPr>
            <w:tcW w:w="0" w:type="auto"/>
          </w:tcPr>
          <w:p>
            <w:pPr>
              <w:spacing w:line="240" w:lineRule="auto" w:before="0" w:after="0"/>
              <w:pStyle w:val="Compact"/>
            </w:pPr>
            <w:r>
              <w:rPr>
                <w:sz w:val="20"/>
                <w:szCs w:val="20"/>
              </w:rPr>
              <w:t xml:space="preserve">0.1947</w:t>
            </w:r>
          </w:p>
        </w:tc>
        <w:tc>
          <w:tcPr>
            <w:tcW w:w="0" w:type="auto"/>
          </w:tcPr>
          <w:p>
            <w:pPr>
              <w:spacing w:line="240" w:lineRule="auto" w:before="0" w:after="0"/>
              <w:pStyle w:val="Compact"/>
            </w:pPr>
            <w:r>
              <w:rPr>
                <w:sz w:val="20"/>
                <w:szCs w:val="20"/>
              </w:rPr>
              <w:t xml:space="preserve">-2.0411</w:t>
            </w:r>
          </w:p>
        </w:tc>
        <w:tc>
          <w:tcPr>
            <w:tcW w:w="0" w:type="auto"/>
          </w:tcPr>
          <w:p>
            <w:pPr>
              <w:spacing w:line="240" w:lineRule="auto" w:before="0" w:after="0"/>
              <w:pStyle w:val="Compact"/>
            </w:pPr>
            <w:r>
              <w:rPr>
                <w:sz w:val="20"/>
                <w:szCs w:val="20"/>
              </w:rPr>
              <w:t xml:space="preserve">0.0412</w:t>
            </w:r>
          </w:p>
        </w:tc>
        <w:tc>
          <w:tcPr>
            <w:tcW w:w="0" w:type="auto"/>
          </w:tcPr>
          <w:p>
            <w:pPr>
              <w:spacing w:line="240" w:lineRule="auto" w:before="0" w:after="0"/>
              <w:pStyle w:val="Compact"/>
            </w:pPr>
            <w:r>
              <w:rPr>
                <w:sz w:val="20"/>
                <w:szCs w:val="20"/>
              </w:rPr>
              <w:t xml:space="preserve">[-0.7792, -0.0158]</w:t>
            </w:r>
          </w:p>
        </w:tc>
      </w:tr>
    </w:tbl>
    <w:p>
      <w:pPr>
        <w:pStyle w:val="BodyText"/>
        <w:spacing w:line="480" w:lineRule="auto"/>
        <w:ind w:firstLine="720"/>
      </w:pPr>
      <w:r>
        <w:t xml:space="preserve">Fit: N = 30 R2 = 0.0939 elasticity_b = -0.3975 progress_ratio_2^b = 0.7592</w:t>
      </w:r>
    </w:p>
    <w:bookmarkEnd w:id="175"/>
    <w:bookmarkStart w:id="179"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77" name="Picture"/>
            <a:graphic>
              <a:graphicData uri="http://schemas.openxmlformats.org/drawingml/2006/picture">
                <pic:pic>
                  <pic:nvPicPr>
                    <pic:cNvPr descr="D:/Claude_Code/brain/collegium/candidates/dissertations/SUSTAINABILITY_INSTITUTIONS_12/research_papers/p2/paper_fig1.png" id="178" name="Picture"/>
                    <pic:cNvPicPr>
                      <a:picLocks noChangeArrowheads="1" noChangeAspect="1"/>
                    </pic:cNvPicPr>
                  </pic:nvPicPr>
                  <pic:blipFill>
                    <a:blip r:embed="rId1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79"/>
    <w:bookmarkStart w:id="180"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https://amostech.space/year/2009/analysis-of-the-iridium-33-cosmos-2251-collision/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https://amostech.space/year/2019/kari-recent-activities-on-ssa-stm/</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https://amostech.space/year/2012/adding-the-local-layer-to-space-situational-awareness/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10.64861/LPFK9568</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https://amostech.space/year/2010/global-space-situational-awareness-sensors/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https://amostech.space/year/2017/australian-space-situational-awareness-capability-demonstrations/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10.64861/FWBL2094</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https://amostech.space/year/2008/improved-conjunction-analysis-via-collaborative-space-situational-awareness/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https://amostech.space/year/2020/blockchain-enabled-space-traffic-awareness-besta-automated-comparison-of-ssa-to-agreed-behavior-for-discovery-of-anomalous-behavior/</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https://amostech.space/year/2022/advances-of-arianegroup-capabilities-for-laser-optical-observation-of-leo-objects/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10.64861/UKLE4659</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10.1016/j.actaastro.2021.06.023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10.1016/j.actaastro.2020.11.008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10.1016/j.actaastro.2021.12.015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10.1016/j.actaastro.2022.10.050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10.1016/j.actaastro.2024.10.044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10.1016/j.actaastro.2026.02.012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International Relations and Economic Dimensions of Trusted Space Data</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Leveraging Circular Economy for Space Sustainability</w:t>
            </w:r>
          </w:p>
        </w:tc>
      </w:tr>
    </w:tbl>
    <w:bookmarkEnd w:id="180"/>
    <w:bookmarkStart w:id="181"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81"/>
    <w:bookmarkEnd w:id="182"/>
    <w:bookmarkEnd w:id="1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68" Type="http://schemas.openxmlformats.org/officeDocument/2006/relationships/image" Target="media/rId168.png"/><Relationship Id="rId176" Type="http://schemas.openxmlformats.org/officeDocument/2006/relationships/image" Target="media/rId176.png"/><Relationship Id="rId154" Type="http://schemas.openxmlformats.org/officeDocument/2006/relationships/hyperlink" Target="https://doi.org/10.1016/j.actaastro.2020.11.008" TargetMode="External"/><Relationship Id="rId152" Type="http://schemas.openxmlformats.org/officeDocument/2006/relationships/hyperlink" Target="https://doi.org/10.1016/j.actaastro.2021.06.023" TargetMode="External"/><Relationship Id="rId158" Type="http://schemas.openxmlformats.org/officeDocument/2006/relationships/hyperlink" Target="https://doi.org/10.1016/j.actaastro.2024.09.003" TargetMode="External"/><Relationship Id="rId156" Type="http://schemas.openxmlformats.org/officeDocument/2006/relationships/hyperlink" Target="https://doi.org/10.1016/j.actaastro.2024.09.057" TargetMode="External"/><Relationship Id="rId150" Type="http://schemas.openxmlformats.org/officeDocument/2006/relationships/hyperlink" Target="https://doi.org/10.1016/j.actaastro.2025.01.031" TargetMode="External"/><Relationship Id="rId160" Type="http://schemas.openxmlformats.org/officeDocument/2006/relationships/hyperlink" Target="https://doi.org/10.1016/j.actaastro.2025.01.042" TargetMode="External"/><Relationship Id="rId164" Type="http://schemas.openxmlformats.org/officeDocument/2006/relationships/hyperlink" Target="https://doi.org/10.1016/j.actaastro.2025.07.055" TargetMode="External"/><Relationship Id="rId162" Type="http://schemas.openxmlformats.org/officeDocument/2006/relationships/hyperlink" Target="https://doi.org/10.1016/j.actaastro.2025.10.018" TargetMode="External"/><Relationship Id="rId148" Type="http://schemas.openxmlformats.org/officeDocument/2006/relationships/hyperlink" Target="https://doi.org/10.64861/FWBL2094" TargetMode="External"/><Relationship Id="rId144" Type="http://schemas.openxmlformats.org/officeDocument/2006/relationships/hyperlink" Target="https://doi.org/10.64861/LPFK9568" TargetMode="External"/></Relationships>
</file>

<file path=word/_rels/footnotes.xml.rels><?xml version='1.0' encoding='UTF-8' standalone='yes'?>
<Relationships xmlns="http://schemas.openxmlformats.org/package/2006/relationships"><Relationship Id="rId154" Type="http://schemas.openxmlformats.org/officeDocument/2006/relationships/hyperlink" Target="https://doi.org/10.1016/j.actaastro.2020.11.008" TargetMode="External"/><Relationship Id="rId152" Type="http://schemas.openxmlformats.org/officeDocument/2006/relationships/hyperlink" Target="https://doi.org/10.1016/j.actaastro.2021.06.023" TargetMode="External"/><Relationship Id="rId158" Type="http://schemas.openxmlformats.org/officeDocument/2006/relationships/hyperlink" Target="https://doi.org/10.1016/j.actaastro.2024.09.003" TargetMode="External"/><Relationship Id="rId156" Type="http://schemas.openxmlformats.org/officeDocument/2006/relationships/hyperlink" Target="https://doi.org/10.1016/j.actaastro.2024.09.057" TargetMode="External"/><Relationship Id="rId150" Type="http://schemas.openxmlformats.org/officeDocument/2006/relationships/hyperlink" Target="https://doi.org/10.1016/j.actaastro.2025.01.031" TargetMode="External"/><Relationship Id="rId160" Type="http://schemas.openxmlformats.org/officeDocument/2006/relationships/hyperlink" Target="https://doi.org/10.1016/j.actaastro.2025.01.042" TargetMode="External"/><Relationship Id="rId164" Type="http://schemas.openxmlformats.org/officeDocument/2006/relationships/hyperlink" Target="https://doi.org/10.1016/j.actaastro.2025.07.055" TargetMode="External"/><Relationship Id="rId162" Type="http://schemas.openxmlformats.org/officeDocument/2006/relationships/hyperlink" Target="https://doi.org/10.1016/j.actaastro.2025.10.018" TargetMode="External"/><Relationship Id="rId148" Type="http://schemas.openxmlformats.org/officeDocument/2006/relationships/hyperlink" Target="https://doi.org/10.64861/FWBL2094" TargetMode="External"/><Relationship Id="rId144" Type="http://schemas.openxmlformats.org/officeDocument/2006/relationships/hyperlink" Target="https://doi.org/10.64861/LPFK95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Cooperate or Collide: A Cliometric Test of Whether Cooperative SSA Sharing Episo</dc:title>
  <dc:creator>Vincent Larsson (1B-SUS-214)</dc:creator>
  <cp:keywords/>
  <dcterms:created xsi:type="dcterms:W3CDTF">2026-07-03T01:31:22Z</dcterms:created>
  <dcterms:modified xsi:type="dcterms:W3CDTF">2026-07-03T01:31:22Z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