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b97356052cd005d0661f5b0db423905837aac5c"/>
    <w:p>
      <w:pPr>
        <w:pStyle w:val="Heading1"/>
      </w:pPr>
      <w:r>
        <w:t xml:space="preserve">Attention Accumulation in Tragedy or Self-Governance An Empirical Test of Whether LEO Shells With Concent: A Learning-Curve Analysis of Citation Growth by Article Age</w:t>
      </w:r>
    </w:p>
    <w:bookmarkStart w:id="61" w:name="introduction"/>
    <w:p>
      <w:pPr>
        <w:pStyle w:val="Heading2"/>
      </w:pPr>
      <w:r>
        <w:t xml:space="preserve">1. Introduction</w:t>
      </w:r>
    </w:p>
    <w:p>
      <w:pPr>
        <w:pStyle w:val="FirstParagraph"/>
      </w:pPr>
      <w:r>
        <w:t xml:space="preserve">This empirical paper supports Maya Khan (1B-SUS-196) and the dissertation project</w:t>
      </w:r>
      <w:r>
        <w:t xml:space="preserve"> </w:t>
      </w:r>
      <w:r>
        <w:rPr>
          <w:i/>
          <w:iCs/>
        </w:rPr>
        <w:t xml:space="preserve">Tragedy or Self-Governance? An Empirical Test of Whether LEO Shells With Concent</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R2=0.026929892658053456, elasticity_b=-0.30391831556404814, progress_ratio_2^b=0.8100493367896244. The exact term summary is: const coef=1.151264878616817 p=0.02337324540140965; _ln_x coef=-0.30391831556404814 p=0.312777398367846.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Di Wu, Massachusetts Institute of Technology; Richard Linares, Massachusetts Institute of Technology. Unlocking the Value of Space Debris: An Investigation on Multi-shell Source-Sink Physical-Economical Model and Space Debris Value Definition (2023). doi:</w:t>
      </w:r>
      <w:r>
        <w:t xml:space="preserve"> </w:t>
      </w:r>
      <w:hyperlink r:id="rId68">
        <w:r>
          <w:rPr>
            <w:rStyle w:val="Hyperlink"/>
          </w:rPr>
          <w:t xml:space="preserve">10.64861/IGYM9299</w:t>
        </w:r>
      </w:hyperlink>
      <w:r>
        <w:t xml:space="preserve"> </w:t>
      </w:r>
      <w:bookmarkStart w:id="69" w:name="ref-2"/>
      <w:bookmarkEnd w:id="69"/>
      <w:r>
        <w:t xml:space="preserve">2. Todd Harrison, Center for Strategic and International Studies. International Perspectives on Space Weapons (2020). [AMOS]</w:t>
      </w:r>
      <w:r>
        <w:t xml:space="preserve"> </w:t>
      </w:r>
      <w:bookmarkStart w:id="70" w:name="ref-3"/>
      <w:bookmarkEnd w:id="70"/>
      <w:r>
        <w:t xml:space="preserve">3. Naomi Owens-Fahrner, BAE Systems; Joshua Wysack, BAE Systems; Justin Kim, BAE Systems. Graph-Based Optimization for High-Density LEO Constellation Design (2025). doi:</w:t>
      </w:r>
      <w:r>
        <w:t xml:space="preserve"> </w:t>
      </w:r>
      <w:hyperlink r:id="rId71">
        <w:r>
          <w:rPr>
            <w:rStyle w:val="Hyperlink"/>
          </w:rPr>
          <w:t xml:space="preserve">10.64861/IKLU8599</w:t>
        </w:r>
      </w:hyperlink>
      <w:r>
        <w:t xml:space="preserve"> </w:t>
      </w:r>
      <w:bookmarkStart w:id="72" w:name="ref-4"/>
      <w:bookmarkEnd w:id="72"/>
      <w:r>
        <w:t xml:space="preserve">4. Mark Sturza, Viasat; Mark Dankberg, Viasat; William Blount, Viasat. Resilience of LEO Constellations to Accidental and Intentional Fragmentation Events (2024). doi:</w:t>
      </w:r>
      <w:r>
        <w:t xml:space="preserve"> </w:t>
      </w:r>
      <w:hyperlink r:id="rId73">
        <w:r>
          <w:rPr>
            <w:rStyle w:val="Hyperlink"/>
          </w:rPr>
          <w:t xml:space="preserve">10.64861/ZFDQ4641</w:t>
        </w:r>
      </w:hyperlink>
      <w:r>
        <w:t xml:space="preserve"> </w:t>
      </w:r>
      <w:bookmarkStart w:id="74" w:name="ref-5"/>
      <w:bookmarkEnd w:id="74"/>
      <w:r>
        <w:t xml:space="preserve">5. Miles Lifson, Massachusetts Institute of Technology; Daniel Jang, Massachusetts Institute of Technology; Richard Linares, Massachusetts Institute of Technology. Space Environmental Governance and Decision-Support using Source-Sink Evolutionary Environmental Models (2023). doi:</w:t>
      </w:r>
      <w:r>
        <w:t xml:space="preserve"> </w:t>
      </w:r>
      <w:hyperlink r:id="rId75">
        <w:r>
          <w:rPr>
            <w:rStyle w:val="Hyperlink"/>
          </w:rPr>
          <w:t xml:space="preserve">10.64861/FKER7625</w:t>
        </w:r>
      </w:hyperlink>
      <w:r>
        <w:t xml:space="preserve"> </w:t>
      </w:r>
      <w:bookmarkStart w:id="76" w:name="ref-6"/>
      <w:bookmarkEnd w:id="76"/>
      <w:r>
        <w:t xml:space="preserve">6. Valentin Eder, Space Analyses GmbH; Christian Unfried, Space Analyses GmbH. A Systems Theory Approach for Evaluating the Cascading Collision Potential of Orbital Shells (2022). [AMOS]</w:t>
      </w:r>
      <w:r>
        <w:t xml:space="preserve"> </w:t>
      </w:r>
      <w:bookmarkStart w:id="77" w:name="ref-7"/>
      <w:bookmarkEnd w:id="77"/>
      <w:r>
        <w:t xml:space="preserve">7. Daniel Jang, Massachusetts Institute of Technology; Andrea D’Ambrosio, Massachusetts Institute of Technology; Miles Lifson, Massachusetts Institute of Technology; Celina Pasiecznik, Massachusetts Institute of Technology; Richard Linares, Massachusetts Institute of Technology. Stability of the LEO Environment as a Dynamical System (2022). [AMOS]</w:t>
      </w:r>
      <w:r>
        <w:t xml:space="preserve"> </w:t>
      </w:r>
      <w:bookmarkStart w:id="78" w:name="ref-8"/>
      <w:bookmarkEnd w:id="78"/>
      <w:r>
        <w:t xml:space="preserve">8. Andrea D’Ambrosio, Massachusetts Institute of Technology; Miles Lifson, Massachusetts Institute of Technology; Daniel Jang, Massachusetts Institute of Technology; Celina Pasiecznik, Massachusetts Institute of Technology; Richard Linares, Massachusetts Institute of Technology. Projected Orbital Demand and LEO Environmental Capacity (2022). [AMOS]</w:t>
      </w:r>
    </w:p>
    <w:bookmarkEnd w:id="79"/>
    <w:bookmarkStart w:id="80"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1.1513</w:t>
            </w:r>
          </w:p>
        </w:tc>
        <w:tc>
          <w:tcPr>
            <w:tcW w:w="0" w:type="auto"/>
          </w:tcPr>
          <w:p>
            <w:pPr>
              <w:spacing w:line="240" w:lineRule="auto" w:before="0" w:after="0"/>
              <w:pStyle w:val="Compact"/>
            </w:pPr>
            <w:r>
              <w:rPr>
                <w:sz w:val="20"/>
                <w:szCs w:val="20"/>
              </w:rPr>
              <w:t xml:space="preserve">0.5078</w:t>
            </w:r>
          </w:p>
        </w:tc>
        <w:tc>
          <w:tcPr>
            <w:tcW w:w="0" w:type="auto"/>
          </w:tcPr>
          <w:p>
            <w:pPr>
              <w:spacing w:line="240" w:lineRule="auto" w:before="0" w:after="0"/>
              <w:pStyle w:val="Compact"/>
            </w:pPr>
            <w:r>
              <w:rPr>
                <w:sz w:val="20"/>
                <w:szCs w:val="20"/>
              </w:rPr>
              <w:t xml:space="preserve">2.2673</w:t>
            </w:r>
          </w:p>
        </w:tc>
        <w:tc>
          <w:tcPr>
            <w:tcW w:w="0" w:type="auto"/>
          </w:tcPr>
          <w:p>
            <w:pPr>
              <w:spacing w:line="240" w:lineRule="auto" w:before="0" w:after="0"/>
              <w:pStyle w:val="Compact"/>
            </w:pPr>
            <w:r>
              <w:rPr>
                <w:sz w:val="20"/>
                <w:szCs w:val="20"/>
              </w:rPr>
              <w:t xml:space="preserve">0.0234</w:t>
            </w:r>
          </w:p>
        </w:tc>
        <w:tc>
          <w:tcPr>
            <w:tcW w:w="0" w:type="auto"/>
          </w:tcPr>
          <w:p>
            <w:pPr>
              <w:spacing w:line="240" w:lineRule="auto" w:before="0" w:after="0"/>
              <w:pStyle w:val="Compact"/>
            </w:pPr>
            <w:r>
              <w:rPr>
                <w:sz w:val="20"/>
                <w:szCs w:val="20"/>
              </w:rPr>
              <w:t xml:space="preserve">[0.156, 2.1465]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-0.3039</w:t>
            </w:r>
          </w:p>
        </w:tc>
        <w:tc>
          <w:tcPr>
            <w:tcW w:w="0" w:type="auto"/>
          </w:tcPr>
          <w:p>
            <w:pPr>
              <w:spacing w:line="240" w:lineRule="auto" w:before="0" w:after="0"/>
              <w:pStyle w:val="Compact"/>
            </w:pPr>
            <w:r>
              <w:rPr>
                <w:sz w:val="20"/>
                <w:szCs w:val="20"/>
              </w:rPr>
              <w:t xml:space="preserve">0.3011</w:t>
            </w:r>
          </w:p>
        </w:tc>
        <w:tc>
          <w:tcPr>
            <w:tcW w:w="0" w:type="auto"/>
          </w:tcPr>
          <w:p>
            <w:pPr>
              <w:spacing w:line="240" w:lineRule="auto" w:before="0" w:after="0"/>
              <w:pStyle w:val="Compact"/>
            </w:pPr>
            <w:r>
              <w:rPr>
                <w:sz w:val="20"/>
                <w:szCs w:val="20"/>
              </w:rPr>
              <w:t xml:space="preserve">-1.0094</w:t>
            </w:r>
          </w:p>
        </w:tc>
        <w:tc>
          <w:tcPr>
            <w:tcW w:w="0" w:type="auto"/>
          </w:tcPr>
          <w:p>
            <w:pPr>
              <w:spacing w:line="240" w:lineRule="auto" w:before="0" w:after="0"/>
              <w:pStyle w:val="Compact"/>
            </w:pPr>
            <w:r>
              <w:rPr>
                <w:sz w:val="20"/>
                <w:szCs w:val="20"/>
              </w:rPr>
              <w:t xml:space="preserve">0.3128</w:t>
            </w:r>
          </w:p>
        </w:tc>
        <w:tc>
          <w:tcPr>
            <w:tcW w:w="0" w:type="auto"/>
          </w:tcPr>
          <w:p>
            <w:pPr>
              <w:spacing w:line="240" w:lineRule="auto" w:before="0" w:after="0"/>
              <w:pStyle w:val="Compact"/>
            </w:pPr>
            <w:r>
              <w:rPr>
                <w:sz w:val="20"/>
                <w:szCs w:val="20"/>
              </w:rPr>
              <w:t xml:space="preserve">[-0.894, 0.2862]</w:t>
            </w:r>
          </w:p>
        </w:tc>
      </w:tr>
    </w:tbl>
    <w:p>
      <w:pPr>
        <w:pStyle w:val="BodyText"/>
      </w:pPr>
      <w:r>
        <w:t xml:space="preserve">Fit: N = 30 R2 = 0.0269 elasticity_b = -0.3039 progress_ratio_2^b = 0.81</w:t>
      </w:r>
    </w:p>
    <w:p>
      <w:pPr>
        <w:pStyle w:val="CaptionedFigure"/>
      </w:pPr>
      <w:r>
        <w:drawing>
          <wp:inline>
            <wp:extent cx="5669280" cy="3657600"/>
            <wp:effectExtent b="0" l="0" r="0" t="0"/>
            <wp:docPr descr="Figure 1. Citation accumulation against article age in the retrieved topic literature." title="" id="82" name="Picture"/>
            <a:graphic>
              <a:graphicData uri="http://schemas.openxmlformats.org/drawingml/2006/picture">
                <pic:pic>
                  <pic:nvPicPr>
                    <pic:cNvPr descr="D:\Claude_Code\brain\collegium\candidates\dissertations\SUSTAINABILITY_INSTITUTIONS_11\research_papers\p2\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10.64861/IGYM9299</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10.64861/IKLU8599</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https://amostech.space/year/2022/a-systems-theory-approach-for-evaluating-the-cascading-collision-potential-of-orbital-shells/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https://amostech.space/year/2022/stability-of-the-leo-environment-as-a-dynamical-system/</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https://amostech.space/year/2022/projected-orbital-demand-and-leo-environmental-capacity/</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https://amostech.space/year/2010/adaptive-optics-at-the-worlds-biggest-optical-telescope/</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10.64861/QGVF6609</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https://amostech.space/year/2021/investigating-the-risks-of-debris-generating-asat-tests-in-the-presence-of-megaconstellations/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10.64861/FJYT8606</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10.1016/j.actaastro.2023.05.032</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10.1016/j.actaastro.2020.11.037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10.1016/j.actaastro.2024.11.050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10.1016/j.actaastro.2025.01.007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10.1016/j.actaastro.2026.04.003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10.1016/j.actaastro.2025.02.019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10.1016/j.actaastro.2024.01.044</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10.1016/j.actaastro.2019.10.014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Density-Based Evolutionary Model of LEO Debris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Safety Considerations for Large Constellations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10.1016/j.actaastro.2024.03.008</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1.1513</w:t>
            </w:r>
          </w:p>
        </w:tc>
        <w:tc>
          <w:tcPr>
            <w:tcW w:w="0" w:type="auto"/>
          </w:tcPr>
          <w:p>
            <w:pPr>
              <w:spacing w:line="240" w:lineRule="auto" w:before="0" w:after="0"/>
              <w:pStyle w:val="Compact"/>
            </w:pPr>
            <w:r>
              <w:rPr>
                <w:sz w:val="20"/>
                <w:szCs w:val="20"/>
              </w:rPr>
              <w:t xml:space="preserve">0.5078</w:t>
            </w:r>
          </w:p>
        </w:tc>
        <w:tc>
          <w:tcPr>
            <w:tcW w:w="0" w:type="auto"/>
          </w:tcPr>
          <w:p>
            <w:pPr>
              <w:spacing w:line="240" w:lineRule="auto" w:before="0" w:after="0"/>
              <w:pStyle w:val="Compact"/>
            </w:pPr>
            <w:r>
              <w:rPr>
                <w:sz w:val="20"/>
                <w:szCs w:val="20"/>
              </w:rPr>
              <w:t xml:space="preserve">2.2673</w:t>
            </w:r>
          </w:p>
        </w:tc>
        <w:tc>
          <w:tcPr>
            <w:tcW w:w="0" w:type="auto"/>
          </w:tcPr>
          <w:p>
            <w:pPr>
              <w:spacing w:line="240" w:lineRule="auto" w:before="0" w:after="0"/>
              <w:pStyle w:val="Compact"/>
            </w:pPr>
            <w:r>
              <w:rPr>
                <w:sz w:val="20"/>
                <w:szCs w:val="20"/>
              </w:rPr>
              <w:t xml:space="preserve">0.0234</w:t>
            </w:r>
          </w:p>
        </w:tc>
        <w:tc>
          <w:tcPr>
            <w:tcW w:w="0" w:type="auto"/>
          </w:tcPr>
          <w:p>
            <w:pPr>
              <w:spacing w:line="240" w:lineRule="auto" w:before="0" w:after="0"/>
              <w:pStyle w:val="Compact"/>
            </w:pPr>
            <w:r>
              <w:rPr>
                <w:sz w:val="20"/>
                <w:szCs w:val="20"/>
              </w:rPr>
              <w:t xml:space="preserve">[0.156, 2.1465]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-0.3039</w:t>
            </w:r>
          </w:p>
        </w:tc>
        <w:tc>
          <w:tcPr>
            <w:tcW w:w="0" w:type="auto"/>
          </w:tcPr>
          <w:p>
            <w:pPr>
              <w:spacing w:line="240" w:lineRule="auto" w:before="0" w:after="0"/>
              <w:pStyle w:val="Compact"/>
            </w:pPr>
            <w:r>
              <w:rPr>
                <w:sz w:val="20"/>
                <w:szCs w:val="20"/>
              </w:rPr>
              <w:t xml:space="preserve">0.3011</w:t>
            </w:r>
          </w:p>
        </w:tc>
        <w:tc>
          <w:tcPr>
            <w:tcW w:w="0" w:type="auto"/>
          </w:tcPr>
          <w:p>
            <w:pPr>
              <w:spacing w:line="240" w:lineRule="auto" w:before="0" w:after="0"/>
              <w:pStyle w:val="Compact"/>
            </w:pPr>
            <w:r>
              <w:rPr>
                <w:sz w:val="20"/>
                <w:szCs w:val="20"/>
              </w:rPr>
              <w:t xml:space="preserve">-1.0094</w:t>
            </w:r>
          </w:p>
        </w:tc>
        <w:tc>
          <w:tcPr>
            <w:tcW w:w="0" w:type="auto"/>
          </w:tcPr>
          <w:p>
            <w:pPr>
              <w:spacing w:line="240" w:lineRule="auto" w:before="0" w:after="0"/>
              <w:pStyle w:val="Compact"/>
            </w:pPr>
            <w:r>
              <w:rPr>
                <w:sz w:val="20"/>
                <w:szCs w:val="20"/>
              </w:rPr>
              <w:t xml:space="preserve">0.3128</w:t>
            </w:r>
          </w:p>
        </w:tc>
        <w:tc>
          <w:tcPr>
            <w:tcW w:w="0" w:type="auto"/>
          </w:tcPr>
          <w:p>
            <w:pPr>
              <w:spacing w:line="240" w:lineRule="auto" w:before="0" w:after="0"/>
              <w:pStyle w:val="Compact"/>
            </w:pPr>
            <w:r>
              <w:rPr>
                <w:sz w:val="20"/>
                <w:szCs w:val="20"/>
              </w:rPr>
              <w:t xml:space="preserve">[-0.894, 0.2862]</w:t>
            </w:r>
          </w:p>
        </w:tc>
      </w:tr>
    </w:tbl>
    <w:p>
      <w:pPr>
        <w:pStyle w:val="BodyText"/>
      </w:pPr>
      <w:r>
        <w:t xml:space="preserve">Fit: N = 30 R2 = 0.0269 elasticity_b = -0.3039 progress_ratio_2^b = 0.81</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5" Target="https://doi.org/10.64861/FKER7625" TargetMode="External" /><Relationship Type="http://schemas.openxmlformats.org/officeDocument/2006/relationships/hyperlink" Id="rId68" Target="https://doi.org/10.64861/IGYM9299" TargetMode="External" /><Relationship Type="http://schemas.openxmlformats.org/officeDocument/2006/relationships/hyperlink" Id="rId71" Target="https://doi.org/10.64861/IKLU8599" TargetMode="External" /><Relationship Type="http://schemas.openxmlformats.org/officeDocument/2006/relationships/hyperlink" Id="rId73" Target="https://doi.org/10.64861/ZFDQ4641"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64861/FKER7625" TargetMode="External" /><Relationship Type="http://schemas.openxmlformats.org/officeDocument/2006/relationships/hyperlink" Id="rId68" Target="https://doi.org/10.64861/IGYM9299" TargetMode="External" /><Relationship Type="http://schemas.openxmlformats.org/officeDocument/2006/relationships/hyperlink" Id="rId71" Target="https://doi.org/10.64861/IKLU8599" TargetMode="External" /><Relationship Type="http://schemas.openxmlformats.org/officeDocument/2006/relationships/hyperlink" Id="rId73" Target="https://doi.org/10.64861/ZFDQ464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2026-06-29T09:36:21Z</dcterms:created>
  <dcterms:modified xsi:type="dcterms:W3CDTF">2026-06-29T09:36:21Z</dcterms:modified>
</cp:coreProperties>
</file>

<file path=docProps/custom.xml><?xml version="1.0" encoding="utf-8"?>
<Properties xmlns="http://schemas.openxmlformats.org/officeDocument/2006/custom-properties" xmlns:vt="http://schemas.openxmlformats.org/officeDocument/2006/docPropsVTypes"/>
</file>