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0df99b0d81daed17ccc44e8573c0eea8ae523ac"/>
    <w:p>
      <w:pPr>
        <w:pStyle w:val="Heading1"/>
      </w:pPr>
      <w:r>
        <w:t xml:space="preserve">Signal Intensity in Tragedy or Self-Governance An Empirical Test of Whether LEO Shells With Concent: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Maya Khan (1B-SUS-196) and the dissertation project</w:t>
      </w:r>
      <w:r>
        <w:t xml:space="preserve"> </w:t>
      </w:r>
      <w:r>
        <w:rPr>
          <w:i/>
          <w:iCs/>
        </w:rPr>
        <w:t xml:space="preserve">Tragedy or Self-Governance? An Empirical Test of Whether LEO Shells With Concent</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R2=0.3591972775851038, R2_adj=0.28525850192184654, F=5.561579436021032, F_p=0.004377729618972936. The exact term summary is: const coef=4.10629816588244 p=0.05612573450893958; recency_index coef=0.309988883595364 p=0.0209539761393836; cites_num coef=-0.08705054841524319 p=0.17414128937439544; venue_score coef=-1.7205241304491348 p=0.003571412949701957.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Di Wu, Massachusetts Institute of Technology; Richard Linares, Massachusetts Institute of Technology. Unlocking the Value of Space Debris: An Investigation on Multi-shell Source-Sink Physical-Economical Model and Space Debris Value Definition (2023). doi:</w:t>
      </w:r>
      <w:r>
        <w:t xml:space="preserve"> </w:t>
      </w:r>
      <w:hyperlink r:id="rId68">
        <w:r>
          <w:rPr>
            <w:rStyle w:val="Hyperlink"/>
          </w:rPr>
          <w:t xml:space="preserve">10.64861/IGYM9299</w:t>
        </w:r>
      </w:hyperlink>
      <w:r>
        <w:t xml:space="preserve"> </w:t>
      </w:r>
      <w:bookmarkStart w:id="69" w:name="ref-2"/>
      <w:bookmarkEnd w:id="69"/>
      <w:r>
        <w:t xml:space="preserve">2. Todd Harrison, Center for Strategic and International Studies. International Perspectives on Space Weapons (2020). [AMOS]</w:t>
      </w:r>
      <w:r>
        <w:t xml:space="preserve"> </w:t>
      </w:r>
      <w:bookmarkStart w:id="70" w:name="ref-3"/>
      <w:bookmarkEnd w:id="70"/>
      <w:r>
        <w:t xml:space="preserve">3. Naomi Owens-Fahrner, BAE Systems; Joshua Wysack, BAE Systems; Justin Kim, BAE Systems. Graph-Based Optimization for High-Density LEO Constellation Design (2025). doi:</w:t>
      </w:r>
      <w:r>
        <w:t xml:space="preserve"> </w:t>
      </w:r>
      <w:hyperlink r:id="rId71">
        <w:r>
          <w:rPr>
            <w:rStyle w:val="Hyperlink"/>
          </w:rPr>
          <w:t xml:space="preserve">10.64861/IKLU8599</w:t>
        </w:r>
      </w:hyperlink>
      <w:r>
        <w:t xml:space="preserve"> </w:t>
      </w:r>
      <w:bookmarkStart w:id="72" w:name="ref-4"/>
      <w:bookmarkEnd w:id="72"/>
      <w:r>
        <w:t xml:space="preserve">4. Mark Sturza, Viasat; Mark Dankberg, Viasat; William Blount, Viasat. Resilience of LEO Constellations to Accidental and Intentional Fragmentation Events (2024). doi:</w:t>
      </w:r>
      <w:r>
        <w:t xml:space="preserve"> </w:t>
      </w:r>
      <w:hyperlink r:id="rId73">
        <w:r>
          <w:rPr>
            <w:rStyle w:val="Hyperlink"/>
          </w:rPr>
          <w:t xml:space="preserve">10.64861/ZFDQ4641</w:t>
        </w:r>
      </w:hyperlink>
      <w:r>
        <w:t xml:space="preserve"> </w:t>
      </w:r>
      <w:bookmarkStart w:id="74" w:name="ref-5"/>
      <w:bookmarkEnd w:id="74"/>
      <w:r>
        <w:t xml:space="preserve">5.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75">
        <w:r>
          <w:rPr>
            <w:rStyle w:val="Hyperlink"/>
          </w:rPr>
          <w:t xml:space="preserve">10.64861/FKER7625</w:t>
        </w:r>
      </w:hyperlink>
      <w:r>
        <w:t xml:space="preserve"> </w:t>
      </w:r>
      <w:bookmarkStart w:id="76" w:name="ref-6"/>
      <w:bookmarkEnd w:id="76"/>
      <w:r>
        <w:t xml:space="preserve">6. Valentin Eder, Space Analyses GmbH; Christian Unfried, Space Analyses GmbH. A Systems Theory Approach for Evaluating the Cascading Collision Potential of Orbital Shells (2022). [AMOS]</w:t>
      </w:r>
      <w:r>
        <w:t xml:space="preserve"> </w:t>
      </w:r>
      <w:bookmarkStart w:id="77" w:name="ref-7"/>
      <w:bookmarkEnd w:id="77"/>
      <w:r>
        <w:t xml:space="preserve">7. Daniel Jang, Massachusetts Institute of Technology; Andrea D’Ambrosio, Massachusetts Institute of Technology; Miles Lifson, Massachusetts Institute of Technology; Celina Pasiecznik, Massachusetts Institute of Technology; Richard Linares, Massachusetts Institute of Technology. Stability of the LEO Environment as a Dynamical System (2022). [AMOS]</w:t>
      </w:r>
      <w:r>
        <w:t xml:space="preserve"> </w:t>
      </w:r>
      <w:bookmarkStart w:id="78" w:name="ref-8"/>
      <w:bookmarkEnd w:id="78"/>
      <w:r>
        <w:t xml:space="preserve">8.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4.1063</w:t>
            </w:r>
          </w:p>
        </w:tc>
        <w:tc>
          <w:tcPr>
            <w:tcW w:w="0" w:type="auto"/>
          </w:tcPr>
          <w:p>
            <w:pPr>
              <w:spacing w:line="240" w:lineRule="auto" w:before="0" w:after="0"/>
              <w:pStyle w:val="Compact"/>
            </w:pPr>
            <w:r>
              <w:rPr>
                <w:sz w:val="20"/>
                <w:szCs w:val="20"/>
              </w:rPr>
              <w:t xml:space="preserve">2.1498</w:t>
            </w:r>
          </w:p>
        </w:tc>
        <w:tc>
          <w:tcPr>
            <w:tcW w:w="0" w:type="auto"/>
          </w:tcPr>
          <w:p>
            <w:pPr>
              <w:spacing w:line="240" w:lineRule="auto" w:before="0" w:after="0"/>
              <w:pStyle w:val="Compact"/>
            </w:pPr>
            <w:r>
              <w:rPr>
                <w:sz w:val="20"/>
                <w:szCs w:val="20"/>
              </w:rPr>
              <w:t xml:space="preserve">1.9101</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[-0.1073, 8.3199]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0.1343</w:t>
            </w:r>
          </w:p>
        </w:tc>
        <w:tc>
          <w:tcPr>
            <w:tcW w:w="0" w:type="auto"/>
          </w:tcPr>
          <w:p>
            <w:pPr>
              <w:spacing w:line="240" w:lineRule="auto" w:before="0" w:after="0"/>
              <w:pStyle w:val="Compact"/>
            </w:pPr>
            <w:r>
              <w:rPr>
                <w:sz w:val="20"/>
                <w:szCs w:val="20"/>
              </w:rPr>
              <w:t xml:space="preserve">2.3088</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[0.0468, 0.5731]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-0.0871</w:t>
            </w:r>
          </w:p>
        </w:tc>
        <w:tc>
          <w:tcPr>
            <w:tcW w:w="0" w:type="auto"/>
          </w:tcPr>
          <w:p>
            <w:pPr>
              <w:spacing w:line="240" w:lineRule="auto" w:before="0" w:after="0"/>
              <w:pStyle w:val="Compact"/>
            </w:pPr>
            <w:r>
              <w:rPr>
                <w:sz w:val="20"/>
                <w:szCs w:val="20"/>
              </w:rPr>
              <w:t xml:space="preserve">0.0641</w:t>
            </w:r>
          </w:p>
        </w:tc>
        <w:tc>
          <w:tcPr>
            <w:tcW w:w="0" w:type="auto"/>
          </w:tcPr>
          <w:p>
            <w:pPr>
              <w:spacing w:line="240" w:lineRule="auto" w:before="0" w:after="0"/>
              <w:pStyle w:val="Compact"/>
            </w:pPr>
            <w:r>
              <w:rPr>
                <w:sz w:val="20"/>
                <w:szCs w:val="20"/>
              </w:rPr>
              <w:t xml:space="preserve">-1.359</w:t>
            </w:r>
          </w:p>
        </w:tc>
        <w:tc>
          <w:tcPr>
            <w:tcW w:w="0" w:type="auto"/>
          </w:tcPr>
          <w:p>
            <w:pPr>
              <w:spacing w:line="240" w:lineRule="auto" w:before="0" w:after="0"/>
              <w:pStyle w:val="Compact"/>
            </w:pPr>
            <w:r>
              <w:rPr>
                <w:sz w:val="20"/>
                <w:szCs w:val="20"/>
              </w:rPr>
              <w:t xml:space="preserve">0.1741</w:t>
            </w:r>
          </w:p>
        </w:tc>
        <w:tc>
          <w:tcPr>
            <w:tcW w:w="0" w:type="auto"/>
          </w:tcPr>
          <w:p>
            <w:pPr>
              <w:spacing w:line="240" w:lineRule="auto" w:before="0" w:after="0"/>
              <w:pStyle w:val="Compact"/>
            </w:pPr>
            <w:r>
              <w:rPr>
                <w:sz w:val="20"/>
                <w:szCs w:val="20"/>
              </w:rPr>
              <w:t xml:space="preserve">[-0.2126, 0.0385]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-1.7205</w:t>
            </w:r>
          </w:p>
        </w:tc>
        <w:tc>
          <w:tcPr>
            <w:tcW w:w="0" w:type="auto"/>
          </w:tcPr>
          <w:p>
            <w:pPr>
              <w:spacing w:line="240" w:lineRule="auto" w:before="0" w:after="0"/>
              <w:pStyle w:val="Compact"/>
            </w:pPr>
            <w:r>
              <w:rPr>
                <w:sz w:val="20"/>
                <w:szCs w:val="20"/>
              </w:rPr>
              <w:t xml:space="preserve">0.5905</w:t>
            </w:r>
          </w:p>
        </w:tc>
        <w:tc>
          <w:tcPr>
            <w:tcW w:w="0" w:type="auto"/>
          </w:tcPr>
          <w:p>
            <w:pPr>
              <w:spacing w:line="240" w:lineRule="auto" w:before="0" w:after="0"/>
              <w:pStyle w:val="Compact"/>
            </w:pPr>
            <w:r>
              <w:rPr>
                <w:sz w:val="20"/>
                <w:szCs w:val="20"/>
              </w:rPr>
              <w:t xml:space="preserve">-2.9137</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[-2.8779, -0.5632]</w:t>
            </w:r>
          </w:p>
        </w:tc>
      </w:tr>
    </w:tbl>
    <w:p>
      <w:pPr>
        <w:pStyle w:val="BodyText"/>
      </w:pPr>
      <w:r>
        <w:t xml:space="preserve">Fit: N = 30 R2 = 0.3592 R2_adj = 0.2853 F = 5.5616 F_p = 0.0044</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USTAINABILITY_INSTITUTIONS_11\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10.64861/IGYM9299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https://amostech.space/year/2022/a-systems-theory-approach-for-evaluating-the-cascading-collision-potential-of-orbital-shells/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https://amostech.space/year/2022/stability-of-the-leo-environment-as-a-dynamical-system/</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https://amostech.space/year/2010/adaptive-optics-at-the-worlds-biggest-optical-telescope/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10.64861/QGVF6609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https://amostech.space/year/2021/investigating-the-risks-of-debris-generating-asat-tests-in-the-presence-of-megaconstellations/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10.64861/FJYT8606</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10.1016/j.actaastro.2023.05.032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10.1016/j.actaastro.2020.11.037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10.1016/j.actaastro.2026.04.003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10.1016/j.actaastro.2024.01.044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10.1016/j.actaastro.2019.10.014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Density-Based Evolutionary Model of LEO Debris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Safety Considerations for Large Constellations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10.1016/j.actaastro.2024.03.008</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4.1063</w:t>
            </w:r>
          </w:p>
        </w:tc>
        <w:tc>
          <w:tcPr>
            <w:tcW w:w="0" w:type="auto"/>
          </w:tcPr>
          <w:p>
            <w:pPr>
              <w:spacing w:line="240" w:lineRule="auto" w:before="0" w:after="0"/>
              <w:pStyle w:val="Compact"/>
            </w:pPr>
            <w:r>
              <w:rPr>
                <w:sz w:val="20"/>
                <w:szCs w:val="20"/>
              </w:rPr>
              <w:t xml:space="preserve">2.1498</w:t>
            </w:r>
          </w:p>
        </w:tc>
        <w:tc>
          <w:tcPr>
            <w:tcW w:w="0" w:type="auto"/>
          </w:tcPr>
          <w:p>
            <w:pPr>
              <w:spacing w:line="240" w:lineRule="auto" w:before="0" w:after="0"/>
              <w:pStyle w:val="Compact"/>
            </w:pPr>
            <w:r>
              <w:rPr>
                <w:sz w:val="20"/>
                <w:szCs w:val="20"/>
              </w:rPr>
              <w:t xml:space="preserve">1.9101</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[-0.1073, 8.3199]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0.1343</w:t>
            </w:r>
          </w:p>
        </w:tc>
        <w:tc>
          <w:tcPr>
            <w:tcW w:w="0" w:type="auto"/>
          </w:tcPr>
          <w:p>
            <w:pPr>
              <w:spacing w:line="240" w:lineRule="auto" w:before="0" w:after="0"/>
              <w:pStyle w:val="Compact"/>
            </w:pPr>
            <w:r>
              <w:rPr>
                <w:sz w:val="20"/>
                <w:szCs w:val="20"/>
              </w:rPr>
              <w:t xml:space="preserve">2.3088</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[0.0468, 0.5731]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-0.0871</w:t>
            </w:r>
          </w:p>
        </w:tc>
        <w:tc>
          <w:tcPr>
            <w:tcW w:w="0" w:type="auto"/>
          </w:tcPr>
          <w:p>
            <w:pPr>
              <w:spacing w:line="240" w:lineRule="auto" w:before="0" w:after="0"/>
              <w:pStyle w:val="Compact"/>
            </w:pPr>
            <w:r>
              <w:rPr>
                <w:sz w:val="20"/>
                <w:szCs w:val="20"/>
              </w:rPr>
              <w:t xml:space="preserve">0.0641</w:t>
            </w:r>
          </w:p>
        </w:tc>
        <w:tc>
          <w:tcPr>
            <w:tcW w:w="0" w:type="auto"/>
          </w:tcPr>
          <w:p>
            <w:pPr>
              <w:spacing w:line="240" w:lineRule="auto" w:before="0" w:after="0"/>
              <w:pStyle w:val="Compact"/>
            </w:pPr>
            <w:r>
              <w:rPr>
                <w:sz w:val="20"/>
                <w:szCs w:val="20"/>
              </w:rPr>
              <w:t xml:space="preserve">-1.359</w:t>
            </w:r>
          </w:p>
        </w:tc>
        <w:tc>
          <w:tcPr>
            <w:tcW w:w="0" w:type="auto"/>
          </w:tcPr>
          <w:p>
            <w:pPr>
              <w:spacing w:line="240" w:lineRule="auto" w:before="0" w:after="0"/>
              <w:pStyle w:val="Compact"/>
            </w:pPr>
            <w:r>
              <w:rPr>
                <w:sz w:val="20"/>
                <w:szCs w:val="20"/>
              </w:rPr>
              <w:t xml:space="preserve">0.1741</w:t>
            </w:r>
          </w:p>
        </w:tc>
        <w:tc>
          <w:tcPr>
            <w:tcW w:w="0" w:type="auto"/>
          </w:tcPr>
          <w:p>
            <w:pPr>
              <w:spacing w:line="240" w:lineRule="auto" w:before="0" w:after="0"/>
              <w:pStyle w:val="Compact"/>
            </w:pPr>
            <w:r>
              <w:rPr>
                <w:sz w:val="20"/>
                <w:szCs w:val="20"/>
              </w:rPr>
              <w:t xml:space="preserve">[-0.2126, 0.0385]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-1.7205</w:t>
            </w:r>
          </w:p>
        </w:tc>
        <w:tc>
          <w:tcPr>
            <w:tcW w:w="0" w:type="auto"/>
          </w:tcPr>
          <w:p>
            <w:pPr>
              <w:spacing w:line="240" w:lineRule="auto" w:before="0" w:after="0"/>
              <w:pStyle w:val="Compact"/>
            </w:pPr>
            <w:r>
              <w:rPr>
                <w:sz w:val="20"/>
                <w:szCs w:val="20"/>
              </w:rPr>
              <w:t xml:space="preserve">0.5905</w:t>
            </w:r>
          </w:p>
        </w:tc>
        <w:tc>
          <w:tcPr>
            <w:tcW w:w="0" w:type="auto"/>
          </w:tcPr>
          <w:p>
            <w:pPr>
              <w:spacing w:line="240" w:lineRule="auto" w:before="0" w:after="0"/>
              <w:pStyle w:val="Compact"/>
            </w:pPr>
            <w:r>
              <w:rPr>
                <w:sz w:val="20"/>
                <w:szCs w:val="20"/>
              </w:rPr>
              <w:t xml:space="preserve">-2.9137</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[-2.8779, -0.5632]</w:t>
            </w:r>
          </w:p>
        </w:tc>
      </w:tr>
    </w:tbl>
    <w:p>
      <w:pPr>
        <w:pStyle w:val="BodyText"/>
      </w:pPr>
      <w:r>
        <w:t xml:space="preserve">Fit: N = 30 R2 = 0.3592 R2_adj = 0.2853 F = 5.5616 F_p = 0.0044</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5" Target="https://doi.org/10.64861/FKER7625" TargetMode="External" /><Relationship Type="http://schemas.openxmlformats.org/officeDocument/2006/relationships/hyperlink" Id="rId68" Target="https://doi.org/10.64861/IGYM9299" TargetMode="External" /><Relationship Type="http://schemas.openxmlformats.org/officeDocument/2006/relationships/hyperlink" Id="rId71" Target="https://doi.org/10.64861/IKLU8599" TargetMode="External" /><Relationship Type="http://schemas.openxmlformats.org/officeDocument/2006/relationships/hyperlink" Id="rId73" Target="https://doi.org/10.64861/ZFDQ4641"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FKER7625" TargetMode="External" /><Relationship Type="http://schemas.openxmlformats.org/officeDocument/2006/relationships/hyperlink" Id="rId68" Target="https://doi.org/10.64861/IGYM9299" TargetMode="External" /><Relationship Type="http://schemas.openxmlformats.org/officeDocument/2006/relationships/hyperlink" Id="rId71" Target="https://doi.org/10.64861/IKLU8599" TargetMode="External" /><Relationship Type="http://schemas.openxmlformats.org/officeDocument/2006/relationships/hyperlink" Id="rId73" Target="https://doi.org/10.64861/ZFDQ464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2026-06-29T09:36:19Z</dcterms:created>
  <dcterms:modified xsi:type="dcterms:W3CDTF">2026-06-29T09:36:19Z</dcterms:modified>
</cp:coreProperties>
</file>

<file path=docProps/custom.xml><?xml version="1.0" encoding="utf-8"?>
<Properties xmlns="http://schemas.openxmlformats.org/officeDocument/2006/custom-properties" xmlns:vt="http://schemas.openxmlformats.org/officeDocument/2006/docPropsVTypes"/>
</file>