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TRAGEDY OR SELF-GOVERNANCE? AN EMPIRICAL TEST OF WHETHER LEO SHELLS WITH CONCENT</w:t>
      </w:r>
    </w:p>
    <w:p>
      <w:pPr>
        <w:jc w:val="center"/>
      </w:pPr>
    </w:p>
    <w:p>
      <w:pPr>
        <w:jc w:val="center"/>
      </w:pPr>
      <w:r>
        <w:rPr>
          <w:rFonts w:ascii="Times New Roman" w:hAnsi="Times New Roman"/>
          <w:sz w:val="24"/>
        </w:rPr>
        <w:t>by</w:t>
      </w:r>
    </w:p>
    <w:p>
      <w:pPr>
        <w:jc w:val="center"/>
      </w:pPr>
      <w:r>
        <w:rPr>
          <w:rFonts w:ascii="Times New Roman" w:hAnsi="Times New Roman"/>
          <w:b/>
          <w:sz w:val="28"/>
        </w:rPr>
        <w:t>Maya Khan</w:t>
      </w:r>
    </w:p>
    <w:p>
      <w:pPr>
        <w:jc w:val="center"/>
      </w:pPr>
      <w:r>
        <w:rPr>
          <w:rFonts w:ascii="Times New Roman" w:hAnsi="Times New Roman"/>
          <w:sz w:val="24"/>
        </w:rPr>
        <w:t>1B-SUS-196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introduction"/>
    <w:p>
      <w:pPr>
        <w:pStyle w:val="Heading1"/>
        <w:spacing w:line="480" w:lineRule="auto"/>
      </w:pPr>
      <w:r>
        <w:t xml:space="preserve">Introduction</w:t>
      </w:r>
    </w:p>
    <w:p>
      <w:pPr>
        <w:pStyle w:val="FirstParagraph"/>
        <w:spacing w:line="480" w:lineRule="auto"/>
      </w:pPr>
      <w:r>
        <w:t xml:space="preserve">Low Earth orbit is filling with hardware faster than the rules that govern it can be written. Constellations that were speculative a decade ago now number in the thousands of active satellites, and the shells they occupy are congested bands rather than empty sky. Governance language has not kept pace. Operators, regulators, and technical analysts describe the same physical environment in incompatible vocabularies, and the question of whether crowded orbital shells drift toward a shared tragedy or toward negotiated self-governance remains open. This dissertation does not settle that question. It asks a smaller and answerable version of it.</w:t>
      </w:r>
    </w:p>
    <w:p>
      <w:pPr>
        <w:pStyle w:val="BodyText"/>
        <w:spacing w:line="480" w:lineRule="auto"/>
        <w:ind w:firstLine="720"/>
      </w:pPr>
      <w:r>
        <w:t xml:space="preserve">The smaller question is whether the tension between tragedy and self-governance is already visible in the documentary record that the field itself produces. When a governance problem hardens, the literature that surrounds it changes shape. Some topics attract citations; others sink without a trace. Some cluster in one venue family and never migrate to another. Publication timing tightens around events. These are measurable signatures, and they can be read off the corpus without any appeal to unmeasured intentions or to policy narratives that outrun the evidence</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wager of this project is that the structure of attention is itself data about how a governance problem is maturing.</w:t>
      </w:r>
    </w:p>
    <w:p>
      <w:pPr>
        <w:pStyle w:val="BodyText"/>
        <w:spacing w:line="480" w:lineRule="auto"/>
        <w:ind w:firstLine="720"/>
      </w:pPr>
      <w:r>
        <w:t xml:space="preserve">That wager carries a cost. The cost is real. It means refusing the more satisfying move of declaring, on the strength of a few vivid sources, that low Earth orbit is or is not headed for a cascade of institutional failure. The technical literature can establish that dense shells carry cascading collision potential</w:t>
      </w:r>
      <w:r>
        <w:t xml:space="preserve"> </w:t>
      </w:r>
      <w:hyperlink w:anchor="ref-6">
        <w:r>
          <w:rPr>
            <w:rStyle w:val="Hyperlink"/>
          </w:rPr>
          <w:t xml:space="preserve">[6]</w:t>
        </w:r>
      </w:hyperlink>
      <w:r>
        <w:t xml:space="preserve"> </w:t>
      </w:r>
      <w:hyperlink w:anchor="ref-7">
        <w:r>
          <w:rPr>
            <w:rStyle w:val="Hyperlink"/>
          </w:rPr>
          <w:t xml:space="preserve">[7]</w:t>
        </w:r>
      </w:hyperlink>
      <w:r>
        <w:t xml:space="preserve">. It can project orbital demand against environmental capacity</w:t>
      </w:r>
      <w:r>
        <w:t xml:space="preserve"> </w:t>
      </w:r>
      <w:hyperlink w:anchor="ref-8">
        <w:r>
          <w:rPr>
            <w:rStyle w:val="Hyperlink"/>
          </w:rPr>
          <w:t xml:space="preserve">[8]</w:t>
        </w:r>
      </w:hyperlink>
      <w:r>
        <w:t xml:space="preserve">. What it cannot do, on its own, is explain why the governance language around those findings sometimes hardens into performance-based entry rules and sometimes stays loose and hortatory. The gap between a physical risk model and an institutional explanation is where this dissertation sits, and the honest way to occupy that gap is to measure what the corpus shows and to stop there.</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Space sustainability has become a crowded field of overlapping claims. Technical modelers describe source-sink dynamics in which debris is generated faster than the environment removes it</w:t>
      </w:r>
      <w:r>
        <w:t xml:space="preserve"> </w:t>
      </w:r>
      <w:hyperlink w:anchor="ref-1">
        <w:r>
          <w:rPr>
            <w:rStyle w:val="Hyperlink"/>
          </w:rPr>
          <w:t xml:space="preserve">[1]</w:t>
        </w:r>
      </w:hyperlink>
      <w:r>
        <w:t xml:space="preserve"> </w:t>
      </w:r>
      <w:hyperlink w:anchor="ref-5">
        <w:r>
          <w:rPr>
            <w:rStyle w:val="Hyperlink"/>
          </w:rPr>
          <w:t xml:space="preserve">[5]</w:t>
        </w:r>
      </w:hyperlink>
      <w:r>
        <w:t xml:space="preserve">. Constellation designers optimize for density and resilience against fragmentation events, accidental or deliberate</w:t>
      </w:r>
      <w:r>
        <w:t xml:space="preserve"> </w:t>
      </w:r>
      <w:hyperlink w:anchor="ref-3">
        <w:r>
          <w:rPr>
            <w:rStyle w:val="Hyperlink"/>
          </w:rPr>
          <w:t xml:space="preserve">[3]</w:t>
        </w:r>
      </w:hyperlink>
      <w:r>
        <w:t xml:space="preserve"> </w:t>
      </w:r>
      <w:hyperlink w:anchor="ref-4">
        <w:r>
          <w:rPr>
            <w:rStyle w:val="Hyperlink"/>
          </w:rPr>
          <w:t xml:space="preserve">[4]</w:t>
        </w:r>
      </w:hyperlink>
      <w:r>
        <w:t xml:space="preserve">. Policy analysts propose rating schemes and classification frameworks meant to steer operator behavior toward the long-term health of the environment</w:t>
      </w:r>
      <w:r>
        <w:t xml:space="preserve"> </w:t>
      </w:r>
      <w:hyperlink w:anchor="ref-14">
        <w:r>
          <w:rPr>
            <w:rStyle w:val="Hyperlink"/>
          </w:rPr>
          <w:t xml:space="preserve">[14]</w:t>
        </w:r>
      </w:hyperlink>
      <w:r>
        <w:t xml:space="preserve">. Each community writes with confidence. Each writes past the others. The result is a field talking to itself in three dialects.</w:t>
      </w:r>
    </w:p>
    <w:p>
      <w:pPr>
        <w:pStyle w:val="BodyText"/>
        <w:spacing w:line="480" w:lineRule="auto"/>
        <w:ind w:firstLine="720"/>
      </w:pPr>
      <w:r>
        <w:t xml:space="preserve">Practical stakes are not abstract here. A satellite operator deciding whether to accept a stricter disposal standard, a regulator deciding whether to tie market access to congestion risk, a national delegation deciding how hard to push a binding rule at an international body: all of these actors read the same literature and reach different conclusions about how settled the science and the norms actually are. If the field cannot say, with discipline, how its own attention is distributed, then every downstream governance argument inherits that ambiguity. A dissertation that leaves a reader with a traceable path from source selection to estimator output to interpretation does something modest but real. It shows the shape of the evidence before anyone argues about its meaning</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There is a second reason the problem matters for this particular pipeline. Doctoral work in space governance is prone to a characteristic failure. It reaches for the largest possible claim, decorates it with citations chosen to fit, and never exposes the join between the sources and the conclusion. The corrective is not more caution in the abstract. It is a design that makes the evidentiary chain inspectable, so that a skeptical reader can check each link. That is the discipline this project imposes on itself, and it is why the empirical core is deliberately small, deterministic, and auditable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The contribution of this dissertation is one testable proposition, stated so that the data could refute it.</w:t>
      </w:r>
    </w:p>
    <w:p>
      <w:pPr>
        <w:pStyle w:val="BodyText"/>
        <w:spacing w:line="480" w:lineRule="auto"/>
        <w:ind w:firstLine="720"/>
      </w:pPr>
      <w:r>
        <w:t xml:space="preserve">Null hypothesis: the candidate topic signal is unrelated to publication recency, citation attention, and venue family in the retrieved source corpus.</w:t>
      </w:r>
    </w:p>
    <w:p>
      <w:pPr>
        <w:pStyle w:val="BodyText"/>
        <w:spacing w:line="480" w:lineRule="auto"/>
        <w:ind w:firstLine="720"/>
      </w:pPr>
      <w:r>
        <w:t xml:space="preserve">Alternative hypothesis: the candidate topic signal is systematically related to publication recency, citation attention, and venue family in the retrieved source corpus.</w:t>
      </w:r>
    </w:p>
    <w:p>
      <w:pPr>
        <w:pStyle w:val="BodyText"/>
        <w:spacing w:line="480" w:lineRule="auto"/>
        <w:ind w:firstLine="720"/>
      </w:pPr>
      <w:r>
        <w:t xml:space="preserve">This is not a claim about whether low Earth orbit will be governed well. It is a claim about whether the governance problem, as a topic, leaves a structured trace in the documents the field produces. The proposition is falsifiable in the strict sense: a corpus in which topic signal moved independently of time, of citation counts, and of venue would return coefficients indistinguishable from zero, and the null would stand. The point of building the test this way is that the answer is not guaranteed in advance. The estimators can come back weak. When they do, the honest report is weakness, not a rescued narrative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Two empirical screens carry the test. The first is an ordinary least squares model of topic-signal intensity, regressed on a recency index, a citation count, and an ordinal venue-family score. The second is a log-log learning-curve model of citation accumulation as a function of article age. Neither model resolves the policy question. Together they discipline the evidence by showing exactly how the retrieved corpus is structured across time, attention, and venue. The distinction between a signed, precise coefficient and a noisy, imprecise one becomes the working boundary of what the project is willing to claim</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62"/>
    <w:bookmarkStart w:id="63" w:name="X25d755216f36afcdad5563232d7deb544782a11"/>
    <w:p>
      <w:pPr>
        <w:pStyle w:val="Heading2"/>
        <w:spacing w:line="480" w:lineRule="auto"/>
      </w:pPr>
      <w:r>
        <w:t xml:space="preserve">What the design will and will not deliver</w:t>
      </w:r>
    </w:p>
    <w:p>
      <w:pPr>
        <w:pStyle w:val="FirstParagraph"/>
        <w:spacing w:line="480" w:lineRule="auto"/>
      </w:pPr>
      <w:r>
        <w:t xml:space="preserve">It is worth being blunt about the limits before the argument begins. The data are a candidate-specific set of local retrieved records, the deterministic feature rows generated from those records, and two auditable workbooks. Each row preserves its provenance: the source, the year, the venue family, and the derived variables. The topic-signal score is a count built from candidate-theme term hits in the title, snippet, keyword field, and author metadata of each record. It is a proxy, and it is only as good as the retrieval that produced the records. Citation counts are local index measures, not universal citation totals harvested from a global database. Venue-family coding is ordinal, running from conference proceedings to journal articles to a space-economy grouping, and an ordinal scale should not be read as a cardinal ranking of quality</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None of these limits is fatal, and none is hidden. A design-stage dissertation tests corpus structure, not final causal policy impact, and the entire architecture of the project is built to keep that boundary in view. The estimators will tell us whether the topic signal is patterned. They will not tell us whether an operator will comply with a disposal rule or whether a delegation will sign a treaty. Anyone who wants those answers needs a different design, one built on direct document coding and behavioral outcomes rather than metadata screens. Naming that successor design is part of the contribution, because a good bounded study points clearly at what it cannot reach</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63"/>
    <w:bookmarkStart w:id="64" w:name="roadmap"/>
    <w:p>
      <w:pPr>
        <w:pStyle w:val="Heading2"/>
        <w:spacing w:line="480" w:lineRule="auto"/>
      </w:pPr>
      <w:r>
        <w:t xml:space="preserve">Roadmap</w:t>
      </w:r>
    </w:p>
    <w:p>
      <w:pPr>
        <w:pStyle w:val="FirstParagraph"/>
        <w:spacing w:line="480" w:lineRule="auto"/>
      </w:pPr>
      <w:r>
        <w:t xml:space="preserve">The chapters proceed in the order a skeptical reader would demand. Chapter two situates the project against prior work, separating the technical literature on orbital dynamics and debris from the institutional literature on governance, and locating the specific gap this dissertation occupies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Chapter three develops the theory: why a maturing governance problem should leave a structured signature in the corpus, and what testable predictions follow. Chapter four sets out the methodology and identification strategy, explaining the two estimators and why each one identifies the structure it claims to identify rather than an artifact of retrieval. Chapter five describes the data and measurement in full: the retrieved record set, the construction of every variable, the provenance discipline, and the sample size.</w:t>
      </w:r>
    </w:p>
    <w:p>
      <w:pPr>
        <w:pStyle w:val="BodyText"/>
        <w:spacing w:line="480" w:lineRule="auto"/>
        <w:ind w:firstLine="720"/>
      </w:pPr>
      <w:r>
        <w:t xml:space="preserve">Chapter six reports the results. It presents the ordinary least squares output and the learning-curve output exactly as the workbooks produced them, without rounding away the numbers that matter, and it interprets the signs and magnitudes within the bounds the design allows. Chapter seven turns to discussion and limitations: what the findings mean, what threatens their validity, and what the data simply cannot show. Chapter eight draws the conclusions, states the contribution plainly, connects it to governance and program relevance, and lays out the successor design that would carry the question further</w:t>
      </w:r>
      <w:r>
        <w:t xml:space="preserve"> </w:t>
      </w:r>
      <w:hyperlink w:anchor="ref-4">
        <w:r>
          <w:rPr>
            <w:rStyle w:val="Hyperlink"/>
          </w:rPr>
          <w:t xml:space="preserve">[4]</w:t>
        </w:r>
      </w:hyperlink>
      <w:r>
        <w:t xml:space="preserve"> </w:t>
      </w:r>
      <w:hyperlink w:anchor="ref-14">
        <w:r>
          <w:rPr>
            <w:rStyle w:val="Hyperlink"/>
          </w:rPr>
          <w:t xml:space="preserve">[14]</w:t>
        </w:r>
      </w:hyperlink>
      <w:r>
        <w:t xml:space="preserve">. The through line is constant. Measure what the corpus shows, report it exactly, and interpret it only as far as the evidence reaches.</w:t>
      </w:r>
    </w:p>
    <w:bookmarkEnd w:id="64"/>
    <w:bookmarkStart w:id="65" w:name="Xf9d7b4a9ef5128015ea880309dc7ef4df8ed0dc"/>
    <w:p>
      <w:pPr>
        <w:pStyle w:val="Heading2"/>
        <w:spacing w:line="480" w:lineRule="auto"/>
      </w:pPr>
      <w:r>
        <w:t xml:space="preserve">The two literatures this project must join</w:t>
      </w:r>
    </w:p>
    <w:p>
      <w:pPr>
        <w:pStyle w:val="FirstParagraph"/>
        <w:spacing w:line="480" w:lineRule="auto"/>
      </w:pPr>
      <w:r>
        <w:t xml:space="preserve">A reader coming to this dissertation from either of its parent literatures will notice something missing from the other side. The technical modelers who study orbital shells have built an impressive apparatus for describing the physics of congestion. They can tell you how a debris population evolves under given launch and decay rates, how a fragmentation event propagates through a densely packed band, and how projected demand compares against an estimated environmental capacity</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What they rarely tell you is why the institutional response to those findings takes the shape it does. The physics is modeled; the governance is asserted.</w:t>
      </w:r>
    </w:p>
    <w:p>
      <w:pPr>
        <w:pStyle w:val="BodyText"/>
        <w:spacing w:line="480" w:lineRule="auto"/>
        <w:ind w:firstLine="720"/>
      </w:pPr>
      <w:r>
        <w:t xml:space="preserve">The institutional scholars have the opposite profile. They can describe how norms harden, how voluntary standards substitute for absent binding rules, and where a specific technology stalls against an institutional vacuum</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What they rarely do is anchor those descriptions in a measured account of how the underlying problem is distributed across the literature that both communities produce. The governance is theorized; the corpus that would ground the theory is left unexamined. This dissertation sits at the join, and its instrument is a reading of the corpus itself as evidence about how the two literatures are, or are not, converging</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join matters because the tragedy-or-self-governance debate is currently underdetermined by evidence. Reasonable analysts read the same congestion figures and reach opposite conclusions about whether voluntary standards will hold</w:t>
      </w:r>
      <w:r>
        <w:t xml:space="preserve"> </w:t>
      </w:r>
      <w:hyperlink w:anchor="ref-4">
        <w:r>
          <w:rPr>
            <w:rStyle w:val="Hyperlink"/>
          </w:rPr>
          <w:t xml:space="preserve">[4]</w:t>
        </w:r>
      </w:hyperlink>
      <w:r>
        <w:t xml:space="preserve"> </w:t>
      </w:r>
      <w:hyperlink w:anchor="ref-9">
        <w:r>
          <w:rPr>
            <w:rStyle w:val="Hyperlink"/>
          </w:rPr>
          <w:t xml:space="preserve">[9]</w:t>
        </w:r>
      </w:hyperlink>
      <w:r>
        <w:t xml:space="preserve">. In that condition, the useful contribution is not a fourth risk model or a fifth proposed mechanism. It is a disciplined characterization of whether the topic is even patterned in the way a maturing governance problem should be, because if it is not, the confident narratives on both sides are drawing on a corpus that does not support them.</w:t>
      </w:r>
    </w:p>
    <w:bookmarkEnd w:id="65"/>
    <w:bookmarkStart w:id="66" w:name="why-a-bibliometric-screen-and-why-now"/>
    <w:p>
      <w:pPr>
        <w:pStyle w:val="Heading2"/>
        <w:spacing w:line="480" w:lineRule="auto"/>
      </w:pPr>
      <w:r>
        <w:t xml:space="preserve">Why a bibliometric screen, and why now</w:t>
      </w:r>
    </w:p>
    <w:p>
      <w:pPr>
        <w:pStyle w:val="FirstParagraph"/>
        <w:spacing w:line="480" w:lineRule="auto"/>
      </w:pPr>
      <w:r>
        <w:t xml:space="preserve">Reading the corpus rather than modeling the environment again is deliberate, and it rests on a specific claim about timing. The candidate topic is young. Dense LEO constellations became an operational reality only in the last several years, and the modeling and policy response has clustered tightly in that window</w:t>
      </w:r>
      <w:r>
        <w:t xml:space="preserve"> </w:t>
      </w:r>
      <w:hyperlink w:anchor="ref-3">
        <w:r>
          <w:rPr>
            <w:rStyle w:val="Hyperlink"/>
          </w:rPr>
          <w:t xml:space="preserve">[3]</w:t>
        </w:r>
      </w:hyperlink>
      <w:r>
        <w:t xml:space="preserve"> </w:t>
      </w:r>
      <w:hyperlink w:anchor="ref-14">
        <w:r>
          <w:rPr>
            <w:rStyle w:val="Hyperlink"/>
          </w:rPr>
          <w:t xml:space="preserve">[14]</w:t>
        </w:r>
      </w:hyperlink>
      <w:r>
        <w:t xml:space="preserve">. A young, fast-moving literature is exactly the kind of corpus whose structure carries information: attention has not yet settled into a stable canon, venues have not yet homogenized, and the distribution of theme signal across recency and venue is still in motion. Reading that motion is possible precisely because the field is early in its life cycle</w:t>
      </w:r>
      <w:r>
        <w:t xml:space="preserve"> </w:t>
      </w:r>
      <w:hyperlink w:anchor="ref-8">
        <w:r>
          <w:rPr>
            <w:rStyle w:val="Hyperlink"/>
          </w:rPr>
          <w:t xml:space="preserve">[8]</w:t>
        </w:r>
      </w:hyperlink>
      <w:r>
        <w:t xml:space="preserve">.</w:t>
      </w:r>
    </w:p>
    <w:p>
      <w:pPr>
        <w:pStyle w:val="BodyText"/>
        <w:spacing w:line="480" w:lineRule="auto"/>
        <w:ind w:firstLine="720"/>
      </w:pPr>
      <w:r>
        <w:t xml:space="preserve">A bibliometric screen is also the appropriate instrument for a design-stage dissertation with a bounded evidentiary budget. It does not require access to proprietary operator data, and it does not require the researcher to adjudicate contested physical claims. It requires only a retrieval, a transparent set of construction rules, and an estimator whose assumptions are legible</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screen is crude next to a source-sink model, but it measures something the source-sink model cannot: the shape of collective attention. That is the quantity this dissertation is built to estimate, and the two chapters of empirical work are calibrated to estimate it and nothing more.</w:t>
      </w:r>
    </w:p>
    <w:bookmarkEnd w:id="66"/>
    <w:bookmarkStart w:id="67" w:name="the-estimators-in-preview"/>
    <w:p>
      <w:pPr>
        <w:pStyle w:val="Heading2"/>
        <w:spacing w:line="480" w:lineRule="auto"/>
      </w:pPr>
      <w:r>
        <w:t xml:space="preserve">The estimators in preview</w:t>
      </w:r>
    </w:p>
    <w:p>
      <w:pPr>
        <w:pStyle w:val="FirstParagraph"/>
        <w:spacing w:line="480" w:lineRule="auto"/>
      </w:pPr>
      <w:r>
        <w:t xml:space="preserve">Two regressions form the empirical spine, previewed here so the roadmap has something concrete to point at. The first is an ordinary least squares model of topic-signal intensity, regressed jointly on a recency index, a citation count, and an ordinal venue-family score, with robust standard errors</w:t>
      </w:r>
      <w:r>
        <w:t xml:space="preserve"> </w:t>
      </w:r>
      <w:hyperlink w:anchor="ref-1">
        <w:r>
          <w:rPr>
            <w:rStyle w:val="Hyperlink"/>
          </w:rPr>
          <w:t xml:space="preserve">[1]</w:t>
        </w:r>
      </w:hyperlink>
      <w:r>
        <w:t xml:space="preserve">. Its job is to test whether theme density is patterned across time, attention, and venue at a single moment. The second is a log-log learning-curve model of citation accumulation as a function of document age, testing whether attention compounds on older work in the structured way a maturing literature would show</w:t>
      </w:r>
      <w:r>
        <w:t xml:space="preserve"> </w:t>
      </w:r>
      <w:hyperlink w:anchor="ref-5">
        <w:r>
          <w:rPr>
            <w:rStyle w:val="Hyperlink"/>
          </w:rPr>
          <w:t xml:space="preserve">[5]</w:t>
        </w:r>
      </w:hyperlink>
      <w:r>
        <w:t xml:space="preserve">.</w:t>
      </w:r>
    </w:p>
    <w:p>
      <w:pPr>
        <w:pStyle w:val="BodyText"/>
        <w:spacing w:line="480" w:lineRule="auto"/>
        <w:ind w:firstLine="720"/>
      </w:pPr>
      <w:r>
        <w:t xml:space="preserve">Neither model is exotic. Their simplicity is a feature, because a reader can verify every step from raw record to reported coefficient, and a fully inspectable inference chain is worth more to a skeptical audience than an elaborate model whose assumptions hide in the machinery</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results chapter reports both models’ output exactly, and the discussion chapter reads that output only as far as the standard errors permit. Where a coefficient is precise, it becomes evidence of structure; where it is noisy, it becomes evidence against a strong claim.</w:t>
      </w:r>
    </w:p>
    <w:bookmarkEnd w:id="67"/>
    <w:bookmarkStart w:id="68" w:name="Xbf519ae9131ccb65caeed591ef4bf013d0cdf69"/>
    <w:p>
      <w:pPr>
        <w:pStyle w:val="Heading2"/>
        <w:spacing w:line="480" w:lineRule="auto"/>
      </w:pPr>
      <w:r>
        <w:t xml:space="preserve">The candidate topic in its physical context</w:t>
      </w:r>
    </w:p>
    <w:p>
      <w:pPr>
        <w:pStyle w:val="FirstParagraph"/>
        <w:spacing w:line="480" w:lineRule="auto"/>
      </w:pPr>
      <w:r>
        <w:t xml:space="preserve">It helps to fix the physical picture the governance debate is about, because the abstraction of a corpus screen can obscure what is at stake in orbit. A shell is a band of altitude within low Earth orbit, and the shells that matter for this debate are the ones filling with commercial constellations. Within such a band, objects move at closing speeds where a collision fragments both bodies into debris clouds that themselves become collision hazards. The source-sink models formalize this as a population whose inflow, from launches and fragmentations, competes against outflow, from atmospheric decay</w:t>
      </w:r>
      <w:r>
        <w:t xml:space="preserve"> </w:t>
      </w:r>
      <w:hyperlink w:anchor="ref-1">
        <w:r>
          <w:rPr>
            <w:rStyle w:val="Hyperlink"/>
          </w:rPr>
          <w:t xml:space="preserve">[1]</w:t>
        </w:r>
      </w:hyperlink>
      <w:r>
        <w:t xml:space="preserve"> </w:t>
      </w:r>
      <w:hyperlink w:anchor="ref-5">
        <w:r>
          <w:rPr>
            <w:rStyle w:val="Hyperlink"/>
          </w:rPr>
          <w:t xml:space="preserve">[5]</w:t>
        </w:r>
      </w:hyperlink>
      <w:r>
        <w:t xml:space="preserve">. When inflow persistently exceeds outflow, the population grows, and beyond some threshold it grows whether or not any further launches occur.</w:t>
      </w:r>
    </w:p>
    <w:p>
      <w:pPr>
        <w:pStyle w:val="BodyText"/>
        <w:spacing w:line="480" w:lineRule="auto"/>
        <w:ind w:firstLine="720"/>
      </w:pPr>
      <w:r>
        <w:t xml:space="preserve">That threshold is what gives the governance question its urgency. If a shell can tip into self-sustaining debris growth, then the timing of a governance response matters as much as its content, because a rule adopted after the tipping point cannot undo the cascade already in motion</w:t>
      </w:r>
      <w:r>
        <w:t xml:space="preserve"> </w:t>
      </w:r>
      <w:hyperlink w:anchor="ref-6">
        <w:r>
          <w:rPr>
            <w:rStyle w:val="Hyperlink"/>
          </w:rPr>
          <w:t xml:space="preserve">[6]</w:t>
        </w:r>
      </w:hyperlink>
      <w:r>
        <w:t xml:space="preserve"> </w:t>
      </w:r>
      <w:hyperlink w:anchor="ref-7">
        <w:r>
          <w:rPr>
            <w:rStyle w:val="Hyperlink"/>
          </w:rPr>
          <w:t xml:space="preserve">[7]</w:t>
        </w:r>
      </w:hyperlink>
      <w:r>
        <w:t xml:space="preserve">. The demand-capacity studies sharpen this by pairing forecasts of orbital use against estimates of what the environment can absorb, and they suggest the margin is narrower than the pace of deployment implies</w:t>
      </w:r>
      <w:r>
        <w:t xml:space="preserve"> </w:t>
      </w:r>
      <w:hyperlink w:anchor="ref-8">
        <w:r>
          <w:rPr>
            <w:rStyle w:val="Hyperlink"/>
          </w:rPr>
          <w:t xml:space="preserve">[8]</w:t>
        </w:r>
      </w:hyperlink>
      <w:r>
        <w:t xml:space="preserve">. The candidate topic, then, is not an academic curiosity. It is the question of whether a shared and degradable resource will be governed before or after it degrades.</w:t>
      </w:r>
    </w:p>
    <w:bookmarkEnd w:id="68"/>
    <w:bookmarkStart w:id="69" w:name="why-the-corpus-is-the-right-first-object"/>
    <w:p>
      <w:pPr>
        <w:pStyle w:val="Heading2"/>
        <w:spacing w:line="480" w:lineRule="auto"/>
      </w:pPr>
      <w:r>
        <w:t xml:space="preserve">Why the corpus is the right first object</w:t>
      </w:r>
    </w:p>
    <w:p>
      <w:pPr>
        <w:pStyle w:val="FirstParagraph"/>
        <w:spacing w:line="480" w:lineRule="auto"/>
      </w:pPr>
      <w:r>
        <w:t xml:space="preserve">Faced with that urgency, the instinct is to model the environment more precisely or to advocate a specific rule. This dissertation resists both instincts for a reason worth stating early. The environment has already been modeled extensively by others, and the rules have already been advocated extensively by others; what has not been done is a disciplined measurement of how the field’s own attention is distributed across the problem</w:t>
      </w:r>
      <w:r>
        <w:t xml:space="preserve"> </w:t>
      </w:r>
      <w:hyperlink w:anchor="ref-5">
        <w:r>
          <w:rPr>
            <w:rStyle w:val="Hyperlink"/>
          </w:rPr>
          <w:t xml:space="preserve">[5]</w:t>
        </w:r>
      </w:hyperlink>
      <w:r>
        <w:t xml:space="preserve"> </w:t>
      </w:r>
      <w:hyperlink w:anchor="ref-14">
        <w:r>
          <w:rPr>
            <w:rStyle w:val="Hyperlink"/>
          </w:rPr>
          <w:t xml:space="preserve">[14]</w:t>
        </w:r>
      </w:hyperlink>
      <w:r>
        <w:t xml:space="preserve">. That measurement is prior to both further modeling and further advocacy, because it establishes whether the topic is even patterned in the way a maturing governance problem should be.</w:t>
      </w:r>
    </w:p>
    <w:p>
      <w:pPr>
        <w:pStyle w:val="BodyText"/>
        <w:spacing w:line="480" w:lineRule="auto"/>
        <w:ind w:firstLine="720"/>
      </w:pPr>
      <w:r>
        <w:t xml:space="preserve">The corpus is the right first object precisely because it is where the field’s collective judgment is recorded. Every choice to publish, to cite, and to place work in one venue rather than another is a small allocation of scarce attention, and the aggregate of those allocations is a signal about how consequential the field takes the problem to be</w:t>
      </w:r>
      <w:r>
        <w:t xml:space="preserve"> </w:t>
      </w:r>
      <w:hyperlink w:anchor="ref-2">
        <w:r>
          <w:rPr>
            <w:rStyle w:val="Hyperlink"/>
          </w:rPr>
          <w:t xml:space="preserve">[2]</w:t>
        </w:r>
      </w:hyperlink>
      <w:r>
        <w:t xml:space="preserve"> </w:t>
      </w:r>
      <w:hyperlink w:anchor="ref-3">
        <w:r>
          <w:rPr>
            <w:rStyle w:val="Hyperlink"/>
          </w:rPr>
          <w:t xml:space="preserve">[3]</w:t>
        </w:r>
      </w:hyperlink>
      <w:r>
        <w:t xml:space="preserve">. Reading that signal does not require resolving any contested physical claim or endorsing any contested rule. It requires only a transparent retrieval and a legible estimator, which is exactly the bounded evidentiary commitment a design-stage dissertation can honor</w:t>
      </w:r>
      <w:r>
        <w:t xml:space="preserve"> </w:t>
      </w:r>
      <w:hyperlink w:anchor="ref-4">
        <w:r>
          <w:rPr>
            <w:rStyle w:val="Hyperlink"/>
          </w:rPr>
          <w:t xml:space="preserve">[4]</w:t>
        </w:r>
      </w:hyperlink>
      <w:r>
        <w:t xml:space="preserve">. The environment and the rules can wait for the successor study; the corpus is what this study can measure well.</w:t>
      </w:r>
    </w:p>
    <w:p>
      <w:pPr>
        <w:pStyle w:val="BodyText"/>
        <w:spacing w:line="480" w:lineRule="auto"/>
        <w:ind w:firstLine="720"/>
      </w:pPr>
      <w:r>
        <w:t xml:space="preserve">A closing word on tone. The dissertation is skeptical about its own instruments by construction. Where the reader expects a confident verdict on the fate of low Earth orbit, the reader will instead find a careful account of what a modest corpus can and cannot reveal. That restraint is not timidity. It is the condition under which a metadata screen can be trusted at all, because the moment such a screen is asked to carry a causal policy claim it was never built to support, it stops being evidence and becomes decoration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chapters that follow hold that line without apology.</w:t>
      </w:r>
    </w:p>
    <w:bookmarkEnd w:id="69"/>
    <w:bookmarkEnd w:id="70"/>
    <w:bookmarkStart w:id="80" w:name="literature-review"/>
    <w:p>
      <w:pPr>
        <w:pStyle w:val="Heading1"/>
        <w:spacing w:line="480" w:lineRule="auto"/>
      </w:pPr>
      <w:r>
        <w:t xml:space="preserve">Literature Review</w:t>
      </w:r>
    </w:p>
    <w:p>
      <w:pPr>
        <w:pStyle w:val="FirstParagraph"/>
        <w:spacing w:line="480" w:lineRule="auto"/>
      </w:pPr>
      <w:r>
        <w:t xml:space="preserve">Two bodies of work bear on this dissertation, and they rarely acknowledge each other. One is the technical and economic literature on the low Earth orbit environment: source-sink debris dynamics, constellation design under congestion, fragmentation resilience, and the emerging economics of orbital capacity. The other is the institutional literature on space governance: how norms form, how rules acquire teeth, and how a shared resource is managed short of central authority. The dissertation lives in the seam between them. This chapter maps both, names the seam precisely, and shows why a corpus-structure test is the right instrument for it.</w:t>
      </w:r>
    </w:p>
    <w:bookmarkStart w:id="71" w:name="Xa5e1b06032917317769ca1b89b2a149aac2f5ec"/>
    <w:p>
      <w:pPr>
        <w:pStyle w:val="Heading2"/>
        <w:spacing w:line="480" w:lineRule="auto"/>
      </w:pPr>
      <w:r>
        <w:t xml:space="preserve">The physical environment as a modeled system</w:t>
      </w:r>
    </w:p>
    <w:p>
      <w:pPr>
        <w:pStyle w:val="FirstParagraph"/>
        <w:spacing w:line="480" w:lineRule="auto"/>
      </w:pPr>
      <w:r>
        <w:t xml:space="preserve">The most developed strand treats low Earth orbit as a dynamical system whose stability can be characterized. Work on source-sink modeling represents debris as a population governed by generation and removal rates, so that the environment has a carrying capacity beyond which the debris population grows without bound</w:t>
      </w:r>
      <w:r>
        <w:t xml:space="preserve"> </w:t>
      </w:r>
      <w:hyperlink w:anchor="ref-1">
        <w:r>
          <w:rPr>
            <w:rStyle w:val="Hyperlink"/>
          </w:rPr>
          <w:t xml:space="preserve">[1]</w:t>
        </w:r>
      </w:hyperlink>
      <w:r>
        <w:t xml:space="preserve"> </w:t>
      </w:r>
      <w:hyperlink w:anchor="ref-5">
        <w:r>
          <w:rPr>
            <w:rStyle w:val="Hyperlink"/>
          </w:rPr>
          <w:t xml:space="preserve">[5]</w:t>
        </w:r>
      </w:hyperlink>
      <w:r>
        <w:t xml:space="preserve">. This framing matters because it converts a vague fear of runaway collisions into a quantity that can be estimated and, in principle, managed. The source-sink formulation gives the field a common object: not a single satellite or a single collision, but a shell-level population whose trajectory depends on how many objects enter and how many decay.</w:t>
      </w:r>
    </w:p>
    <w:p>
      <w:pPr>
        <w:pStyle w:val="BodyText"/>
        <w:spacing w:line="480" w:lineRule="auto"/>
        <w:ind w:firstLine="720"/>
      </w:pPr>
      <w:r>
        <w:t xml:space="preserve">Stability analysis extends this into the language of dynamical systems proper. Treating the LEO environment as a system with equilibria and basins of attraction lets analysts ask whether current practices push the orbital population toward a stable regime or toward divergence</w:t>
      </w:r>
      <w:r>
        <w:t xml:space="preserve"> </w:t>
      </w:r>
      <w:hyperlink w:anchor="ref-7">
        <w:r>
          <w:rPr>
            <w:rStyle w:val="Hyperlink"/>
          </w:rPr>
          <w:t xml:space="preserve">[7]</w:t>
        </w:r>
      </w:hyperlink>
      <w:r>
        <w:t xml:space="preserve">. The related projection literature pairs demand forecasts with capacity estimates, asking how much orbital use the environment can absorb before the source-sink balance tips</w:t>
      </w:r>
      <w:r>
        <w:t xml:space="preserve"> </w:t>
      </w:r>
      <w:hyperlink w:anchor="ref-8">
        <w:r>
          <w:rPr>
            <w:rStyle w:val="Hyperlink"/>
          </w:rPr>
          <w:t xml:space="preserve">[8]</w:t>
        </w:r>
      </w:hyperlink>
      <w:r>
        <w:t xml:space="preserve">. These are not idle exercises. They set the quantitative backdrop against which every governance argument is implicitly measured, because a claim that self-governance suffices means little unless it is stated against a specific capacity constraint.</w:t>
      </w:r>
    </w:p>
    <w:p>
      <w:pPr>
        <w:pStyle w:val="BodyText"/>
        <w:spacing w:line="480" w:lineRule="auto"/>
        <w:ind w:firstLine="720"/>
      </w:pPr>
      <w:r>
        <w:t xml:space="preserve">A parallel line of work approaches the same environment through cascade potential rather than population equilibrium. Systems-theory evaluations of orbital shells model how a single fragmentation event can propagate through a densely populated band, treating the shell as a network in which collision risk compounds</w:t>
      </w:r>
      <w:r>
        <w:t xml:space="preserve"> </w:t>
      </w:r>
      <w:hyperlink w:anchor="ref-6">
        <w:r>
          <w:rPr>
            <w:rStyle w:val="Hyperlink"/>
          </w:rPr>
          <w:t xml:space="preserve">[6]</w:t>
        </w:r>
      </w:hyperlink>
      <w:r>
        <w:t xml:space="preserve">. The distinction from the source-sink tradition is one of emphasis: cascade models foreground the topology of a crowded shell and the conditional probability that one break-up triggers others, whereas source-sink models foreground the aggregate balance of inflow and outflow. Both conclude that density is the operative variable, and both leave the governance response unspecified. Density is the constant. The rule is not.</w:t>
      </w:r>
    </w:p>
    <w:bookmarkEnd w:id="71"/>
    <w:bookmarkStart w:id="72" w:name="Xfc3e15abc1a8a5d4b390988eaa2ddbc41fb507e"/>
    <w:p>
      <w:pPr>
        <w:pStyle w:val="Heading2"/>
        <w:spacing w:line="480" w:lineRule="auto"/>
      </w:pPr>
      <w:r>
        <w:t xml:space="preserve">Constellations, resilience, and the design response</w:t>
      </w:r>
    </w:p>
    <w:p>
      <w:pPr>
        <w:pStyle w:val="FirstParagraph"/>
        <w:spacing w:line="480" w:lineRule="auto"/>
      </w:pPr>
      <w:r>
        <w:t xml:space="preserve">If the first strand asks how the environment behaves, the second asks how operators build for it. Constellation-design work optimizes large LEO systems for coverage and density, using graph-based methods to place thousands of satellites while respecting collision-avoidance constraints</w:t>
      </w:r>
      <w:r>
        <w:t xml:space="preserve"> </w:t>
      </w:r>
      <w:hyperlink w:anchor="ref-3">
        <w:r>
          <w:rPr>
            <w:rStyle w:val="Hyperlink"/>
          </w:rPr>
          <w:t xml:space="preserve">[3]</w:t>
        </w:r>
      </w:hyperlink>
      <w:r>
        <w:t xml:space="preserve">. This literature is where the physical problem meets commercial reality, because the same density that stresses the environment is what makes a constellation economically viable. Design optimization is therefore a quiet form of governance: the constraints an operator accepts in the design phase determine much of the environmental load the system will impose.</w:t>
      </w:r>
    </w:p>
    <w:p>
      <w:pPr>
        <w:pStyle w:val="BodyText"/>
        <w:spacing w:line="480" w:lineRule="auto"/>
        <w:ind w:firstLine="720"/>
      </w:pPr>
      <w:r>
        <w:t xml:space="preserve">Resilience analysis sharpens the point by asking how a constellation withstands fragmentation, whether accidental or deliberate</w:t>
      </w:r>
      <w:r>
        <w:t xml:space="preserve"> </w:t>
      </w:r>
      <w:hyperlink w:anchor="ref-4">
        <w:r>
          <w:rPr>
            <w:rStyle w:val="Hyperlink"/>
          </w:rPr>
          <w:t xml:space="preserve">[4]</w:t>
        </w:r>
      </w:hyperlink>
      <w:r>
        <w:t xml:space="preserve">. This work sits uncomfortably between engineering and security. A constellation resilient to intentional fragmentation is, by construction, a constellation designed against an adversary, and the analysis imports assumptions about intent that the purely environmental models do not carry</w:t>
      </w:r>
      <w:r>
        <w:t xml:space="preserve"> </w:t>
      </w:r>
      <w:hyperlink w:anchor="ref-2">
        <w:r>
          <w:rPr>
            <w:rStyle w:val="Hyperlink"/>
          </w:rPr>
          <w:t xml:space="preserve">[2]</w:t>
        </w:r>
      </w:hyperlink>
      <w:r>
        <w:t xml:space="preserve">. The security framing matters for governance because it changes the character of the shared-resource problem. A tragedy of the commons assumes uncoordinated self-interest; a security contest assumes strategic antagonism. The same crowded shell supports both readings, and the literature does not resolve which one governs.</w:t>
      </w:r>
    </w:p>
    <w:p>
      <w:pPr>
        <w:pStyle w:val="BodyText"/>
        <w:spacing w:line="480" w:lineRule="auto"/>
        <w:ind w:firstLine="720"/>
      </w:pPr>
      <w:r>
        <w:t xml:space="preserve">Active debris removal enters here as the remediation counterpart to resilient design. Mission-planning studies frame debris removal as an optimization problem whose solution can inform policy, estimating which removals yield the greatest reduction in collision risk per unit cost</w:t>
      </w:r>
      <w:r>
        <w:t xml:space="preserve"> </w:t>
      </w:r>
      <w:hyperlink w:anchor="ref-12">
        <w:r>
          <w:rPr>
            <w:rStyle w:val="Hyperlink"/>
          </w:rPr>
          <w:t xml:space="preserve">[12]</w:t>
        </w:r>
      </w:hyperlink>
      <w:r>
        <w:t xml:space="preserve">. This work is unusual in the corpus because it explicitly reaches toward the policy layer, treating the technical result as an input to a governance decision rather than an end in itself. It thereby models, in miniature, exactly the bridge this dissertation is concerned with: the passage from a quantitative environmental result to an institutional choice.</w:t>
      </w:r>
    </w:p>
    <w:bookmarkEnd w:id="72"/>
    <w:bookmarkStart w:id="73" w:name="Xa7eb1c38e819e2eb582cd3254a524dff782c75a"/>
    <w:p>
      <w:pPr>
        <w:pStyle w:val="Heading2"/>
        <w:spacing w:line="480" w:lineRule="auto"/>
      </w:pPr>
      <w:r>
        <w:t xml:space="preserve">From technical risk to institutional response</w:t>
      </w:r>
    </w:p>
    <w:p>
      <w:pPr>
        <w:pStyle w:val="FirstParagraph"/>
        <w:spacing w:line="480" w:lineRule="auto"/>
      </w:pPr>
      <w:r>
        <w:t xml:space="preserve">A governance strand runs alongside, thinner and more contested. One line treats sustainability as inherently transdisciplinary, arguing that the space environment cannot be governed well by technical modeling alone and that cultural and ethical framings must sit alongside the engineering</w:t>
      </w:r>
      <w:r>
        <w:t xml:space="preserve"> </w:t>
      </w:r>
      <w:hyperlink w:anchor="ref-9">
        <w:r>
          <w:rPr>
            <w:rStyle w:val="Hyperlink"/>
          </w:rPr>
          <w:t xml:space="preserve">[9]</w:t>
        </w:r>
      </w:hyperlink>
      <w:r>
        <w:t xml:space="preserve">. This is a corrective to the modeling literature’s tendency to treat governance as a downstream application of a physical result. The argument is that the choice of what to model, and whose interests the model serves, is itself a governance act that precedes any equation.</w:t>
      </w:r>
    </w:p>
    <w:p>
      <w:pPr>
        <w:pStyle w:val="BodyText"/>
        <w:spacing w:line="480" w:lineRule="auto"/>
        <w:ind w:firstLine="720"/>
      </w:pPr>
      <w:r>
        <w:t xml:space="preserve">A more instrument-focused line proposes concrete mechanisms. Composite rating schemes aim to incentivize operators toward long-term sustainability by scoring behavior against the environment’s health, turning a diffuse collective-action problem into a measurable operator-level metric</w:t>
      </w:r>
      <w:r>
        <w:t xml:space="preserve"> </w:t>
      </w:r>
      <w:hyperlink w:anchor="ref-14">
        <w:r>
          <w:rPr>
            <w:rStyle w:val="Hyperlink"/>
          </w:rPr>
          <w:t xml:space="preserve">[14]</w:t>
        </w:r>
      </w:hyperlink>
      <w:r>
        <w:t xml:space="preserve">. The logic is that if sustainability can be rated, it can be rewarded, and reputational or market pressure can substitute for absent binding rules. This is self-governance in its most operational form: a voluntary standard that changes behavior through measurement rather than mandate. Whether such schemes actually shift operator conduct is an open empirical question the rating literature itself acknowledges.</w:t>
      </w:r>
    </w:p>
    <w:p>
      <w:pPr>
        <w:pStyle w:val="BodyText"/>
        <w:spacing w:line="480" w:lineRule="auto"/>
        <w:ind w:firstLine="720"/>
      </w:pPr>
      <w:r>
        <w:t xml:space="preserve">Institutional-bottleneck analysis rounds out the governance strand by examining where specific technologies stall against the absence of agreed rules. Studies of orbital laser utilization, for instance, locate the obstacle not in the physics but in the institutional vacuum around permissible use</w:t>
      </w:r>
      <w:r>
        <w:t xml:space="preserve"> </w:t>
      </w:r>
      <w:hyperlink w:anchor="ref-15">
        <w:r>
          <w:rPr>
            <w:rStyle w:val="Hyperlink"/>
          </w:rPr>
          <w:t xml:space="preserve">[15]</w:t>
        </w:r>
      </w:hyperlink>
      <w:r>
        <w:t xml:space="preserve">. This diagnosis generalizes. Across many space technologies, the binding constraint is not capability but the lack of a settled operating rule, and the field’s writing about those technologies carries the marks of that unsettledness in its timing, its venues, and its citation patterns.</w:t>
      </w:r>
    </w:p>
    <w:bookmarkEnd w:id="73"/>
    <w:bookmarkStart w:id="74" w:name="Xad820bc8601bab9e7e6e1b810928c8eb98095c1"/>
    <w:p>
      <w:pPr>
        <w:pStyle w:val="Heading2"/>
        <w:spacing w:line="480" w:lineRule="auto"/>
      </w:pPr>
      <w:r>
        <w:t xml:space="preserve">Economics enters the shared-resource frame</w:t>
      </w:r>
    </w:p>
    <w:p>
      <w:pPr>
        <w:pStyle w:val="FirstParagraph"/>
        <w:spacing w:line="480" w:lineRule="auto"/>
      </w:pPr>
      <w:r>
        <w:t xml:space="preserve">A newer strand recasts the debris environment in explicitly economic terms, and it deserves separate treatment because it changes the character of the governance problem. Physical-economical models of debris assign value to orbital objects and to the shells they occupy, treating the environment not merely as a physical system to be stabilized but as a scarce resource whose use imposes costs on others</w:t>
      </w:r>
      <w:r>
        <w:t xml:space="preserve"> </w:t>
      </w:r>
      <w:hyperlink w:anchor="ref-1">
        <w:r>
          <w:rPr>
            <w:rStyle w:val="Hyperlink"/>
          </w:rPr>
          <w:t xml:space="preserve">[1]</w:t>
        </w:r>
      </w:hyperlink>
      <w:r>
        <w:t xml:space="preserve">. This move is consequential. Once the shell is a resource with a value, the tragedy-of-the-commons framing acquires teeth, because the externality that each operator imposes on the shared band becomes, at least in principle, quantifiable.</w:t>
      </w:r>
    </w:p>
    <w:p>
      <w:pPr>
        <w:pStyle w:val="BodyText"/>
        <w:spacing w:line="480" w:lineRule="auto"/>
        <w:ind w:firstLine="720"/>
      </w:pPr>
      <w:r>
        <w:t xml:space="preserve">The economic framing also opens the door to instruments the purely physical literature cannot reach. If orbital use carries a measurable external cost, then congestion pricing, performance-based entry requirements, and market-access conditions become candidate mechanisms, and some of the applied policy work in the corpus reaches for exactly these tools</w:t>
      </w:r>
      <w:r>
        <w:t xml:space="preserve"> </w:t>
      </w:r>
      <w:hyperlink w:anchor="ref-14">
        <w:r>
          <w:rPr>
            <w:rStyle w:val="Hyperlink"/>
          </w:rPr>
          <w:t xml:space="preserve">[14]</w:t>
        </w:r>
      </w:hyperlink>
      <w:r>
        <w:t xml:space="preserve">. The airspace-classification analogy that appears in the retrieved record set, drawing on aviation’s tiered entry rules to propose performance-based orbital classes, is the clearest instance of the economic and institutional strands fusing. It treats the shell as a resource whose access should be conditioned on the congestion and collision risk a given operator imposes.</w:t>
      </w:r>
    </w:p>
    <w:p>
      <w:pPr>
        <w:pStyle w:val="BodyText"/>
        <w:spacing w:line="480" w:lineRule="auto"/>
        <w:ind w:firstLine="720"/>
      </w:pPr>
      <w:r>
        <w:t xml:space="preserve">Yet the economic strand shares the corpus-wide limit. It can specify a mechanism and estimate an external cost, but it cannot show that any operator has changed behavior in response to one</w:t>
      </w:r>
      <w:r>
        <w:t xml:space="preserve"> </w:t>
      </w:r>
      <w:hyperlink w:anchor="ref-12">
        <w:r>
          <w:rPr>
            <w:rStyle w:val="Hyperlink"/>
          </w:rPr>
          <w:t xml:space="preserve">[12]</w:t>
        </w:r>
      </w:hyperlink>
      <w:r>
        <w:t xml:space="preserve">. The gap between a well-specified incentive and an observed behavioral shift is the same gap that separates the rating literature from evidence of its own efficacy, and it is the gap this dissertation is careful not to pretend to close</w:t>
      </w:r>
      <w:r>
        <w:t xml:space="preserve"> </w:t>
      </w:r>
      <w:hyperlink w:anchor="ref-4">
        <w:r>
          <w:rPr>
            <w:rStyle w:val="Hyperlink"/>
          </w:rPr>
          <w:t xml:space="preserve">[4]</w:t>
        </w:r>
      </w:hyperlink>
      <w:r>
        <w:t xml:space="preserve">. Reading the economic work into the corpus, the point is that its thematic presence is a fact about the literature’s attention, not a fact about the orbital environment.</w:t>
      </w:r>
    </w:p>
    <w:bookmarkEnd w:id="74"/>
    <w:bookmarkStart w:id="75" w:name="X37c39d66bf9d36bfa79f800c0a6f989527ea02c"/>
    <w:p>
      <w:pPr>
        <w:pStyle w:val="Heading2"/>
        <w:spacing w:line="480" w:lineRule="auto"/>
      </w:pPr>
      <w:r>
        <w:t xml:space="preserve">Materials, manufacturing, and the widening frame</w:t>
      </w:r>
    </w:p>
    <w:p>
      <w:pPr>
        <w:pStyle w:val="FirstParagraph"/>
        <w:spacing w:line="480" w:lineRule="auto"/>
      </w:pPr>
      <w:r>
        <w:t xml:space="preserve">A further set of records in the pack broadens the frame beyond debris and constellations into the materials and manufacturing future of orbit. Studies of self-healing polymers for the space radiation environment, of shape-memory structures that deploy autonomously, and of in-space manufacturing all appear in the retrieved literature</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These are not obviously governance documents, and their inclusion in a retrieved record set keyed to the tragedy-or-self-governance topic is itself informative about how retrieval distributes attention across a broad candidate theme.</w:t>
      </w:r>
    </w:p>
    <w:p>
      <w:pPr>
        <w:pStyle w:val="BodyText"/>
        <w:spacing w:line="480" w:lineRule="auto"/>
        <w:ind w:firstLine="720"/>
      </w:pPr>
      <w:r>
        <w:t xml:space="preserve">Their presence matters for the measurement design in a specific way. A corpus that mixes governance-central records with materials-science records will carry a wide spread of topic-signal intensity, because the candidate theme saturates the former and only glances off the latter</w:t>
      </w:r>
      <w:r>
        <w:t xml:space="preserve"> </w:t>
      </w:r>
      <w:hyperlink w:anchor="ref-1">
        <w:r>
          <w:rPr>
            <w:rStyle w:val="Hyperlink"/>
          </w:rPr>
          <w:t xml:space="preserve">[1]</w:t>
        </w:r>
      </w:hyperlink>
      <w:r>
        <w:t xml:space="preserve"> </w:t>
      </w:r>
      <w:hyperlink w:anchor="ref-13">
        <w:r>
          <w:rPr>
            <w:rStyle w:val="Hyperlink"/>
          </w:rPr>
          <w:t xml:space="preserve">[13]</w:t>
        </w:r>
      </w:hyperlink>
      <w:r>
        <w:t xml:space="preserve">. That spread is the variation the cross-sectional estimator works on. A pack composed only of governance-central records would offer far less to model, and the breadth that the materials and manufacturing entries provide, though it dilutes the average relevance, is precisely what gives the topic-signal score its range. The literature review therefore reads these records not as noise to be discarded but as the low end of a distribution the estimator needs.</w:t>
      </w:r>
    </w:p>
    <w:bookmarkEnd w:id="75"/>
    <w:bookmarkStart w:id="76" w:name="X51ae204b726f2baa966fd2083adae6170b8d54e"/>
    <w:p>
      <w:pPr>
        <w:pStyle w:val="Heading2"/>
        <w:spacing w:line="480" w:lineRule="auto"/>
      </w:pPr>
      <w:r>
        <w:t xml:space="preserve">The measurement gap and the seam this dissertation occupies</w:t>
      </w:r>
    </w:p>
    <w:p>
      <w:pPr>
        <w:pStyle w:val="FirstParagraph"/>
        <w:spacing w:line="480" w:lineRule="auto"/>
      </w:pPr>
      <w:r>
        <w:t xml:space="preserve">Between these strands sits a gap the field has not closed. The technical literature can quantify environmental risk with real precision</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The governance literature can name mechanisms and diagnose bottlenecks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Neither can say how the topic itself is distributed across the corpus that both communities produce, and that distribution is exactly what would reveal whether the governance problem is maturing or stalling. A topic that is hardening should show recency structure, citation structure, and venue structure; a topic that is merely fashionable should not.</w:t>
      </w:r>
    </w:p>
    <w:p>
      <w:pPr>
        <w:pStyle w:val="BodyText"/>
        <w:spacing w:line="480" w:lineRule="auto"/>
        <w:ind w:firstLine="720"/>
      </w:pPr>
      <w:r>
        <w:t xml:space="preserve">This is where a bibliometric screen earns its place. Rather than adding another risk model or another proposed mechanism, the dissertation reads the corpus as data about the field’s own attention. The move is defensible precisely because the physical and institutional strands have already been developed by others; the contribution is not to redo their work but to characterize how the field has taken it up</w:t>
      </w:r>
      <w:r>
        <w:t xml:space="preserve"> </w:t>
      </w:r>
      <w:hyperlink w:anchor="ref-5">
        <w:r>
          <w:rPr>
            <w:rStyle w:val="Hyperlink"/>
          </w:rPr>
          <w:t xml:space="preserve">[5]</w:t>
        </w:r>
      </w:hyperlink>
      <w:r>
        <w:t xml:space="preserve"> </w:t>
      </w:r>
      <w:hyperlink w:anchor="ref-6">
        <w:r>
          <w:rPr>
            <w:rStyle w:val="Hyperlink"/>
          </w:rPr>
          <w:t xml:space="preserve">[6]</w:t>
        </w:r>
      </w:hyperlink>
      <w:r>
        <w:t xml:space="preserve">. A composite topic-signal score, a recency index, a citation count, and an ordinal venue-family code are crude next to a source-sink model, but they measure something the source-sink model cannot: the shape of collective attention.</w:t>
      </w:r>
    </w:p>
    <w:p>
      <w:pPr>
        <w:pStyle w:val="BodyText"/>
        <w:spacing w:line="480" w:lineRule="auto"/>
        <w:ind w:firstLine="720"/>
      </w:pPr>
      <w:r>
        <w:t xml:space="preserve">The seam has a second edge worth naming. Much of the corpus mixes venue families that carry different citation cultures. Conference proceedings, exemplified by the technical stability and cascade work, accumulate citations differently from archival journal articles, and space-economy sources differ again</w:t>
      </w:r>
      <w:r>
        <w:t xml:space="preserve"> </w:t>
      </w:r>
      <w:hyperlink w:anchor="ref-2">
        <w:r>
          <w:rPr>
            <w:rStyle w:val="Hyperlink"/>
          </w:rPr>
          <w:t xml:space="preserve">[2]</w:t>
        </w:r>
      </w:hyperlink>
      <w:r>
        <w:t xml:space="preserve"> </w:t>
      </w:r>
      <w:hyperlink w:anchor="ref-8">
        <w:r>
          <w:rPr>
            <w:rStyle w:val="Hyperlink"/>
          </w:rPr>
          <w:t xml:space="preserve">[8]</w:t>
        </w:r>
      </w:hyperlink>
      <w:r>
        <w:t xml:space="preserve">. Any honest reading of the corpus must treat venue family as a structural variable rather than a nuisance, because the venue in which a governance argument appears shapes who reads it and how it propagates. The dissertation therefore builds venue family directly into its first estimator, so that the confound becomes a measured term rather than a hidden bias.</w:t>
      </w:r>
    </w:p>
    <w:p>
      <w:pPr>
        <w:pStyle w:val="BodyText"/>
        <w:spacing w:line="480" w:lineRule="auto"/>
        <w:ind w:firstLine="720"/>
      </w:pPr>
      <w:r>
        <w:t xml:space="preserve">There is a further reason to prefer a corpus-structure design over another substantive model. The substantive debate between tragedy and self-governance is, at present, underdetermined by the evidence. Reasonable analysts read the same density figures and reach opposite conclusions about whether voluntary standards will hold</w:t>
      </w:r>
      <w:r>
        <w:t xml:space="preserve"> </w:t>
      </w:r>
      <w:hyperlink w:anchor="ref-4">
        <w:r>
          <w:rPr>
            <w:rStyle w:val="Hyperlink"/>
          </w:rPr>
          <w:t xml:space="preserve">[4]</w:t>
        </w:r>
      </w:hyperlink>
      <w:r>
        <w:t xml:space="preserve"> </w:t>
      </w:r>
      <w:hyperlink w:anchor="ref-9">
        <w:r>
          <w:rPr>
            <w:rStyle w:val="Hyperlink"/>
          </w:rPr>
          <w:t xml:space="preserve">[9]</w:t>
        </w:r>
      </w:hyperlink>
      <w:r>
        <w:t xml:space="preserve">. In that condition, adding a fourth or fifth risk model does not adjudicate the debate; it enlarges it. What can be adjudicated is the prior question of whether the topic is even patterned in the way a maturing governance problem should be. If it is not, the confident narratives on both sides are drawing on a corpus that does not support them, and that finding, though negative, is worth having</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76"/>
    <w:bookmarkStart w:id="77" w:name="sustainability-as-an-indicator-problem"/>
    <w:p>
      <w:pPr>
        <w:pStyle w:val="Heading2"/>
        <w:spacing w:line="480" w:lineRule="auto"/>
      </w:pPr>
      <w:r>
        <w:t xml:space="preserve">Sustainability as an indicator problem</w:t>
      </w:r>
    </w:p>
    <w:p>
      <w:pPr>
        <w:pStyle w:val="FirstParagraph"/>
        <w:spacing w:line="480" w:lineRule="auto"/>
      </w:pPr>
      <w:r>
        <w:t xml:space="preserve">A strand worth isolating treats sustainability not as a physical state to model but as an indicator to construct. Composite-rating work asks how to score an operator’s conduct against the health of the environment, and the design of such an indicator is itself a contested exercise: which behaviors to weight, how to aggregate them, and how to make the score legible to the operators it means to influence</w:t>
      </w:r>
      <w:r>
        <w:t xml:space="preserve"> </w:t>
      </w:r>
      <w:hyperlink w:anchor="ref-14">
        <w:r>
          <w:rPr>
            <w:rStyle w:val="Hyperlink"/>
          </w:rPr>
          <w:t xml:space="preserve">[14]</w:t>
        </w:r>
      </w:hyperlink>
      <w:r>
        <w:t xml:space="preserve">. This is a measurement problem dressed as a governance problem, and it sits close to the spirit of the present study, which also asks how to turn a diffuse concern into a legible measured quantity.</w:t>
      </w:r>
    </w:p>
    <w:p>
      <w:pPr>
        <w:pStyle w:val="BodyText"/>
        <w:spacing w:line="480" w:lineRule="auto"/>
        <w:ind w:firstLine="720"/>
      </w:pPr>
      <w:r>
        <w:t xml:space="preserve">The parallel is instructive rather than coincidental. Both the rating literature and this dissertation confront the gap between a phenomenon everyone agrees matters and a number that captures it honestly</w:t>
      </w:r>
      <w:r>
        <w:t xml:space="preserve"> </w:t>
      </w:r>
      <w:hyperlink w:anchor="ref-9">
        <w:r>
          <w:rPr>
            <w:rStyle w:val="Hyperlink"/>
          </w:rPr>
          <w:t xml:space="preserve">[9]</w:t>
        </w:r>
      </w:hyperlink>
      <w:r>
        <w:t xml:space="preserve">. The rating literature builds an operator-facing score meant to change behavior; this study builds a corpus-facing score meant to reveal structure. Neither pretends the number is the phenomenon. Both insist that a transparent, reproducible indicator is more useful than an eloquent but unmeasurable intuition, and both accept that an indicator’s value is bounded by the honesty of its construction</w:t>
      </w:r>
      <w:r>
        <w:t xml:space="preserve"> </w:t>
      </w:r>
      <w:hyperlink w:anchor="ref-1">
        <w:r>
          <w:rPr>
            <w:rStyle w:val="Hyperlink"/>
          </w:rPr>
          <w:t xml:space="preserve">[1]</w:t>
        </w:r>
      </w:hyperlink>
      <w:r>
        <w:t xml:space="preserve"> </w:t>
      </w:r>
      <w:hyperlink w:anchor="ref-5">
        <w:r>
          <w:rPr>
            <w:rStyle w:val="Hyperlink"/>
          </w:rPr>
          <w:t xml:space="preserve">[5]</w:t>
        </w:r>
      </w:hyperlink>
      <w:r>
        <w:t xml:space="preserve">. Reading the rating work into the review, the lesson is that measurement design is a governance act, and the choices embedded in a score deserve the same scrutiny as the score’s eventual output.</w:t>
      </w:r>
    </w:p>
    <w:bookmarkEnd w:id="77"/>
    <w:bookmarkStart w:id="78" w:name="X0ce2fd7597eca433fef06371c4f893e0361497b"/>
    <w:p>
      <w:pPr>
        <w:pStyle w:val="Heading2"/>
        <w:spacing w:line="480" w:lineRule="auto"/>
      </w:pPr>
      <w:r>
        <w:t xml:space="preserve">Active remediation and the reach toward policy</w:t>
      </w:r>
    </w:p>
    <w:p>
      <w:pPr>
        <w:pStyle w:val="FirstParagraph"/>
        <w:spacing w:line="480" w:lineRule="auto"/>
      </w:pPr>
      <w:r>
        <w:t xml:space="preserve">A distinctive feature of the active debris removal literature is that it reaches explicitly for the policy layer, and this reach makes it the closest analogue in the corpus to the bridge this dissertation attempts. Removal mission-planning work frames the technical optimization, which objects to remove for the greatest risk reduction per unit cost, as an input to a governance decision rather than an end in itself</w:t>
      </w:r>
      <w:r>
        <w:t xml:space="preserve"> </w:t>
      </w:r>
      <w:hyperlink w:anchor="ref-12">
        <w:r>
          <w:rPr>
            <w:rStyle w:val="Hyperlink"/>
          </w:rPr>
          <w:t xml:space="preserve">[12]</w:t>
        </w:r>
      </w:hyperlink>
      <w:r>
        <w:t xml:space="preserve">. This is unusual. Most of the technical corpus stops at the physical result and leaves the institutional implication implicit. The removal work makes the implication explicit, treating the optimization output as evidence a policymaker should weigh.</w:t>
      </w:r>
    </w:p>
    <w:p>
      <w:pPr>
        <w:pStyle w:val="BodyText"/>
        <w:spacing w:line="480" w:lineRule="auto"/>
        <w:ind w:firstLine="720"/>
      </w:pPr>
      <w:r>
        <w:t xml:space="preserve">The significance for the measurement design is that such records blur the venue boundary the study relies on. A removal paper is technical in method but policy-facing in purpose, and it may appear in an archival journal while carrying the vocabulary of the technical proceedings</w:t>
      </w:r>
      <w:r>
        <w:t xml:space="preserve"> </w:t>
      </w:r>
      <w:hyperlink w:anchor="ref-12">
        <w:r>
          <w:rPr>
            <w:rStyle w:val="Hyperlink"/>
          </w:rPr>
          <w:t xml:space="preserve">[12]</w:t>
        </w:r>
      </w:hyperlink>
      <w:r>
        <w:t xml:space="preserve">. This blurring is not a defect in the corpus; it is a signal of the topic’s partial migration, and the venue coefficient is precisely the term that will register how far that migration has proceeded. The removal literature thus previews, in a single strand, the cross-venue movement the whole study is built to detect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78"/>
    <w:bookmarkStart w:id="79" w:name="why-prior-work-leaves-the-question-open"/>
    <w:p>
      <w:pPr>
        <w:pStyle w:val="Heading2"/>
        <w:spacing w:line="480" w:lineRule="auto"/>
      </w:pPr>
      <w:r>
        <w:t xml:space="preserve">Why prior work leaves the question open</w:t>
      </w:r>
    </w:p>
    <w:p>
      <w:pPr>
        <w:pStyle w:val="FirstParagraph"/>
        <w:spacing w:line="480" w:lineRule="auto"/>
      </w:pPr>
      <w:r>
        <w:t xml:space="preserve">Taken together, the reviewed strands leave the dissertation’s specific question genuinely open, and it is worth being precise about why. The technical strand answers how the environment behaves but not how the field’s attention to it is distributed</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 design and remediation strands answer how operators build and how debris might be removed but not whether the governance conversation is maturing</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The governance strand answers what mechanisms exist but not where in the corpus the problem’s signal concentrates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None of these bodies of work was constructed to characterize the field’s attention as a measured object, so none of them can answer whether the topic is patterned across recency, citation, and venue. That unanswered question is the space the dissertation occupies, and the gap is real rather than manufactured</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chapter closes on the boundary the rest of the dissertation respects. The reviewed work supplies concepts, vocabulary, and quantitative context, but it does not supply the corpus-structure result this project seeks, and it cannot, because none of it was built to characterize the field’s attention in that way. The technical strand looks down at the environment; the governance strand looks forward at institutions; neither looks sideways at the literature itself. That sideways look is the dissertation’s contribution, and the two estimators developed in the chapters ahead are the instruments that make it</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79"/>
    <w:bookmarkEnd w:id="80"/>
    <w:bookmarkStart w:id="91" w:name="theoretical-framework-and-hypotheses"/>
    <w:p>
      <w:pPr>
        <w:pStyle w:val="Heading1"/>
        <w:spacing w:line="480" w:lineRule="auto"/>
      </w:pPr>
      <w:r>
        <w:t xml:space="preserve">Theoretical Framework and Hypotheses</w:t>
      </w:r>
    </w:p>
    <w:p>
      <w:pPr>
        <w:pStyle w:val="FirstParagraph"/>
        <w:spacing w:line="480" w:lineRule="auto"/>
      </w:pPr>
      <w:r>
        <w:t xml:space="preserve">A dissertation that reads a corpus as evidence needs a theory of why the corpus should carry the signal it claims to find. Absent that theory, a set of regressions on metadata is just curve-fitting. This chapter supplies the missing link. It explains why a maturing governance problem in low Earth orbit should leave a structured trace in the literature that surrounds it, derives the specific predictions that follow, and states the hypotheses in a form the estimators can test. The argument runs from a claim about how governance problems evolve, to a claim about how that evolution imprints on documents, to a set of measurable expectations.</w:t>
      </w:r>
    </w:p>
    <w:bookmarkStart w:id="81" w:name="Xd7be86f77aa2fd15a9308f32ab346f3effdfc3e"/>
    <w:p>
      <w:pPr>
        <w:pStyle w:val="Heading2"/>
        <w:spacing w:line="480" w:lineRule="auto"/>
      </w:pPr>
      <w:r>
        <w:t xml:space="preserve">The core mechanism: attention tracks institutional maturation</w:t>
      </w:r>
    </w:p>
    <w:p>
      <w:pPr>
        <w:pStyle w:val="FirstParagraph"/>
        <w:spacing w:line="480" w:lineRule="auto"/>
      </w:pPr>
      <w:r>
        <w:t xml:space="preserve">Governance problems do not arrive fully formed. They pass through phases. Each phase looks different. A problem first appears as a technical anomaly, visible to specialists before it registers as a policy matter. As the anomaly proves durable, it draws wider attention, and the writing about it shifts from isolated technical notes toward integrative work that connects the physical finding to institutional stakes</w:t>
      </w:r>
      <w:r>
        <w:t xml:space="preserve"> </w:t>
      </w:r>
      <w:hyperlink w:anchor="ref-5">
        <w:r>
          <w:rPr>
            <w:rStyle w:val="Hyperlink"/>
          </w:rPr>
          <w:t xml:space="preserve">[5]</w:t>
        </w:r>
      </w:hyperlink>
      <w:r>
        <w:t xml:space="preserve"> </w:t>
      </w:r>
      <w:hyperlink w:anchor="ref-9">
        <w:r>
          <w:rPr>
            <w:rStyle w:val="Hyperlink"/>
          </w:rPr>
          <w:t xml:space="preserve">[9]</w:t>
        </w:r>
      </w:hyperlink>
      <w:r>
        <w:t xml:space="preserve">. If the problem continues to harden, the literature begins to propose mechanisms, rate behavior, and diagnose the bottlenecks that block a settled rule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Each phase leaves a different documentary residue.</w:t>
      </w:r>
    </w:p>
    <w:p>
      <w:pPr>
        <w:pStyle w:val="BodyText"/>
        <w:spacing w:line="480" w:lineRule="auto"/>
        <w:ind w:firstLine="720"/>
      </w:pPr>
      <w:r>
        <w:t xml:space="preserve">This residue is not incidental. It is a signal. It is the observable shadow of an unobservable process. When a governance problem is maturing, the field allocates attention to it, and that allocation shows up as a rising volume of recent work, as citation accumulation around the anchoring contributions, and as migration across venue families from specialist proceedings toward archival journals and applied economics outlets</w:t>
      </w:r>
      <w:r>
        <w:t xml:space="preserve"> </w:t>
      </w:r>
      <w:hyperlink w:anchor="ref-2">
        <w:r>
          <w:rPr>
            <w:rStyle w:val="Hyperlink"/>
          </w:rPr>
          <w:t xml:space="preserve">[2]</w:t>
        </w:r>
      </w:hyperlink>
      <w:r>
        <w:t xml:space="preserve"> </w:t>
      </w:r>
      <w:hyperlink w:anchor="ref-8">
        <w:r>
          <w:rPr>
            <w:rStyle w:val="Hyperlink"/>
          </w:rPr>
          <w:t xml:space="preserve">[8]</w:t>
        </w:r>
      </w:hyperlink>
      <w:r>
        <w:t xml:space="preserve">. The theory this dissertation adopts is therefore an attention-allocation theory: the structure of collective attention is a proxy for the maturation of the underlying governance problem, because the field spends its scarce citation and publication resources on problems it takes to be consequential.</w:t>
      </w:r>
    </w:p>
    <w:p>
      <w:pPr>
        <w:pStyle w:val="BodyText"/>
        <w:spacing w:line="480" w:lineRule="auto"/>
        <w:ind w:firstLine="720"/>
      </w:pPr>
      <w:r>
        <w:t xml:space="preserve">This mechanism is deliberately weak in its claims. It does not assert that attention causes governance, nor that a well-attended topic will be well governed. It asserts only that if the tragedy-or-self-governance problem is maturing as an institutional matter, its maturation should be detectable in the distribution of attention across the corpus. The contrapositive is what makes the theory testable. If the topic signal is scattered without regard to time, citation, or venue, then either the problem is not maturing or the corpus is too noisy to reveal it, and in both cases the strong governance narratives outrun their evidence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81"/>
    <w:bookmarkStart w:id="82" w:name="X02c5c0d2fedabc1a8a08f971b0c74b6c6e1f840"/>
    <w:p>
      <w:pPr>
        <w:pStyle w:val="Heading2"/>
        <w:spacing w:line="480" w:lineRule="auto"/>
      </w:pPr>
      <w:r>
        <w:t xml:space="preserve">From the mechanism to the corpus: three imprints</w:t>
      </w:r>
    </w:p>
    <w:p>
      <w:pPr>
        <w:pStyle w:val="FirstParagraph"/>
        <w:spacing w:line="480" w:lineRule="auto"/>
      </w:pPr>
      <w:r>
        <w:t xml:space="preserve">The attention-allocation mechanism predicts three distinct imprints, and each maps onto a measurable variable.</w:t>
      </w:r>
    </w:p>
    <w:p>
      <w:pPr>
        <w:pStyle w:val="BodyText"/>
        <w:spacing w:line="480" w:lineRule="auto"/>
        <w:ind w:firstLine="720"/>
      </w:pPr>
      <w:r>
        <w:t xml:space="preserve">Recency is the first imprint. A governance problem that is actively maturing draws disproportionate recent work, because the field’s attention is concentrated where the problem is currently unsettled. The density and congestion of contemporary LEO constellations is a recent phenomenon, and the modeling and policy response has clustered in the last several years</w:t>
      </w:r>
      <w:r>
        <w:t xml:space="preserve"> </w:t>
      </w:r>
      <w:hyperlink w:anchor="ref-3">
        <w:r>
          <w:rPr>
            <w:rStyle w:val="Hyperlink"/>
          </w:rPr>
          <w:t xml:space="preserve">[3]</w:t>
        </w:r>
      </w:hyperlink>
      <w:r>
        <w:t xml:space="preserve"> </w:t>
      </w:r>
      <w:hyperlink w:anchor="ref-14">
        <w:r>
          <w:rPr>
            <w:rStyle w:val="Hyperlink"/>
          </w:rPr>
          <w:t xml:space="preserve">[14]</w:t>
        </w:r>
      </w:hyperlink>
      <w:r>
        <w:t xml:space="preserve">. The prediction is that topic-signal intensity rises with recency: newer records in the corpus should carry more of the candidate theme than older ones, because the theme is a live concern rather than a settled one.</w:t>
      </w:r>
    </w:p>
    <w:p>
      <w:pPr>
        <w:pStyle w:val="BodyText"/>
        <w:spacing w:line="480" w:lineRule="auto"/>
        <w:ind w:firstLine="720"/>
      </w:pPr>
      <w:r>
        <w:t xml:space="preserve">Citation attention is the second imprint. Within a maturing topic, the anchoring contributions accumulate citations as later work builds on them. If the topic is structured, citation count should carry information about topic-signal intensity, because the sources that define the problem attract both citations and thematic centrality</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relationship need not be simple. Highly cited work in an adjacent field may carry citations without carrying the specific candidate theme, which would push the citation coefficient toward zero or even reverse its sign. The theory predicts that citation attention is related to topic signal; it does not dictate the direction, and the estimator is left to report it.</w:t>
      </w:r>
    </w:p>
    <w:p>
      <w:pPr>
        <w:pStyle w:val="BodyText"/>
        <w:spacing w:line="480" w:lineRule="auto"/>
        <w:ind w:firstLine="720"/>
      </w:pPr>
      <w:r>
        <w:t xml:space="preserve">Venue family is the third imprint. Different venues host different phases of a maturing problem. Early technical work concentrates in conference proceedings; integrative and applied work migrates toward archival journals and economics-oriented outlets</w:t>
      </w:r>
      <w:r>
        <w:t xml:space="preserve"> </w:t>
      </w:r>
      <w:hyperlink w:anchor="ref-2">
        <w:r>
          <w:rPr>
            <w:rStyle w:val="Hyperlink"/>
          </w:rPr>
          <w:t xml:space="preserve">[2]</w:t>
        </w:r>
      </w:hyperlink>
      <w:r>
        <w:t xml:space="preserve"> </w:t>
      </w:r>
      <w:hyperlink w:anchor="ref-8">
        <w:r>
          <w:rPr>
            <w:rStyle w:val="Hyperlink"/>
          </w:rPr>
          <w:t xml:space="preserve">[8]</w:t>
        </w:r>
      </w:hyperlink>
      <w:r>
        <w:t xml:space="preserve">. Venue family therefore encodes information about where in its life cycle a given contribution sits. The prediction is that venue family is systematically related to topic-signal intensity, though again the direction is an empirical matter, because the candidate theme may be denser in the technical proceedings that first surfaced the problem than in the broader journals that discuss it at a remove</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82"/>
    <w:bookmarkStart w:id="83" w:name="citation-accumulation-as-a-second-window"/>
    <w:p>
      <w:pPr>
        <w:pStyle w:val="Heading2"/>
        <w:spacing w:line="480" w:lineRule="auto"/>
      </w:pPr>
      <w:r>
        <w:t xml:space="preserve">Citation accumulation as a second window</w:t>
      </w:r>
    </w:p>
    <w:p>
      <w:pPr>
        <w:pStyle w:val="FirstParagraph"/>
        <w:spacing w:line="480" w:lineRule="auto"/>
      </w:pPr>
      <w:r>
        <w:t xml:space="preserve">The recency, citation, and venue imprints all speak to a single cross-sectional question: how is topic signal distributed across the corpus at one moment. A second, orthogonal window asks how attention accumulates over the life of a document. This is the learning-curve logic. If citations accrue in a structured way as articles age, then the corpus exhibits the classic pattern of attention compounding on early contributions, and the rate of that accumulation is itself a parameter worth estimating</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learning-curve framing borrows from the economics of experience: output improves, or in this case attention accumulates, as a power function of cumulative exposure, here proxied by article age. A negative age elasticity would indicate that older articles carry fewer citations relative to their age than the naive expectation, which in a young and fast-moving literature is a plausible signature of a field whose attention has shifted decisively toward recent work</w:t>
      </w:r>
      <w:r>
        <w:t xml:space="preserve"> </w:t>
      </w:r>
      <w:hyperlink w:anchor="ref-3">
        <w:r>
          <w:rPr>
            <w:rStyle w:val="Hyperlink"/>
          </w:rPr>
          <w:t xml:space="preserve">[3]</w:t>
        </w:r>
      </w:hyperlink>
      <w:r>
        <w:t xml:space="preserve"> </w:t>
      </w:r>
      <w:hyperlink w:anchor="ref-8">
        <w:r>
          <w:rPr>
            <w:rStyle w:val="Hyperlink"/>
          </w:rPr>
          <w:t xml:space="preserve">[8]</w:t>
        </w:r>
      </w:hyperlink>
      <w:r>
        <w:t xml:space="preserve">. A flat or noisy relationship would indicate that age carries little information about citation accumulation, which would suggest the corpus is too heterogeneous, or too dominated by uncited records, to sustain the learning-curve reading.</w:t>
      </w:r>
    </w:p>
    <w:p>
      <w:pPr>
        <w:pStyle w:val="BodyText"/>
        <w:spacing w:line="480" w:lineRule="auto"/>
        <w:ind w:firstLine="720"/>
      </w:pPr>
      <w:r>
        <w:t xml:space="preserve">Both windows are complementary by design. The cross-sectional model asks whether topic signal is patterned across recency, citation, and venue at a given time. The learning-curve model asks whether citation itself is patterned across age. A topic that is genuinely maturing should ideally show structure in both. A topic that shows structure in one but not the other tells a more nuanced story, and the dissertation is prepared to report that nuance rather than force a unified verdict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3"/>
    <w:bookmarkStart w:id="84" w:name="hypotheses"/>
    <w:p>
      <w:pPr>
        <w:pStyle w:val="Heading2"/>
        <w:spacing w:line="480" w:lineRule="auto"/>
      </w:pPr>
      <w:r>
        <w:t xml:space="preserve">Hypotheses</w:t>
      </w:r>
    </w:p>
    <w:p>
      <w:pPr>
        <w:pStyle w:val="FirstParagraph"/>
        <w:spacing w:line="480" w:lineRule="auto"/>
      </w:pPr>
      <w:r>
        <w:t xml:space="preserve">A paired set of hypotheses follows for each estimator, stated so the data can refute them.</w:t>
      </w:r>
    </w:p>
    <w:p>
      <w:pPr>
        <w:pStyle w:val="BodyText"/>
        <w:spacing w:line="480" w:lineRule="auto"/>
        <w:ind w:firstLine="720"/>
      </w:pPr>
      <w:r>
        <w:t xml:space="preserve">For the cross-sectional model, the null hypothesis holds that topic-signal intensity is unrelated to publication recency, citation attention, and venue family. The alternative holds that topic-signal intensity is systematically related to these three predictors, and the directional expectation drawn from the attention-allocation mechanism is that signal rises with recency. The citation and venue coefficients are tested without a committed sign, because the theory predicts relation, not direction, and honest inference requires letting the estimator speak</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For the learning-curve model, the null hypothesis holds that citation accumulation is unrelated to article age in the retrieved topic literature. The alternative holds that citation accumulation follows a measurable age-based curve, captured by the age elasticity. A precisely estimated, signed elasticity would support the alternative; a noisy elasticity indistinguishable from zero would leave the null standing and would itself be informative about the corpus’s structure</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84"/>
    <w:bookmarkStart w:id="85" w:name="why-the-predictions-are-risky"/>
    <w:p>
      <w:pPr>
        <w:pStyle w:val="Heading2"/>
        <w:spacing w:line="480" w:lineRule="auto"/>
      </w:pPr>
      <w:r>
        <w:t xml:space="preserve">Why the predictions are risky</w:t>
      </w:r>
    </w:p>
    <w:p>
      <w:pPr>
        <w:pStyle w:val="FirstParagraph"/>
        <w:spacing w:line="480" w:lineRule="auto"/>
      </w:pPr>
      <w:r>
        <w:t xml:space="preserve">A theory earns credit for the predictions it could get wrong. These predictions are risky in three concrete ways. Recency structure could fail if the candidate theme is spread evenly across a decade of work rather than concentrated in recent years, which would sever the link between attention and maturation. Citation structure could fail if the corpus is dominated by records the local index reports as uncited, which would starve the citation coefficient of variation</w:t>
      </w:r>
      <w:r>
        <w:t xml:space="preserve"> </w:t>
      </w:r>
      <w:hyperlink w:anchor="ref-4">
        <w:r>
          <w:rPr>
            <w:rStyle w:val="Hyperlink"/>
          </w:rPr>
          <w:t xml:space="preserve">[4]</w:t>
        </w:r>
      </w:hyperlink>
      <w:r>
        <w:t xml:space="preserve"> </w:t>
      </w:r>
      <w:hyperlink w:anchor="ref-12">
        <w:r>
          <w:rPr>
            <w:rStyle w:val="Hyperlink"/>
          </w:rPr>
          <w:t xml:space="preserve">[12]</w:t>
        </w:r>
      </w:hyperlink>
      <w:r>
        <w:t xml:space="preserve">. Venue structure could fail if the theme happens to be distributed across venues in a way orthogonal to their citation cultures, collapsing the venue coefficient toward zero.</w:t>
      </w:r>
    </w:p>
    <w:p>
      <w:pPr>
        <w:pStyle w:val="BodyText"/>
        <w:spacing w:line="480" w:lineRule="auto"/>
        <w:ind w:firstLine="720"/>
      </w:pPr>
      <w:r>
        <w:t xml:space="preserve">Each of these failure modes is live in a small, retrieval-dependent corpus. That is not a weakness to be concealed but the very condition that makes the test meaningful. A design in which the hypotheses could not fail would prove nothing. Because these can fail, and because several of them plausibly might given the composition of the retrieved record set, the estimator output carries genuine evidentiary weight</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chapters that follow build the estimators to detect exactly these patterns, and the results chapter reports whether the corpus delivers them or withholds them, without adjusting the theory after the fact to fit whatever the numbers turn out to be</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85"/>
    <w:bookmarkStart w:id="86" w:name="scope-conditions-and-rival-mechanisms"/>
    <w:p>
      <w:pPr>
        <w:pStyle w:val="Heading2"/>
        <w:spacing w:line="480" w:lineRule="auto"/>
      </w:pPr>
      <w:r>
        <w:t xml:space="preserve">Scope conditions and rival mechanisms</w:t>
      </w:r>
    </w:p>
    <w:p>
      <w:pPr>
        <w:pStyle w:val="FirstParagraph"/>
        <w:spacing w:line="480" w:lineRule="auto"/>
      </w:pPr>
      <w:r>
        <w:t xml:space="preserve">A responsible theory states the conditions under which it should hold and names the rival mechanisms that could produce the same observable pattern. The attention-allocation mechanism is expected to operate only within a young, actively contested literature, where attention is still being allocated rather than settled into a fixed canon. In a mature field whose foundational questions are resolved, recency would carry little information, because attention would have stabilized around established work regardless of publication date</w:t>
      </w:r>
      <w:r>
        <w:t xml:space="preserve"> </w:t>
      </w:r>
      <w:hyperlink w:anchor="ref-8">
        <w:r>
          <w:rPr>
            <w:rStyle w:val="Hyperlink"/>
          </w:rPr>
          <w:t xml:space="preserve">[8]</w:t>
        </w:r>
      </w:hyperlink>
      <w:r>
        <w:t xml:space="preserve">. The candidate corpus, concentrated in recent years, sits inside this scope condition, which is part of why the recency prediction is expected to bite here even though it would not in an older field.</w:t>
      </w:r>
    </w:p>
    <w:p>
      <w:pPr>
        <w:pStyle w:val="BodyText"/>
        <w:spacing w:line="480" w:lineRule="auto"/>
        <w:ind w:firstLine="720"/>
      </w:pPr>
      <w:r>
        <w:t xml:space="preserve">Two rival mechanisms could mimic the predicted imprints without any genuine maturation. The first is a retrieval artifact. If the retrieval that built the retrieved record set happened to favor recent, theme-heavy records, then a recency-signal association would appear as an artifact of how the pack was assembled rather than as a property of the field’s attention</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theory cannot exclude this rival on its own; the identification strategy in the methodology chapter must, and the reader should hold the recency prediction provisionally until that chapter shows how the joint specification guards against it.</w:t>
      </w:r>
    </w:p>
    <w:p>
      <w:pPr>
        <w:pStyle w:val="BodyText"/>
        <w:spacing w:line="480" w:lineRule="auto"/>
        <w:ind w:firstLine="720"/>
      </w:pPr>
      <w:r>
        <w:t xml:space="preserve">The second rival is venue composition confounded with time. If newer work systematically appears in different venues than older work, then a recency association could be a venue effect in disguise, or a venue association could be a recency effect in disguise</w:t>
      </w:r>
      <w:r>
        <w:t xml:space="preserve"> </w:t>
      </w:r>
      <w:hyperlink w:anchor="ref-6">
        <w:r>
          <w:rPr>
            <w:rStyle w:val="Hyperlink"/>
          </w:rPr>
          <w:t xml:space="preserve">[6]</w:t>
        </w:r>
      </w:hyperlink>
      <w:r>
        <w:t xml:space="preserve"> </w:t>
      </w:r>
      <w:hyperlink w:anchor="ref-8">
        <w:r>
          <w:rPr>
            <w:rStyle w:val="Hyperlink"/>
          </w:rPr>
          <w:t xml:space="preserve">[8]</w:t>
        </w:r>
      </w:hyperlink>
      <w:r>
        <w:t xml:space="preserve">. This rival is the reason the cross-sectional model estimates recency and venue jointly rather than one at a time. By conditioning each on the other, the design converts what would otherwise be a fatal confound into two separately identified coefficients, and the theory’s predictions are stated at the level of those conditional associations, not the raw bivariate correlations.</w:t>
      </w:r>
    </w:p>
    <w:bookmarkEnd w:id="86"/>
    <w:bookmarkStart w:id="87" w:name="observable-implications-stated-sharply"/>
    <w:p>
      <w:pPr>
        <w:pStyle w:val="Heading2"/>
        <w:spacing w:line="480" w:lineRule="auto"/>
      </w:pPr>
      <w:r>
        <w:t xml:space="preserve">Observable implications, stated sharply</w:t>
      </w:r>
    </w:p>
    <w:p>
      <w:pPr>
        <w:pStyle w:val="FirstParagraph"/>
        <w:spacing w:line="480" w:lineRule="auto"/>
      </w:pPr>
      <w:r>
        <w:t xml:space="preserve">To keep the test honest, the theory’s predictions are restated as observable implications that a reader can check directly against the results chapter. If the attention-allocation mechanism operates, then in the cross-sectional model the recency coefficient should be positive and distinguishable from zero, the venue coefficient should be distinguishable from zero in some direction, and the model as a whole should reject the joint null of no structure</w:t>
      </w:r>
      <w:r>
        <w:t xml:space="preserve"> </w:t>
      </w:r>
      <w:hyperlink w:anchor="ref-1">
        <w:r>
          <w:rPr>
            <w:rStyle w:val="Hyperlink"/>
          </w:rPr>
          <w:t xml:space="preserve">[1]</w:t>
        </w:r>
      </w:hyperlink>
      <w:r>
        <w:t xml:space="preserve"> </w:t>
      </w:r>
      <w:hyperlink w:anchor="ref-3">
        <w:r>
          <w:rPr>
            <w:rStyle w:val="Hyperlink"/>
          </w:rPr>
          <w:t xml:space="preserve">[3]</w:t>
        </w:r>
      </w:hyperlink>
      <w:r>
        <w:t xml:space="preserve">. If the mechanism does not operate, or if the corpus is too noisy to reveal it, these coefficients should be indistinguishable from zero and the joint null should stand.</w:t>
      </w:r>
    </w:p>
    <w:p>
      <w:pPr>
        <w:pStyle w:val="BodyText"/>
        <w:spacing w:line="480" w:lineRule="auto"/>
        <w:ind w:firstLine="720"/>
      </w:pPr>
      <w:r>
        <w:t xml:space="preserve">For the learning-curve model, the observable implication is a signed, distinguishable age elasticity. A negative and significant elasticity would indicate front-loaded attention consistent with a fast-moving field; a positive and significant elasticity would indicate the classic pattern of citations compounding on older, established work; an insignificant elasticity would indicate that age carries no reliable information about citation in this corpus</w:t>
      </w:r>
      <w:r>
        <w:t xml:space="preserve"> </w:t>
      </w:r>
      <w:hyperlink w:anchor="ref-5">
        <w:r>
          <w:rPr>
            <w:rStyle w:val="Hyperlink"/>
          </w:rPr>
          <w:t xml:space="preserve">[5]</w:t>
        </w:r>
      </w:hyperlink>
      <w:r>
        <w:t xml:space="preserve"> </w:t>
      </w:r>
      <w:hyperlink w:anchor="ref-8">
        <w:r>
          <w:rPr>
            <w:rStyle w:val="Hyperlink"/>
          </w:rPr>
          <w:t xml:space="preserve">[8]</w:t>
        </w:r>
      </w:hyperlink>
      <w:r>
        <w:t xml:space="preserve">. Each of these outcomes is a distinct prediction with a distinct meaning, and the theory commits in advance to reading whichever one the data deliver rather than reshaping the interpretation after the fact.</w:t>
      </w:r>
    </w:p>
    <w:bookmarkEnd w:id="87"/>
    <w:bookmarkStart w:id="88" w:name="the-micro-foundations-of-the-mechanism"/>
    <w:p>
      <w:pPr>
        <w:pStyle w:val="Heading2"/>
        <w:spacing w:line="480" w:lineRule="auto"/>
      </w:pPr>
      <w:r>
        <w:t xml:space="preserve">The micro-foundations of the mechanism</w:t>
      </w:r>
    </w:p>
    <w:p>
      <w:pPr>
        <w:pStyle w:val="FirstParagraph"/>
        <w:spacing w:line="480" w:lineRule="auto"/>
      </w:pPr>
      <w:r>
        <w:t xml:space="preserve">The attention-allocation mechanism rests on a claim about individual authors that is worth making explicit, because a mechanism stated only at the aggregate level is hard to falsify. At the level of the individual researcher, the claim is that authors allocate their scarce writing and citing effort toward problems they judge consequential and unsettled. A researcher choosing what to work on faces an opportunity cost, and a maturing governance problem, one that is both important and unresolved, offers a high return on that effort because the questions are open and the audience is attentive</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aggregate imprints follow from many authors making this calculation.</w:t>
      </w:r>
    </w:p>
    <w:p>
      <w:pPr>
        <w:pStyle w:val="BodyText"/>
        <w:spacing w:line="480" w:lineRule="auto"/>
        <w:ind w:firstLine="720"/>
      </w:pPr>
      <w:r>
        <w:t xml:space="preserve">This micro-foundation explains why the three imprints should co-occur rather than appear in isolation. An author drawn to a consequential open problem tends to write recently, because the problem is current; tends to cite the anchoring contributions, because they define the open questions; and tends to place the work in the venue where the relevant community reads, which for an early-phase technical problem is the specialist proceedings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recency, citation, and venue imprints are thus three facets of a single underlying allocation decision, which is why the theory predicts them together and treats a corpus that shows some but not others as telling a more complicated story.</w:t>
      </w:r>
    </w:p>
    <w:p>
      <w:pPr>
        <w:pStyle w:val="BodyText"/>
        <w:spacing w:line="480" w:lineRule="auto"/>
        <w:ind w:firstLine="720"/>
      </w:pPr>
      <w:r>
        <w:t xml:space="preserve">The micro-foundation also bounds the mechanism honestly. It does not claim authors are correct in their judgments of consequence, only that they act on those judgments. A topic can attract concentrated recent attention because it is genuinely maturing or because it is merely fashionable, and the attention signal alone cannot distinguish the two</w:t>
      </w:r>
      <w:r>
        <w:t xml:space="preserve"> </w:t>
      </w:r>
      <w:hyperlink w:anchor="ref-4">
        <w:r>
          <w:rPr>
            <w:rStyle w:val="Hyperlink"/>
          </w:rPr>
          <w:t xml:space="preserve">[4]</w:t>
        </w:r>
      </w:hyperlink>
      <w:r>
        <w:t xml:space="preserve"> </w:t>
      </w:r>
      <w:hyperlink w:anchor="ref-9">
        <w:r>
          <w:rPr>
            <w:rStyle w:val="Hyperlink"/>
          </w:rPr>
          <w:t xml:space="preserve">[9]</w:t>
        </w:r>
      </w:hyperlink>
      <w:r>
        <w:t xml:space="preserve">. This is why the dissertation treats the corpus-structure result as evidence about the field’s attention rather than about the governance problem’s true trajectory, and why the successor design, with its direct coding of governance content, is necessary to close the gap the attention signal leaves open.</w:t>
      </w:r>
    </w:p>
    <w:bookmarkEnd w:id="88"/>
    <w:bookmarkStart w:id="89" w:name="X40082d42c96146725f53e7ff7ef3435d90a923e"/>
    <w:p>
      <w:pPr>
        <w:pStyle w:val="Heading2"/>
        <w:spacing w:line="480" w:lineRule="auto"/>
      </w:pPr>
      <w:r>
        <w:t xml:space="preserve">Relation to competing theories of literature growth</w:t>
      </w:r>
    </w:p>
    <w:p>
      <w:pPr>
        <w:pStyle w:val="FirstParagraph"/>
        <w:spacing w:line="480" w:lineRule="auto"/>
      </w:pPr>
      <w:r>
        <w:t xml:space="preserve">The attention-allocation account is not the only theory that could explain structure in a topic’s corpus, and situating it against alternatives sharpens what it claims. A pure bibliometric-growth theory would predict that any active topic accumulates recent work and citations simply because science grows, independent of the topic’s governance significance</w:t>
      </w:r>
      <w:r>
        <w:t xml:space="preserve"> </w:t>
      </w:r>
      <w:hyperlink w:anchor="ref-1">
        <w:r>
          <w:rPr>
            <w:rStyle w:val="Hyperlink"/>
          </w:rPr>
          <w:t xml:space="preserve">[1]</w:t>
        </w:r>
      </w:hyperlink>
      <w:r>
        <w:t xml:space="preserve">. This alternative is real, and the dissertation does not claim to refute it. What distinguishes the attention-allocation reading is the venue prediction: pure growth does not predict that theme signal should concentrate in a particular venue family, whereas the maturation account does, because different phases of a governance problem live in different venues</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second alternative is a canonization theory, in which attention concentrates on a small set of foundational works as a field matures, producing strong citation structure over age</w:t>
      </w:r>
      <w:r>
        <w:t xml:space="preserve"> </w:t>
      </w:r>
      <w:hyperlink w:anchor="ref-5">
        <w:r>
          <w:rPr>
            <w:rStyle w:val="Hyperlink"/>
          </w:rPr>
          <w:t xml:space="preserve">[5]</w:t>
        </w:r>
      </w:hyperlink>
      <w:r>
        <w:t xml:space="preserve">. This account predicts a positive age elasticity in the learning-curve model, the opposite of what a fast-moving, front-loaded field would show. The two theories therefore make opposing predictions on the same coefficient, and the learning-curve result adjudicates between them for this corpus. Holding both alternatives in view keeps the interpretation honest, because it forces the results to be read as choosing among theories rather than merely confirming a favored one</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89"/>
    <w:bookmarkStart w:id="90" w:name="from-theory-to-estimand"/>
    <w:p>
      <w:pPr>
        <w:pStyle w:val="Heading2"/>
        <w:spacing w:line="480" w:lineRule="auto"/>
      </w:pPr>
      <w:r>
        <w:t xml:space="preserve">From theory to estimand</w:t>
      </w:r>
    </w:p>
    <w:p>
      <w:pPr>
        <w:pStyle w:val="FirstParagraph"/>
        <w:spacing w:line="480" w:lineRule="auto"/>
      </w:pPr>
      <w:r>
        <w:t xml:space="preserve">A theory earns its place in an empirical dissertation only when it names, without ambiguity, the quantity the estimator should recover. For the cross-sectional test, that quantity is the set of three partial associations between topic-signal intensity and each predictor, holding the other two fixed</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theory predicts that the recency partial is positive and non-zero, that the venue partial is non-zero in some direction, and that the three jointly reject the null of no structure. Each of these is a statement about a specific coefficient, and the results chapter will confront each directly rather than settling for a vague verdict about whether the topic is patterned.</w:t>
      </w:r>
    </w:p>
    <w:p>
      <w:pPr>
        <w:pStyle w:val="BodyText"/>
        <w:spacing w:line="480" w:lineRule="auto"/>
        <w:ind w:firstLine="720"/>
      </w:pPr>
      <w:r>
        <w:t xml:space="preserve">For the learning-curve test, the estimand is a single age elasticity, and the theory predicts it is signed and non-zero if attention accumulates in a structured way over document age</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competing canonization and front-loading accounts predict opposite signs, so the elasticity’s sign, if it is precise, adjudicates between them, and its imprecision, if it is imprecise, indicates that the corpus cannot certify either. Naming these estimands in advance is what makes the test genuinely falsifiable, because it commits the interpretation to whatever values the workbooks return rather than leaving room to reshape the theory around the result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theoretical stance, in sum, is modest and disciplined. Attention allocation is offered as a mechanism, not a law; the three imprints are offered as predictions, not guarantees; and the hypotheses are stated so that a null result is a real possibility and a real finding. This is the framework a bounded, auditable, design-stage dissertation requires, and it is the framework against which the data are now brought to bear</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90"/>
    <w:bookmarkEnd w:id="91"/>
    <w:bookmarkStart w:id="102" w:name="methodology-and-identification"/>
    <w:p>
      <w:pPr>
        <w:pStyle w:val="Heading1"/>
        <w:spacing w:line="480" w:lineRule="auto"/>
      </w:pPr>
      <w:r>
        <w:t xml:space="preserve">Methodology and Identification</w:t>
      </w:r>
    </w:p>
    <w:p>
      <w:pPr>
        <w:pStyle w:val="FirstParagraph"/>
        <w:spacing w:line="480" w:lineRule="auto"/>
      </w:pPr>
      <w:r>
        <w:t xml:space="preserve">This chapter specifies the two estimators that carry the empirical test and explains why each one identifies the structure it claims to identify. The methodological stance is conservative. Both estimators are ordinary regression models with robust standard errors, chosen not for statistical novelty but because their assumptions are transparent and their output is directly interpretable against the hypotheses. A design that reads a corpus as evidence gains nothing from an opaque estimator; the entire value of the exercise rests on a reader being able to trace each coefficient back to the data that produced it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Start w:id="92" w:name="Xb231d62d8938df0d6b3f0bf9041132464ae46fe"/>
    <w:p>
      <w:pPr>
        <w:pStyle w:val="Heading2"/>
        <w:spacing w:line="480" w:lineRule="auto"/>
      </w:pPr>
      <w:r>
        <w:t xml:space="preserve">Estimator one: ordinary least squares on topic-signal intensity</w:t>
      </w:r>
    </w:p>
    <w:p>
      <w:pPr>
        <w:pStyle w:val="FirstParagraph"/>
        <w:spacing w:line="480" w:lineRule="auto"/>
      </w:pPr>
      <w:r>
        <w:t xml:space="preserve">The first estimator is an ordinary least squares regression of topic-signal intensity on three predictors. The model is written as follows: SignalScore for record i equals a constant, plus a coefficient on the recency index, plus a coefficient on the citation count, plus a coefficient on the venue-family score, plus an error term. In compact form, the specification is SignalScore_i = alpha + beta_1 RecencyIndex_i + beta_2 Cites_i + beta_3 VenueScore_i + epsilon_i.</w:t>
      </w:r>
    </w:p>
    <w:p>
      <w:pPr>
        <w:pStyle w:val="BodyText"/>
        <w:spacing w:line="480" w:lineRule="auto"/>
        <w:ind w:firstLine="720"/>
      </w:pPr>
      <w:r>
        <w:t xml:space="preserve">The outcome is a composite count of candidate-theme term hits across the title, snippet, keyword field, and author metadata of each retrieved record. It is deterministic: given the retrieved record set and the theme dictionary, the score is fixed, and it can be recomputed by anyone with the workbook. This determinism is a deliberate identification choice. Because the outcome is not a survey response or a hand-coded judgment, it carries no rater variance and no sampling noise beyond the retrieval itself, which means the coefficients estimate the relationship between metadata structure and a fixed thematic measure rather than the relationship between metadata and a fluctuating human coding</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Three predictors map onto the three imprints the theory predicts. The recency index is publication year minus the minimum publication year in the sample plus one, so that the oldest record scores one and each later year adds a unit. The citation count is the value the local brain index reports, set to zero when the index reports none. The venue-family score is an ordinal code: conference proceedings score one, archival journal articles score two, and space-economy sources score three. Each predictor is a single, legible quantity, and each corresponds to a hypothesis stated in the theoretical framework</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p>
      <w:pPr>
        <w:pStyle w:val="BodyText"/>
        <w:spacing w:line="480" w:lineRule="auto"/>
        <w:ind w:firstLine="720"/>
      </w:pPr>
      <w:r>
        <w:t xml:space="preserve">Estimation uses robust HC1 standard errors. The choice matters for identification because the outcome is a bounded count and the predictors are heterogeneous in scale, conditions under which the homoskedasticity assumption of classical ordinary least squares is unlikely to hold. HC1 errors do not require that assumption; they estimate the variance of the coefficients directly from the residuals, so that inference remains valid even when the error variance changes across records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consequence is that a coefficient reported as significant under HC1 is significant despite heteroskedasticity, not by assuming it away.</w:t>
      </w:r>
    </w:p>
    <w:bookmarkEnd w:id="92"/>
    <w:bookmarkStart w:id="93" w:name="X5789f0a182e191b73aaf8b4a7bb09997c2eca23"/>
    <w:p>
      <w:pPr>
        <w:pStyle w:val="Heading2"/>
        <w:spacing w:line="480" w:lineRule="auto"/>
      </w:pPr>
      <w:r>
        <w:t xml:space="preserve">Why the cross-sectional model identifies corpus structure</w:t>
      </w:r>
    </w:p>
    <w:p>
      <w:pPr>
        <w:pStyle w:val="FirstParagraph"/>
        <w:spacing w:line="480" w:lineRule="auto"/>
      </w:pPr>
      <w:r>
        <w:t xml:space="preserve">Identification here is narrow and specific. The model identifies whether topic-signal intensity is conditionally associated with recency, citation, and venue within the retrieved corpus. It does not identify a causal effect of recency on anything in the world, nor does it claim that venue causes theme density. The estimand is a set of partial associations, each holding the other two predictors fixed, and the interpretive discipline of the dissertation is to report those associations as structure in the corpus and nothing more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strength of the design is that the three predictors are jointly estimated, so each coefficient is net of the others. This addresses the most obvious confound directly. Newer work might carry more theme signal simply because it appears in different venues than older work; by including venue family alongside recency, the recency coefficient is estimated holding venue fixed, and the venue coefficient is estimated holding recency fixed. The joint specification converts what would be a lurking confound in a bivariate analysis into a controlled comparison</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citation coefficient is likewise net of recency and venue, which matters because recent conference work and older journal work carry citations under different cultures.</w:t>
      </w:r>
    </w:p>
    <w:p>
      <w:pPr>
        <w:pStyle w:val="BodyText"/>
        <w:spacing w:line="480" w:lineRule="auto"/>
        <w:ind w:firstLine="720"/>
      </w:pPr>
      <w:r>
        <w:t xml:space="preserve">The limits of identification are equally clear. The model cannot rule out that an unmeasured feature of a record, correlated with both its venue and its theme density, drives the venue coefficient. It cannot establish that the recency association reflects genuine maturation rather than a retrieval artifact that happened to pull more recent theme-heavy records. These are threats the design acknowledges and the discussion chapter revisits; they are not defects the estimator can cure, and pretending otherwise would violate the project’s core commitment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93"/>
    <w:bookmarkStart w:id="94" w:name="estimator-two-the-log-log-learning-curve"/>
    <w:p>
      <w:pPr>
        <w:pStyle w:val="Heading2"/>
        <w:spacing w:line="480" w:lineRule="auto"/>
      </w:pPr>
      <w:r>
        <w:t xml:space="preserve">Estimator two: the log-log learning curve</w:t>
      </w:r>
    </w:p>
    <w:p>
      <w:pPr>
        <w:pStyle w:val="FirstParagraph"/>
        <w:spacing w:line="480" w:lineRule="auto"/>
      </w:pPr>
      <w:r>
        <w:t xml:space="preserve">A second estimator addresses the orthogonal question of citation accumulation over document age. It is a log-log regression: the natural log of citations-plus-one is regressed on the natural log of an age index. Formally, ln(CitesPlus1_i) = alpha + beta_1 ln(AgeIndex_i) + epsilon_i.</w:t>
      </w:r>
    </w:p>
    <w:p>
      <w:pPr>
        <w:pStyle w:val="BodyText"/>
        <w:spacing w:line="480" w:lineRule="auto"/>
        <w:ind w:firstLine="720"/>
      </w:pPr>
      <w:r>
        <w:t xml:space="preserve">Two transformations do the work. Both are simple. The outcome adds one to the raw citation count before taking the logarithm, so that records the index reports as uncited, which are numerous in this corpus, remain in the sample rather than dropping out when the log is taken. The age index is 2026 minus publication year plus one, so that the newest records score near one and older records score higher. Taking logs of both sides turns the model into a constant-elasticity specification: the coefficient on log age is the elasticity of citations-plus-one with respect to age, the percentage change in citation accumulation associated with a one percent change in document age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learning-curve label follows from this elasticity. In the economics of experience, a power-law relationship between cumulative experience and output is summarized by a progress ratio, the factor by which output changes when experience doubles. Here the analogue is the factor by which citations-plus-one changes when age doubles, computed as two raised to the elasticity. A progress ratio below one indicates that doubling a document’s age is associated with less than proportional citation accumulation, the signature of a literature whose attention has tilted toward its most recent work</w:t>
      </w:r>
      <w:r>
        <w:t xml:space="preserve"> </w:t>
      </w:r>
      <w:hyperlink w:anchor="ref-3">
        <w:r>
          <w:rPr>
            <w:rStyle w:val="Hyperlink"/>
          </w:rPr>
          <w:t xml:space="preserve">[3]</w:t>
        </w:r>
      </w:hyperlink>
      <w:r>
        <w:t xml:space="preserve"> </w:t>
      </w:r>
      <w:hyperlink w:anchor="ref-8">
        <w:r>
          <w:rPr>
            <w:rStyle w:val="Hyperlink"/>
          </w:rPr>
          <w:t xml:space="preserve">[8]</w:t>
        </w:r>
      </w:hyperlink>
      <w:r>
        <w:t xml:space="preserve">. Robust HC1 standard errors are again used, for the same reason: the log-transformed citation counts are unlikely to be homoskedastic across ages.</w:t>
      </w:r>
    </w:p>
    <w:bookmarkEnd w:id="94"/>
    <w:bookmarkStart w:id="95" w:name="X97bef5b69d34d02a6924b5bdaa1a08cf5bb7b28"/>
    <w:p>
      <w:pPr>
        <w:pStyle w:val="Heading2"/>
        <w:spacing w:line="480" w:lineRule="auto"/>
      </w:pPr>
      <w:r>
        <w:t xml:space="preserve">Why the learning curve identifies age structure and its limits</w:t>
      </w:r>
    </w:p>
    <w:p>
      <w:pPr>
        <w:pStyle w:val="FirstParagraph"/>
        <w:spacing w:line="480" w:lineRule="auto"/>
      </w:pPr>
      <w:r>
        <w:t xml:space="preserve">The learning-curve model identifies whether citation accumulation is systematically related to age within the retrieved literature. Its estimand is a single elasticity, and its interpretive claim is bounded to the shape of the age-citation relationship in this corpus. The model does not claim that age causes citations, an incoherent notion, but rather that the joint distribution of age and citation in the corpus exhibits, or fails to exhibit, a constant-elasticity pattern</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Identification faces one obstacle here: the citation floor. Because so many records carry a reported count of zero, the outcome is dominated by the added constant, and the elasticity is identified off the minority of records that carry positive counts. This is a genuine limitation on precision: with citation variation concentrated in a subset of the sample, the standard error on the elasticity will be wide, and a coefficient that fails to reach significance should be read as the corpus lacking the age structure the model looks for, not as proof that no such structure exists in the wider literature</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dissertation reports the elasticity, its progress ratio, and its imprecision together, so that the reader sees both the point estimate and the uncertainty around it.</w:t>
      </w:r>
    </w:p>
    <w:bookmarkEnd w:id="95"/>
    <w:bookmarkStart w:id="96" w:name="common-design-commitments"/>
    <w:p>
      <w:pPr>
        <w:pStyle w:val="Heading2"/>
        <w:spacing w:line="480" w:lineRule="auto"/>
      </w:pPr>
      <w:r>
        <w:t xml:space="preserve">Common design commitments</w:t>
      </w:r>
    </w:p>
    <w:p>
      <w:pPr>
        <w:pStyle w:val="FirstParagraph"/>
        <w:spacing w:line="480" w:lineRule="auto"/>
      </w:pPr>
      <w:r>
        <w:t xml:space="preserve">Both estimators share three commitments that define the methodological character of the project. First, determinism: every variable is computable from the retrieved record set and the documented construction rules, so the entire analysis is reproducible without access to any hidden state</w:t>
      </w:r>
      <w:r>
        <w:t xml:space="preserve"> </w:t>
      </w:r>
      <w:hyperlink w:anchor="ref-5">
        <w:r>
          <w:rPr>
            <w:rStyle w:val="Hyperlink"/>
          </w:rPr>
          <w:t xml:space="preserve">[5]</w:t>
        </w:r>
      </w:hyperlink>
      <w:r>
        <w:t xml:space="preserve">. Second, robustness of inference: HC1 errors are used throughout, so that significance claims survive heteroskedasticity rather than depending on an assumption the data would not support</w:t>
      </w:r>
      <w:r>
        <w:t xml:space="preserve"> </w:t>
      </w:r>
      <w:hyperlink w:anchor="ref-6">
        <w:r>
          <w:rPr>
            <w:rStyle w:val="Hyperlink"/>
          </w:rPr>
          <w:t xml:space="preserve">[6]</w:t>
        </w:r>
      </w:hyperlink>
      <w:r>
        <w:t xml:space="preserve">. Third, interpretive restraint: coefficients are read as corpus structure, precise ones as evidence of pattern and imprecise ones as evidence against a strong claim, and neither is inflated into a causal policy statement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96"/>
    <w:bookmarkStart w:id="97" w:name="guarding-against-the-retrieval-artifact"/>
    <w:p>
      <w:pPr>
        <w:pStyle w:val="Heading2"/>
        <w:spacing w:line="480" w:lineRule="auto"/>
      </w:pPr>
      <w:r>
        <w:t xml:space="preserve">Guarding against the retrieval artifact</w:t>
      </w:r>
    </w:p>
    <w:p>
      <w:pPr>
        <w:pStyle w:val="FirstParagraph"/>
        <w:spacing w:line="480" w:lineRule="auto"/>
      </w:pPr>
      <w:r>
        <w:t xml:space="preserve">The most serious threat to the cross-sectional model’s identification is the retrieval artifact named in the theoretical framework: the possibility that the recency association is a property of how the retrieved record set was assembled rather than of the field’s attention. The methodology cannot eliminate this threat, because the pack is a purposive retrieval, but it can bound it and expose it. Two features of the design do this work.</w:t>
      </w:r>
    </w:p>
    <w:p>
      <w:pPr>
        <w:pStyle w:val="BodyText"/>
        <w:spacing w:line="480" w:lineRule="auto"/>
        <w:ind w:firstLine="720"/>
      </w:pPr>
      <w:r>
        <w:t xml:space="preserve">First, the joint specification. Because recency enters alongside venue family and citation count, the recency coefficient is the partial association net of the other two. A retrieval bias that pulled recent records would have to bias theme signal net of venue and citation to contaminate the recency coefficient specifically, which is a narrower and less plausible failure than a general recency skew</w:t>
      </w:r>
      <w:r>
        <w:t xml:space="preserve"> </w:t>
      </w:r>
      <w:hyperlink w:anchor="ref-2">
        <w:r>
          <w:rPr>
            <w:rStyle w:val="Hyperlink"/>
          </w:rPr>
          <w:t xml:space="preserve">[2]</w:t>
        </w:r>
      </w:hyperlink>
      <w:r>
        <w:t xml:space="preserve"> </w:t>
      </w:r>
      <w:hyperlink w:anchor="ref-3">
        <w:r>
          <w:rPr>
            <w:rStyle w:val="Hyperlink"/>
          </w:rPr>
          <w:t xml:space="preserve">[3]</w:t>
        </w:r>
      </w:hyperlink>
      <w:r>
        <w:t xml:space="preserve">. Second, the direction of the topic-signal measurement error. Because the score is a term-hit count, its error attenuates toward zero: a genuinely relevant record with off-vocabulary metadata scores low, which weakens rather than manufactures structure</w:t>
      </w:r>
      <w:r>
        <w:t xml:space="preserve"> </w:t>
      </w:r>
      <w:hyperlink w:anchor="ref-5">
        <w:r>
          <w:rPr>
            <w:rStyle w:val="Hyperlink"/>
          </w:rPr>
          <w:t xml:space="preserve">[5]</w:t>
        </w:r>
      </w:hyperlink>
      <w:r>
        <w:t xml:space="preserve">. A recency association found under an attenuating measure is more credible than one found under a measure that could inflate it. Neither feature closes the threat, and the discussion chapter treats it as live; the point here is that the design confronts it directly rather than assuming it away</w:t>
      </w:r>
      <w:r>
        <w:t xml:space="preserve"> </w:t>
      </w:r>
      <w:hyperlink w:anchor="ref-6">
        <w:r>
          <w:rPr>
            <w:rStyle w:val="Hyperlink"/>
          </w:rPr>
          <w:t xml:space="preserve">[6]</w:t>
        </w:r>
      </w:hyperlink>
      <w:r>
        <w:t xml:space="preserve">.</w:t>
      </w:r>
    </w:p>
    <w:bookmarkEnd w:id="97"/>
    <w:bookmarkStart w:id="98" w:name="why-not-a-more-elaborate-model"/>
    <w:p>
      <w:pPr>
        <w:pStyle w:val="Heading2"/>
        <w:spacing w:line="480" w:lineRule="auto"/>
      </w:pPr>
      <w:r>
        <w:t xml:space="preserve">Why not a more elaborate model</w:t>
      </w:r>
    </w:p>
    <w:p>
      <w:pPr>
        <w:pStyle w:val="FirstParagraph"/>
        <w:spacing w:line="480" w:lineRule="auto"/>
      </w:pPr>
      <w:r>
        <w:t xml:space="preserve">A reader might ask why the design does not use a count model for the bounded topic-signal outcome, or a fixed-effects specification, or an interaction between recency and venue. Each would be defensible in a larger sample. None is warranted at N equals 30. A count model buys little when the outcome ranges from one to eleven and the linear approximation is transparent, and it costs interpretability that the linear coefficients preserve</w:t>
      </w:r>
      <w:r>
        <w:t xml:space="preserve"> </w:t>
      </w:r>
      <w:hyperlink w:anchor="ref-4">
        <w:r>
          <w:rPr>
            <w:rStyle w:val="Hyperlink"/>
          </w:rPr>
          <w:t xml:space="preserve">[4]</w:t>
        </w:r>
      </w:hyperlink>
      <w:r>
        <w:t xml:space="preserve">. Fixed effects would consume degrees of freedom the sample cannot spare. An interaction term would split an already small sample across cells too thin to estimate reliably</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temptation toward complexity is worth naming so it can be resisted deliberately. A richer specification often looks more rigorous, and a reviewer trained on large-sample work may expect one. But apparent rigor purchased at the cost of degrees of freedom the sample cannot spare is a false economy, because the resulting coefficients are estimated too imprecisely to interpret and the model’s added terms invite overfitting to thirty records</w:t>
      </w:r>
      <w:r>
        <w:t xml:space="preserve"> </w:t>
      </w:r>
      <w:hyperlink w:anchor="ref-4">
        <w:r>
          <w:rPr>
            <w:rStyle w:val="Hyperlink"/>
          </w:rPr>
          <w:t xml:space="preserve">[4]</w:t>
        </w:r>
      </w:hyperlink>
      <w:r>
        <w:t xml:space="preserve"> </w:t>
      </w:r>
      <w:hyperlink w:anchor="ref-8">
        <w:r>
          <w:rPr>
            <w:rStyle w:val="Hyperlink"/>
          </w:rPr>
          <w:t xml:space="preserve">[8]</w:t>
        </w:r>
      </w:hyperlink>
      <w:r>
        <w:t xml:space="preserve">. A study that fits a lean model well is more credible than one that fits an elaborate model badly, and the choice here is for the former without apology.</w:t>
      </w:r>
    </w:p>
    <w:p>
      <w:pPr>
        <w:pStyle w:val="BodyText"/>
        <w:spacing w:line="480" w:lineRule="auto"/>
        <w:ind w:firstLine="720"/>
      </w:pPr>
      <w:r>
        <w:t xml:space="preserve">A single methodological principle governs this: match model complexity to sample size and to interpretive ambition. This project’s ambition is bounded: to establish whether the corpus is structured across three legible channels, and to characterize the shape of any structure it finds. That ambition is served by two simple models whose every coefficient a reader can trace, and it would be undercut by an elaborate specification whose apparent sophistication masked the thinness of the data feeding it</w:t>
      </w:r>
      <w:r>
        <w:t xml:space="preserve"> </w:t>
      </w:r>
      <w:hyperlink w:anchor="ref-1">
        <w:r>
          <w:rPr>
            <w:rStyle w:val="Hyperlink"/>
          </w:rPr>
          <w:t xml:space="preserve">[1]</w:t>
        </w:r>
      </w:hyperlink>
      <w:r>
        <w:t xml:space="preserve"> </w:t>
      </w:r>
      <w:hyperlink w:anchor="ref-3">
        <w:r>
          <w:rPr>
            <w:rStyle w:val="Hyperlink"/>
          </w:rPr>
          <w:t xml:space="preserve">[3]</w:t>
        </w:r>
      </w:hyperlink>
      <w:r>
        <w:t xml:space="preserve">. Simplicity here is not a limitation grudgingly accepted; it is the correct methodological choice for the sample and the question.</w:t>
      </w:r>
    </w:p>
    <w:bookmarkEnd w:id="98"/>
    <w:bookmarkStart w:id="99" w:name="Xf35fd636ae7940dee64aedb59c470591f509202"/>
    <w:p>
      <w:pPr>
        <w:pStyle w:val="Heading2"/>
        <w:spacing w:line="480" w:lineRule="auto"/>
      </w:pPr>
      <w:r>
        <w:t xml:space="preserve">Inference, significance, and the meaning of a p-value here</w:t>
      </w:r>
    </w:p>
    <w:p>
      <w:pPr>
        <w:pStyle w:val="FirstParagraph"/>
        <w:spacing w:line="480" w:lineRule="auto"/>
      </w:pPr>
      <w:r>
        <w:t xml:space="preserve">Because the sample is small and purposive, a word on how significance should be read in this design is warranted. A p-value here is not a statement about a random draw from a well-defined population, because the retrieved record set is not a random sample. It is a statement about whether the observed association is large relative to the sampling variability the residuals imply under the model</w:t>
      </w:r>
      <w:r>
        <w:t xml:space="preserve"> </w:t>
      </w:r>
      <w:hyperlink w:anchor="ref-4">
        <w:r>
          <w:rPr>
            <w:rStyle w:val="Hyperlink"/>
          </w:rPr>
          <w:t xml:space="preserve">[4]</w:t>
        </w:r>
      </w:hyperlink>
      <w:r>
        <w:t xml:space="preserve"> </w:t>
      </w:r>
      <w:hyperlink w:anchor="ref-6">
        <w:r>
          <w:rPr>
            <w:rStyle w:val="Hyperlink"/>
          </w:rPr>
          <w:t xml:space="preserve">[6]</w:t>
        </w:r>
      </w:hyperlink>
      <w:r>
        <w:t xml:space="preserve">. A significant coefficient means the structure is strong enough that ordinary noise in this pack is an unlikely explanation for it; an insignificant coefficient means the pack does not contain enough signal to distinguish the association from noise.</w:t>
      </w:r>
    </w:p>
    <w:p>
      <w:pPr>
        <w:pStyle w:val="BodyText"/>
        <w:spacing w:line="480" w:lineRule="auto"/>
        <w:ind w:firstLine="720"/>
      </w:pPr>
      <w:r>
        <w:t xml:space="preserve">This reading disciplines the interpretation in both directions. It prevents overreading a significant coefficient as a population-level law, because the population is not defined</w:t>
      </w:r>
      <w:r>
        <w:t xml:space="preserve"> </w:t>
      </w:r>
      <w:hyperlink w:anchor="ref-2">
        <w:r>
          <w:rPr>
            <w:rStyle w:val="Hyperlink"/>
          </w:rPr>
          <w:t xml:space="preserve">[2]</w:t>
        </w:r>
      </w:hyperlink>
      <w:r>
        <w:t xml:space="preserve">. It also prevents overreading an insignificant coefficient as proof of no effect, because insignificance in a small, sparse channel is the expected outcome even when a real association exists in a fuller dataset</w:t>
      </w:r>
      <w:r>
        <w:t xml:space="preserve"> </w:t>
      </w:r>
      <w:hyperlink w:anchor="ref-12">
        <w:r>
          <w:rPr>
            <w:rStyle w:val="Hyperlink"/>
          </w:rPr>
          <w:t xml:space="preserve">[12]</w:t>
        </w:r>
      </w:hyperlink>
      <w:r>
        <w:t xml:space="preserve">. The dissertation therefore reports significant results as evidence of structure in this corpus and insignificant results as the corpus’s inability to certify structure, and it never converts either into a claim about the wider literature that the design cannot support</w:t>
      </w:r>
      <w:r>
        <w:t xml:space="preserve"> </w:t>
      </w:r>
      <w:hyperlink w:anchor="ref-5">
        <w:r>
          <w:rPr>
            <w:rStyle w:val="Hyperlink"/>
          </w:rPr>
          <w:t xml:space="preserve">[5]</w:t>
        </w:r>
      </w:hyperlink>
      <w:r>
        <w:t xml:space="preserve">.</w:t>
      </w:r>
    </w:p>
    <w:bookmarkEnd w:id="99"/>
    <w:bookmarkStart w:id="100" w:name="Xee966f8873a87c7c4741bdf5b6d4229c50a1772"/>
    <w:p>
      <w:pPr>
        <w:pStyle w:val="Heading2"/>
        <w:spacing w:line="480" w:lineRule="auto"/>
      </w:pPr>
      <w:r>
        <w:t xml:space="preserve">The role of robust standard errors, concretely</w:t>
      </w:r>
    </w:p>
    <w:p>
      <w:pPr>
        <w:pStyle w:val="FirstParagraph"/>
        <w:spacing w:line="480" w:lineRule="auto"/>
      </w:pPr>
      <w:r>
        <w:t xml:space="preserve">HC1 standard errors are not a cosmetic choice, and their role is worth making concrete. Under classical assumptions, the variance of a coefficient is estimated as if the error variance were constant across records. For a bounded count outcome regressed on heterogeneous predictors, that assumption almost certainly fails: records with high theme signal and records with low theme signal need not have residuals of the same magnitude</w:t>
      </w:r>
      <w:r>
        <w:t xml:space="preserve"> </w:t>
      </w:r>
      <w:hyperlink w:anchor="ref-4">
        <w:r>
          <w:rPr>
            <w:rStyle w:val="Hyperlink"/>
          </w:rPr>
          <w:t xml:space="preserve">[4]</w:t>
        </w:r>
      </w:hyperlink>
      <w:r>
        <w:t xml:space="preserve"> </w:t>
      </w:r>
      <w:hyperlink w:anchor="ref-6">
        <w:r>
          <w:rPr>
            <w:rStyle w:val="Hyperlink"/>
          </w:rPr>
          <w:t xml:space="preserve">[6]</w:t>
        </w:r>
      </w:hyperlink>
      <w:r>
        <w:t xml:space="preserve">. If the classical variance were used, the standard errors could be biased in either direction, and a coefficient could appear significant when it is not, or the reverse.</w:t>
      </w:r>
    </w:p>
    <w:p>
      <w:pPr>
        <w:pStyle w:val="BodyText"/>
        <w:spacing w:line="480" w:lineRule="auto"/>
        <w:ind w:firstLine="720"/>
      </w:pPr>
      <w:r>
        <w:t xml:space="preserve">HC1 estimates the coefficient variance directly from the observed residuals, weighting by their actual magnitudes, so the resulting standard errors reflect the heteroskedasticity present in the data rather than an assumed constant variance</w:t>
      </w:r>
      <w:r>
        <w:t xml:space="preserve"> </w:t>
      </w:r>
      <w:hyperlink w:anchor="ref-6">
        <w:r>
          <w:rPr>
            <w:rStyle w:val="Hyperlink"/>
          </w:rPr>
          <w:t xml:space="preserve">[6]</w:t>
        </w:r>
      </w:hyperlink>
      <w:r>
        <w:t xml:space="preserve">. The finite-sample HC1 correction inflates the estimate slightly to account for the small number of records, which is exactly the conservative adjustment a thirty-record sample calls for. When a coefficient clears significance under HC1, as recency and venue do, it clears despite the heteroskedasticity and despite the small-sample penalty, which is a stronger claim than classical significance would be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00"/>
    <w:bookmarkStart w:id="101" w:name="X594b84b63ca1e0cf0866a5d9ee1e1573c20b81c"/>
    <w:p>
      <w:pPr>
        <w:pStyle w:val="Heading2"/>
        <w:spacing w:line="480" w:lineRule="auto"/>
      </w:pPr>
      <w:r>
        <w:t xml:space="preserve">The learning curve as a bridge from economics</w:t>
      </w:r>
    </w:p>
    <w:p>
      <w:pPr>
        <w:pStyle w:val="FirstParagraph"/>
        <w:spacing w:line="480" w:lineRule="auto"/>
      </w:pPr>
      <w:r>
        <w:t xml:space="preserve">The learning-curve estimator is borrowed from the economics of production, and the borrowing is deliberate rather than ornamental. In its original setting, the model relates cumulative output to unit cost through a constant elasticity, summarized by a progress ratio that states how cost falls each time cumulative production doubles. Transposed to a corpus, cumulative experience becomes document age and output becomes accumulated citation, so the elasticity states how citation-plus-one changes as age doubles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transposition preserves the model’s key virtue: a single, interpretable parameter that summarizes a whole relationship.</w:t>
      </w:r>
    </w:p>
    <w:p>
      <w:pPr>
        <w:pStyle w:val="BodyText"/>
        <w:spacing w:line="480" w:lineRule="auto"/>
        <w:ind w:firstLine="720"/>
      </w:pPr>
      <w:r>
        <w:t xml:space="preserve">This bridge matters because it connects the bibliometric screen to a well-understood family of models rather than inventing an ad hoc functional form. A reader who knows the learning curve from production economics can read the age elasticity and the progress ratio without a new vocabulary, and can judge the fit against familiar benchmarks</w:t>
      </w:r>
      <w:r>
        <w:t xml:space="preserve"> </w:t>
      </w:r>
      <w:hyperlink w:anchor="ref-8">
        <w:r>
          <w:rPr>
            <w:rStyle w:val="Hyperlink"/>
          </w:rPr>
          <w:t xml:space="preserve">[8]</w:t>
        </w:r>
      </w:hyperlink>
      <w:r>
        <w:t xml:space="preserve">. The transposition also inherits the model’s honest limitation: a progress ratio is only meaningful when the underlying relationship is real, and a near-zero fit renders the ratio a descriptive curiosity rather than a certified parameter. The methodology adopts the model with that caveat attached, so the results chapter can report the progress ratio while declining to overread it</w:t>
      </w:r>
      <w:r>
        <w:t xml:space="preserve"> </w:t>
      </w:r>
      <w:hyperlink w:anchor="ref-4">
        <w:r>
          <w:rPr>
            <w:rStyle w:val="Hyperlink"/>
          </w:rPr>
          <w:t xml:space="preserve">[4]</w:t>
        </w:r>
      </w:hyperlink>
      <w:r>
        <w:t xml:space="preserve">.</w:t>
      </w:r>
    </w:p>
    <w:p>
      <w:pPr>
        <w:pStyle w:val="BodyText"/>
        <w:spacing w:line="480" w:lineRule="auto"/>
        <w:ind w:firstLine="720"/>
      </w:pPr>
      <w:r>
        <w:t xml:space="preserve">These commitments are what allow a modest pair of regressions to function as doctoral evidence. The models are simple on purpose. Their simplicity is the source of their credibility, because a reader can verify every step from the raw records to the reported coefficients, and a design whose inference chain is fully inspectable is worth more than an elaborate model whose assumptions are hidden</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data and measurement that feed these estimators are the subject of the next chapter, and the results they produce are reported, exactly, in the chapter after that</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01"/>
    <w:bookmarkEnd w:id="102"/>
    <w:bookmarkStart w:id="113" w:name="data-and-measurement"/>
    <w:p>
      <w:pPr>
        <w:pStyle w:val="Heading1"/>
        <w:spacing w:line="480" w:lineRule="auto"/>
      </w:pPr>
      <w:r>
        <w:t xml:space="preserve">Data and Measurement</w:t>
      </w:r>
    </w:p>
    <w:p>
      <w:pPr>
        <w:pStyle w:val="FirstParagraph"/>
        <w:spacing w:line="480" w:lineRule="auto"/>
      </w:pPr>
      <w:r>
        <w:t xml:space="preserve">The credibility of a corpus-structure test rests entirely on the data behind it. This chapter documents the retrieved record set, the construction of every variable, the provenance discipline that keeps the analysis auditable, and the sample size that bounds what the estimators can detect. Nothing in the empirical chapters can be stronger than the data described here, and the chapter is written so that a skeptical reader could, in principle, rebuild the estimation files from the raw records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Start w:id="103" w:name="the-retrieved-record-set"/>
    <w:p>
      <w:pPr>
        <w:pStyle w:val="Heading2"/>
        <w:spacing w:line="480" w:lineRule="auto"/>
      </w:pPr>
      <w:r>
        <w:t xml:space="preserve">The retrieved record set</w:t>
      </w:r>
    </w:p>
    <w:p>
      <w:pPr>
        <w:pStyle w:val="FirstParagraph"/>
        <w:spacing w:line="480" w:lineRule="auto"/>
      </w:pPr>
      <w:r>
        <w:t xml:space="preserve">The data are a candidate-specific set of local retrieved records that frame the tragedy-or-self-governance topic across technical, governance, and policy venues. Each record is a document surfaced through the retrieval process, and each carries metadata that the local brain index reports: a publication year, a venue, a reported citation count, and the text fields from which the topic signal is built. This set is not a random sample of the space-sustainability literature. It is a purposive retrieval keyed to the candidate topic, and that character shapes everything the estimators can and cannot claim</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Records span a wide range of the field. They include source-sink and physical-economical debris modeling</w:t>
      </w:r>
      <w:r>
        <w:t xml:space="preserve"> </w:t>
      </w:r>
      <w:hyperlink w:anchor="ref-1">
        <w:r>
          <w:rPr>
            <w:rStyle w:val="Hyperlink"/>
          </w:rPr>
          <w:t xml:space="preserve">[1]</w:t>
        </w:r>
      </w:hyperlink>
      <w:r>
        <w:t xml:space="preserve"> </w:t>
      </w:r>
      <w:hyperlink w:anchor="ref-5">
        <w:r>
          <w:rPr>
            <w:rStyle w:val="Hyperlink"/>
          </w:rPr>
          <w:t xml:space="preserve">[5]</w:t>
        </w:r>
      </w:hyperlink>
      <w:r>
        <w:t xml:space="preserve">, constellation design and resilience work</w:t>
      </w:r>
      <w:r>
        <w:t xml:space="preserve"> </w:t>
      </w:r>
      <w:hyperlink w:anchor="ref-3">
        <w:r>
          <w:rPr>
            <w:rStyle w:val="Hyperlink"/>
          </w:rPr>
          <w:t xml:space="preserve">[3]</w:t>
        </w:r>
      </w:hyperlink>
      <w:r>
        <w:t xml:space="preserve"> </w:t>
      </w:r>
      <w:hyperlink w:anchor="ref-4">
        <w:r>
          <w:rPr>
            <w:rStyle w:val="Hyperlink"/>
          </w:rPr>
          <w:t xml:space="preserve">[4]</w:t>
        </w:r>
      </w:hyperlink>
      <w:r>
        <w:t xml:space="preserve">, systems-theory analyses of cascade potential</w:t>
      </w:r>
      <w:r>
        <w:t xml:space="preserve"> </w:t>
      </w:r>
      <w:hyperlink w:anchor="ref-6">
        <w:r>
          <w:rPr>
            <w:rStyle w:val="Hyperlink"/>
          </w:rPr>
          <w:t xml:space="preserve">[6]</w:t>
        </w:r>
      </w:hyperlink>
      <w:r>
        <w:t xml:space="preserve">, stability and demand-capacity studies of the LEO environment</w:t>
      </w:r>
      <w:r>
        <w:t xml:space="preserve"> </w:t>
      </w:r>
      <w:hyperlink w:anchor="ref-7">
        <w:r>
          <w:rPr>
            <w:rStyle w:val="Hyperlink"/>
          </w:rPr>
          <w:t xml:space="preserve">[7]</w:t>
        </w:r>
      </w:hyperlink>
      <w:r>
        <w:t xml:space="preserve"> </w:t>
      </w:r>
      <w:hyperlink w:anchor="ref-8">
        <w:r>
          <w:rPr>
            <w:rStyle w:val="Hyperlink"/>
          </w:rPr>
          <w:t xml:space="preserve">[8]</w:t>
        </w:r>
      </w:hyperlink>
      <w:r>
        <w:t xml:space="preserve">, transdisciplinary sustainability argument</w:t>
      </w:r>
      <w:r>
        <w:t xml:space="preserve"> </w:t>
      </w:r>
      <w:hyperlink w:anchor="ref-9">
        <w:r>
          <w:rPr>
            <w:rStyle w:val="Hyperlink"/>
          </w:rPr>
          <w:t xml:space="preserve">[9]</w:t>
        </w:r>
      </w:hyperlink>
      <w:r>
        <w:t xml:space="preserve">, active debris removal mission planning</w:t>
      </w:r>
      <w:r>
        <w:t xml:space="preserve"> </w:t>
      </w:r>
      <w:hyperlink w:anchor="ref-12">
        <w:r>
          <w:rPr>
            <w:rStyle w:val="Hyperlink"/>
          </w:rPr>
          <w:t xml:space="preserve">[12]</w:t>
        </w:r>
      </w:hyperlink>
      <w:r>
        <w:t xml:space="preserve">, and sustainability rating and institutional-bottleneck work</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A small number of older or adjacent records, including an early adaptive-optics telescope entry, sit in the pack as well, and they matter for the analysis precisely because they anchor the low end of the recency and theme-signal ranges.</w:t>
      </w:r>
    </w:p>
    <w:p>
      <w:pPr>
        <w:pStyle w:val="BodyText"/>
        <w:spacing w:line="480" w:lineRule="auto"/>
        <w:ind w:firstLine="720"/>
      </w:pPr>
      <w:r>
        <w:t xml:space="preserve">The estimation file contains thirty retrieved source records. This is the sample size for both estimators, N equals 30, and it is a fact the dissertation states plainly rather than dressing up. The number is small. Thirty records is enough to fit a four-parameter cross-sectional model and a two-parameter learning curve, and enough to return significant coefficients when the structure is strong, but it is not enough to support elaborate specifications or subgroup analysis. The design is calibrated to the sample: two simple models, each reporting a handful of coefficients, each interpreted with restraint appropriate to a small purposive corpus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3"/>
    <w:bookmarkStart w:id="104" w:name="constructing-the-topic-signal-score"/>
    <w:p>
      <w:pPr>
        <w:pStyle w:val="Heading2"/>
        <w:spacing w:line="480" w:lineRule="auto"/>
      </w:pPr>
      <w:r>
        <w:t xml:space="preserve">Constructing the topic-signal score</w:t>
      </w:r>
    </w:p>
    <w:p>
      <w:pPr>
        <w:pStyle w:val="FirstParagraph"/>
        <w:spacing w:line="480" w:lineRule="auto"/>
      </w:pPr>
      <w:r>
        <w:t xml:space="preserve">The outcome variable for the cross-sectional model is the topic-signal score, and its construction is the measurement heart of the project. For each record, the score counts candidate-theme term hits across four fields: the title, the snippet, the keyword field, and the author metadata. A record whose title, snippet, and keywords all carry the candidate theme scores higher than a record in which the theme appears only glancingly. The count is deterministic. Given the theme dictionary and the record’s text, the score is fixed, and it carries no rater judgment</w:t>
      </w:r>
      <w:r>
        <w:t xml:space="preserve"> </w:t>
      </w:r>
      <w:hyperlink w:anchor="ref-5">
        <w:r>
          <w:rPr>
            <w:rStyle w:val="Hyperlink"/>
          </w:rPr>
          <w:t xml:space="preserve">[5]</w:t>
        </w:r>
      </w:hyperlink>
      <w:r>
        <w:t xml:space="preserve">.</w:t>
      </w:r>
    </w:p>
    <w:p>
      <w:pPr>
        <w:pStyle w:val="BodyText"/>
        <w:spacing w:line="480" w:lineRule="auto"/>
        <w:ind w:firstLine="720"/>
      </w:pPr>
      <w:r>
        <w:t xml:space="preserve">Scores in the pack range from one to eleven. At the high end sit records whose titles and keyword fields are saturated with the candidate theme, including a stability-of-the-LEO-environment entry scoring eleven and several cascade and design records scoring eight to ten</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At the low end sit records whose theme presence is incidental, including the adaptive-optics entry and several space-economy notes scoring one. This spread is what gives the outcome variation to model. A corpus in which every record scored the same would offer nothing to explain; the observed range from one to eleven is the raw material the estimators work on</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construction has a known vulnerability, and the chapter names it here rather than burying it. Term-hit counting rewards records whose metadata happens to use the candidate vocabulary and penalizes records that address the same substance in different words. A retrieved record can be deeply relevant to the tragedy-or-self-governance question yet score low because its title uses adjacent terminology. This is measurement error in the outcome, and it works against finding structure rather than manufacturing it, which is the safer direction for a bounded test to err</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104"/>
    <w:bookmarkStart w:id="105" w:name="constructing-the-predictors"/>
    <w:p>
      <w:pPr>
        <w:pStyle w:val="Heading2"/>
        <w:spacing w:line="480" w:lineRule="auto"/>
      </w:pPr>
      <w:r>
        <w:t xml:space="preserve">Constructing the predictors</w:t>
      </w:r>
    </w:p>
    <w:p>
      <w:pPr>
        <w:pStyle w:val="FirstParagraph"/>
        <w:spacing w:line="480" w:lineRule="auto"/>
      </w:pPr>
      <w:r>
        <w:t xml:space="preserve">Recency is publication year minus the minimum publication year in the sample plus one. In this pack the values run from one, for the oldest record at a 2010 publication year, up to seventeen for a 2026 record, with the bulk of the corpus clustered in the high teens as befits a literature concentrated in recent years. The transformation is monotone and preserves the ordering of years while shifting the origin so the oldest record scores one rather than zero, which keeps the index positive and interpretable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Citation count is taken directly from the local brain index and set to zero where the index reports none. The distribution is heavily skewed toward zero. Many records, particularly the conference-proceedings and space-economy entries, carry a reported count of zero, while a subset of journal articles carry positive counts running as high as twenty-five for a transdisciplinary sustainability paper and twenty for a factory-in-space review</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This concentration of zeros is a defining feature of the data and a direct constraint on the citation coefficient and the learning curve, both of which must be identified off the minority of records with positive counts</w:t>
      </w:r>
      <w:r>
        <w:t xml:space="preserve"> </w:t>
      </w:r>
      <w:hyperlink w:anchor="ref-12">
        <w:r>
          <w:rPr>
            <w:rStyle w:val="Hyperlink"/>
          </w:rPr>
          <w:t xml:space="preserve">[12]</w:t>
        </w:r>
      </w:hyperlink>
      <w:r>
        <w:t xml:space="preserve">.</w:t>
      </w:r>
    </w:p>
    <w:p>
      <w:pPr>
        <w:pStyle w:val="BodyText"/>
        <w:spacing w:line="480" w:lineRule="auto"/>
        <w:ind w:firstLine="720"/>
      </w:pPr>
      <w:r>
        <w:t xml:space="preserve">Venue family is an ordinal code with three levels: conference proceedings score one, archival journal articles score two, and space-economy sources score three. The coding is a summary of venue type, not a ranking of quality, and the dissertation is emphatic that an ordinal scale should not be read as cardinal. A venue score of three is not three times a venue score of one in any meaningful sense; it is simply a different family. The estimator treats the code as a single ordinal regressor, and the interpretation stays within what an ordinal variable can bear</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05"/>
    <w:bookmarkStart w:id="106" w:name="variables-for-the-learning-curve"/>
    <w:p>
      <w:pPr>
        <w:pStyle w:val="Heading2"/>
        <w:spacing w:line="480" w:lineRule="auto"/>
      </w:pPr>
      <w:r>
        <w:t xml:space="preserve">Variables for the learning curve</w:t>
      </w:r>
    </w:p>
    <w:p>
      <w:pPr>
        <w:pStyle w:val="FirstParagraph"/>
        <w:spacing w:line="480" w:lineRule="auto"/>
      </w:pPr>
      <w:r>
        <w:t xml:space="preserve">The learning-curve model uses two constructed variables of its own. Citations-plus-one is the reported citation count with one added, so the logarithm is defined even for the many uncited records; this keeps every record in the sample rather than discarding the zeros that dominate the pack. The age index is 2026 minus publication year plus one, so the newest 2026 record scores one and the oldest 2010 record scores seventeen. Both variables are logged in the estimation, producing the constant-elasticity specification described in the methodology chapter</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age index and the recency index are, by construction, mirror images: a record with a high recency index has a low age index and vice versa. This is intentional and harmless, because the two indices feed different models asking different questions. Recency enters the cross-sectional signal model as a predictor of theme density; age enters the learning-curve model as the axis of citation accumulation. Keeping them as separate, transparently defined quantities lets each model be read on its own terms without importing the other’s framing</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06"/>
    <w:bookmarkStart w:id="107" w:name="provenance-discipline"/>
    <w:p>
      <w:pPr>
        <w:pStyle w:val="Heading2"/>
        <w:spacing w:line="480" w:lineRule="auto"/>
      </w:pPr>
      <w:r>
        <w:t xml:space="preserve">Provenance discipline</w:t>
      </w:r>
    </w:p>
    <w:p>
      <w:pPr>
        <w:pStyle w:val="FirstParagraph"/>
        <w:spacing w:line="480" w:lineRule="auto"/>
      </w:pPr>
      <w:r>
        <w:t xml:space="preserve">Every row in both estimation files preserves a source column. For records with a digital object identifier, the column holds the identifier; for conference entries, it holds the proceedings URL; for a few economics notes, it holds a short descriptive string. This provenance is not decoration. It is what makes the workbooks auditable, because any reader can take a coefficient, trace it to the rows that produced it, and follow each row back to the document it represents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chain runs unbroken from a reported coefficient to a named source, and that unbroken chain is the methodological asset the entire dissertation is built to protect.</w:t>
      </w:r>
    </w:p>
    <w:p>
      <w:pPr>
        <w:pStyle w:val="BodyText"/>
        <w:spacing w:line="480" w:lineRule="auto"/>
        <w:ind w:firstLine="720"/>
      </w:pPr>
      <w:r>
        <w:t xml:space="preserve">The provenance discipline also disciplines the interpretation. Because each row names its source, the analysis cannot quietly substitute a convenient record for an inconvenient one, and it cannot invoke evidence that is not in the pack. The estimators see exactly thirty named records and nothing else. Whatever the corpus shows, it shows through these thirty sources, and whatever it fails to show, it fails to show because these thirty sources, constructed and measured as documented here, did not carry the pattern. That boundary is stated now so that the results, reported next, are read against a fully specified and fully auditable dataset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7"/>
    <w:bookmarkStart w:id="108" w:name="the-shape-of-the-distributions"/>
    <w:p>
      <w:pPr>
        <w:pStyle w:val="Heading2"/>
        <w:spacing w:line="480" w:lineRule="auto"/>
      </w:pPr>
      <w:r>
        <w:t xml:space="preserve">The shape of the distributions</w:t>
      </w:r>
    </w:p>
    <w:p>
      <w:pPr>
        <w:pStyle w:val="FirstParagraph"/>
        <w:spacing w:line="480" w:lineRule="auto"/>
      </w:pPr>
      <w:r>
        <w:t xml:space="preserve">Before the estimators run, it is worth describing the raw distributions the models will work on, because the character of each distribution constrains what its coefficient can reveal. The topic-signal outcome is a bounded count spread from one to eleven, with a concentration of records in the mid-single digits and a scatter of high-signal technical entries at the top and low-signal adjacent entries at the bottom</w:t>
      </w:r>
      <w:r>
        <w:t xml:space="preserve"> </w:t>
      </w:r>
      <w:hyperlink w:anchor="ref-6">
        <w:r>
          <w:rPr>
            <w:rStyle w:val="Hyperlink"/>
          </w:rPr>
          <w:t xml:space="preserve">[6]</w:t>
        </w:r>
      </w:hyperlink>
      <w:r>
        <w:t xml:space="preserve"> </w:t>
      </w:r>
      <w:hyperlink w:anchor="ref-7">
        <w:r>
          <w:rPr>
            <w:rStyle w:val="Hyperlink"/>
          </w:rPr>
          <w:t xml:space="preserve">[7]</w:t>
        </w:r>
      </w:hyperlink>
      <w:r>
        <w:t xml:space="preserve">. This is a workable distribution for a linear model: it has genuine variation, no single value dominates, and the extremes are populated by substantively meaningful records rather than coding errors.</w:t>
      </w:r>
    </w:p>
    <w:p>
      <w:pPr>
        <w:pStyle w:val="BodyText"/>
        <w:spacing w:line="480" w:lineRule="auto"/>
        <w:ind w:firstLine="720"/>
      </w:pPr>
      <w:r>
        <w:t xml:space="preserve">The recency distribution is left-skewed toward recent years. Most records cluster in the high teens of the recency index, reflecting the field’s concentration in the last several years, with a thin tail of older records reaching down to the single digits and one entry at the very bottom</w:t>
      </w:r>
      <w:r>
        <w:t xml:space="preserve"> </w:t>
      </w:r>
      <w:hyperlink w:anchor="ref-3">
        <w:r>
          <w:rPr>
            <w:rStyle w:val="Hyperlink"/>
          </w:rPr>
          <w:t xml:space="preserve">[3]</w:t>
        </w:r>
      </w:hyperlink>
      <w:r>
        <w:t xml:space="preserve"> </w:t>
      </w:r>
      <w:hyperlink w:anchor="ref-8">
        <w:r>
          <w:rPr>
            <w:rStyle w:val="Hyperlink"/>
          </w:rPr>
          <w:t xml:space="preserve">[8]</w:t>
        </w:r>
      </w:hyperlink>
      <w:r>
        <w:t xml:space="preserve">. This concentration is a double-edged feature. It reflects the youth of the topic, which is substantively appropriate, but it also means the recency coefficient is identified largely off the contrast between the dense recent cluster and the sparse older tail, so a handful of older records carry disproportionate leverage on that coefficient.</w:t>
      </w:r>
    </w:p>
    <w:p>
      <w:pPr>
        <w:pStyle w:val="BodyText"/>
        <w:spacing w:line="480" w:lineRule="auto"/>
        <w:ind w:firstLine="720"/>
      </w:pPr>
      <w:r>
        <w:t xml:space="preserve">Citation is the most constrained distribution. It is dominated by zeros, with positive counts confined to a minority of journal articles and reaching a maximum in the mid-twenties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 distribution this concentrated at zero starves both the cross-sectional citation coefficient and the learning curve of the variation they need. The data chapter flags this now so that the insignificant citation results reported later are read correctly, as the predictable consequence of a citation-sparse corpus rather than as a surprising discovery</w:t>
      </w:r>
      <w:r>
        <w:t xml:space="preserve"> </w:t>
      </w:r>
      <w:hyperlink w:anchor="ref-12">
        <w:r>
          <w:rPr>
            <w:rStyle w:val="Hyperlink"/>
          </w:rPr>
          <w:t xml:space="preserve">[12]</w:t>
        </w:r>
      </w:hyperlink>
      <w:r>
        <w:t xml:space="preserve">.</w:t>
      </w:r>
    </w:p>
    <w:p>
      <w:pPr>
        <w:pStyle w:val="BodyText"/>
        <w:spacing w:line="480" w:lineRule="auto"/>
        <w:ind w:firstLine="720"/>
      </w:pPr>
      <w:r>
        <w:t xml:space="preserve">The venue distribution spreads across the three families with enough records in each to estimate the ordinal coefficient. Conference proceedings, journal articles, and space-economy sources are all represented, and the theme signal differs visibly across them even before the model conditions on recency and citation</w:t>
      </w:r>
      <w:r>
        <w:t xml:space="preserve"> </w:t>
      </w:r>
      <w:hyperlink w:anchor="ref-2">
        <w:r>
          <w:rPr>
            <w:rStyle w:val="Hyperlink"/>
          </w:rPr>
          <w:t xml:space="preserve">[2]</w:t>
        </w:r>
      </w:hyperlink>
      <w:r>
        <w:t xml:space="preserve"> </w:t>
      </w:r>
      <w:hyperlink w:anchor="ref-6">
        <w:r>
          <w:rPr>
            <w:rStyle w:val="Hyperlink"/>
          </w:rPr>
          <w:t xml:space="preserve">[6]</w:t>
        </w:r>
      </w:hyperlink>
      <w:r>
        <w:t xml:space="preserve">. This visible cross-venue difference is what the venue coefficient will formalize, and its representation across all three levels is what makes the coefficient estimable.</w:t>
      </w:r>
    </w:p>
    <w:bookmarkEnd w:id="108"/>
    <w:bookmarkStart w:id="109" w:name="reproducibility-as-a-data-property"/>
    <w:p>
      <w:pPr>
        <w:pStyle w:val="Heading2"/>
        <w:spacing w:line="480" w:lineRule="auto"/>
      </w:pPr>
      <w:r>
        <w:t xml:space="preserve">Reproducibility as a data property</w:t>
      </w:r>
    </w:p>
    <w:p>
      <w:pPr>
        <w:pStyle w:val="FirstParagraph"/>
        <w:spacing w:line="480" w:lineRule="auto"/>
      </w:pPr>
      <w:r>
        <w:t xml:space="preserve">A last property of the dataset is that it is reproducible. Every variable is computable from the retrieved record set and the documented construction rules, with no hidden state and no hand-entered judgment</w:t>
      </w:r>
      <w:r>
        <w:t xml:space="preserve"> </w:t>
      </w:r>
      <w:hyperlink w:anchor="ref-5">
        <w:r>
          <w:rPr>
            <w:rStyle w:val="Hyperlink"/>
          </w:rPr>
          <w:t xml:space="preserve">[5]</w:t>
        </w:r>
      </w:hyperlink>
      <w:r>
        <w:t xml:space="preserve">. The topic-signal score follows from the theme dictionary and the record text; the recency and age indices follow from the publication years; the citation count follows from the local index; the venue code follows from a fixed three-level mapping. A researcher with the pack and these rules would rebuild the estimation files exactly</w:t>
      </w:r>
      <w:r>
        <w:t xml:space="preserve"> </w:t>
      </w:r>
      <w:hyperlink w:anchor="ref-1">
        <w:r>
          <w:rPr>
            <w:rStyle w:val="Hyperlink"/>
          </w:rPr>
          <w:t xml:space="preserve">[1]</w:t>
        </w:r>
      </w:hyperlink>
      <w:r>
        <w:t xml:space="preserve">.</w:t>
      </w:r>
    </w:p>
    <w:p>
      <w:pPr>
        <w:pStyle w:val="BodyText"/>
        <w:spacing w:line="480" w:lineRule="auto"/>
        <w:ind w:firstLine="720"/>
      </w:pPr>
      <w:r>
        <w:t xml:space="preserve">This property is what elevates the dataset from a convenience sample to an auditable one. Convenience is unavoidable in a purposive retrieval, but auditability is a choice, and the design makes it deliberately. The reproducibility means that any dispute about a result can be resolved by returning to the construction rules and the named sources rather than by appeal to the researcher’s undocumented decisions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is the strongest guarantee a design-stage dataset can offer, and it is the guarantee on which the empirical chapters rest.</w:t>
      </w:r>
    </w:p>
    <w:bookmarkEnd w:id="109"/>
    <w:bookmarkStart w:id="110" w:name="what-each-venue-family-contributes"/>
    <w:p>
      <w:pPr>
        <w:pStyle w:val="Heading2"/>
        <w:spacing w:line="480" w:lineRule="auto"/>
      </w:pPr>
      <w:r>
        <w:t xml:space="preserve">What each venue family contributes</w:t>
      </w:r>
    </w:p>
    <w:p>
      <w:pPr>
        <w:pStyle w:val="FirstParagraph"/>
        <w:spacing w:line="480" w:lineRule="auto"/>
      </w:pPr>
      <w:r>
        <w:t xml:space="preserve">Because the venue coefficient turns out to be the model’s strongest result, the composition of each venue family deserves a closer look. The conference-proceedings family, coded one, holds the specialist technical work: the stability-of-the-LEO-environment analysis, the systems-theory cascade evaluation, the demand-capacity study, and related entries surfaced from the proceedings archive</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These records carry the densest theme signal in the pack, several scoring eight or higher, because their titles and keyword fields are saturated with the candidate vocabulary. This family is where the topic lives in its most concentrated technical form.</w:t>
      </w:r>
    </w:p>
    <w:p>
      <w:pPr>
        <w:pStyle w:val="BodyText"/>
        <w:spacing w:line="480" w:lineRule="auto"/>
        <w:ind w:firstLine="720"/>
      </w:pPr>
      <w:r>
        <w:t xml:space="preserve">The archival-journal family, coded two, holds the peer-reviewed articles, including the transdisciplinary sustainability paper, the materials and self-healing polymer studies, the active debris removal mission-planning work, and the sustainability rating paper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This family is more heterogeneous. Some of its records are governance-central and score moderately on theme signal, while others address adjacent materials and manufacturing questions and score low</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journal family thus spans the middle and lower range of the signal distribution, which is part of why the venue coefficient turns negative as one moves up from the concentrated proceedings.</w:t>
      </w:r>
    </w:p>
    <w:p>
      <w:pPr>
        <w:pStyle w:val="BodyText"/>
        <w:spacing w:line="480" w:lineRule="auto"/>
        <w:ind w:firstLine="720"/>
      </w:pPr>
      <w:r>
        <w:t xml:space="preserve">The space-economy family, coded three, holds the applied and economics-oriented entries, including the airspace-classification framework and several shorter economics notes</w:t>
      </w:r>
      <w:r>
        <w:t xml:space="preserve"> </w:t>
      </w:r>
      <w:hyperlink w:anchor="ref-1">
        <w:r>
          <w:rPr>
            <w:rStyle w:val="Hyperlink"/>
          </w:rPr>
          <w:t xml:space="preserve">[1]</w:t>
        </w:r>
      </w:hyperlink>
      <w:r>
        <w:t xml:space="preserve">. These records address the problem through the lens of resource value and access rules, and their theme signal is mixed: the airspace-classification entry scores moderately, while the briefer notes score at the low end. The presence of this distinct family at the top of the ordinal scale, carrying generally lower theme signal, anchors the negative slope the estimator recovers, and its inclusion is what lets the model distinguish venue structure from mere recency</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10"/>
    <w:bookmarkStart w:id="111" w:name="provenance-in-practice-worked-examples"/>
    <w:p>
      <w:pPr>
        <w:pStyle w:val="Heading2"/>
        <w:spacing w:line="480" w:lineRule="auto"/>
      </w:pPr>
      <w:r>
        <w:t xml:space="preserve">Provenance in practice: worked examples</w:t>
      </w:r>
    </w:p>
    <w:p>
      <w:pPr>
        <w:pStyle w:val="FirstParagraph"/>
        <w:spacing w:line="480" w:lineRule="auto"/>
      </w:pPr>
      <w:r>
        <w:t xml:space="preserve">To make the provenance discipline concrete rather than abstract, consider how two records travel from source to estimation row. A conference entry on the stability of the LEO environment enters with its proceedings URL in the source column, a publication year that fixes its recency and age indices, a reported citation count of zero from the local index, a venue code of one, and a theme-hit count computed across its title and keyword fields that places it at the high end of the signal distribution</w:t>
      </w:r>
      <w:r>
        <w:t xml:space="preserve"> </w:t>
      </w:r>
      <w:hyperlink w:anchor="ref-7">
        <w:r>
          <w:rPr>
            <w:rStyle w:val="Hyperlink"/>
          </w:rPr>
          <w:t xml:space="preserve">[7]</w:t>
        </w:r>
      </w:hyperlink>
      <w:r>
        <w:t xml:space="preserve">. Every one of these values is recomputable, and the URL lets a reader retrieve the original document to check the theme coding by hand.</w:t>
      </w:r>
    </w:p>
    <w:p>
      <w:pPr>
        <w:pStyle w:val="BodyText"/>
        <w:spacing w:line="480" w:lineRule="auto"/>
        <w:ind w:firstLine="720"/>
      </w:pPr>
      <w:r>
        <w:t xml:space="preserve">A journal record on transdisciplinary sustainability enters differently: its digital object identifier sits in the source column, its publication year fixes its indices, the local index reports a citation count in the mid-twenties, its venue code is two, and its theme-hit count places it in the middle of the signal range</w:t>
      </w:r>
      <w:r>
        <w:t xml:space="preserve"> </w:t>
      </w:r>
      <w:hyperlink w:anchor="ref-9">
        <w:r>
          <w:rPr>
            <w:rStyle w:val="Hyperlink"/>
          </w:rPr>
          <w:t xml:space="preserve">[9]</w:t>
        </w:r>
      </w:hyperlink>
      <w:r>
        <w:t xml:space="preserve">. The contrast between these two records, one with high signal and zero citations from the proceedings family, one with moderate signal and high citations from the journal family, is exactly the kind of variation the estimators exploit, and the provenance discipline ensures a skeptic can trace each to its origin</w:t>
      </w:r>
      <w:r>
        <w:t xml:space="preserve"> </w:t>
      </w:r>
      <w:hyperlink w:anchor="ref-1">
        <w:r>
          <w:rPr>
            <w:rStyle w:val="Hyperlink"/>
          </w:rPr>
          <w:t xml:space="preserve">[1]</w:t>
        </w:r>
      </w:hyperlink>
      <w:r>
        <w:t xml:space="preserve"> </w:t>
      </w:r>
      <w:hyperlink w:anchor="ref-5">
        <w:r>
          <w:rPr>
            <w:rStyle w:val="Hyperlink"/>
          </w:rPr>
          <w:t xml:space="preserve">[5]</w:t>
        </w:r>
      </w:hyperlink>
      <w:r>
        <w:t xml:space="preserve">. Provenance is not a bureaucratic formality here; it is the mechanism by which the analysis stays honest.</w:t>
      </w:r>
    </w:p>
    <w:bookmarkEnd w:id="111"/>
    <w:bookmarkStart w:id="112" w:name="Xa0ea1e6a235f0c1c4177a10fbcaed627e3a49c8"/>
    <w:p>
      <w:pPr>
        <w:pStyle w:val="Heading2"/>
        <w:spacing w:line="480" w:lineRule="auto"/>
      </w:pPr>
      <w:r>
        <w:t xml:space="preserve">The sample size as a deliberate constraint</w:t>
      </w:r>
    </w:p>
    <w:p>
      <w:pPr>
        <w:pStyle w:val="FirstParagraph"/>
        <w:spacing w:line="480" w:lineRule="auto"/>
      </w:pPr>
      <w:r>
        <w:t xml:space="preserve">Thirty records is a number that invites suspicion, and the suspicion deserves a direct answer rather than a defensive one. The sample is small because the retrieval is purposive and topic-specific, not because a larger sample was available and discarded. A candidate-keyed retrieval of the tragedy-or-self-governance literature returns a bounded set of genuinely relevant records, and padding it with marginal entries to inflate the count would corrupt the topic-signal measure the whole design depends on</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number is what an honest retrieval of this specific topic yields.</w:t>
      </w:r>
    </w:p>
    <w:p>
      <w:pPr>
        <w:pStyle w:val="BodyText"/>
        <w:spacing w:line="480" w:lineRule="auto"/>
        <w:ind w:firstLine="720"/>
      </w:pPr>
      <w:r>
        <w:t xml:space="preserve">The design responds to the constraint rather than fighting it. Two models with few parameters each, robust inference that carries a small-sample correction, and interpretation calibrated to what thirty records can bear: these are the accommodations a small sample requires, and the earlier chapters make each one explicit</w:t>
      </w:r>
      <w:r>
        <w:t xml:space="preserve"> </w:t>
      </w:r>
      <w:hyperlink w:anchor="ref-4">
        <w:r>
          <w:rPr>
            <w:rStyle w:val="Hyperlink"/>
          </w:rPr>
          <w:t xml:space="preserve">[4]</w:t>
        </w:r>
      </w:hyperlink>
      <w:r>
        <w:t xml:space="preserve"> </w:t>
      </w:r>
      <w:hyperlink w:anchor="ref-6">
        <w:r>
          <w:rPr>
            <w:rStyle w:val="Hyperlink"/>
          </w:rPr>
          <w:t xml:space="preserve">[6]</w:t>
        </w:r>
      </w:hyperlink>
      <w:r>
        <w:t xml:space="preserve">. A significant coefficient in this setting is a claim that the structure is strong enough to show through a small pack, which is a demanding threshold, and the recency and venue results clear it. An insignificant coefficient is a claim that the pack is too small or too sparse in the relevant channel to certify structure, which is exactly how the citation results should be read</w:t>
      </w:r>
      <w:r>
        <w:t xml:space="preserve"> </w:t>
      </w:r>
      <w:hyperlink w:anchor="ref-12">
        <w:r>
          <w:rPr>
            <w:rStyle w:val="Hyperlink"/>
          </w:rPr>
          <w:t xml:space="preserve">[12]</w:t>
        </w:r>
      </w:hyperlink>
      <w:r>
        <w:t xml:space="preserve">. The sample size is thus not a hidden liability but a stated boundary that shapes every downstream claim</w:t>
      </w:r>
      <w:r>
        <w:t xml:space="preserve"> </w:t>
      </w:r>
      <w:hyperlink w:anchor="ref-5">
        <w:r>
          <w:rPr>
            <w:rStyle w:val="Hyperlink"/>
          </w:rPr>
          <w:t xml:space="preserve">[5]</w:t>
        </w:r>
      </w:hyperlink>
      <w:r>
        <w:t xml:space="preserve">.</w:t>
      </w:r>
    </w:p>
    <w:p>
      <w:pPr>
        <w:pStyle w:val="BodyText"/>
        <w:spacing w:line="480" w:lineRule="auto"/>
        <w:ind w:firstLine="720"/>
      </w:pPr>
      <w:r>
        <w:t xml:space="preserve">A final measurement caution frames the results to come. Citation counts here are local index measures rather than universal citation totals, venue-family coding is ordinal and coarse, and the topic-signal score is a term-hit proxy sensitive to vocabulary. These are not reasons to distrust the estimates; they are the terms on which the estimates must be read. The data support a claim about the structure of this retrieved corpus, measured this way, and the empirical chapters hold their conclusions to exactly that claim, no wider</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12"/>
    <w:bookmarkEnd w:id="113"/>
    <w:bookmarkStart w:id="126" w:name="results"/>
    <w:p>
      <w:pPr>
        <w:pStyle w:val="Heading1"/>
        <w:spacing w:line="480" w:lineRule="auto"/>
      </w:pPr>
      <w:r>
        <w:t xml:space="preserve">Results</w:t>
      </w:r>
    </w:p>
    <w:p>
      <w:pPr>
        <w:pStyle w:val="FirstParagraph"/>
        <w:spacing w:line="480" w:lineRule="auto"/>
      </w:pPr>
      <w:r>
        <w:t xml:space="preserve">This chapter reports the output of both estimators exactly as the workbooks produced them and interprets the signs and magnitudes within the bounds the design allows. The numbers are not rounded away where they carry meaning, and no coefficient is dressed up beyond what its standard error supports. The organizing discipline is the one set out in the theoretical framework: a signed, precise coefficient is evidence of structure in the retrieved corpus, and a noisy, imprecise coefficient is evidence against a strong claim</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Start w:id="117" w:name="the-cross-sectional-model"/>
    <w:p>
      <w:pPr>
        <w:pStyle w:val="Heading2"/>
        <w:spacing w:line="480" w:lineRule="auto"/>
      </w:pPr>
      <w:r>
        <w:t xml:space="preserve">The cross-sectional model</w:t>
      </w:r>
    </w:p>
    <w:p>
      <w:pPr>
        <w:pStyle w:val="FirstParagraph"/>
        <w:spacing w:line="480" w:lineRule="auto"/>
      </w:pPr>
      <w:r>
        <w:t xml:space="preserve">The ordinary least squares model regresses the topic-signal score on the recency index, the citation count, and the venue-family score, using robust HC1 standard errors, over the full sample of thirty records. The fit summary is as follows. N equals 30. R-squared is 0.3591972775851038. Adjusted R-squared is 0.28525850192184654. The F-statistic is 5.561579436021032, with an associated p-value of 0.004377729618972936.</w:t>
      </w:r>
    </w:p>
    <w:p>
      <w:pPr>
        <w:pStyle w:val="BodyText"/>
        <w:spacing w:line="480" w:lineRule="auto"/>
        <w:ind w:firstLine="720"/>
      </w:pPr>
      <w:r>
        <w:t xml:space="preserve">The model is significant. The model as a whole is significant. An F-statistic of 5.561579436021032 with a p-value of 0.004377729618972936 rejects, at conventional levels, the joint null that all three slope coefficients are zero. The three predictors together explain roughly a third of the variance in topic-signal intensity, with an R-squared of 0.3591972775851038 and an adjusted R-squared of 0.28525850192184654 once the model is penalized for its parameter count. For a small purposive corpus measured through metadata proxies, an adjusted R-squared near 0.29 indicates real structure: the topic signal is not scattered independently of recency, citation, and venue, and the omnibus null of the dissertation’s central hypothesis is rejected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Term-level output gives the shape of that structure. The constant is estimated at 4.10629816588244 with a p-value of 0.05612573450893958. The recency index carries a coefficient of 0.309988883595364 with a p-value of 0.0209539761393836. The citation count carries a coefficient of -0.08705054841524319 with a p-value of 0.17414128937439544. The venue-family score carries a coefficient of -1.7205241304491348 with a p-value of 0.003571412949701957.</w:t>
      </w:r>
    </w:p>
    <w:bookmarkStart w:id="114" w:name="interpreting-recency"/>
    <w:p>
      <w:pPr>
        <w:pStyle w:val="Heading3"/>
        <w:spacing w:line="480" w:lineRule="auto"/>
      </w:pPr>
      <w:r>
        <w:t xml:space="preserve">Interpreting recency</w:t>
      </w:r>
    </w:p>
    <w:p>
      <w:pPr>
        <w:pStyle w:val="FirstParagraph"/>
        <w:spacing w:line="480" w:lineRule="auto"/>
      </w:pPr>
      <w:r>
        <w:t xml:space="preserve">Recency is positive and significant. At 0.309988883595364 with a p-value of 0.0209539761393836, it clears the five percent threshold and confirms the directional prediction drawn from the attention-allocation mechanism. Holding citation count and venue family fixed, a one-unit increase in the recency index is associated with an increase of about 0.31 in the topic-signal score. Over the observed recency range, which runs from one to seventeen, this accumulates into a substantial difference: the oldest records sit roughly five signal points below the newest on the recency channel alone, before venue and citation are considered</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This mattered. This is the result the theory most wanted to see, and it survived a test it could have failed, because a corpus in which the candidate theme was spread evenly across a decade of retrieved records would have driven the recency slope toward zero and stripped the maturation reading of its only quantitative anchor. Had the candidate theme been spread evenly across the decade of the corpus, the recency coefficient would have collapsed toward zero and the maturation reading would have lost its anchor. Instead the signal rises with recency, which is consistent with a governance problem whose thematic presence in the literature is concentrated in recent work, exactly as a live and unsettled institutional question should be</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bookmarkEnd w:id="114"/>
    <w:bookmarkStart w:id="115" w:name="interpreting-citation-attention"/>
    <w:p>
      <w:pPr>
        <w:pStyle w:val="Heading3"/>
        <w:spacing w:line="480" w:lineRule="auto"/>
      </w:pPr>
      <w:r>
        <w:t xml:space="preserve">Interpreting citation attention</w:t>
      </w:r>
    </w:p>
    <w:p>
      <w:pPr>
        <w:pStyle w:val="FirstParagraph"/>
        <w:spacing w:line="480" w:lineRule="auto"/>
      </w:pPr>
      <w:r>
        <w:t xml:space="preserve">Citation comes back small, negative, and not significant. At -0.08705054841524319 with a p-value of 0.17414128937439544, it does not clear conventional thresholds, and the dissertation reads it as evidence against a strong citation-structure claim rather than as evidence of a negative relationship. The point estimate is negative, but the imprecision means the true association could be modestly negative, null, or slightly positive; the data do not adjudicate among these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theory anticipated exactly this ambiguity. The citation coefficient was tested without a committed sign, because highly cited work in adjacent areas can carry citations without carrying the candidate theme, which pushes the coefficient down and blurs it. The composition of the corpus makes the imprecision unsurprising. Citation counts here are dominated by zeros, with positive counts concentrated in a minority of journal articles, so the citation channel simply lacks the variation to identify a sharp association</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The honest report is that citation attention, as measured in this pack, does not carry reliable information about topic-signal intensity.</w:t>
      </w:r>
    </w:p>
    <w:bookmarkEnd w:id="115"/>
    <w:bookmarkStart w:id="116" w:name="interpreting-venue-family"/>
    <w:p>
      <w:pPr>
        <w:pStyle w:val="Heading3"/>
        <w:spacing w:line="480" w:lineRule="auto"/>
      </w:pPr>
      <w:r>
        <w:t xml:space="preserve">Interpreting venue family</w:t>
      </w:r>
    </w:p>
    <w:p>
      <w:pPr>
        <w:pStyle w:val="FirstParagraph"/>
        <w:spacing w:line="480" w:lineRule="auto"/>
      </w:pPr>
      <w:r>
        <w:t xml:space="preserve">Venue is the largest and most precisely estimated slope in the model. At -1.7205241304491348 with a p-value of 0.003571412949701957, it is significant well below the one percent level and negative in sign. Holding recency and citation fixed, moving up one level in the venue-family ordinal, from conference proceedings toward journal articles and then space-economy sources, is associated with a decrease of about 1.72 in the topic-signal score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sign surprises. It deserves careful reading, because it inverts a naive expectation that the candidate theme should be denser in higher, more archival venues. The data say otherwise. The theme signal is strongest in the conference-proceedings family, where the technical stability, cascade, and demand-capacity work sits</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and it thins as one moves toward the broader journal and economics venues. This is coherent with the field’s structure: the candidate topic surfaced first and most intensively in specialist technical proceedings, and its vocabulary is densest there, while the journal and economics literature discusses the problem at a greater remove and in more general language</w:t>
      </w:r>
      <w:r>
        <w:t xml:space="preserve"> </w:t>
      </w:r>
      <w:hyperlink w:anchor="ref-3">
        <w:r>
          <w:rPr>
            <w:rStyle w:val="Hyperlink"/>
          </w:rPr>
          <w:t xml:space="preserve">[3]</w:t>
        </w:r>
      </w:hyperlink>
      <w:r>
        <w:t xml:space="preserve"> </w:t>
      </w:r>
      <w:hyperlink w:anchor="ref-9">
        <w:r>
          <w:rPr>
            <w:rStyle w:val="Hyperlink"/>
          </w:rPr>
          <w:t xml:space="preserve">[9]</w:t>
        </w:r>
      </w:hyperlink>
      <w:r>
        <w:t xml:space="preserve">. Venue family, in other words, encodes where in its life cycle a contribution sits, and the negative coefficient locates the theme’s center of gravity in the technical proceedings rather than the archival journals.</w:t>
      </w:r>
    </w:p>
    <w:bookmarkEnd w:id="116"/>
    <w:bookmarkEnd w:id="117"/>
    <w:bookmarkStart w:id="119" w:name="the-learning-curve-model"/>
    <w:p>
      <w:pPr>
        <w:pStyle w:val="Heading2"/>
        <w:spacing w:line="480" w:lineRule="auto"/>
      </w:pPr>
      <w:r>
        <w:t xml:space="preserve">The learning-curve model</w:t>
      </w:r>
    </w:p>
    <w:p>
      <w:pPr>
        <w:pStyle w:val="FirstParagraph"/>
        <w:spacing w:line="480" w:lineRule="auto"/>
      </w:pPr>
      <w:r>
        <w:t xml:space="preserve">The second estimator regresses the natural log of citations-plus-one on the natural log of the age index, with robust HC1 standard errors, over the same thirty records. The fit summary is as follows. N equals 30. R-squared is 0.026929892658053456. The estimated age elasticity is -0.30391831556404814, and the corresponding progress ratio, two raised to the elasticity, is 0.8100493367896244.</w:t>
      </w:r>
    </w:p>
    <w:p>
      <w:pPr>
        <w:pStyle w:val="BodyText"/>
        <w:spacing w:line="480" w:lineRule="auto"/>
        <w:ind w:firstLine="720"/>
      </w:pPr>
      <w:r>
        <w:t xml:space="preserve">The term-level output is as follows. The constant is estimated at 1.151264878616817 with a p-value of 0.02337324540140965. The coefficient on log age is -0.30391831556404814 with a p-value of 0.312777398367846.</w:t>
      </w:r>
    </w:p>
    <w:bookmarkStart w:id="118" w:name="interpreting-the-learning-curve"/>
    <w:p>
      <w:pPr>
        <w:pStyle w:val="Heading3"/>
        <w:spacing w:line="480" w:lineRule="auto"/>
      </w:pPr>
      <w:r>
        <w:t xml:space="preserve">Interpreting the learning curve</w:t>
      </w:r>
    </w:p>
    <w:p>
      <w:pPr>
        <w:pStyle w:val="FirstParagraph"/>
        <w:spacing w:line="480" w:lineRule="auto"/>
      </w:pPr>
      <w:r>
        <w:t xml:space="preserve">This learning-curve model is weak, and the dissertation says so directly. An R-squared of 0.026929892658053456 means log age explains under three percent of the variance in log citations-plus-one. The elasticity of -0.30391831556404814 is negative, which points in the direction of a literature whose citation attention has tilted toward its recent work, but its p-value of 0.312777398367846 falls far short of any conventional significance threshold. The age structure the model looked for is not present at a level the data can certify</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Read it carefully. The progress ratio of 0.8100493367896244 is the tidy summary of a result that should not be oversold. Read literally, it says that doubling a document’s age is associated with citations-plus-one falling to about 81 percent of its prior level, the signature of front-loaded attention. But the elasticity that generates this ratio is not statistically distinguishable from zero, so the progress ratio is best treated as a descriptive artifact of a noisy fit rather than as a certified parameter. The dissertation reports the point estimate and its imprecision together, and declines to build any interpretation that the standard error would not bear</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Weakness here traces to the same citation floor documented in the data chapter. With most records carrying a reported count of zero, citations-plus-one is dominated by the added constant, and the elasticity is identified off the handful of records with positive counts. A model asked to estimate an age-citation curve from a sample in which citation barely varies will return a wide standard error, and it did</w:t>
      </w:r>
      <w:r>
        <w:t xml:space="preserve"> </w:t>
      </w:r>
      <w:hyperlink w:anchor="ref-12">
        <w:r>
          <w:rPr>
            <w:rStyle w:val="Hyperlink"/>
          </w:rPr>
          <w:t xml:space="preserve">[12]</w:t>
        </w:r>
      </w:hyperlink>
      <w:r>
        <w:t xml:space="preserve">. This is a limit of the corpus, not a refutation of the learning-curve idea in the wider literature.</w:t>
      </w:r>
    </w:p>
    <w:bookmarkEnd w:id="118"/>
    <w:bookmarkEnd w:id="119"/>
    <w:bookmarkStart w:id="120" w:name="Xf1eabfaaebbd4d08133c64af468e849ce64cc42"/>
    <w:p>
      <w:pPr>
        <w:pStyle w:val="Heading2"/>
        <w:spacing w:line="480" w:lineRule="auto"/>
      </w:pPr>
      <w:r>
        <w:t xml:space="preserve">What the two estimators establish together</w:t>
      </w:r>
    </w:p>
    <w:p>
      <w:pPr>
        <w:pStyle w:val="FirstParagraph"/>
        <w:spacing w:line="480" w:lineRule="auto"/>
      </w:pPr>
      <w:r>
        <w:t xml:space="preserve">Read side by side, the two models tell a consistent and disciplined story. The cross-sectional model rejects the central null: topic-signal intensity is systematically related to recency and to venue family, with recency positive and significant and venue negative and highly significant, while citation attention is too noisy to certify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The learning-curve model finds the corpus lacks the age structure in citation accumulation that a strongly maturing literature would ideally show, returning a negative but insignificant elasticity</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20"/>
    <w:bookmarkStart w:id="121" w:name="magnitudes-in-context"/>
    <w:p>
      <w:pPr>
        <w:pStyle w:val="Heading2"/>
        <w:spacing w:line="480" w:lineRule="auto"/>
      </w:pPr>
      <w:r>
        <w:t xml:space="preserve">Magnitudes in context</w:t>
      </w:r>
    </w:p>
    <w:p>
      <w:pPr>
        <w:pStyle w:val="FirstParagraph"/>
        <w:spacing w:line="480" w:lineRule="auto"/>
      </w:pPr>
      <w:r>
        <w:t xml:space="preserve">Coefficients are easier to trust when their magnitudes are placed against the observed data rather than read in the abstract. Consider the recency slope of 0.309988883595364 across the recency range of one to seventeen. A record at the top of the recency range carries, on the recency channel alone, roughly sixteen units times 0.31, or about five additional signal points, relative to a record at the bottom, holding venue and citation fixed</w:t>
      </w:r>
      <w:r>
        <w:t xml:space="preserve"> </w:t>
      </w:r>
      <w:hyperlink w:anchor="ref-3">
        <w:r>
          <w:rPr>
            <w:rStyle w:val="Hyperlink"/>
          </w:rPr>
          <w:t xml:space="preserve">[3]</w:t>
        </w:r>
      </w:hyperlink>
      <w:r>
        <w:t xml:space="preserve"> </w:t>
      </w:r>
      <w:hyperlink w:anchor="ref-8">
        <w:r>
          <w:rPr>
            <w:rStyle w:val="Hyperlink"/>
          </w:rPr>
          <w:t xml:space="preserve">[8]</w:t>
        </w:r>
      </w:hyperlink>
      <w:r>
        <w:t xml:space="preserve">. Against an outcome that ranges from one to eleven, five points is a large fraction of the total spread. The recency channel is not a marginal nuisance; it is one of the two dominant sources of the structure the model detects.</w:t>
      </w:r>
    </w:p>
    <w:p>
      <w:pPr>
        <w:pStyle w:val="BodyText"/>
        <w:spacing w:line="480" w:lineRule="auto"/>
        <w:ind w:firstLine="720"/>
      </w:pPr>
      <w:r>
        <w:t xml:space="preserve">The venue slope of -1.7205241304491348 is larger still per unit. Moving across the full two-step ordinal range, from conference proceedings to space-economy sources, is associated with a decrease of about 3.4 signal points, again a substantial share of the outcome’s range</w:t>
      </w:r>
      <w:r>
        <w:t xml:space="preserve"> </w:t>
      </w:r>
      <w:hyperlink w:anchor="ref-2">
        <w:r>
          <w:rPr>
            <w:rStyle w:val="Hyperlink"/>
          </w:rPr>
          <w:t xml:space="preserve">[2]</w:t>
        </w:r>
      </w:hyperlink>
      <w:r>
        <w:t xml:space="preserve"> </w:t>
      </w:r>
      <w:hyperlink w:anchor="ref-6">
        <w:r>
          <w:rPr>
            <w:rStyle w:val="Hyperlink"/>
          </w:rPr>
          <w:t xml:space="preserve">[6]</w:t>
        </w:r>
      </w:hyperlink>
      <w:r>
        <w:t xml:space="preserve">. That the two significant channels, recency and venue, pull in opposite directions is itself informative: newer records carry more theme signal, and higher venue-family records carry less, so the theme’s densest occupants are recent conference-proceedings entries, exactly the technical stability and cascade work that anchors the high end of the signal distribution</w:t>
      </w:r>
      <w:r>
        <w:t xml:space="preserve"> </w:t>
      </w:r>
      <w:hyperlink w:anchor="ref-7">
        <w:r>
          <w:rPr>
            <w:rStyle w:val="Hyperlink"/>
          </w:rPr>
          <w:t xml:space="preserve">[7]</w:t>
        </w:r>
      </w:hyperlink>
      <w:r>
        <w:t xml:space="preserve">. The model’s structure, read through its magnitudes, points to a specific and interpretable region of the corpus.</w:t>
      </w:r>
    </w:p>
    <w:p>
      <w:pPr>
        <w:pStyle w:val="BodyText"/>
        <w:spacing w:line="480" w:lineRule="auto"/>
        <w:ind w:firstLine="720"/>
      </w:pPr>
      <w:r>
        <w:t xml:space="preserve">The citation slope of -0.08705054841524319, by contrast, is small against the citation range that runs into the mid-twenties. Even at the maximum observed count, the citation channel would move the predicted signal by roughly two points, and because the coefficient’s p-value of 0.17414128937439544 does not clear significance, even that modest movement is not certified</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magnitude and the imprecision together confirm the reading: citation attention, in this pack, is a weak and unreliable predictor of theme density.</w:t>
      </w:r>
    </w:p>
    <w:bookmarkEnd w:id="121"/>
    <w:bookmarkStart w:id="122" w:name="robustness-of-the-reported-structure"/>
    <w:p>
      <w:pPr>
        <w:pStyle w:val="Heading2"/>
        <w:spacing w:line="480" w:lineRule="auto"/>
      </w:pPr>
      <w:r>
        <w:t xml:space="preserve">Robustness of the reported structure</w:t>
      </w:r>
    </w:p>
    <w:p>
      <w:pPr>
        <w:pStyle w:val="FirstParagraph"/>
        <w:spacing w:line="480" w:lineRule="auto"/>
      </w:pPr>
      <w:r>
        <w:t xml:space="preserve">The two significant results warrant a note on their robustness to the small sample. Both the recency coefficient, at a p-value of 0.0209539761393836, and the venue coefficient, at a p-value of 0.003571412949701957, clear conventional thresholds under robust HC1 inference, which already accommodates the heteroskedasticity a bounded count outcome is likely to exhibit</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venue result in particular, significant below the one percent level, is unlikely to be overturned by ordinary influence from a single record. The recency result, significant at the five percent level, is more exposed to the leverage of the sparse older tail, and the dissertation flags this exposure rather than hiding it.</w:t>
      </w:r>
    </w:p>
    <w:p>
      <w:pPr>
        <w:pStyle w:val="BodyText"/>
        <w:spacing w:line="480" w:lineRule="auto"/>
        <w:ind w:firstLine="720"/>
      </w:pPr>
      <w:r>
        <w:t xml:space="preserve">The insignificant results are, if anything, more robust in their insignificance. The citation coefficient and the age elasticity are both far from any threshold, with the age elasticity’s p-value of 0.312777398367846 leaving no ambiguity</w:t>
      </w:r>
      <w:r>
        <w:t xml:space="preserve"> </w:t>
      </w:r>
      <w:hyperlink w:anchor="ref-5">
        <w:r>
          <w:rPr>
            <w:rStyle w:val="Hyperlink"/>
          </w:rPr>
          <w:t xml:space="preserve">[5]</w:t>
        </w:r>
      </w:hyperlink>
      <w:r>
        <w:t xml:space="preserve"> </w:t>
      </w:r>
      <w:hyperlink w:anchor="ref-8">
        <w:r>
          <w:rPr>
            <w:rStyle w:val="Hyperlink"/>
          </w:rPr>
          <w:t xml:space="preserve">[8]</w:t>
        </w:r>
      </w:hyperlink>
      <w:r>
        <w:t xml:space="preserve">. No plausible adjustment within this corpus would move these into significance, because the constraint is structural: the citation channel simply lacks variation, being dominated by zeros. The robustness of the null on the citation channels is thus a robustness of the data’s limits, not of a detected effect, and the dissertation reports it plainly on those terms.</w:t>
      </w:r>
    </w:p>
    <w:bookmarkEnd w:id="122"/>
    <w:bookmarkStart w:id="123" w:name="Xce9593a7987c6300e60b02b0cd4512574172057"/>
    <w:p>
      <w:pPr>
        <w:pStyle w:val="Heading2"/>
        <w:spacing w:line="480" w:lineRule="auto"/>
      </w:pPr>
      <w:r>
        <w:t xml:space="preserve">The constant and the base level of signal</w:t>
      </w:r>
    </w:p>
    <w:p>
      <w:pPr>
        <w:pStyle w:val="FirstParagraph"/>
        <w:spacing w:line="480" w:lineRule="auto"/>
      </w:pPr>
      <w:r>
        <w:t xml:space="preserve">The constant terms in both models carry interpretable meaning and should not be passed over. In the cross-sectional model, the constant of 4.10629816588244, with a p-value of 0.05612573450893958, is the predicted topic-signal score for a hypothetical record at the model’s origin: recency index zero, citation count zero, venue score zero</w:t>
      </w:r>
      <w:r>
        <w:t xml:space="preserve"> </w:t>
      </w:r>
      <w:hyperlink w:anchor="ref-1">
        <w:r>
          <w:rPr>
            <w:rStyle w:val="Hyperlink"/>
          </w:rPr>
          <w:t xml:space="preserve">[1]</w:t>
        </w:r>
      </w:hyperlink>
      <w:r>
        <w:t xml:space="preserve">. None of the actual records sits exactly at that origin, so the constant is an extrapolation rather than a description of a real record, but its magnitude anchors the level of the signal scale. A base level near four, against an observed range from one to eleven, places the model’s predictions squarely inside the plausible region of the outcome.</w:t>
      </w:r>
    </w:p>
    <w:p>
      <w:pPr>
        <w:pStyle w:val="BodyText"/>
        <w:spacing w:line="480" w:lineRule="auto"/>
        <w:ind w:firstLine="720"/>
      </w:pPr>
      <w:r>
        <w:t xml:space="preserve">That the constant sits just at the edge of conventional significance, with a p-value near 0.056, is worth a brief note. It means the base level is estimated with moderate precision, neither pinned down tightly nor wholly uncertain, which is appropriate for an extrapolation to an origin no record occupies</w:t>
      </w:r>
      <w:r>
        <w:t xml:space="preserve"> </w:t>
      </w:r>
      <w:hyperlink w:anchor="ref-4">
        <w:r>
          <w:rPr>
            <w:rStyle w:val="Hyperlink"/>
          </w:rPr>
          <w:t xml:space="preserve">[4]</w:t>
        </w:r>
      </w:hyperlink>
      <w:r>
        <w:t xml:space="preserve">. The interpretive weight of the model rests on the slopes, not the constant, and the slopes on recency and venue are where significance is clear. In the learning-curve model, by contrast, the constant of 1.151264878616817, with a p-value of 0.02337324540140965, is significant, reflecting that the log of citations-plus-one has a well-estimated central level even though its slope on log age does not</w:t>
      </w:r>
      <w:r>
        <w:t xml:space="preserve"> </w:t>
      </w:r>
      <w:hyperlink w:anchor="ref-5">
        <w:r>
          <w:rPr>
            <w:rStyle w:val="Hyperlink"/>
          </w:rPr>
          <w:t xml:space="preserve">[5]</w:t>
        </w:r>
      </w:hyperlink>
      <w:r>
        <w:t xml:space="preserve">.</w:t>
      </w:r>
    </w:p>
    <w:bookmarkEnd w:id="123"/>
    <w:bookmarkStart w:id="124" w:name="reading-the-r-squared-honestly"/>
    <w:p>
      <w:pPr>
        <w:pStyle w:val="Heading2"/>
        <w:spacing w:line="480" w:lineRule="auto"/>
      </w:pPr>
      <w:r>
        <w:t xml:space="preserve">Reading the R-squared honestly</w:t>
      </w:r>
    </w:p>
    <w:p>
      <w:pPr>
        <w:pStyle w:val="FirstParagraph"/>
        <w:spacing w:line="480" w:lineRule="auto"/>
      </w:pPr>
      <w:r>
        <w:t xml:space="preserve">Both models’ R-squared values could not be more different, and each should be read in its own context. The cross-sectional R-squared of 0.3591972775851038 means the three predictors jointly account for about 36 percent of the variance in topic-signal intensity, and the adjusted figure of 0.28525850192184654 discounts that for the parameter count</w:t>
      </w:r>
      <w:r>
        <w:t xml:space="preserve"> </w:t>
      </w:r>
      <w:hyperlink w:anchor="ref-1">
        <w:r>
          <w:rPr>
            <w:rStyle w:val="Hyperlink"/>
          </w:rPr>
          <w:t xml:space="preserve">[1]</w:t>
        </w:r>
      </w:hyperlink>
      <w:r>
        <w:t xml:space="preserve"> </w:t>
      </w:r>
      <w:hyperlink w:anchor="ref-3">
        <w:r>
          <w:rPr>
            <w:rStyle w:val="Hyperlink"/>
          </w:rPr>
          <w:t xml:space="preserve">[3]</w:t>
        </w:r>
      </w:hyperlink>
      <w:r>
        <w:t xml:space="preserve">. For metadata proxies applied to a small purposive corpus, an adjusted figure near 0.29 is substantial. It does not mean the model predicts any single record’s signal precisely; it means the three channels together capture a meaningful share of why records differ in theme density.</w:t>
      </w:r>
    </w:p>
    <w:p>
      <w:pPr>
        <w:pStyle w:val="BodyText"/>
        <w:spacing w:line="480" w:lineRule="auto"/>
        <w:ind w:firstLine="720"/>
      </w:pPr>
      <w:r>
        <w:t xml:space="preserve">The learning-curve R-squared of 0.026929892658053456 tells the opposite story, and its smallness is the point</w:t>
      </w:r>
      <w:r>
        <w:t xml:space="preserve"> </w:t>
      </w:r>
      <w:hyperlink w:anchor="ref-5">
        <w:r>
          <w:rPr>
            <w:rStyle w:val="Hyperlink"/>
          </w:rPr>
          <w:t xml:space="preserve">[5]</w:t>
        </w:r>
      </w:hyperlink>
      <w:r>
        <w:t xml:space="preserve">. Under three percent of the variance in log citations-plus-one is explained by log age, which confirms that age is nearly uninformative about citation accumulation in this pack. A reader tempted to rescue the negative elasticity should return to this figure: a model that explains almost none of the outcome’s variance has not found a dynamic worth interpreting, whatever the sign of its single slope</w:t>
      </w:r>
      <w:r>
        <w:t xml:space="preserve"> </w:t>
      </w:r>
      <w:hyperlink w:anchor="ref-8">
        <w:r>
          <w:rPr>
            <w:rStyle w:val="Hyperlink"/>
          </w:rPr>
          <w:t xml:space="preserve">[8]</w:t>
        </w:r>
      </w:hyperlink>
      <w:r>
        <w:t xml:space="preserve">. The honesty of the results chapter lies partly in refusing to promote a near-zero R-squared into a narrative it cannot support</w:t>
      </w:r>
      <w:r>
        <w:t xml:space="preserve"> </w:t>
      </w:r>
      <w:hyperlink w:anchor="ref-12">
        <w:r>
          <w:rPr>
            <w:rStyle w:val="Hyperlink"/>
          </w:rPr>
          <w:t xml:space="preserve">[12]</w:t>
        </w:r>
      </w:hyperlink>
      <w:r>
        <w:t xml:space="preserve">.</w:t>
      </w:r>
    </w:p>
    <w:bookmarkEnd w:id="124"/>
    <w:bookmarkStart w:id="125" w:name="mapping-results-back-to-the-hypotheses"/>
    <w:p>
      <w:pPr>
        <w:pStyle w:val="Heading2"/>
        <w:spacing w:line="480" w:lineRule="auto"/>
      </w:pPr>
      <w:r>
        <w:t xml:space="preserve">Mapping results back to the hypotheses</w:t>
      </w:r>
    </w:p>
    <w:p>
      <w:pPr>
        <w:pStyle w:val="FirstParagraph"/>
        <w:spacing w:line="480" w:lineRule="auto"/>
      </w:pPr>
      <w:r>
        <w:t xml:space="preserve">To close the loop, each result should be stated against the hypothesis it tests. The cross-sectional null held that topic-signal intensity is unrelated to recency, citation, and venue. That null is rejected: the omnibus F-test of 5.561579436021032, with a p-value of 0.004377729618972936, is significant, and two of the three channels carry individually significant coefficients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alternative, that topic signal is systematically related to these predictors, is supported, and the directional prediction that signal rises with recency is confirmed by the positive, significant recency coefficient of 0.309988883595364</w:t>
      </w:r>
      <w:r>
        <w:t xml:space="preserve"> </w:t>
      </w:r>
      <w:hyperlink w:anchor="ref-8">
        <w:r>
          <w:rPr>
            <w:rStyle w:val="Hyperlink"/>
          </w:rPr>
          <w:t xml:space="preserve">[8]</w:t>
        </w:r>
      </w:hyperlink>
      <w:r>
        <w:t xml:space="preserve">.</w:t>
      </w:r>
    </w:p>
    <w:p>
      <w:pPr>
        <w:pStyle w:val="BodyText"/>
        <w:spacing w:line="480" w:lineRule="auto"/>
        <w:ind w:firstLine="720"/>
      </w:pPr>
      <w:r>
        <w:t xml:space="preserve">The learning-curve null held that citation accumulation is unrelated to article age. That null is not rejected: the age elasticity of -0.30391831556404814 carries a p-value of 0.312777398367846, far from any conventional threshold, and the model explains under three percent of the outcome’s variance</w:t>
      </w:r>
      <w:r>
        <w:t xml:space="preserve"> </w:t>
      </w:r>
      <w:hyperlink w:anchor="ref-5">
        <w:r>
          <w:rPr>
            <w:rStyle w:val="Hyperlink"/>
          </w:rPr>
          <w:t xml:space="preserve">[5]</w:t>
        </w:r>
      </w:hyperlink>
      <w:r>
        <w:t xml:space="preserve">. The alternative, that citation follows a measurable age-based curve, is not supported in this corpus. The two hypothesis tests thus deliver opposite verdicts, and the opposition is informative: the topic is structured in theme placement but not in citation accumulation, which localizes exactly what this corpus can and cannot certify</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combined verdict is neither triumphant nor empty. Structure exists in the corpus, and it is located where the theory said to look: in the concentration of theme signal in recent, technical, conference-based work. What is absent is a certified citation dynamic, both in the cross-section and over document age, and that absence is itself a finding about a young corpus dominated by uncited records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The distinction between the significant recency and venue results and the insignificant citation and age-elasticity results is exactly the boundary the design was built to draw, and the next chapter takes up what that boundary means and what it cannot mean</w:t>
      </w:r>
      <w:r>
        <w:t xml:space="preserve"> </w:t>
      </w:r>
      <w:hyperlink w:anchor="ref-2">
        <w:r>
          <w:rPr>
            <w:rStyle w:val="Hyperlink"/>
          </w:rPr>
          <w:t xml:space="preserve">[2]</w:t>
        </w:r>
      </w:hyperlink>
      <w:r>
        <w:t xml:space="preserve"> </w:t>
      </w:r>
      <w:hyperlink w:anchor="ref-14">
        <w:r>
          <w:rPr>
            <w:rStyle w:val="Hyperlink"/>
          </w:rPr>
          <w:t xml:space="preserve">[14]</w:t>
        </w:r>
      </w:hyperlink>
      <w:r>
        <w:t xml:space="preserve">.</w:t>
      </w:r>
    </w:p>
    <w:bookmarkEnd w:id="125"/>
    <w:bookmarkEnd w:id="126"/>
    <w:bookmarkStart w:id="137" w:name="discussion-and-limitations"/>
    <w:p>
      <w:pPr>
        <w:pStyle w:val="Heading1"/>
        <w:spacing w:line="480" w:lineRule="auto"/>
      </w:pPr>
      <w:r>
        <w:t xml:space="preserve">Discussion and Limitations</w:t>
      </w:r>
    </w:p>
    <w:p>
      <w:pPr>
        <w:pStyle w:val="FirstParagraph"/>
        <w:spacing w:line="480" w:lineRule="auto"/>
      </w:pPr>
      <w:r>
        <w:t xml:space="preserve">The results reject the central null and locate structure in the corpus where the theory predicted, while leaving the citation channel and the age-citation curve uncertified. This chapter interprets what that pattern means, subjects it to the threats to validity that could undermine it, and states plainly what the data cannot show. The discipline of the earlier chapters carries through here: the discussion extends the findings only as far as the estimator output permits, and it treats every threat as live rather than rhetorical</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Start w:id="127" w:name="what-the-findings-mean"/>
    <w:p>
      <w:pPr>
        <w:pStyle w:val="Heading2"/>
        <w:spacing w:line="480" w:lineRule="auto"/>
      </w:pPr>
      <w:r>
        <w:t xml:space="preserve">What the findings mean</w:t>
      </w:r>
    </w:p>
    <w:p>
      <w:pPr>
        <w:pStyle w:val="FirstParagraph"/>
        <w:spacing w:line="480" w:lineRule="auto"/>
      </w:pPr>
      <w:r>
        <w:t xml:space="preserve">One headline result stands out: topic-signal intensity in this corpus is patterned, not random. The omnibus test rejected the joint null, and two of three channels carried interpretable structure: recency positively and significantly, venue family negatively and highly significantly. This is a real answer to the dissertation’s falsifiable question. The tragedy-or-self-governance topic does leave a structured trace in the documentary record the field produces, and the trace is concentrated in recent, technical, conference-based work</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Recency is the more straightforward finding to interpret. A topic whose thematic presence rises with publication year behaves like a live concern rather than a settled one. The candidate theme is denser in newer records, consistent with a governance problem that the field has taken up intensively as LEO congestion became a present reality rather than a projection</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This does not prove the problem is maturing toward resolution. It shows that the field’s attention to it is recent and rising, which is the documentary shadow a maturing problem should cast and which a dormant or settled problem should not.</w:t>
      </w:r>
    </w:p>
    <w:p>
      <w:pPr>
        <w:pStyle w:val="BodyText"/>
        <w:spacing w:line="480" w:lineRule="auto"/>
        <w:ind w:firstLine="720"/>
      </w:pPr>
      <w:r>
        <w:t xml:space="preserve">Venue is more interesting and more demanding to read. The negative venue coefficient says the theme is strongest in the conference-proceedings family and thinner in journal and economics venues. The natural interpretation is that the candidate topic remains, in its densest form, a technical-community concern. Its vocabulary saturates the proceedings where cascade dynamics, environmental stability, and demand-capacity modeling are worked out</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and it dilutes as the discussion migrates toward broader journals that treat the problem in more general institutional language</w:t>
      </w:r>
      <w:r>
        <w:t xml:space="preserve"> </w:t>
      </w:r>
      <w:hyperlink w:anchor="ref-9">
        <w:r>
          <w:rPr>
            <w:rStyle w:val="Hyperlink"/>
          </w:rPr>
          <w:t xml:space="preserve">[9]</w:t>
        </w:r>
      </w:hyperlink>
      <w:r>
        <w:t xml:space="preserve">. If self-governance were already a settled cross-venue norm, the theme would be expected to spread more evenly; its concentration in the technical proceedings suggests the governance conversation has not yet fully migrated out of the specialist community that first surfaced it.</w:t>
      </w:r>
    </w:p>
    <w:p>
      <w:pPr>
        <w:pStyle w:val="BodyText"/>
        <w:spacing w:line="480" w:lineRule="auto"/>
        <w:ind w:firstLine="720"/>
      </w:pPr>
      <w:r>
        <w:t xml:space="preserve">Two nulls also count. The two insignificant results are findings in their own right. Citation attention did not carry reliable cross-sectional structure, and the age-citation elasticity was negative but far from significant</w:t>
      </w:r>
      <w:r>
        <w:t xml:space="preserve"> </w:t>
      </w:r>
      <w:hyperlink w:anchor="ref-1">
        <w:r>
          <w:rPr>
            <w:rStyle w:val="Hyperlink"/>
          </w:rPr>
          <w:t xml:space="preserve">[1]</w:t>
        </w:r>
      </w:hyperlink>
      <w:r>
        <w:t xml:space="preserve"> </w:t>
      </w:r>
      <w:hyperlink w:anchor="ref-4">
        <w:r>
          <w:rPr>
            <w:rStyle w:val="Hyperlink"/>
          </w:rPr>
          <w:t xml:space="preserve">[4]</w:t>
        </w:r>
      </w:hyperlink>
      <w:r>
        <w:t xml:space="preserve">. Together they say the corpus does not exhibit a certified citation dynamic. In a young literature dominated by uncited records, this is what one should expect, and it cautions against any governance argument that leans on citation counts as evidence of consensus or momentum. The field’s attention, as measured by citation in this pack, is too thinly and unevenly distributed to support such claims</w:t>
      </w:r>
      <w:r>
        <w:t xml:space="preserve"> </w:t>
      </w:r>
      <w:hyperlink w:anchor="ref-12">
        <w:r>
          <w:rPr>
            <w:rStyle w:val="Hyperlink"/>
          </w:rPr>
          <w:t xml:space="preserve">[12]</w:t>
        </w:r>
      </w:hyperlink>
      <w:r>
        <w:t xml:space="preserve">.</w:t>
      </w:r>
    </w:p>
    <w:bookmarkEnd w:id="127"/>
    <w:bookmarkStart w:id="128" w:name="threats-to-validity"/>
    <w:p>
      <w:pPr>
        <w:pStyle w:val="Heading2"/>
        <w:spacing w:line="480" w:lineRule="auto"/>
      </w:pPr>
      <w:r>
        <w:t xml:space="preserve">Threats to validity</w:t>
      </w:r>
    </w:p>
    <w:p>
      <w:pPr>
        <w:pStyle w:val="FirstParagraph"/>
        <w:spacing w:line="480" w:lineRule="auto"/>
      </w:pPr>
      <w:r>
        <w:t xml:space="preserve">Several threats could weaken these interpretations. Each deserves direct treatment.</w:t>
      </w:r>
    </w:p>
    <w:p>
      <w:pPr>
        <w:pStyle w:val="BodyText"/>
        <w:spacing w:line="480" w:lineRule="auto"/>
        <w:ind w:firstLine="720"/>
      </w:pPr>
      <w:r>
        <w:t xml:space="preserve">Source-pack noise is the first threat. The corpus is a purposive retrieval, not a random sample, and its composition is a design choice that shapes every coefficient. A different retrieval keyed to slightly different terms could shift the venue distribution or the recency profile and move the estimates</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dissertation cannot rule this out. What it can say is that the topic-signal proxy, being a term-hit count, errs toward measurement error that dilutes structure rather than manufacturing it, so the significant recency and venue results were found despite that dilution, not because of it</w:t>
      </w:r>
      <w:r>
        <w:t xml:space="preserve"> </w:t>
      </w:r>
      <w:hyperlink w:anchor="ref-5">
        <w:r>
          <w:rPr>
            <w:rStyle w:val="Hyperlink"/>
          </w:rPr>
          <w:t xml:space="preserve">[5]</w:t>
        </w:r>
      </w:hyperlink>
      <w:r>
        <w:t xml:space="preserve">. Findings that survive a noise-attenuated measure are more trustworthy than findings that depend on a generous one.</w:t>
      </w:r>
    </w:p>
    <w:p>
      <w:pPr>
        <w:pStyle w:val="BodyText"/>
        <w:spacing w:line="480" w:lineRule="auto"/>
        <w:ind w:firstLine="720"/>
      </w:pPr>
      <w:r>
        <w:t xml:space="preserve">Ordinal venue coding is the second threat. The venue-family score compresses a heterogeneous set of outlets into three levels and imposes an ordering that is at best a rough summary of venue type. The large, significant venue coefficient is the model’s strongest result, which makes the coding assumption load-bearing. If the ordering is wrong, or if the three families are not meaningfully ordered at all, the coefficient’s interpretation as a life-cycle signal weakens</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dissertation limits the claim accordingly: the venue result establishes that theme density differs systematically across venue families, and it locates the densest family, but it does not license reading the ordinal scale as a cardinal quality ranking.</w:t>
      </w:r>
    </w:p>
    <w:p>
      <w:pPr>
        <w:pStyle w:val="BodyText"/>
        <w:spacing w:line="480" w:lineRule="auto"/>
        <w:ind w:firstLine="720"/>
      </w:pPr>
      <w:r>
        <w:t xml:space="preserve">Citation measurement is the third threat. Counts here are local index measures, not universal citation totals, and they are dominated by zeros</w:t>
      </w:r>
      <w:r>
        <w:t xml:space="preserve"> </w:t>
      </w:r>
      <w:hyperlink w:anchor="ref-12">
        <w:r>
          <w:rPr>
            <w:rStyle w:val="Hyperlink"/>
          </w:rPr>
          <w:t xml:space="preserve">[12]</w:t>
        </w:r>
      </w:hyperlink>
      <w:r>
        <w:t xml:space="preserve">. This affects both the insignificant citation coefficient in the cross-sectional model and the weak learning curve. The insignificance of these results could reflect a genuine absence of citation structure, or it could reflect a citation measure too sparse and too local to detect structure that a fuller citation database would reveal. The dissertation cannot distinguish these possibilities, and it says so; the honest conclusion is that this corpus, measured this way, does not certify a citation dynamic, not that no such dynamic exists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Small sample size is the fourth threat. Thirty records is adequate for the two simple models but leaves little room for robustness checks, subgroup analysis, or richer specifications. A single influential record could move a coefficient, particularly in the citation-sparse channels</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design’s response is deliberate simplicity: two models with few parameters each, interpreted with restraint, and no attempt to extract more from thirty records than thirty records can bear. The recency and venue results are significant enough that ordinary influence from a single point is unlikely to overturn them, but the citation and age-elasticity results are fragile precisely because the sample is small and the relevant variation is scarce.</w:t>
      </w:r>
    </w:p>
    <w:bookmarkEnd w:id="128"/>
    <w:bookmarkStart w:id="129" w:name="what-the-data-cannot-show"/>
    <w:p>
      <w:pPr>
        <w:pStyle w:val="Heading2"/>
        <w:spacing w:line="480" w:lineRule="auto"/>
      </w:pPr>
      <w:r>
        <w:t xml:space="preserve">What the data cannot show</w:t>
      </w:r>
    </w:p>
    <w:p>
      <w:pPr>
        <w:pStyle w:val="FirstParagraph"/>
        <w:spacing w:line="480" w:lineRule="auto"/>
      </w:pPr>
      <w:r>
        <w:t xml:space="preserve">Beyond these threats sits a harder boundary: a set of questions the design cannot answer even if every estimate were perfectly precise. The dissertation tests corpus structure, not causal policy impact, and the gap between the two is wide</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data cannot show whether low Earth orbit is headed for tragedy or self-governance. That the topic is patterned in the corpus says the field is attending to the problem in a structured way; it says nothing about which institutional outcome will prevail. A rising recency signal is consistent with a field converging on shared rules and equally consistent with a field arguing more loudly without resolution</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bibliometric screen is agnostic between these futures because it measures attention, not agreement.</w:t>
      </w:r>
    </w:p>
    <w:p>
      <w:pPr>
        <w:pStyle w:val="BodyText"/>
        <w:spacing w:line="480" w:lineRule="auto"/>
        <w:ind w:firstLine="720"/>
      </w:pPr>
      <w:r>
        <w:t xml:space="preserve">The data cannot show whether any proposed mechanism works. Rating schemes, classification frameworks, and bottleneck diagnoses appear in the corpus and contribute to its theme signal</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but their presence in the literature is not evidence of their effect on operator behavior. Whether a sustainability rating actually shifts how an operator disposes of a satellite is a behavioral question that requires behavioral data, and this design has none</w:t>
      </w:r>
      <w:r>
        <w:t xml:space="preserve"> </w:t>
      </w:r>
      <w:hyperlink w:anchor="ref-12">
        <w:r>
          <w:rPr>
            <w:rStyle w:val="Hyperlink"/>
          </w:rPr>
          <w:t xml:space="preserve">[12]</w:t>
        </w:r>
      </w:hyperlink>
      <w:r>
        <w:t xml:space="preserve">.</w:t>
      </w:r>
    </w:p>
    <w:p>
      <w:pPr>
        <w:pStyle w:val="BodyText"/>
        <w:spacing w:line="480" w:lineRule="auto"/>
        <w:ind w:firstLine="720"/>
      </w:pPr>
      <w:r>
        <w:t xml:space="preserve">The data cannot resolve the tragedy-versus-security ambiguity that runs through the reviewed literature. The corpus contains both the commons framing, in which uncoordinated self-interest degrades the shared environment</w:t>
      </w:r>
      <w:r>
        <w:t xml:space="preserve"> </w:t>
      </w:r>
      <w:hyperlink w:anchor="ref-1">
        <w:r>
          <w:rPr>
            <w:rStyle w:val="Hyperlink"/>
          </w:rPr>
          <w:t xml:space="preserve">[1]</w:t>
        </w:r>
      </w:hyperlink>
      <w:r>
        <w:t xml:space="preserve"> </w:t>
      </w:r>
      <w:hyperlink w:anchor="ref-5">
        <w:r>
          <w:rPr>
            <w:rStyle w:val="Hyperlink"/>
          </w:rPr>
          <w:t xml:space="preserve">[5]</w:t>
        </w:r>
      </w:hyperlink>
      <w:r>
        <w:t xml:space="preserve">, and the security framing, in which deliberate fragmentation is an adversarial act</w:t>
      </w:r>
      <w:r>
        <w:t xml:space="preserve"> </w:t>
      </w:r>
      <w:hyperlink w:anchor="ref-2">
        <w:r>
          <w:rPr>
            <w:rStyle w:val="Hyperlink"/>
          </w:rPr>
          <w:t xml:space="preserve">[2]</w:t>
        </w:r>
      </w:hyperlink>
      <w:r>
        <w:t xml:space="preserve"> </w:t>
      </w:r>
      <w:hyperlink w:anchor="ref-4">
        <w:r>
          <w:rPr>
            <w:rStyle w:val="Hyperlink"/>
          </w:rPr>
          <w:t xml:space="preserve">[4]</w:t>
        </w:r>
      </w:hyperlink>
      <w:r>
        <w:t xml:space="preserve">. A corpus-structure test cannot say which framing better describes the actual dynamics in orbit, because both are present in the documents and the estimator measures their thematic density, not their truth.</w:t>
      </w:r>
    </w:p>
    <w:bookmarkEnd w:id="129"/>
    <w:bookmarkStart w:id="130" w:name="X51219eed05d451611f8fc91436f5b303f397f72"/>
    <w:p>
      <w:pPr>
        <w:pStyle w:val="Heading2"/>
        <w:spacing w:line="480" w:lineRule="auto"/>
      </w:pPr>
      <w:r>
        <w:t xml:space="preserve">The insignificant results as a guard against overreach</w:t>
      </w:r>
    </w:p>
    <w:p>
      <w:pPr>
        <w:pStyle w:val="FirstParagraph"/>
        <w:spacing w:line="480" w:lineRule="auto"/>
      </w:pPr>
      <w:r>
        <w:t xml:space="preserve">There is a tendency in applied work to treat insignificant coefficients as failures to be minimized or explained away. This dissertation treats them as a feature of the finding, and the reasoning is worth making explicit. The insignificant citation coefficient and the insignificant age elasticity are the two places where the design was most exposed to producing a false positive, because a researcher motivated to tell a maturation story would want citation structure to appear</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That it did not appear, and that the study reports the absence plainly, is evidence the analysis was not bent toward a preferred conclusion</w:t>
      </w:r>
      <w:r>
        <w:t xml:space="preserve"> </w:t>
      </w:r>
      <w:hyperlink w:anchor="ref-4">
        <w:r>
          <w:rPr>
            <w:rStyle w:val="Hyperlink"/>
          </w:rPr>
          <w:t xml:space="preserve">[4]</w:t>
        </w:r>
      </w:hyperlink>
      <w:r>
        <w:t xml:space="preserve">.</w:t>
      </w:r>
    </w:p>
    <w:p>
      <w:pPr>
        <w:pStyle w:val="BodyText"/>
        <w:spacing w:line="480" w:lineRule="auto"/>
        <w:ind w:firstLine="720"/>
      </w:pPr>
      <w:r>
        <w:t xml:space="preserve">A design that returned significant coefficients on every channel would, in a corpus this small and this citation-sparse, invite suspicion of overfitting or of a measurement built to confirm</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mixed pattern, two significant channels and two insignificant ones, is what an honest screen of a young corpus should produce, because the corpus genuinely carries theme-placement structure and genuinely lacks certified citation structure. The insignificant results thus function as an internal control on the significant ones, and their presence strengthens rather than weakens the credibility of the recency and venue findings</w:t>
      </w:r>
      <w:r>
        <w:t xml:space="preserve"> </w:t>
      </w:r>
      <w:hyperlink w:anchor="ref-6">
        <w:r>
          <w:rPr>
            <w:rStyle w:val="Hyperlink"/>
          </w:rPr>
          <w:t xml:space="preserve">[6]</w:t>
        </w:r>
      </w:hyperlink>
      <w:r>
        <w:t xml:space="preserve">.</w:t>
      </w:r>
    </w:p>
    <w:bookmarkEnd w:id="130"/>
    <w:bookmarkStart w:id="131" w:name="situating-the-contribution-honestly"/>
    <w:p>
      <w:pPr>
        <w:pStyle w:val="Heading2"/>
        <w:spacing w:line="480" w:lineRule="auto"/>
      </w:pPr>
      <w:r>
        <w:t xml:space="preserve">Situating the contribution honestly</w:t>
      </w:r>
    </w:p>
    <w:p>
      <w:pPr>
        <w:pStyle w:val="FirstParagraph"/>
        <w:spacing w:line="480" w:lineRule="auto"/>
      </w:pPr>
      <w:r>
        <w:t xml:space="preserve">Set against these limits, what remains is a bounded but genuine contribution. The dissertation shows, with an inspectable evidence chain, that the tragedy-or-self-governance topic is structured in the retrieved corpus, that the structure is carried by recency and venue rather than citation, and that the theme’s center of gravity sits in recent technical proceedings</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It shows this without overclaiming, and it names precisely the successor design that would carry the question further</w:t>
      </w:r>
      <w:r>
        <w:t xml:space="preserve"> </w:t>
      </w:r>
      <w:hyperlink w:anchor="ref-5">
        <w:r>
          <w:rPr>
            <w:rStyle w:val="Hyperlink"/>
          </w:rPr>
          <w:t xml:space="preserve">[5]</w:t>
        </w:r>
      </w:hyperlink>
      <w:r>
        <w:t xml:space="preserve">.</w:t>
      </w:r>
    </w:p>
    <w:bookmarkEnd w:id="131"/>
    <w:bookmarkStart w:id="132" w:name="reconciling-the-two-estimators"/>
    <w:p>
      <w:pPr>
        <w:pStyle w:val="Heading2"/>
        <w:spacing w:line="480" w:lineRule="auto"/>
      </w:pPr>
      <w:r>
        <w:t xml:space="preserve">Reconciling the two estimators</w:t>
      </w:r>
    </w:p>
    <w:p>
      <w:pPr>
        <w:pStyle w:val="FirstParagraph"/>
        <w:spacing w:line="480" w:lineRule="auto"/>
      </w:pPr>
      <w:r>
        <w:t xml:space="preserve">A careful reader will ask whether the two estimators are fully consistent, given that the cross-sectional model found significant structure while the learning curve did not. They are consistent, and the reconciliation clarifies what each measures. The cross-sectional model detects structure in theme signal across recency and venue, two channels that carry ample variation in the pack</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learning curve detects structure in citation accumulation across age, a channel starved of variation because citation is dominated by zeros</w:t>
      </w:r>
      <w:r>
        <w:t xml:space="preserve"> </w:t>
      </w:r>
      <w:hyperlink w:anchor="ref-12">
        <w:r>
          <w:rPr>
            <w:rStyle w:val="Hyperlink"/>
          </w:rPr>
          <w:t xml:space="preserve">[12]</w:t>
        </w:r>
      </w:hyperlink>
      <w:r>
        <w:t xml:space="preserve">. The two models look at different outcomes through different channels, and the difference in their results reflects the difference in the variation available to each, not a contradiction.</w:t>
      </w:r>
    </w:p>
    <w:p>
      <w:pPr>
        <w:pStyle w:val="BodyText"/>
        <w:spacing w:line="480" w:lineRule="auto"/>
        <w:ind w:firstLine="720"/>
      </w:pPr>
      <w:r>
        <w:t xml:space="preserve">This reconciliation also refines the substantive reading. The field’s attention to the candidate topic is structured in the dimension the corpus can measure well, namely where and when the theme appears, and unstructured in the dimension the corpus measures poorly, namely how citations accumulate</w:t>
      </w:r>
      <w:r>
        <w:t xml:space="preserve"> </w:t>
      </w:r>
      <w:hyperlink w:anchor="ref-1">
        <w:r>
          <w:rPr>
            <w:rStyle w:val="Hyperlink"/>
          </w:rPr>
          <w:t xml:space="preserve">[1]</w:t>
        </w:r>
      </w:hyperlink>
      <w:r>
        <w:t xml:space="preserve"> </w:t>
      </w:r>
      <w:hyperlink w:anchor="ref-5">
        <w:r>
          <w:rPr>
            <w:rStyle w:val="Hyperlink"/>
          </w:rPr>
          <w:t xml:space="preserve">[5]</w:t>
        </w:r>
      </w:hyperlink>
      <w:r>
        <w:t xml:space="preserve">. A richer corpus with fuller citation data might reveal age structure the present pack cannot; the honest conclusion is not that citation attention is unstructured in the wider literature, but that this pack cannot see it. Keeping these two readings distinct is exactly the interpretive discipline the design demands</w:t>
      </w:r>
      <w:r>
        <w:t xml:space="preserve"> </w:t>
      </w:r>
      <w:hyperlink w:anchor="ref-4">
        <w:r>
          <w:rPr>
            <w:rStyle w:val="Hyperlink"/>
          </w:rPr>
          <w:t xml:space="preserve">[4]</w:t>
        </w:r>
      </w:hyperlink>
      <w:r>
        <w:t xml:space="preserve">.</w:t>
      </w:r>
    </w:p>
    <w:bookmarkEnd w:id="132"/>
    <w:bookmarkStart w:id="133" w:name="the-tragedy-security-ambiguity-revisited"/>
    <w:p>
      <w:pPr>
        <w:pStyle w:val="Heading2"/>
        <w:spacing w:line="480" w:lineRule="auto"/>
      </w:pPr>
      <w:r>
        <w:t xml:space="preserve">The tragedy-security ambiguity revisited</w:t>
      </w:r>
    </w:p>
    <w:p>
      <w:pPr>
        <w:pStyle w:val="FirstParagraph"/>
        <w:spacing w:line="480" w:lineRule="auto"/>
      </w:pPr>
      <w:r>
        <w:t xml:space="preserve">One threat deserves a fuller treatment because it cuts to the heart of the substantive question. The corpus mixes two incompatible framings of the same crowded shell. Under the commons framing, degradation arises from uncoordinated self-interest, and the remedy is coordination, whether through binding rules or voluntary standards</w:t>
      </w:r>
      <w:r>
        <w:t xml:space="preserve"> </w:t>
      </w:r>
      <w:hyperlink w:anchor="ref-1">
        <w:r>
          <w:rPr>
            <w:rStyle w:val="Hyperlink"/>
          </w:rPr>
          <w:t xml:space="preserve">[1]</w:t>
        </w:r>
      </w:hyperlink>
      <w:r>
        <w:t xml:space="preserve"> </w:t>
      </w:r>
      <w:hyperlink w:anchor="ref-5">
        <w:r>
          <w:rPr>
            <w:rStyle w:val="Hyperlink"/>
          </w:rPr>
          <w:t xml:space="preserve">[5]</w:t>
        </w:r>
      </w:hyperlink>
      <w:r>
        <w:t xml:space="preserve">. Under the security framing, degradation can be deliberate, an adversarial act of fragmentation, and the remedy is deterrence and resilience rather than coordination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These framings imply opposite governance responses, and the corpus-structure result cannot choose between them.</w:t>
      </w:r>
    </w:p>
    <w:p>
      <w:pPr>
        <w:pStyle w:val="BodyText"/>
        <w:spacing w:line="480" w:lineRule="auto"/>
        <w:ind w:firstLine="720"/>
      </w:pPr>
      <w:r>
        <w:t xml:space="preserve">This is not a flaw the design can repair; it is a property of the problem. The same density figure supports both readings, and the topic-signal score counts thematic presence without distinguishing the framing that carries it</w:t>
      </w:r>
      <w:r>
        <w:t xml:space="preserve"> </w:t>
      </w:r>
      <w:hyperlink w:anchor="ref-6">
        <w:r>
          <w:rPr>
            <w:rStyle w:val="Hyperlink"/>
          </w:rPr>
          <w:t xml:space="preserve">[6]</w:t>
        </w:r>
      </w:hyperlink>
      <w:r>
        <w:t xml:space="preserve">. A record on constellation resilience against intentional fragmentation and a record on source-sink debris dynamics both contribute to the theme signal, yet they point toward different institutional futures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successor design’s document coding, which would tag each record’s framing explicitly, is the only way to test whether the balance between the two is shifting, and its necessity is one of the clearest lessons this study yields</w:t>
      </w:r>
      <w:r>
        <w:t xml:space="preserve"> </w:t>
      </w:r>
      <w:hyperlink w:anchor="ref-9">
        <w:r>
          <w:rPr>
            <w:rStyle w:val="Hyperlink"/>
          </w:rPr>
          <w:t xml:space="preserve">[9]</w:t>
        </w:r>
      </w:hyperlink>
      <w:r>
        <w:t xml:space="preserve">.</w:t>
      </w:r>
    </w:p>
    <w:bookmarkEnd w:id="133"/>
    <w:bookmarkStart w:id="134" w:name="X92ca612f7b85bd48dca0dee71347650310336ac"/>
    <w:p>
      <w:pPr>
        <w:pStyle w:val="Heading2"/>
        <w:spacing w:line="480" w:lineRule="auto"/>
      </w:pPr>
      <w:r>
        <w:t xml:space="preserve">The negative venue sign as substance, not anomaly</w:t>
      </w:r>
    </w:p>
    <w:p>
      <w:pPr>
        <w:pStyle w:val="FirstParagraph"/>
        <w:spacing w:line="480" w:lineRule="auto"/>
      </w:pPr>
      <w:r>
        <w:t xml:space="preserve">It would be easy to read the negative venue coefficient as a mere artifact of coding and move on. That would waste the most interesting finding in the study. The sign is substantive, and it carries a claim about the topic’s institutional trajectory that deserves to be drawn out. A candidate theme densest in the lowest venue tier, the technical proceedings, and thinnest in the higher tiers is a theme that has not yet completed the migration a maturing governance problem eventually makes, from specialist technical discussion toward the archival and applied venues where durable rules are debated</w:t>
      </w:r>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This reading has a testable consequence that the successor design could pursue. If the topic is genuinely maturing, the venue coefficient should attenuate over time as the theme spreads into higher venues; a later snapshot of the corpus should show a less negative venue slope</w:t>
      </w:r>
      <w:r>
        <w:t xml:space="preserve"> </w:t>
      </w:r>
      <w:hyperlink w:anchor="ref-8">
        <w:r>
          <w:rPr>
            <w:rStyle w:val="Hyperlink"/>
          </w:rPr>
          <w:t xml:space="preserve">[8]</w:t>
        </w:r>
      </w:hyperlink>
      <w:r>
        <w:t xml:space="preserve"> </w:t>
      </w:r>
      <w:hyperlink w:anchor="ref-14">
        <w:r>
          <w:rPr>
            <w:rStyle w:val="Hyperlink"/>
          </w:rPr>
          <w:t xml:space="preserve">[14]</w:t>
        </w:r>
      </w:hyperlink>
      <w:r>
        <w:t xml:space="preserve">. If instead the theme remains locked in the technical proceedings, the negative slope should persist, which would suggest the governance conversation is stalling at the technical stage rather than advancing toward institutional resolution</w:t>
      </w:r>
      <w:r>
        <w:t xml:space="preserve"> </w:t>
      </w:r>
      <w:hyperlink w:anchor="ref-9">
        <w:r>
          <w:rPr>
            <w:rStyle w:val="Hyperlink"/>
          </w:rPr>
          <w:t xml:space="preserve">[9]</w:t>
        </w:r>
      </w:hyperlink>
      <w:r>
        <w:t xml:space="preserve">. The present study cannot run this longitudinal test with a single cross-section, but it identifies the coefficient whose movement would answer the question, which is itself a contribution to the design of future work.</w:t>
      </w:r>
    </w:p>
    <w:p>
      <w:pPr>
        <w:pStyle w:val="BodyText"/>
        <w:spacing w:line="480" w:lineRule="auto"/>
        <w:ind w:firstLine="720"/>
      </w:pPr>
      <w:r>
        <w:t xml:space="preserve">The venue finding also cautions against a common inference in policy writing. Analysts sometimes take a topic’s appearance in high-profile journals or economics venues as evidence that it has been institutionally absorbed. The corpus structure here says the opposite for this topic: the theme is densest where it is least institutionally absorbed, in the technical proceedings, and its presence in higher venues is comparatively thin</w:t>
      </w:r>
      <w:r>
        <w:t xml:space="preserve"> </w:t>
      </w:r>
      <w:hyperlink w:anchor="ref-1">
        <w:r>
          <w:rPr>
            <w:rStyle w:val="Hyperlink"/>
          </w:rPr>
          <w:t xml:space="preserve">[1]</w:t>
        </w:r>
      </w:hyperlink>
      <w:r>
        <w:t xml:space="preserve"> </w:t>
      </w:r>
      <w:hyperlink w:anchor="ref-6">
        <w:r>
          <w:rPr>
            <w:rStyle w:val="Hyperlink"/>
          </w:rPr>
          <w:t xml:space="preserve">[6]</w:t>
        </w:r>
      </w:hyperlink>
      <w:r>
        <w:t xml:space="preserve">. Reading venue prominence as institutional maturity would, for this topic, invert the actual state of the field, and the negative coefficient is a useful corrective to that inference.</w:t>
      </w:r>
    </w:p>
    <w:bookmarkEnd w:id="134"/>
    <w:bookmarkStart w:id="135" w:name="X1c4790da32748d59fdd84f1ff1523082432582c"/>
    <w:p>
      <w:pPr>
        <w:pStyle w:val="Heading2"/>
        <w:spacing w:line="480" w:lineRule="auto"/>
      </w:pPr>
      <w:r>
        <w:t xml:space="preserve">Limits that even a larger sample would not cure</w:t>
      </w:r>
    </w:p>
    <w:p>
      <w:pPr>
        <w:pStyle w:val="FirstParagraph"/>
        <w:spacing w:line="480" w:lineRule="auto"/>
      </w:pPr>
      <w:r>
        <w:t xml:space="preserve">Several limitations of this study would dissolve with a larger, richer corpus, but two would persist regardless of sample size, and naming them separates the fixable from the intrinsic. The first intrinsic limit is that a corpus screen measures attention, not agreement or efficacy. No matter how large the pack, counting where and when a theme appears cannot reveal whether the field agrees on a governance rule or whether any rule works in orbit</w:t>
      </w:r>
      <w:r>
        <w:t xml:space="preserve"> </w:t>
      </w:r>
      <w:hyperlink w:anchor="ref-4">
        <w:r>
          <w:rPr>
            <w:rStyle w:val="Hyperlink"/>
          </w:rPr>
          <w:t xml:space="preserve">[4]</w:t>
        </w:r>
      </w:hyperlink>
      <w:r>
        <w:t xml:space="preserve"> </w:t>
      </w:r>
      <w:hyperlink w:anchor="ref-12">
        <w:r>
          <w:rPr>
            <w:rStyle w:val="Hyperlink"/>
          </w:rPr>
          <w:t xml:space="preserve">[12]</w:t>
        </w:r>
      </w:hyperlink>
      <w:r>
        <w:t xml:space="preserve">. That gap is a property of the measurement strategy, and only a different strategy, direct coding of governance content and behavioral outcomes, can close it</w:t>
      </w:r>
      <w:r>
        <w:t xml:space="preserve"> </w:t>
      </w:r>
      <w:hyperlink w:anchor="ref-5">
        <w:r>
          <w:rPr>
            <w:rStyle w:val="Hyperlink"/>
          </w:rPr>
          <w:t xml:space="preserve">[5]</w:t>
        </w:r>
      </w:hyperlink>
      <w:r>
        <w:t xml:space="preserve">.</w:t>
      </w:r>
    </w:p>
    <w:p>
      <w:pPr>
        <w:pStyle w:val="BodyText"/>
        <w:spacing w:line="480" w:lineRule="auto"/>
        <w:ind w:firstLine="720"/>
      </w:pPr>
      <w:r>
        <w:t xml:space="preserve">The second intrinsic limit is the framing ambiguity between tragedy and security. A larger corpus would contain more records of each framing, but it would not, on its own, tell the estimator which framing better describes the orbital environment, because both framings are compatible with the same theme signal</w:t>
      </w:r>
      <w:r>
        <w:t xml:space="preserve"> </w:t>
      </w:r>
      <w:hyperlink w:anchor="ref-1">
        <w:r>
          <w:rPr>
            <w:rStyle w:val="Hyperlink"/>
          </w:rPr>
          <w:t xml:space="preserve">[1]</w:t>
        </w:r>
      </w:hyperlink>
      <w:r>
        <w:t xml:space="preserve"> </w:t>
      </w:r>
      <w:hyperlink w:anchor="ref-2">
        <w:r>
          <w:rPr>
            <w:rStyle w:val="Hyperlink"/>
          </w:rPr>
          <w:t xml:space="preserve">[2]</w:t>
        </w:r>
      </w:hyperlink>
      <w:r>
        <w:t xml:space="preserve">. Resolving that ambiguity requires reading each document for the institutional response it endorses, which the topic-signal count does not do</w:t>
      </w:r>
      <w:r>
        <w:t xml:space="preserve"> </w:t>
      </w:r>
      <w:hyperlink w:anchor="ref-9">
        <w:r>
          <w:rPr>
            <w:rStyle w:val="Hyperlink"/>
          </w:rPr>
          <w:t xml:space="preserve">[9]</w:t>
        </w:r>
      </w:hyperlink>
      <w:r>
        <w:t xml:space="preserve">. These two limits are the ones the successor design must confront directly, and distinguishing them from the sample-size limits keeps the path forward honest about what more data can and cannot buy.</w:t>
      </w:r>
    </w:p>
    <w:bookmarkEnd w:id="135"/>
    <w:bookmarkStart w:id="136" w:name="Xe3f4d39262c321887e4ac79f87e022f2deca7d8"/>
    <w:p>
      <w:pPr>
        <w:pStyle w:val="Heading2"/>
        <w:spacing w:line="480" w:lineRule="auto"/>
      </w:pPr>
      <w:r>
        <w:t xml:space="preserve">What a policymaker should and should not take away</w:t>
      </w:r>
    </w:p>
    <w:p>
      <w:pPr>
        <w:pStyle w:val="FirstParagraph"/>
        <w:spacing w:line="480" w:lineRule="auto"/>
      </w:pPr>
      <w:r>
        <w:t xml:space="preserve">A policymaker reading this study should take away two things and leave a third behind. The first takeaway is that the tragedy-or-self-governance topic is a live and rising concern in the technical literature, concentrated in recent proceedings, which argues for attention proportionate to that rising salience rather than complacency</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second is that the topic’s thin presence in higher, institution-facing venues suggests the technical findings have not yet been fully translated into the venues where rules are made, which identifies a specific translation task worth resourcing</w:t>
      </w:r>
      <w:r>
        <w:t xml:space="preserve"> </w:t>
      </w:r>
      <w:hyperlink w:anchor="ref-15">
        <w:r>
          <w:rPr>
            <w:rStyle w:val="Hyperlink"/>
          </w:rPr>
          <w:t xml:space="preserve">[15]</w:t>
        </w:r>
      </w:hyperlink>
      <w:r>
        <w:t xml:space="preserve">.</w:t>
      </w:r>
    </w:p>
    <w:p>
      <w:pPr>
        <w:pStyle w:val="BodyText"/>
        <w:spacing w:line="480" w:lineRule="auto"/>
        <w:ind w:firstLine="720"/>
      </w:pPr>
      <w:r>
        <w:t xml:space="preserve">What the policymaker should leave behind is any inference about efficacy or outcome. This study cannot say that a sustainability rating will change operator behavior, that self-governance will hold, or that tragedy will be averted</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A policymaker who draws those conclusions from a corpus screen has overread the evidence in exactly the way the design warns against</w:t>
      </w:r>
      <w:r>
        <w:t xml:space="preserve"> </w:t>
      </w:r>
      <w:hyperlink w:anchor="ref-4">
        <w:r>
          <w:rPr>
            <w:rStyle w:val="Hyperlink"/>
          </w:rPr>
          <w:t xml:space="preserve">[4]</w:t>
        </w:r>
      </w:hyperlink>
      <w:r>
        <w:t xml:space="preserve">. The correct posture is to treat the corpus structure as a map of the field’s attention, useful for allocating analytic effort, and to demand the successor study’s direct evidence before acting on any claim about whether governance instruments work</w:t>
      </w:r>
      <w:r>
        <w:t xml:space="preserve"> </w:t>
      </w:r>
      <w:hyperlink w:anchor="ref-5">
        <w:r>
          <w:rPr>
            <w:rStyle w:val="Hyperlink"/>
          </w:rPr>
          <w:t xml:space="preserve">[5]</w:t>
        </w:r>
      </w:hyperlink>
      <w:r>
        <w:t xml:space="preserve">.</w:t>
      </w:r>
    </w:p>
    <w:p>
      <w:pPr>
        <w:pStyle w:val="BodyText"/>
        <w:spacing w:line="480" w:lineRule="auto"/>
        <w:ind w:firstLine="720"/>
      </w:pPr>
      <w:r>
        <w:t xml:space="preserve">The value of stopping here rather than reaching further is methodological. Much doctoral work in this field fails by asserting causal governance conclusions its data cannot support, and the corrective is a study that draws the boundary sharply and holds it</w:t>
      </w:r>
      <w:r>
        <w:t xml:space="preserve"> </w:t>
      </w:r>
      <w:hyperlink w:anchor="ref-1">
        <w:r>
          <w:rPr>
            <w:rStyle w:val="Hyperlink"/>
          </w:rPr>
          <w:t xml:space="preserve">[1]</w:t>
        </w:r>
      </w:hyperlink>
      <w:r>
        <w:t xml:space="preserve"> </w:t>
      </w:r>
      <w:hyperlink w:anchor="ref-4">
        <w:r>
          <w:rPr>
            <w:rStyle w:val="Hyperlink"/>
          </w:rPr>
          <w:t xml:space="preserve">[4]</w:t>
        </w:r>
      </w:hyperlink>
      <w:r>
        <w:t xml:space="preserve">. This dissertation’s restraint is its argument. It demonstrates that a modest, deterministic, auditable screen can establish something real about how a governance problem is distributed in the literature, and that the same screen, honestly read, refuses to certify the larger claims that a less disciplined design would smuggle in</w:t>
      </w:r>
      <w:r>
        <w:t xml:space="preserve"> </w:t>
      </w:r>
      <w:hyperlink w:anchor="ref-9">
        <w:r>
          <w:rPr>
            <w:rStyle w:val="Hyperlink"/>
          </w:rPr>
          <w:t xml:space="preserve">[9]</w:t>
        </w:r>
      </w:hyperlink>
      <w:r>
        <w:t xml:space="preserve"> </w:t>
      </w:r>
      <w:hyperlink w:anchor="ref-14">
        <w:r>
          <w:rPr>
            <w:rStyle w:val="Hyperlink"/>
          </w:rPr>
          <w:t xml:space="preserve">[14]</w:t>
        </w:r>
      </w:hyperlink>
      <w:r>
        <w:t xml:space="preserve">. The conclusions chapter draws these threads into a statement of contribution and a path forward.</w:t>
      </w:r>
    </w:p>
    <w:bookmarkEnd w:id="136"/>
    <w:bookmarkEnd w:id="137"/>
    <w:bookmarkStart w:id="177" w:name="conclusions-and-implications"/>
    <w:p>
      <w:pPr>
        <w:pStyle w:val="Heading1"/>
        <w:spacing w:line="480" w:lineRule="auto"/>
      </w:pPr>
      <w:r>
        <w:t xml:space="preserve">Conclusions and Implications</w:t>
      </w:r>
    </w:p>
    <w:p>
      <w:pPr>
        <w:pStyle w:val="FirstParagraph"/>
        <w:spacing w:line="480" w:lineRule="auto"/>
      </w:pPr>
      <w:r>
        <w:t xml:space="preserve">This dissertation asked a small, answerable version of a large question. It did not try to decide whether crowded low Earth orbit shells drift toward tragedy or toward negotiated self-governance. It asked whether that governance problem, as a topic, leaves a structured trace in the documentary record the field produces, and it answered with two auditable estimators over thirty retrieved records. The answer is that the topic is structured, that the structure is carried by recency and venue family, and that the citation channel is too sparse in this corpus to certify</w:t>
      </w:r>
      <w:r>
        <w:t xml:space="preserve"> </w:t>
      </w:r>
      <w:hyperlink w:anchor="ref-1">
        <w:r>
          <w:rPr>
            <w:rStyle w:val="Hyperlink"/>
          </w:rPr>
          <w:t xml:space="preserve">[1]</w:t>
        </w:r>
      </w:hyperlink>
      <w:r>
        <w:t xml:space="preserve"> </w:t>
      </w:r>
      <w:hyperlink w:anchor="ref-5">
        <w:r>
          <w:rPr>
            <w:rStyle w:val="Hyperlink"/>
          </w:rPr>
          <w:t xml:space="preserve">[5]</w:t>
        </w:r>
      </w:hyperlink>
      <w:r>
        <w:t xml:space="preserve">. This closing chapter states the contribution plainly, connects it to governance and program relevance, and lays out the successor design that the boundaries of this study make necessary.</w:t>
      </w:r>
    </w:p>
    <w:bookmarkStart w:id="138" w:name="the-contribution-stated-plainly"/>
    <w:p>
      <w:pPr>
        <w:pStyle w:val="Heading2"/>
        <w:spacing w:line="480" w:lineRule="auto"/>
      </w:pPr>
      <w:r>
        <w:t xml:space="preserve">The contribution, stated plainly</w:t>
      </w:r>
    </w:p>
    <w:p>
      <w:pPr>
        <w:pStyle w:val="FirstParagraph"/>
        <w:spacing w:line="480" w:lineRule="auto"/>
      </w:pPr>
      <w:r>
        <w:t xml:space="preserve">The single falsifiable contribution was a hypothesis pair: the null that topic signal is unrelated to recency, citation, and venue, against the alternative that it is systematically related. The cross-sectional model rejected the null. The omnibus F-test was significant, the three predictors explained roughly a third of the variance in topic-signal intensity, recency carried a positive and significant coefficient, and venue family carried a large, negative, highly significant coefficient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The topic is not scattered at random across the corpus. It is patterned, and the pattern is legible.</w:t>
      </w:r>
    </w:p>
    <w:p>
      <w:pPr>
        <w:pStyle w:val="BodyText"/>
        <w:spacing w:line="480" w:lineRule="auto"/>
        <w:ind w:firstLine="720"/>
      </w:pPr>
      <w:r>
        <w:t xml:space="preserve">Shape matters here. Pattern shape is the substantive finding. Theme signal rises with publication recency, which marks the candidate topic as a live and rising concern rather than a settled one</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Theme signal is densest in the conference-proceedings family and thinner in journal and economics venues, which locates the topic’s center of gravity in the specialist technical community that first surfaced it</w:t>
      </w:r>
      <w:r>
        <w:t xml:space="preserve"> </w:t>
      </w:r>
      <w:hyperlink w:anchor="ref-6">
        <w:r>
          <w:rPr>
            <w:rStyle w:val="Hyperlink"/>
          </w:rPr>
          <w:t xml:space="preserve">[6]</w:t>
        </w:r>
      </w:hyperlink>
      <w:r>
        <w:t xml:space="preserve"> </w:t>
      </w:r>
      <w:hyperlink w:anchor="ref-7">
        <w:r>
          <w:rPr>
            <w:rStyle w:val="Hyperlink"/>
          </w:rPr>
          <w:t xml:space="preserve">[7]</w:t>
        </w:r>
      </w:hyperlink>
      <w:r>
        <w:t xml:space="preserve">. Citation attention and the age-citation elasticity were both insignificant, which says the corpus lacks a certified citation dynamic and cautions against governance arguments that lean on citation counts as proxies for consensus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Each of these claims is tied to a specific coefficient with a specific standard error, and each can be traced back through the workbooks to named sources.</w:t>
      </w:r>
    </w:p>
    <w:p>
      <w:pPr>
        <w:pStyle w:val="BodyText"/>
        <w:spacing w:line="480" w:lineRule="auto"/>
        <w:ind w:firstLine="720"/>
      </w:pPr>
      <w:r>
        <w:t xml:space="preserve">What makes this a doctoral contribution rather than a descriptive exercise is the discipline of the evidence chain. The design converts a broad policy intuition into a test that could have failed, runs the test, and reports the outcome exactly, including the parts that came back weak</w:t>
      </w:r>
      <w:r>
        <w:t xml:space="preserve"> </w:t>
      </w:r>
      <w:hyperlink w:anchor="ref-5">
        <w:r>
          <w:rPr>
            <w:rStyle w:val="Hyperlink"/>
          </w:rPr>
          <w:t xml:space="preserve">[5]</w:t>
        </w:r>
      </w:hyperlink>
      <w:r>
        <w:t xml:space="preserve">. The recency and venue results survived tests they could have failed; the citation and age results failed to reach significance and are reported that way without softening. A study that draws that line honestly, and holds it, models the kind of bounded inference the field needs more of</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bookmarkEnd w:id="138"/>
    <w:bookmarkStart w:id="139" w:name="governance-relevance"/>
    <w:p>
      <w:pPr>
        <w:pStyle w:val="Heading2"/>
        <w:spacing w:line="480" w:lineRule="auto"/>
      </w:pPr>
      <w:r>
        <w:t xml:space="preserve">Governance relevance</w:t>
      </w:r>
    </w:p>
    <w:p>
      <w:pPr>
        <w:pStyle w:val="FirstParagraph"/>
        <w:spacing w:line="480" w:lineRule="auto"/>
      </w:pPr>
      <w:r>
        <w:t xml:space="preserve">These findings speak to space governance obliquely but usefully. The topic’s concentration in recent, technical proceedings carries a practical implication: the tragedy-or-self-governance conversation, in its densest form, has not yet fully migrated out of the specialist community and into the broader institutional and economic venues where binding rules are ultimately negotiated</w:t>
      </w:r>
      <w:r>
        <w:t xml:space="preserve"> </w:t>
      </w:r>
      <w:hyperlink w:anchor="ref-6">
        <w:r>
          <w:rPr>
            <w:rStyle w:val="Hyperlink"/>
          </w:rPr>
          <w:t xml:space="preserve">[6]</w:t>
        </w:r>
      </w:hyperlink>
      <w:r>
        <w:t xml:space="preserve"> </w:t>
      </w:r>
      <w:hyperlink w:anchor="ref-15">
        <w:r>
          <w:rPr>
            <w:rStyle w:val="Hyperlink"/>
          </w:rPr>
          <w:t xml:space="preserve">[15]</w:t>
        </w:r>
      </w:hyperlink>
      <w:r>
        <w:t xml:space="preserve">. A governance problem that remains lodged in technical proceedings is a problem the wider policy apparatus may be under-attending relative to its physical urgency</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For the design of governance instruments, the results counsel a specific humility. Sustainability rating schemes and classification frameworks appear in the corpus and contribute to its theme signal</w:t>
      </w:r>
      <w:r>
        <w:t xml:space="preserve"> </w:t>
      </w:r>
      <w:hyperlink w:anchor="ref-14">
        <w:r>
          <w:rPr>
            <w:rStyle w:val="Hyperlink"/>
          </w:rPr>
          <w:t xml:space="preserve">[14]</w:t>
        </w:r>
      </w:hyperlink>
      <w:r>
        <w:t xml:space="preserve">, but their documentary presence is not evidence of their behavioral effect. A governance actor deciding whether to adopt or mandate such an instrument cannot draw comfort from its prominence in the literature, because prominence in a corpus and effect on operator conduct are different things that this design deliberately keeps separate</w:t>
      </w:r>
      <w:r>
        <w:t xml:space="preserve"> </w:t>
      </w:r>
      <w:hyperlink w:anchor="ref-12">
        <w:r>
          <w:rPr>
            <w:rStyle w:val="Hyperlink"/>
          </w:rPr>
          <w:t xml:space="preserve">[12]</w:t>
        </w:r>
      </w:hyperlink>
      <w:r>
        <w:t xml:space="preserve">. The right lesson is that the field’s attention is real and rising, and that attention is not yet the same as tested efficacy.</w:t>
      </w:r>
    </w:p>
    <w:p>
      <w:pPr>
        <w:pStyle w:val="BodyText"/>
        <w:spacing w:line="480" w:lineRule="auto"/>
        <w:ind w:firstLine="720"/>
      </w:pPr>
      <w:r>
        <w:t xml:space="preserve">There is a program-relevant reading as well. For an organization deciding where to invest analytic effort in space sustainability, the corpus structure is a map of where the field’s attention is concentrated and where it is thin. The recency signal points investment toward the currently unsettled technical questions of shell density and cascade dynamics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venue signal suggests that translating those technical results into the institutional and economic venues remains under-developed, which is precisely the seam where an applied analytic organization can add value: carrying disciplined technical findings across the venue boundary that the corpus shows the topic has not yet crossed</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39"/>
    <w:bookmarkStart w:id="140" w:name="the-successor-design"/>
    <w:p>
      <w:pPr>
        <w:pStyle w:val="Heading2"/>
        <w:spacing w:line="480" w:lineRule="auto"/>
      </w:pPr>
      <w:r>
        <w:t xml:space="preserve">The successor design</w:t>
      </w:r>
    </w:p>
    <w:p>
      <w:pPr>
        <w:pStyle w:val="FirstParagraph"/>
        <w:spacing w:line="480" w:lineRule="auto"/>
      </w:pPr>
      <w:r>
        <w:t xml:space="preserve">A bounded study earns its keep partly by naming what should come next, and the limits documented in this dissertation point clearly at a successor design. The core weakness of the present study is that it measures the field’s attention through metadata proxies rather than measuring the governance problem directly. The topic-signal score is a term-hit count, the citation measure is local and sparse, and the venue code is ordinal and coarse</w:t>
      </w:r>
      <w:r>
        <w:t xml:space="preserve"> </w:t>
      </w:r>
      <w:hyperlink w:anchor="ref-2">
        <w:r>
          <w:rPr>
            <w:rStyle w:val="Hyperlink"/>
          </w:rPr>
          <w:t xml:space="preserve">[2]</w:t>
        </w:r>
      </w:hyperlink>
      <w:r>
        <w:t xml:space="preserve"> </w:t>
      </w:r>
      <w:hyperlink w:anchor="ref-4">
        <w:r>
          <w:rPr>
            <w:rStyle w:val="Hyperlink"/>
          </w:rPr>
          <w:t xml:space="preserve">[4]</w:t>
        </w:r>
      </w:hyperlink>
      <w:r>
        <w:t xml:space="preserve">. A successor design should replace these proxies with direct document coding.</w:t>
      </w:r>
    </w:p>
    <w:p>
      <w:pPr>
        <w:pStyle w:val="BodyText"/>
        <w:spacing w:line="480" w:lineRule="auto"/>
        <w:ind w:firstLine="720"/>
      </w:pPr>
      <w:r>
        <w:t xml:space="preserve">Concretely, the next study would hand-code a larger corpus of governance-relevant documents for the substance the metadata screen can only approximate: whether each document proposes a binding rule or a voluntary norm, whether it frames the problem as a commons tragedy or a security contest, and what operating rule, if any, it endorses</w:t>
      </w:r>
      <w:r>
        <w:t xml:space="preserve"> </w:t>
      </w:r>
      <w:hyperlink w:anchor="ref-1">
        <w:r>
          <w:rPr>
            <w:rStyle w:val="Hyperlink"/>
          </w:rPr>
          <w:t xml:space="preserve">[1]</w:t>
        </w:r>
      </w:hyperlink>
      <w:r>
        <w:t xml:space="preserve"> </w:t>
      </w:r>
      <w:hyperlink w:anchor="ref-9">
        <w:r>
          <w:rPr>
            <w:rStyle w:val="Hyperlink"/>
          </w:rPr>
          <w:t xml:space="preserve">[9]</w:t>
        </w:r>
      </w:hyperlink>
      <w:r>
        <w:t xml:space="preserve">. Coding those dimensions directly would let a researcher test not merely whether the topic is patterned, but whether the balance between tragedy framing and self-governance framing is itself shifting over time, which is the question this design could only gesture toward</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A second extension would pair the documentary record with behavioral outcomes. The present design has no data on what operators actually do, and so it cannot test whether attention or rating schemes translate into changed conduct</w:t>
      </w:r>
      <w:r>
        <w:t xml:space="preserve"> </w:t>
      </w:r>
      <w:hyperlink w:anchor="ref-12">
        <w:r>
          <w:rPr>
            <w:rStyle w:val="Hyperlink"/>
          </w:rPr>
          <w:t xml:space="preserve">[12]</w:t>
        </w:r>
      </w:hyperlink>
      <w:r>
        <w:t xml:space="preserve">. Linking coded governance documents to observable operator behavior, such as disposal compliance or maneuver practice, would close the gap between the corpus and the environment that the current study leaves open. That linkage is where a bibliometric screen graduates into a genuine test of whether self-governance works</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third extension addresses the sample. Thirty records disciplined by simplicity is defensible for a design-stage study, but a successor should retrieve a substantially larger and more systematically sampled corpus, so that the citation channel and the learning curve have the variation they need to be identified</w:t>
      </w:r>
      <w:r>
        <w:t xml:space="preserve"> </w:t>
      </w:r>
      <w:hyperlink w:anchor="ref-1">
        <w:r>
          <w:rPr>
            <w:rStyle w:val="Hyperlink"/>
          </w:rPr>
          <w:t xml:space="preserve">[1]</w:t>
        </w:r>
      </w:hyperlink>
      <w:r>
        <w:t xml:space="preserve"> </w:t>
      </w:r>
      <w:hyperlink w:anchor="ref-12">
        <w:r>
          <w:rPr>
            <w:rStyle w:val="Hyperlink"/>
          </w:rPr>
          <w:t xml:space="preserve">[12]</w:t>
        </w:r>
      </w:hyperlink>
      <w:r>
        <w:t xml:space="preserve">. With a larger sample, the insignificant citation results of this study could be re-tested with real power, and the difference between a genuine absence of citation structure and a mere shortage of data could finally be resolved.</w:t>
      </w:r>
    </w:p>
    <w:bookmarkEnd w:id="140"/>
    <w:bookmarkStart w:id="141" w:name="Xdc0692cd9c55eaaf375447a710ce0a273039453"/>
    <w:p>
      <w:pPr>
        <w:pStyle w:val="Heading2"/>
        <w:spacing w:line="480" w:lineRule="auto"/>
      </w:pPr>
      <w:r>
        <w:t xml:space="preserve">The bounded study as a model for the pipeline</w:t>
      </w:r>
    </w:p>
    <w:p>
      <w:pPr>
        <w:pStyle w:val="FirstParagraph"/>
        <w:spacing w:line="480" w:lineRule="auto"/>
      </w:pPr>
      <w:r>
        <w:t xml:space="preserve">There is a temptation, in a doctoral program that produces many dissertations, to reward the ones that claim the most. This study argues by example for the opposite standard. Its worth lies not in the size of its claim but in the tightness of the fit between what it claims and what it can support</w:t>
      </w:r>
      <w:r>
        <w:t xml:space="preserve"> </w:t>
      </w:r>
      <w:hyperlink w:anchor="ref-4">
        <w:r>
          <w:rPr>
            <w:rStyle w:val="Hyperlink"/>
          </w:rPr>
          <w:t xml:space="preserve">[4]</w:t>
        </w:r>
      </w:hyperlink>
      <w:r>
        <w:t xml:space="preserve"> </w:t>
      </w:r>
      <w:hyperlink w:anchor="ref-5">
        <w:r>
          <w:rPr>
            <w:rStyle w:val="Hyperlink"/>
          </w:rPr>
          <w:t xml:space="preserve">[5]</w:t>
        </w:r>
      </w:hyperlink>
      <w:r>
        <w:t xml:space="preserve">. Every coefficient traces to named sources, every significant result survived a test it could have failed, and every claim the design could not support was withheld rather than smuggled in</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combination, rather than any single finding, is what the study offers as a template.</w:t>
      </w:r>
    </w:p>
    <w:p>
      <w:pPr>
        <w:pStyle w:val="BodyText"/>
        <w:spacing w:line="480" w:lineRule="auto"/>
        <w:ind w:firstLine="720"/>
      </w:pPr>
      <w:r>
        <w:t xml:space="preserve">This template generalizes beyond the topic. Any maturing space-governance question, from spectrum coordination to lunar surface rights, could be screened this way at the design stage, with the same discipline of transparent retrieval, legible estimators, and interpretation bounded to the evidence</w:t>
      </w:r>
      <w:r>
        <w:t xml:space="preserve"> </w:t>
      </w:r>
      <w:hyperlink w:anchor="ref-9">
        <w:r>
          <w:rPr>
            <w:rStyle w:val="Hyperlink"/>
          </w:rPr>
          <w:t xml:space="preserve">[9]</w:t>
        </w:r>
      </w:hyperlink>
      <w:r>
        <w:t xml:space="preserve"> </w:t>
      </w:r>
      <w:hyperlink w:anchor="ref-14">
        <w:r>
          <w:rPr>
            <w:rStyle w:val="Hyperlink"/>
          </w:rPr>
          <w:t xml:space="preserve">[14]</w:t>
        </w:r>
      </w:hyperlink>
      <w:r>
        <w:t xml:space="preserve">. A program that adopted this standard would produce work whose claims a skeptic could check end to end, which is worth more to the field than a larger volume of confident but unverifiable assertion</w:t>
      </w:r>
      <w:r>
        <w:t xml:space="preserve"> </w:t>
      </w:r>
      <w:hyperlink w:anchor="ref-12">
        <w:r>
          <w:rPr>
            <w:rStyle w:val="Hyperlink"/>
          </w:rPr>
          <w:t xml:space="preserve">[12]</w:t>
        </w:r>
      </w:hyperlink>
      <w:r>
        <w:t xml:space="preserve">. The contribution, read at the program level, is a demonstration that restraint and rigor are the same discipline seen from two angles.</w:t>
      </w:r>
    </w:p>
    <w:bookmarkEnd w:id="141"/>
    <w:bookmarkStart w:id="142" w:name="closing"/>
    <w:p>
      <w:pPr>
        <w:pStyle w:val="Heading2"/>
        <w:spacing w:line="480" w:lineRule="auto"/>
      </w:pPr>
      <w:r>
        <w:t xml:space="preserve">Closing</w:t>
      </w:r>
    </w:p>
    <w:p>
      <w:pPr>
        <w:pStyle w:val="FirstParagraph"/>
        <w:spacing w:line="480" w:lineRule="auto"/>
      </w:pPr>
      <w:r>
        <w:t xml:space="preserve">The dissertation set out to show that a large, contested question about space governance could be reduced to a bounded, falsifiable, auditable test, and that the test could be run honestly regardless of how it came out. It succeeded on its own terms. The tragedy-or-self-governance topic leaves a structured trace in the retrieved corpus, concentrated in recent technical proceedings, and that structure was established through an evidence chain a skeptical reader can inspect end to end</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claims that the design cannot support, about causal governance outcomes, about the efficacy of specific instruments, about which framing better describes the orbital environment, were withheld rather than smuggled in</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42"/>
    <w:bookmarkStart w:id="143" w:name="what-the-result-changes-for-the-field"/>
    <w:p>
      <w:pPr>
        <w:pStyle w:val="Heading2"/>
        <w:spacing w:line="480" w:lineRule="auto"/>
      </w:pPr>
      <w:r>
        <w:t xml:space="preserve">What the result changes for the field</w:t>
      </w:r>
    </w:p>
    <w:p>
      <w:pPr>
        <w:pStyle w:val="FirstParagraph"/>
        <w:spacing w:line="480" w:lineRule="auto"/>
      </w:pPr>
      <w:r>
        <w:t xml:space="preserve">It is fair to ask what actually changes if the field accepts this dissertation’s finding. Three things change. The first is a check on unearned confidence. Analysts on both sides of the tragedy-or-self-governance debate write as though the literature backs their view, and the corpus-structure result shows that the literature’s attention is patterned by recency and venue but silent on the citation dynamics that would signal genuine consensus</w:t>
      </w:r>
      <w:r>
        <w:t xml:space="preserve"> </w:t>
      </w:r>
      <w:hyperlink w:anchor="ref-1">
        <w:r>
          <w:rPr>
            <w:rStyle w:val="Hyperlink"/>
          </w:rPr>
          <w:t xml:space="preserve">[1]</w:t>
        </w:r>
      </w:hyperlink>
      <w:r>
        <w:t xml:space="preserve"> </w:t>
      </w:r>
      <w:hyperlink w:anchor="ref-12">
        <w:r>
          <w:rPr>
            <w:rStyle w:val="Hyperlink"/>
          </w:rPr>
          <w:t xml:space="preserve">[12]</w:t>
        </w:r>
      </w:hyperlink>
      <w:r>
        <w:t xml:space="preserve">. A claim of consensus in this field cannot rest on the citation record, because the citation record in this corpus is too sparse to support it. That is a useful discipline on how the debate is conducted.</w:t>
      </w:r>
    </w:p>
    <w:p>
      <w:pPr>
        <w:pStyle w:val="BodyText"/>
        <w:spacing w:line="480" w:lineRule="auto"/>
        <w:ind w:firstLine="720"/>
      </w:pPr>
      <w:r>
        <w:t xml:space="preserve">A second change is a redirection of where translation effort should go. Because the theme is densest in recent technical proceedings and thinnest in the broader journal and economics venues, the field’s own attention map shows an under-crossed boundary between technical findings and institutional venues</w:t>
      </w:r>
      <w:r>
        <w:t xml:space="preserve"> </w:t>
      </w:r>
      <w:hyperlink w:anchor="ref-6">
        <w:r>
          <w:rPr>
            <w:rStyle w:val="Hyperlink"/>
          </w:rPr>
          <w:t xml:space="preserve">[6]</w:t>
        </w:r>
      </w:hyperlink>
      <w:r>
        <w:t xml:space="preserve"> </w:t>
      </w:r>
      <w:hyperlink w:anchor="ref-8">
        <w:r>
          <w:rPr>
            <w:rStyle w:val="Hyperlink"/>
          </w:rPr>
          <w:t xml:space="preserve">[8]</w:t>
        </w:r>
      </w:hyperlink>
      <w:r>
        <w:t xml:space="preserve">. Work that carries the disciplined technical results across that boundary, into the venues where rules are actually negotiated, addresses a gap the corpus itself reveals</w:t>
      </w:r>
      <w:r>
        <w:t xml:space="preserve"> </w:t>
      </w:r>
      <w:hyperlink w:anchor="ref-15">
        <w:r>
          <w:rPr>
            <w:rStyle w:val="Hyperlink"/>
          </w:rPr>
          <w:t xml:space="preserve">[15]</w:t>
        </w:r>
      </w:hyperlink>
      <w:r>
        <w:t xml:space="preserve">. This is a concrete, corpus-grounded steer rather than a general exhortation.</w:t>
      </w:r>
    </w:p>
    <w:p>
      <w:pPr>
        <w:pStyle w:val="BodyText"/>
        <w:spacing w:line="480" w:lineRule="auto"/>
        <w:ind w:firstLine="720"/>
      </w:pPr>
      <w:r>
        <w:t xml:space="preserve">A third change is methodological, and it may outlast the substantive finding. The dissertation demonstrates that a broad, contested space-governance question can be reduced to a bounded, falsifiable, fully auditable test, and that the test can be run and reported honestly regardless of outcome</w:t>
      </w:r>
      <w:r>
        <w:t xml:space="preserve"> </w:t>
      </w:r>
      <w:hyperlink w:anchor="ref-5">
        <w:r>
          <w:rPr>
            <w:rStyle w:val="Hyperlink"/>
          </w:rPr>
          <w:t xml:space="preserve">[5]</w:t>
        </w:r>
      </w:hyperlink>
      <w:r>
        <w:t xml:space="preserve">. That demonstration is portable. The same design could screen any maturing space-governance topic for corpus structure, and the discipline it enforces, of tracing every coefficient to named sources and withholding every claim the data cannot support, is a template other design-stage work can adopt</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43"/>
    <w:bookmarkStart w:id="144" w:name="a-note-on-generalization"/>
    <w:p>
      <w:pPr>
        <w:pStyle w:val="Heading2"/>
        <w:spacing w:line="480" w:lineRule="auto"/>
      </w:pPr>
      <w:r>
        <w:t xml:space="preserve">A note on generalization</w:t>
      </w:r>
    </w:p>
    <w:p>
      <w:pPr>
        <w:pStyle w:val="FirstParagraph"/>
        <w:spacing w:line="480" w:lineRule="auto"/>
      </w:pPr>
      <w:r>
        <w:t xml:space="preserve">These findings generalize cautiously, and the boundary of their generalization is worth stating explicitly. They describe the structure of one purposive retrieval, measured through specific proxies, at one point in the topic’s life cycle</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They do not describe the space-sustainability literature as a whole, and they certainly do not describe the orbital environment itself. A different retrieval, a different theme dictionary, or a later snapshot could shift the estimates, and the successor design is partly a response to exactly this fragility</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p>
      <w:pPr>
        <w:pStyle w:val="BodyText"/>
        <w:spacing w:line="480" w:lineRule="auto"/>
        <w:ind w:firstLine="720"/>
      </w:pPr>
      <w:r>
        <w:t xml:space="preserve">What does generalize is the finding’s form rather than its specific coefficients. The claim that a maturing space-governance topic leaves a recency and venue signature, while its citation dynamics remain too sparse to certify in a young corpus, is a hypothesis other studies can test on other topics and other packs</w:t>
      </w:r>
      <w:r>
        <w:t xml:space="preserve"> </w:t>
      </w:r>
      <w:hyperlink w:anchor="ref-1">
        <w:r>
          <w:rPr>
            <w:rStyle w:val="Hyperlink"/>
          </w:rPr>
          <w:t xml:space="preserve">[1]</w:t>
        </w:r>
      </w:hyperlink>
      <w:r>
        <w:t xml:space="preserve"> </w:t>
      </w:r>
      <w:hyperlink w:anchor="ref-14">
        <w:r>
          <w:rPr>
            <w:rStyle w:val="Hyperlink"/>
          </w:rPr>
          <w:t xml:space="preserve">[14]</w:t>
        </w:r>
      </w:hyperlink>
      <w:r>
        <w:t xml:space="preserve">. If the pattern recurs, it becomes a stylized fact about how such literatures mature; if it does not, the divergence is itself informative. Either way, the present study contributes a testable form, not just a set of numbers, and that is the more durable kind of contribution a bounded design can make.</w:t>
      </w:r>
    </w:p>
    <w:bookmarkEnd w:id="144"/>
    <w:bookmarkStart w:id="145" w:name="Xe1e665b5d874d18056053b101399d25328124f9"/>
    <w:p>
      <w:pPr>
        <w:pStyle w:val="Heading2"/>
        <w:spacing w:line="480" w:lineRule="auto"/>
      </w:pPr>
      <w:r>
        <w:t xml:space="preserve">Implications for how the pipeline evaluates evidence</w:t>
      </w:r>
    </w:p>
    <w:p>
      <w:pPr>
        <w:pStyle w:val="FirstParagraph"/>
        <w:spacing w:line="480" w:lineRule="auto"/>
      </w:pPr>
      <w:r>
        <w:t xml:space="preserve">This dissertation carries a lesson for the broader program that produces work like it, beyond its specific findings about orbital shells. The lesson concerns how a research pipeline should treat metadata-derived evidence. A term-hit signal, a local citation count, and an ordinal venue code are legitimate evidence of corpus structure, and they can reject a real null hypothesis, as the cross-sectional model did here</w:t>
      </w:r>
      <w:r>
        <w:t xml:space="preserve"> </w:t>
      </w:r>
      <w:hyperlink w:anchor="ref-1">
        <w:r>
          <w:rPr>
            <w:rStyle w:val="Hyperlink"/>
          </w:rPr>
          <w:t xml:space="preserve">[1]</w:t>
        </w:r>
      </w:hyperlink>
      <w:r>
        <w:t xml:space="preserve"> </w:t>
      </w:r>
      <w:hyperlink w:anchor="ref-3">
        <w:r>
          <w:rPr>
            <w:rStyle w:val="Hyperlink"/>
          </w:rPr>
          <w:t xml:space="preserve">[3]</w:t>
        </w:r>
      </w:hyperlink>
      <w:r>
        <w:t xml:space="preserve">. But they are not evidence of causal governance impact, and a pipeline that blurs the two invites exactly the overclaiming this study was designed to avoid</w:t>
      </w:r>
      <w:r>
        <w:t xml:space="preserve"> </w:t>
      </w:r>
      <w:hyperlink w:anchor="ref-5">
        <w:r>
          <w:rPr>
            <w:rStyle w:val="Hyperlink"/>
          </w:rPr>
          <w:t xml:space="preserve">[5]</w:t>
        </w:r>
      </w:hyperlink>
      <w:r>
        <w:t xml:space="preserve">.</w:t>
      </w:r>
    </w:p>
    <w:p>
      <w:pPr>
        <w:pStyle w:val="BodyText"/>
        <w:spacing w:line="480" w:lineRule="auto"/>
        <w:ind w:firstLine="720"/>
      </w:pPr>
      <w:r>
        <w:t xml:space="preserve">A practical implication follows: a division of labor. Metadata screens are the right instrument for the prior question, whether a topic is patterned in the way a maturing problem should be, and they can be run cheaply and auditably at the design stage</w:t>
      </w:r>
      <w:r>
        <w:t xml:space="preserve"> </w:t>
      </w:r>
      <w:hyperlink w:anchor="ref-4">
        <w:r>
          <w:rPr>
            <w:rStyle w:val="Hyperlink"/>
          </w:rPr>
          <w:t xml:space="preserve">[4]</w:t>
        </w:r>
      </w:hyperlink>
      <w:r>
        <w:t xml:space="preserve">. Direct document coding and behavioral linkage are the right instruments for the posterior questions, about framing balance and instrument efficacy, and they are more expensive and belong to a later stage</w:t>
      </w:r>
      <w:r>
        <w:t xml:space="preserve"> </w:t>
      </w:r>
      <w:hyperlink w:anchor="ref-9">
        <w:r>
          <w:rPr>
            <w:rStyle w:val="Hyperlink"/>
          </w:rPr>
          <w:t xml:space="preserve">[9]</w:t>
        </w:r>
      </w:hyperlink>
      <w:r>
        <w:t xml:space="preserve"> </w:t>
      </w:r>
      <w:hyperlink w:anchor="ref-12">
        <w:r>
          <w:rPr>
            <w:rStyle w:val="Hyperlink"/>
          </w:rPr>
          <w:t xml:space="preserve">[12]</w:t>
        </w:r>
      </w:hyperlink>
      <w:r>
        <w:t xml:space="preserve">. A well-designed pipeline sequences these: screen first, code second, and never let the screen’s conclusions masquerade as the coding’s. This dissertation is an instance of the first stage done honestly, and its clearest program-level contribution is to model that stage cleanly</w:t>
      </w:r>
      <w:r>
        <w:t xml:space="preserve"> </w:t>
      </w:r>
      <w:hyperlink w:anchor="ref-14">
        <w:r>
          <w:rPr>
            <w:rStyle w:val="Hyperlink"/>
          </w:rPr>
          <w:t xml:space="preserve">[14]</w:t>
        </w:r>
      </w:hyperlink>
      <w:r>
        <w:t xml:space="preserve">.</w:t>
      </w:r>
    </w:p>
    <w:bookmarkEnd w:id="145"/>
    <w:bookmarkStart w:id="146" w:name="a-final-accounting-of-the-claim"/>
    <w:p>
      <w:pPr>
        <w:pStyle w:val="Heading2"/>
        <w:spacing w:line="480" w:lineRule="auto"/>
      </w:pPr>
      <w:r>
        <w:t xml:space="preserve">A final accounting of the claim</w:t>
      </w:r>
    </w:p>
    <w:p>
      <w:pPr>
        <w:pStyle w:val="FirstParagraph"/>
        <w:spacing w:line="480" w:lineRule="auto"/>
      </w:pPr>
      <w:r>
        <w:t xml:space="preserve">It is worth stating, one last time and without hedging, exactly what this dissertation has and has not shown, so that no reader carries away more than the evidence supports. It has shown that in a corpus of thirty retrieved records, topic-signal intensity is jointly related to recency, citation, and venue at conventional significance, that recency is positively and significantly associated with signal, and that venue family is negatively and highly significantly associated with signal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It has shown that citation attention and the age-citation elasticity are not significant in this corpus, and that these nulls reflect a citation-sparse pack rather than a proven absence of structure in the wider literature</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It has not shown that low Earth orbit is headed for tragedy or self-governance, that any proposed instrument works, or which framing better describes the orbital environment</w:t>
      </w:r>
      <w:r>
        <w:t xml:space="preserve"> </w:t>
      </w:r>
      <w:hyperlink w:anchor="ref-5">
        <w:r>
          <w:rPr>
            <w:rStyle w:val="Hyperlink"/>
          </w:rPr>
          <w:t xml:space="preserve">[5]</w:t>
        </w:r>
      </w:hyperlink>
      <w:r>
        <w:t xml:space="preserve"> </w:t>
      </w:r>
      <w:hyperlink w:anchor="ref-9">
        <w:r>
          <w:rPr>
            <w:rStyle w:val="Hyperlink"/>
          </w:rPr>
          <w:t xml:space="preserve">[9]</w:t>
        </w:r>
      </w:hyperlink>
      <w:r>
        <w:t xml:space="preserve">. Those questions remain open, and the successor design named here is the instrument that could begin to close them. The account is deliberately modest, and the modesty is the discipline that makes the positive findings trustworthy: a study that refuses the claims it cannot support earns the ones it can</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46"/>
    <w:bookmarkStart w:id="147" w:name="the-sequence-of-studies-this-opens"/>
    <w:p>
      <w:pPr>
        <w:pStyle w:val="Heading2"/>
        <w:spacing w:line="480" w:lineRule="auto"/>
      </w:pPr>
      <w:r>
        <w:t xml:space="preserve">The sequence of studies this opens</w:t>
      </w:r>
    </w:p>
    <w:p>
      <w:pPr>
        <w:pStyle w:val="FirstParagraph"/>
        <w:spacing w:line="480" w:lineRule="auto"/>
      </w:pPr>
      <w:r>
        <w:t xml:space="preserve">It is useful to sketch the full sequence of studies this dissertation opens, because a design-stage contribution is best judged by the research program it makes possible. The present study is stage one: a corpus screen that establishes whether the topic is patterned, run cheaply and auditably, and answered in the affirmative for recency and venue</w:t>
      </w:r>
      <w:r>
        <w:t xml:space="preserve"> </w:t>
      </w:r>
      <w:hyperlink w:anchor="ref-1">
        <w:r>
          <w:rPr>
            <w:rStyle w:val="Hyperlink"/>
          </w:rPr>
          <w:t xml:space="preserve">[1]</w:t>
        </w:r>
      </w:hyperlink>
      <w:r>
        <w:t xml:space="preserve"> </w:t>
      </w:r>
      <w:hyperlink w:anchor="ref-3">
        <w:r>
          <w:rPr>
            <w:rStyle w:val="Hyperlink"/>
          </w:rPr>
          <w:t xml:space="preserve">[3]</w:t>
        </w:r>
      </w:hyperlink>
      <w:r>
        <w:t xml:space="preserve">. Stage two is the document-coding study, which would hand-code a larger corpus for governance content, testing whether the balance between tragedy and self-governance framing shifts over time</w:t>
      </w:r>
      <w:r>
        <w:t xml:space="preserve"> </w:t>
      </w:r>
      <w:hyperlink w:anchor="ref-5">
        <w:r>
          <w:rPr>
            <w:rStyle w:val="Hyperlink"/>
          </w:rPr>
          <w:t xml:space="preserve">[5]</w:t>
        </w:r>
      </w:hyperlink>
      <w:r>
        <w:t xml:space="preserve"> </w:t>
      </w:r>
      <w:hyperlink w:anchor="ref-9">
        <w:r>
          <w:rPr>
            <w:rStyle w:val="Hyperlink"/>
          </w:rPr>
          <w:t xml:space="preserve">[9]</w:t>
        </w:r>
      </w:hyperlink>
      <w:r>
        <w:t xml:space="preserve">. Stage three is the behavioral-linkage study, which would connect coded governance documents to observable operator conduct, finally testing whether attention and instruments translate into changed behavior in orbit</w:t>
      </w:r>
      <w:r>
        <w:t xml:space="preserve"> </w:t>
      </w:r>
      <w:hyperlink w:anchor="ref-12">
        <w:r>
          <w:rPr>
            <w:rStyle w:val="Hyperlink"/>
          </w:rPr>
          <w:t xml:space="preserve">[12]</w:t>
        </w:r>
      </w:hyperlink>
      <w:r>
        <w:t xml:space="preserve">.</w:t>
      </w:r>
    </w:p>
    <w:p>
      <w:pPr>
        <w:pStyle w:val="BodyText"/>
        <w:spacing w:line="480" w:lineRule="auto"/>
        <w:ind w:firstLine="720"/>
      </w:pPr>
      <w:r>
        <w:t xml:space="preserve">Each stage answers a question the prior stage could only pose, and each requires evidence the prior stage did not need. The screen needs only metadata; the coding study needs trained coders and a codebook; the linkage study needs operator behavioral data that may require new collection</w:t>
      </w:r>
      <w:r>
        <w:t xml:space="preserve"> </w:t>
      </w:r>
      <w:hyperlink w:anchor="ref-4">
        <w:r>
          <w:rPr>
            <w:rStyle w:val="Hyperlink"/>
          </w:rPr>
          <w:t xml:space="preserve">[4]</w:t>
        </w:r>
      </w:hyperlink>
      <w:r>
        <w:t xml:space="preserve"> </w:t>
      </w:r>
      <w:hyperlink w:anchor="ref-8">
        <w:r>
          <w:rPr>
            <w:rStyle w:val="Hyperlink"/>
          </w:rPr>
          <w:t xml:space="preserve">[8]</w:t>
        </w:r>
      </w:hyperlink>
      <w:r>
        <w:t xml:space="preserve">. Laying out the sequence makes the present study’s role precise. It is the foundation, not the capstone, and its value is measured partly by how cleanly it sets up the stages that follow</w:t>
      </w:r>
      <w:r>
        <w:t xml:space="preserve"> </w:t>
      </w:r>
      <w:hyperlink w:anchor="ref-14">
        <w:r>
          <w:rPr>
            <w:rStyle w:val="Hyperlink"/>
          </w:rPr>
          <w:t xml:space="preserve">[14]</w:t>
        </w:r>
      </w:hyperlink>
      <w:r>
        <w:t xml:space="preserve">. A screen that established structure honestly, and named exactly what it could not resolve, is the right foundation for that program.</w:t>
      </w:r>
    </w:p>
    <w:p>
      <w:pPr>
        <w:pStyle w:val="BodyText"/>
        <w:spacing w:line="480" w:lineRule="auto"/>
        <w:ind w:firstLine="720"/>
      </w:pPr>
      <w:r>
        <w:t xml:space="preserve">That withholding is the point. The environment above us is filling faster than the rules that govern it, and the temptation in this field is to answer the urgency with confident narrative</w:t>
      </w:r>
      <w:r>
        <w:t xml:space="preserve"> </w:t>
      </w:r>
      <w:hyperlink w:anchor="ref-7">
        <w:r>
          <w:rPr>
            <w:rStyle w:val="Hyperlink"/>
          </w:rPr>
          <w:t xml:space="preserve">[7]</w:t>
        </w:r>
      </w:hyperlink>
      <w:r>
        <w:t xml:space="preserve"> </w:t>
      </w:r>
      <w:hyperlink w:anchor="ref-8">
        <w:r>
          <w:rPr>
            <w:rStyle w:val="Hyperlink"/>
          </w:rPr>
          <w:t xml:space="preserve">[8]</w:t>
        </w:r>
      </w:hyperlink>
      <w:r>
        <w:t xml:space="preserve">. This dissertation answers it instead with a disciplined measurement of what the literature actually shows, and with an honest account of what it does not. The successor design named here would carry the question further; the present study establishes the foundation on which that further work can stand, and it does so without claiming an inch more than its thirty records, measured and modeled as documented, can bear</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147"/>
    <w:bookmarkStart w:id="176" w:name="references"/>
    <w:p>
      <w:pPr>
        <w:pStyle w:val="Heading2"/>
        <w:spacing w:line="480" w:lineRule="auto"/>
      </w:pPr>
      <w:r>
        <w:t xml:space="preserve">References</w:t>
      </w:r>
    </w:p>
    <w:p>
      <w:pPr>
        <w:pStyle w:val="FirstParagraph"/>
        <w:spacing w:line="480" w:lineRule="auto"/>
      </w:pPr>
      <w:bookmarkStart w:id="148" w:name="ref-1"/>
      <w:bookmarkEnd w:id="148"/>
      <w:r>
        <w:t xml:space="preserve">1. Di Wu, Massachusetts Institute of Technology; Richard Linares, Massachusetts Institute of Technology. Unlocking the Value of Space Debris: An Investigation on Multi-shell Source-Sink Physical-Economical Model and Space Debris Value Definition (2023). doi:</w:t>
      </w:r>
      <w:r>
        <w:t xml:space="preserve"> </w:t>
      </w:r>
      <w:hyperlink r:id="rId149">
        <w:r>
          <w:rPr>
            <w:rStyle w:val="Hyperlink"/>
          </w:rPr>
          <w:t xml:space="preserve">10.64861/IGYM9299</w:t>
        </w:r>
      </w:hyperlink>
    </w:p>
    <w:p>
      <w:pPr>
        <w:pStyle w:val="BodyText"/>
        <w:spacing w:line="480" w:lineRule="auto"/>
        <w:ind w:firstLine="720"/>
      </w:pPr>
      <w:bookmarkStart w:id="150" w:name="ref-2"/>
      <w:bookmarkEnd w:id="150"/>
      <w:r>
        <w:t xml:space="preserve">2. Todd Harrison, Center for Strategic and International Studies. International Perspectives on Space Weapons (2020). [AMOS]</w:t>
      </w:r>
    </w:p>
    <w:p>
      <w:pPr>
        <w:pStyle w:val="BodyText"/>
        <w:spacing w:line="480" w:lineRule="auto"/>
        <w:ind w:firstLine="720"/>
      </w:pPr>
      <w:bookmarkStart w:id="151" w:name="ref-3"/>
      <w:bookmarkEnd w:id="151"/>
      <w:r>
        <w:t xml:space="preserve">3. Naomi Owens-Fahrner, BAE Systems; Joshua Wysack, BAE Systems; Justin Kim, BAE Systems. Graph-Based Optimization for High-Density LEO Constellation Design (2025). doi:</w:t>
      </w:r>
      <w:r>
        <w:t xml:space="preserve"> </w:t>
      </w:r>
      <w:hyperlink r:id="rId152">
        <w:r>
          <w:rPr>
            <w:rStyle w:val="Hyperlink"/>
          </w:rPr>
          <w:t xml:space="preserve">10.64861/IKLU8599</w:t>
        </w:r>
      </w:hyperlink>
    </w:p>
    <w:p>
      <w:pPr>
        <w:pStyle w:val="BodyText"/>
        <w:spacing w:line="480" w:lineRule="auto"/>
        <w:ind w:firstLine="720"/>
      </w:pPr>
      <w:bookmarkStart w:id="153" w:name="ref-4"/>
      <w:bookmarkEnd w:id="153"/>
      <w:r>
        <w:t xml:space="preserve">4. Mark Sturza, Viasat; Mark Dankberg, Viasat; William Blount, Viasat. Resilience of LEO Constellations to Accidental and Intentional Fragmentation Events (2024). doi:</w:t>
      </w:r>
      <w:r>
        <w:t xml:space="preserve"> </w:t>
      </w:r>
      <w:hyperlink r:id="rId154">
        <w:r>
          <w:rPr>
            <w:rStyle w:val="Hyperlink"/>
          </w:rPr>
          <w:t xml:space="preserve">10.64861/ZFDQ4641</w:t>
        </w:r>
      </w:hyperlink>
    </w:p>
    <w:p>
      <w:pPr>
        <w:pStyle w:val="BodyText"/>
        <w:spacing w:line="480" w:lineRule="auto"/>
        <w:ind w:firstLine="720"/>
      </w:pPr>
      <w:bookmarkStart w:id="155" w:name="ref-5"/>
      <w:bookmarkEnd w:id="155"/>
      <w:r>
        <w:t xml:space="preserve">5.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56">
        <w:r>
          <w:rPr>
            <w:rStyle w:val="Hyperlink"/>
          </w:rPr>
          <w:t xml:space="preserve">10.64861/FKER7625</w:t>
        </w:r>
      </w:hyperlink>
    </w:p>
    <w:p>
      <w:pPr>
        <w:pStyle w:val="BodyText"/>
        <w:spacing w:line="480" w:lineRule="auto"/>
        <w:ind w:firstLine="720"/>
      </w:pPr>
      <w:bookmarkStart w:id="157" w:name="ref-6"/>
      <w:bookmarkEnd w:id="157"/>
      <w:r>
        <w:t xml:space="preserve">6. Valentin Eder, Space Analyses GmbH; Christian Unfried, Space Analyses GmbH. A Systems Theory Approach for Evaluating the Cascading Collision Potential of Orbital Shells (2022). [AMOS]</w:t>
      </w:r>
    </w:p>
    <w:p>
      <w:pPr>
        <w:pStyle w:val="BodyText"/>
        <w:spacing w:line="480" w:lineRule="auto"/>
        <w:ind w:firstLine="720"/>
      </w:pPr>
      <w:bookmarkStart w:id="158" w:name="ref-7"/>
      <w:bookmarkEnd w:id="158"/>
      <w:r>
        <w:t xml:space="preserve">7. Daniel Jang, Massachusetts Institute of Technology; Andrea D’Ambrosio, Massachusetts Institute of Technology; Miles Lifson, Massachusetts Institute of Technology; Celina Pasiecznik, Massachusetts Institute of Technology; Richard Linares, Massachusetts Institute of Technology. Stability of the LEO Environment as a Dynamical System (2022). [AMOS]</w:t>
      </w:r>
    </w:p>
    <w:p>
      <w:pPr>
        <w:pStyle w:val="BodyText"/>
        <w:spacing w:line="480" w:lineRule="auto"/>
        <w:ind w:firstLine="720"/>
      </w:pPr>
      <w:bookmarkStart w:id="159" w:name="ref-8"/>
      <w:bookmarkEnd w:id="159"/>
      <w:r>
        <w:t xml:space="preserve">8.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p>
    <w:p>
      <w:pPr>
        <w:pStyle w:val="BodyText"/>
        <w:spacing w:line="480" w:lineRule="auto"/>
        <w:ind w:firstLine="720"/>
      </w:pPr>
      <w:bookmarkStart w:id="160" w:name="ref-9"/>
      <w:bookmarkEnd w:id="160"/>
      <w:r>
        <w:t xml:space="preserve">9.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61">
        <w:r>
          <w:rPr>
            <w:rStyle w:val="Hyperlink"/>
          </w:rPr>
          <w:t xml:space="preserve">10.1016/j.actaastro.2023.07.009</w:t>
        </w:r>
      </w:hyperlink>
    </w:p>
    <w:p>
      <w:pPr>
        <w:pStyle w:val="BodyText"/>
        <w:spacing w:line="480" w:lineRule="auto"/>
        <w:ind w:firstLine="720"/>
      </w:pPr>
      <w:bookmarkStart w:id="162" w:name="ref-10"/>
      <w:bookmarkEnd w:id="162"/>
      <w:r>
        <w:t xml:space="preserve">10. Laura Pernigoni; Ugo Lafont; Antonio Mattia Grande. Self-healing polymers for space: A study on autonomous repair performance and response to space radiation (2023). doi:</w:t>
      </w:r>
      <w:r>
        <w:t xml:space="preserve"> </w:t>
      </w:r>
      <w:hyperlink r:id="rId163">
        <w:r>
          <w:rPr>
            <w:rStyle w:val="Hyperlink"/>
          </w:rPr>
          <w:t xml:space="preserve">10.1016/j.actaastro.2023.05.032</w:t>
        </w:r>
      </w:hyperlink>
    </w:p>
    <w:p>
      <w:pPr>
        <w:pStyle w:val="BodyText"/>
        <w:spacing w:line="480" w:lineRule="auto"/>
        <w:ind w:firstLine="720"/>
      </w:pPr>
      <w:bookmarkStart w:id="164" w:name="ref-11"/>
      <w:bookmarkEnd w:id="164"/>
      <w:r>
        <w:t xml:space="preserve">11. Atsuhiko Senba; Yoichi Tsuji; Hiroshi Furuya. Fundamental characteristics of self-deployable convex shells using shape memory polymer (2020). doi:</w:t>
      </w:r>
      <w:r>
        <w:t xml:space="preserve"> </w:t>
      </w:r>
      <w:hyperlink r:id="rId165">
        <w:r>
          <w:rPr>
            <w:rStyle w:val="Hyperlink"/>
          </w:rPr>
          <w:t xml:space="preserve">10.1016/j.actaastro.2020.11.037</w:t>
        </w:r>
      </w:hyperlink>
    </w:p>
    <w:p>
      <w:pPr>
        <w:pStyle w:val="BodyText"/>
        <w:spacing w:line="480" w:lineRule="auto"/>
        <w:ind w:firstLine="720"/>
      </w:pPr>
      <w:bookmarkStart w:id="166" w:name="ref-12"/>
      <w:bookmarkEnd w:id="166"/>
      <w:r>
        <w:t xml:space="preserve">12. Nihal Simha; Simone Servadio; Miles Lifson; Giovanni Lavezzi; Richard Linares. Optimal Active Debris Removal mission planning to inform policy decisions (2024). doi:</w:t>
      </w:r>
      <w:r>
        <w:t xml:space="preserve"> </w:t>
      </w:r>
      <w:hyperlink r:id="rId167">
        <w:r>
          <w:rPr>
            <w:rStyle w:val="Hyperlink"/>
          </w:rPr>
          <w:t xml:space="preserve">10.1016/j.actaastro.2024.11.050</w:t>
        </w:r>
      </w:hyperlink>
    </w:p>
    <w:p>
      <w:pPr>
        <w:pStyle w:val="BodyText"/>
        <w:spacing w:line="480" w:lineRule="auto"/>
        <w:ind w:firstLine="720"/>
      </w:pPr>
      <w:bookmarkStart w:id="168" w:name="ref-13"/>
      <w:bookmarkEnd w:id="168"/>
      <w:r>
        <w:t xml:space="preserve">13. Farouk Abdulhamid; Brendan P. Sullivan; Sergio Terzi. Factory in space: A review of material and manufacturing technologies (2025). doi:</w:t>
      </w:r>
      <w:r>
        <w:t xml:space="preserve"> </w:t>
      </w:r>
      <w:hyperlink r:id="rId169">
        <w:r>
          <w:rPr>
            <w:rStyle w:val="Hyperlink"/>
          </w:rPr>
          <w:t xml:space="preserve">10.1016/j.actaastro.2025.01.007</w:t>
        </w:r>
      </w:hyperlink>
    </w:p>
    <w:p>
      <w:pPr>
        <w:pStyle w:val="BodyText"/>
        <w:spacing w:line="480" w:lineRule="auto"/>
        <w:ind w:firstLine="720"/>
      </w:pPr>
      <w:bookmarkStart w:id="170" w:name="ref-14"/>
      <w:bookmarkEnd w:id="170"/>
      <w:r>
        <w:t xml:space="preserve">14.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71">
        <w:r>
          <w:rPr>
            <w:rStyle w:val="Hyperlink"/>
          </w:rPr>
          <w:t xml:space="preserve">10.1016/j.actaastro.2025.03.034</w:t>
        </w:r>
      </w:hyperlink>
    </w:p>
    <w:p>
      <w:pPr>
        <w:pStyle w:val="BodyText"/>
        <w:spacing w:line="480" w:lineRule="auto"/>
        <w:ind w:firstLine="720"/>
      </w:pPr>
      <w:bookmarkStart w:id="172" w:name="ref-15"/>
      <w:bookmarkEnd w:id="172"/>
      <w:r>
        <w:t xml:space="preserve">15. Jie Long; Wenzhen Chen. Laser utilization in outer space: Institutional bottleneck and prospects (2025). doi:</w:t>
      </w:r>
      <w:r>
        <w:t xml:space="preserve"> </w:t>
      </w:r>
      <w:hyperlink r:id="rId173">
        <w:r>
          <w:rPr>
            <w:rStyle w:val="Hyperlink"/>
          </w:rPr>
          <w:t xml:space="preserve">10.1016/j.actaastro.2025.01.061</w:t>
        </w:r>
      </w:hyperlink>
    </w:p>
    <w:p>
      <w:pPr>
        <w:pStyle w:val="BodyText"/>
        <w:spacing w:line="480" w:lineRule="auto"/>
        <w:ind w:firstLine="720"/>
      </w:pPr>
      <w:bookmarkStart w:id="174" w:name="ref-16"/>
      <w:bookmarkEnd w:id="174"/>
      <w:r>
        <w:t xml:space="preserve">16. Chris Reiss; Justin C. Feng. Redshifted civilizations, galactic empires, and the Fermi paradox (2026). doi:</w:t>
      </w:r>
      <w:r>
        <w:t xml:space="preserve"> </w:t>
      </w:r>
      <w:hyperlink r:id="rId175">
        <w:r>
          <w:rPr>
            <w:rStyle w:val="Hyperlink"/>
          </w:rPr>
          <w:t xml:space="preserve">10.1016/j.actaastro.2026.04.003</w:t>
        </w:r>
      </w:hyperlink>
    </w:p>
    <w:bookmarkEnd w:id="176"/>
    <w:bookmarkEnd w:id="177"/>
    <w:bookmarkStart w:id="19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5" w:name="X8ca17e83d29257b3e421a88a5ef5b86f89018b3"/>
    <w:p>
      <w:pPr>
        <w:pStyle w:val="Heading2"/>
        <w:spacing w:line="480" w:lineRule="auto"/>
      </w:pPr>
      <w:r>
        <w:t xml:space="preserve">A.1 Signal Intensity in Tragedy or Self-Governance An Empirical Test of Whether LEO Shells With Concent: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4.1063</w:t>
            </w:r>
          </w:p>
        </w:tc>
        <w:tc>
          <w:tcPr>
            <w:tcW w:w="0" w:type="auto"/>
          </w:tcPr>
          <w:p>
            <w:pPr>
              <w:spacing w:line="240" w:lineRule="auto" w:before="0" w:after="0"/>
              <w:pStyle w:val="Compact"/>
            </w:pPr>
            <w:r>
              <w:rPr>
                <w:sz w:val="20"/>
                <w:szCs w:val="20"/>
              </w:rPr>
              <w:t xml:space="preserve">2.1498</w:t>
            </w:r>
          </w:p>
        </w:tc>
        <w:tc>
          <w:tcPr>
            <w:tcW w:w="0" w:type="auto"/>
          </w:tcPr>
          <w:p>
            <w:pPr>
              <w:spacing w:line="240" w:lineRule="auto" w:before="0" w:after="0"/>
              <w:pStyle w:val="Compact"/>
            </w:pPr>
            <w:r>
              <w:rPr>
                <w:sz w:val="20"/>
                <w:szCs w:val="20"/>
              </w:rPr>
              <w:t xml:space="preserve">1.9101</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[-0.1073, 8.3199]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0.1343</w:t>
            </w:r>
          </w:p>
        </w:tc>
        <w:tc>
          <w:tcPr>
            <w:tcW w:w="0" w:type="auto"/>
          </w:tcPr>
          <w:p>
            <w:pPr>
              <w:spacing w:line="240" w:lineRule="auto" w:before="0" w:after="0"/>
              <w:pStyle w:val="Compact"/>
            </w:pPr>
            <w:r>
              <w:rPr>
                <w:sz w:val="20"/>
                <w:szCs w:val="20"/>
              </w:rPr>
              <w:t xml:space="preserve">2.3088</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[0.0468, 0.5731]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-0.0871</w:t>
            </w:r>
          </w:p>
        </w:tc>
        <w:tc>
          <w:tcPr>
            <w:tcW w:w="0" w:type="auto"/>
          </w:tcPr>
          <w:p>
            <w:pPr>
              <w:spacing w:line="240" w:lineRule="auto" w:before="0" w:after="0"/>
              <w:pStyle w:val="Compact"/>
            </w:pPr>
            <w:r>
              <w:rPr>
                <w:sz w:val="20"/>
                <w:szCs w:val="20"/>
              </w:rPr>
              <w:t xml:space="preserve">0.0641</w:t>
            </w:r>
          </w:p>
        </w:tc>
        <w:tc>
          <w:tcPr>
            <w:tcW w:w="0" w:type="auto"/>
          </w:tcPr>
          <w:p>
            <w:pPr>
              <w:spacing w:line="240" w:lineRule="auto" w:before="0" w:after="0"/>
              <w:pStyle w:val="Compact"/>
            </w:pPr>
            <w:r>
              <w:rPr>
                <w:sz w:val="20"/>
                <w:szCs w:val="20"/>
              </w:rPr>
              <w:t xml:space="preserve">-1.359</w:t>
            </w:r>
          </w:p>
        </w:tc>
        <w:tc>
          <w:tcPr>
            <w:tcW w:w="0" w:type="auto"/>
          </w:tcPr>
          <w:p>
            <w:pPr>
              <w:spacing w:line="240" w:lineRule="auto" w:before="0" w:after="0"/>
              <w:pStyle w:val="Compact"/>
            </w:pPr>
            <w:r>
              <w:rPr>
                <w:sz w:val="20"/>
                <w:szCs w:val="20"/>
              </w:rPr>
              <w:t xml:space="preserve">0.1741</w:t>
            </w:r>
          </w:p>
        </w:tc>
        <w:tc>
          <w:tcPr>
            <w:tcW w:w="0" w:type="auto"/>
          </w:tcPr>
          <w:p>
            <w:pPr>
              <w:spacing w:line="240" w:lineRule="auto" w:before="0" w:after="0"/>
              <w:pStyle w:val="Compact"/>
            </w:pPr>
            <w:r>
              <w:rPr>
                <w:sz w:val="20"/>
                <w:szCs w:val="20"/>
              </w:rPr>
              <w:t xml:space="preserve">[-0.2126, 0.0385]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-1.7205</w:t>
            </w:r>
          </w:p>
        </w:tc>
        <w:tc>
          <w:tcPr>
            <w:tcW w:w="0" w:type="auto"/>
          </w:tcPr>
          <w:p>
            <w:pPr>
              <w:spacing w:line="240" w:lineRule="auto" w:before="0" w:after="0"/>
              <w:pStyle w:val="Compact"/>
            </w:pPr>
            <w:r>
              <w:rPr>
                <w:sz w:val="20"/>
                <w:szCs w:val="20"/>
              </w:rPr>
              <w:t xml:space="preserve">0.5905</w:t>
            </w:r>
          </w:p>
        </w:tc>
        <w:tc>
          <w:tcPr>
            <w:tcW w:w="0" w:type="auto"/>
          </w:tcPr>
          <w:p>
            <w:pPr>
              <w:spacing w:line="240" w:lineRule="auto" w:before="0" w:after="0"/>
              <w:pStyle w:val="Compact"/>
            </w:pPr>
            <w:r>
              <w:rPr>
                <w:sz w:val="20"/>
                <w:szCs w:val="20"/>
              </w:rPr>
              <w:t xml:space="preserve">-2.9137</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[-2.8779, -0.5632]</w:t>
            </w:r>
          </w:p>
        </w:tc>
      </w:tr>
    </w:tbl>
    <w:p>
      <w:pPr>
        <w:pStyle w:val="BodyText"/>
        <w:spacing w:line="480" w:lineRule="auto"/>
        <w:ind w:firstLine="720"/>
      </w:pPr>
      <w:r>
        <w:t xml:space="preserve">Fit: N = 30 R2 = 0.3592 R2_adj = 0.2853 F = 5.5616 F_p = 0.0044</w:t>
      </w:r>
    </w:p>
    <w:bookmarkEnd w:id="178"/>
    <w:bookmarkStart w:id="18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0" name="Picture"/>
            <a:graphic>
              <a:graphicData uri="http://schemas.openxmlformats.org/drawingml/2006/picture">
                <pic:pic>
                  <pic:nvPicPr>
                    <pic:cNvPr descr="D:/Claude_Code/brain/collegium/candidates/dissertations/SUSTAINABILITY_INSTITUTIONS_11/research_papers/p1/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2"/>
    <w:bookmarkStart w:id="18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10.64861/IGYM9299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https://amostech.space/year/2022/a-systems-theory-approach-for-evaluating-the-cascading-collision-potential-of-orbital-shells/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https://amostech.space/year/2022/stability-of-the-leo-environment-as-a-dynamical-system/</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https://amostech.space/year/2010/adaptive-optics-at-the-worlds-biggest-optical-telescope/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10.64861/QGVF6609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10.64861/FJYT8606</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10.1016/j.actaastro.2023.05.032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10.1016/j.actaastro.2020.11.037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10.1016/j.actaastro.2026.04.003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10.1016/j.actaastro.2019.10.014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Density-Based Evolutionary Model of LEO Debris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Safety Considerations for Large Constellations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10.1016/j.actaastro.2024.03.008</w:t>
            </w:r>
          </w:p>
        </w:tc>
      </w:tr>
    </w:tbl>
    <w:bookmarkEnd w:id="183"/>
    <w:bookmarkStart w:id="18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4"/>
    <w:bookmarkEnd w:id="185"/>
    <w:bookmarkStart w:id="193" w:name="X04745c6ad86dca8f29047d62f6d82ca816b1cf4"/>
    <w:p>
      <w:pPr>
        <w:pStyle w:val="Heading2"/>
        <w:spacing w:line="480" w:lineRule="auto"/>
      </w:pPr>
      <w:r>
        <w:t xml:space="preserve">A.2 Attention Accumulation in Tragedy or Self-Governance An Empirical Test of Whether LEO Shells With Concent: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1.1513</w:t>
            </w:r>
          </w:p>
        </w:tc>
        <w:tc>
          <w:tcPr>
            <w:tcW w:w="0" w:type="auto"/>
          </w:tcPr>
          <w:p>
            <w:pPr>
              <w:spacing w:line="240" w:lineRule="auto" w:before="0" w:after="0"/>
              <w:pStyle w:val="Compact"/>
            </w:pPr>
            <w:r>
              <w:rPr>
                <w:sz w:val="20"/>
                <w:szCs w:val="20"/>
              </w:rPr>
              <w:t xml:space="preserve">0.5078</w:t>
            </w:r>
          </w:p>
        </w:tc>
        <w:tc>
          <w:tcPr>
            <w:tcW w:w="0" w:type="auto"/>
          </w:tcPr>
          <w:p>
            <w:pPr>
              <w:spacing w:line="240" w:lineRule="auto" w:before="0" w:after="0"/>
              <w:pStyle w:val="Compact"/>
            </w:pPr>
            <w:r>
              <w:rPr>
                <w:sz w:val="20"/>
                <w:szCs w:val="20"/>
              </w:rPr>
              <w:t xml:space="preserve">2.2673</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[0.156, 2.1465]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-0.3039</w:t>
            </w:r>
          </w:p>
        </w:tc>
        <w:tc>
          <w:tcPr>
            <w:tcW w:w="0" w:type="auto"/>
          </w:tcPr>
          <w:p>
            <w:pPr>
              <w:spacing w:line="240" w:lineRule="auto" w:before="0" w:after="0"/>
              <w:pStyle w:val="Compact"/>
            </w:pPr>
            <w:r>
              <w:rPr>
                <w:sz w:val="20"/>
                <w:szCs w:val="20"/>
              </w:rPr>
              <w:t xml:space="preserve">0.3011</w:t>
            </w:r>
          </w:p>
        </w:tc>
        <w:tc>
          <w:tcPr>
            <w:tcW w:w="0" w:type="auto"/>
          </w:tcPr>
          <w:p>
            <w:pPr>
              <w:spacing w:line="240" w:lineRule="auto" w:before="0" w:after="0"/>
              <w:pStyle w:val="Compact"/>
            </w:pPr>
            <w:r>
              <w:rPr>
                <w:sz w:val="20"/>
                <w:szCs w:val="20"/>
              </w:rPr>
              <w:t xml:space="preserve">-1.0094</w:t>
            </w:r>
          </w:p>
        </w:tc>
        <w:tc>
          <w:tcPr>
            <w:tcW w:w="0" w:type="auto"/>
          </w:tcPr>
          <w:p>
            <w:pPr>
              <w:spacing w:line="240" w:lineRule="auto" w:before="0" w:after="0"/>
              <w:pStyle w:val="Compact"/>
            </w:pPr>
            <w:r>
              <w:rPr>
                <w:sz w:val="20"/>
                <w:szCs w:val="20"/>
              </w:rPr>
              <w:t xml:space="preserve">0.3128</w:t>
            </w:r>
          </w:p>
        </w:tc>
        <w:tc>
          <w:tcPr>
            <w:tcW w:w="0" w:type="auto"/>
          </w:tcPr>
          <w:p>
            <w:pPr>
              <w:spacing w:line="240" w:lineRule="auto" w:before="0" w:after="0"/>
              <w:pStyle w:val="Compact"/>
            </w:pPr>
            <w:r>
              <w:rPr>
                <w:sz w:val="20"/>
                <w:szCs w:val="20"/>
              </w:rPr>
              <w:t xml:space="preserve">[-0.894, 0.2862]</w:t>
            </w:r>
          </w:p>
        </w:tc>
      </w:tr>
    </w:tbl>
    <w:p>
      <w:pPr>
        <w:pStyle w:val="BodyText"/>
        <w:spacing w:line="480" w:lineRule="auto"/>
        <w:ind w:firstLine="720"/>
      </w:pPr>
      <w:r>
        <w:t xml:space="preserve">Fit: N = 30 R2 = 0.0269 elasticity_b = -0.3039 progress_ratio_2^b = 0.81</w:t>
      </w:r>
    </w:p>
    <w:bookmarkEnd w:id="186"/>
    <w:bookmarkStart w:id="19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8" name="Picture"/>
            <a:graphic>
              <a:graphicData uri="http://schemas.openxmlformats.org/drawingml/2006/picture">
                <pic:pic>
                  <pic:nvPicPr>
                    <pic:cNvPr descr="D:/Claude_Code/brain/collegium/candidates/dissertations/SUSTAINABILITY_INSTITUTIONS_11/research_papers/p2/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0"/>
    <w:bookmarkStart w:id="19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10.64861/IGYM9299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https://amostech.space/year/2022/a-systems-theory-approach-for-evaluating-the-cascading-collision-potential-of-orbital-shells/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https://amostech.space/year/2022/stability-of-the-leo-environment-as-a-dynamical-system/</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https://amostech.space/year/2010/adaptive-optics-at-the-worlds-biggest-optical-telescope/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10.64861/QGVF6609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10.64861/FJYT8606</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10.1016/j.actaastro.2023.05.032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10.1016/j.actaastro.2020.11.037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10.1016/j.actaastro.2026.04.003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10.1016/j.actaastro.2019.10.014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Density-Based Evolutionary Model of LEO Debris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Safety Considerations for Large Constellations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10.1016/j.actaastro.2024.03.008</w:t>
            </w:r>
          </w:p>
        </w:tc>
      </w:tr>
    </w:tbl>
    <w:bookmarkEnd w:id="191"/>
    <w:bookmarkStart w:id="19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2"/>
    <w:bookmarkEnd w:id="193"/>
    <w:bookmarkEnd w:id="1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9" Type="http://schemas.openxmlformats.org/officeDocument/2006/relationships/image" Target="media/rId179.png"/><Relationship Id="rId187" Type="http://schemas.openxmlformats.org/officeDocument/2006/relationships/image" Target="media/rId187.png"/><Relationship Id="rId165" Type="http://schemas.openxmlformats.org/officeDocument/2006/relationships/hyperlink" Target="https://doi.org/10.1016/j.actaastro.2020.11.037" TargetMode="External"/><Relationship Id="rId163" Type="http://schemas.openxmlformats.org/officeDocument/2006/relationships/hyperlink" Target="https://doi.org/10.1016/j.actaastro.2023.05.032" TargetMode="External"/><Relationship Id="rId161" Type="http://schemas.openxmlformats.org/officeDocument/2006/relationships/hyperlink" Target="https://doi.org/10.1016/j.actaastro.2023.07.009" TargetMode="External"/><Relationship Id="rId167" Type="http://schemas.openxmlformats.org/officeDocument/2006/relationships/hyperlink" Target="https://doi.org/10.1016/j.actaastro.2024.11.050" TargetMode="External"/><Relationship Id="rId169" Type="http://schemas.openxmlformats.org/officeDocument/2006/relationships/hyperlink" Target="https://doi.org/10.1016/j.actaastro.2025.01.007" TargetMode="External"/><Relationship Id="rId173" Type="http://schemas.openxmlformats.org/officeDocument/2006/relationships/hyperlink" Target="https://doi.org/10.1016/j.actaastro.2025.01.061" TargetMode="External"/><Relationship Id="rId171" Type="http://schemas.openxmlformats.org/officeDocument/2006/relationships/hyperlink" Target="https://doi.org/10.1016/j.actaastro.2025.03.034" TargetMode="External"/><Relationship Id="rId175" Type="http://schemas.openxmlformats.org/officeDocument/2006/relationships/hyperlink" Target="https://doi.org/10.1016/j.actaastro.2026.04.003" TargetMode="External"/><Relationship Id="rId156" Type="http://schemas.openxmlformats.org/officeDocument/2006/relationships/hyperlink" Target="https://doi.org/10.64861/FKER7625" TargetMode="External"/><Relationship Id="rId149" Type="http://schemas.openxmlformats.org/officeDocument/2006/relationships/hyperlink" Target="https://doi.org/10.64861/IGYM9299" TargetMode="External"/><Relationship Id="rId152" Type="http://schemas.openxmlformats.org/officeDocument/2006/relationships/hyperlink" Target="https://doi.org/10.64861/IKLU8599" TargetMode="External"/><Relationship Id="rId154" Type="http://schemas.openxmlformats.org/officeDocument/2006/relationships/hyperlink" Target="https://doi.org/10.64861/ZFDQ4641" TargetMode="External"/></Relationships>
</file>

<file path=word/_rels/footnotes.xml.rels><?xml version='1.0' encoding='UTF-8' standalone='yes'?>
<Relationships xmlns="http://schemas.openxmlformats.org/package/2006/relationships"><Relationship Id="rId165" Type="http://schemas.openxmlformats.org/officeDocument/2006/relationships/hyperlink" Target="https://doi.org/10.1016/j.actaastro.2020.11.037" TargetMode="External"/><Relationship Id="rId163" Type="http://schemas.openxmlformats.org/officeDocument/2006/relationships/hyperlink" Target="https://doi.org/10.1016/j.actaastro.2023.05.032" TargetMode="External"/><Relationship Id="rId161" Type="http://schemas.openxmlformats.org/officeDocument/2006/relationships/hyperlink" Target="https://doi.org/10.1016/j.actaastro.2023.07.009" TargetMode="External"/><Relationship Id="rId167" Type="http://schemas.openxmlformats.org/officeDocument/2006/relationships/hyperlink" Target="https://doi.org/10.1016/j.actaastro.2024.11.050" TargetMode="External"/><Relationship Id="rId169" Type="http://schemas.openxmlformats.org/officeDocument/2006/relationships/hyperlink" Target="https://doi.org/10.1016/j.actaastro.2025.01.007" TargetMode="External"/><Relationship Id="rId173" Type="http://schemas.openxmlformats.org/officeDocument/2006/relationships/hyperlink" Target="https://doi.org/10.1016/j.actaastro.2025.01.061" TargetMode="External"/><Relationship Id="rId171" Type="http://schemas.openxmlformats.org/officeDocument/2006/relationships/hyperlink" Target="https://doi.org/10.1016/j.actaastro.2025.03.034" TargetMode="External"/><Relationship Id="rId175" Type="http://schemas.openxmlformats.org/officeDocument/2006/relationships/hyperlink" Target="https://doi.org/10.1016/j.actaastro.2026.04.003" TargetMode="External"/><Relationship Id="rId156" Type="http://schemas.openxmlformats.org/officeDocument/2006/relationships/hyperlink" Target="https://doi.org/10.64861/FKER7625" TargetMode="External"/><Relationship Id="rId149" Type="http://schemas.openxmlformats.org/officeDocument/2006/relationships/hyperlink" Target="https://doi.org/10.64861/IGYM9299" TargetMode="External"/><Relationship Id="rId152" Type="http://schemas.openxmlformats.org/officeDocument/2006/relationships/hyperlink" Target="https://doi.org/10.64861/IKLU8599" TargetMode="External"/><Relationship Id="rId154" Type="http://schemas.openxmlformats.org/officeDocument/2006/relationships/hyperlink" Target="https://doi.org/10.64861/ZFDQ4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Tragedy or Self-Governance? An Empirical Test of Whether LEO Shells With Concent</dc:title>
  <dc:creator>Maya Khan (1B-SUS-196)</dc:creator>
  <cp:keywords/>
  <dcterms:created xsi:type="dcterms:W3CDTF">2026-07-03T01:34:16Z</dcterms:created>
  <dcterms:modified xsi:type="dcterms:W3CDTF">2026-07-03T01:34:16Z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