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5830356ceb83e6e405318e20a62e1e2d3d31cb4"/>
    <w:p>
      <w:pPr>
        <w:pStyle w:val="Heading1"/>
      </w:pPr>
      <w:r>
        <w:t xml:space="preserve">Signal Intensity in The Nested Enterprise Problem Why Do National, Regional, and Global Debris Rule: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reports an ordinary least squares test for Candidate Sana Espinoza (1B-SUS-161) within the dissertation project</w:t>
      </w:r>
      <w:r>
        <w:t xml:space="preserve"> </w:t>
      </w:r>
      <w:r>
        <w:rPr>
          <w:i/>
          <w:iCs/>
        </w:rPr>
        <w:t xml:space="preserve">The Nested Enterprise Problem: Why Do National, Regional, and Global Debris Rule</w:t>
      </w:r>
      <w:r>
        <w:t xml:space="preserve">. The analysis asks whether the intensity of a debris-governance topic signal in retrieved policy and research records is systematically related to publication recency, citation attention, and venue family. The substantive setting is the literature on space-environment governance, debris-mitigation discourse, enterprise coordination, and regulatory design</w:t>
      </w:r>
      <w:r>
        <w:t xml:space="preserve"> </w:t>
      </w:r>
      <w:hyperlink w:anchor="ref-3">
        <m:oMathPara>
          <m:oMathParaPr>
            <m:jc m:val="center"/>
          </m:oMathParaPr>
          <m:oMath>
            <m:r>
              <m:t>3</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The paper treats the retrieved source record as the unit of analysis. The dependent variable,</w:t>
      </w:r>
      <w:r>
        <w:t xml:space="preserve"> </w:t>
      </w:r>
      <w:r>
        <w:rPr>
          <w:rStyle w:val="VerbatimChar"/>
        </w:rPr>
        <w:t xml:space="preserve">signal_score</w:t>
      </w:r>
      <w:r>
        <w:t xml:space="preserve">, is a deterministic composite count of candidate-theme term hits in source metadata. The explanatory variables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The test does not estimate the causal effect of nested governance on orbital outcomes. It instead provides a structured empirical screen for how the literature surrounding debris-rule nesting is distributed across time, attention, and venue family.</w:t>
      </w:r>
    </w:p>
    <w:p>
      <w:pPr>
        <w:pStyle w:val="BodyText"/>
      </w:pPr>
      <w:r>
        <w:t xml:space="preserve">The motivation is straightforward. If the nested-enterprise framing has become more salient as debris governance has matured, then more recent records should carry stronger topic signals. If citation attention tracks centrality in this discussion, then highly cited records should also exhibit stronger signals. Venue family matters because AMOS, Acta Astronautica, and related space-policy materials differ in vocabulary, publication conventions, and audience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6">
        <m:oMathPara>
          <m:oMathParaPr>
            <m:jc m:val="center"/>
          </m:oMathParaPr>
          <m:oMath>
            <m:r>
              <m:t>6</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theory behind the test is an attention-and-diffusion argument. Governance ideas become legible through repeated use in titles, abstracts, keywords, and author framing. A record that strongly engages nested institutions, debris governance, enterprise design, and rule coordination should contain a denser metadata signal than a record that is only indirectly related to those themes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Recency is expected to matter because the debris-governance agenda has become more institutionally differentiated over time. Earlier enterprise work focused heavily on broad space situational awareness capacity and information-system design</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 More recent work more often joins technical sustainability, governance architecture, and discourse-network approaches</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 If the nested-enterprise problem is a more recent frame, then topic-signal intensity should rise with publication recency.</w:t>
      </w:r>
    </w:p>
    <w:p>
      <w:pPr>
        <w:pStyle w:val="FirstParagraph"/>
      </w:pPr>
      <w:r>
        <w:t xml:space="preserve">Citation attention may also matter. A record that becomes central within the local knowledge structure may attract citations because it provides a useful conceptual bridge between regulation, sustainability, and institutional design. Yet citation count may also reward broad technical importance rather than narrow topic fit. The paper therefore tests the relationship rather than assuming it.</w:t>
      </w:r>
    </w:p>
    <w:p>
      <w:pPr>
        <w:pStyle w:val="BodyText"/>
      </w:pPr>
      <w:r>
        <w:t xml:space="preserve">Venue family is included because the policy language of AMOS records can differ from that of Acta Astronautica and other indexed governance materials. Venue coding therefore captures differences in publication ecology that could otherwise be mistaken for a substantive topic effect.</w:t>
      </w:r>
    </w:p>
    <w:p>
      <w:pPr>
        <w:pStyle w:val="BodyText"/>
      </w:pPr>
      <w:r>
        <w:t xml:space="preserve">The hypotheses are:</w:t>
      </w:r>
    </w:p>
    <w:p>
      <w:pPr>
        <w:pStyle w:val="BodyText"/>
      </w:pPr>
      <w:r>
        <w:t xml:space="preserve">H0: the topic-signal score is unrelated to publication recency, citation attention, and venue family.</w:t>
      </w:r>
    </w:p>
    <w:p>
      <w:pPr>
        <w:pStyle w:val="BodyText"/>
      </w:pPr>
      <w:r>
        <w:t xml:space="preserve">H1: the topic-signal score increases with recency and citation attention.</w:t>
      </w:r>
    </w:p>
    <w:bookmarkEnd w:id="62"/>
    <w:bookmarkStart w:id="63" w:name="data"/>
    <w:p>
      <w:pPr>
        <w:pStyle w:val="Heading2"/>
      </w:pPr>
      <w:r>
        <w:t xml:space="preserve">3. Data</w:t>
      </w:r>
    </w:p>
    <w:p>
      <w:pPr>
        <w:pStyle w:val="FirstParagraph"/>
      </w:pPr>
      <w:r>
        <w:t xml:space="preserve">The estimation file contains 30 retrieved source records. Each record corresponds to one locally indexed source observation. The dependent variable is</w:t>
      </w:r>
      <w:r>
        <w:t xml:space="preserve"> </w:t>
      </w:r>
      <w:r>
        <w:rPr>
          <w:rStyle w:val="VerbatimChar"/>
        </w:rPr>
        <w:t xml:space="preserve">signal_score</w:t>
      </w:r>
      <w:r>
        <w:t xml:space="preserve">, defined as a deterministic count built from candidate-theme term hits in the source title, snippet, keyword field, and author metadata. It is therefore an auditable metadata score rather than an expert judgment about the substantive quality of the source.</w:t>
      </w:r>
    </w:p>
    <w:p>
      <w:pPr>
        <w:pStyle w:val="BodyText"/>
      </w:pPr>
      <w:r>
        <w:t xml:space="preserve">The first explanatory variable is</w:t>
      </w:r>
      <w:r>
        <w:t xml:space="preserve"> </w:t>
      </w:r>
      <w:r>
        <w:rPr>
          <w:rStyle w:val="VerbatimChar"/>
        </w:rPr>
        <w:t xml:space="preserve">recency_index</w:t>
      </w:r>
      <w:r>
        <w:t xml:space="preserve">, computed as publication year minus the minimum publication year in the sample plus one. A one-unit increase therefore corresponds to a one-year increase in recency relative to the oldest retrieved record. The second explanatory variable is</w:t>
      </w:r>
      <w:r>
        <w:t xml:space="preserve"> </w:t>
      </w:r>
      <w:r>
        <w:rPr>
          <w:rStyle w:val="VerbatimChar"/>
        </w:rPr>
        <w:t xml:space="preserve">cites_num</w:t>
      </w:r>
      <w:r>
        <w:t xml:space="preserve">, the reported citation count in the local brain index, coded as zero when the index reported none. The third explanatory variable is</w:t>
      </w:r>
      <w:r>
        <w:t xml:space="preserve"> </w:t>
      </w:r>
      <w:r>
        <w:rPr>
          <w:rStyle w:val="VerbatimChar"/>
        </w:rPr>
        <w:t xml:space="preserve">venue_score</w:t>
      </w:r>
      <w:r>
        <w:t xml:space="preserve">, an ordinal venue-family score where AMOS equals 1, Acta Astronautica equals 2, and Space Economy equals 3.</w:t>
      </w:r>
    </w:p>
    <w:p>
      <w:pPr>
        <w:pStyle w:val="BodyText"/>
      </w:pPr>
      <w:r>
        <w:t xml:space="preserve">The source mix spans several literatures relevant to the dissertation. It includes work on environmental decision support and debris governance</w:t>
      </w:r>
      <w:r>
        <w:t xml:space="preserve"> </w:t>
      </w:r>
      <w:hyperlink w:anchor="ref-3">
        <m:oMathPara>
          <m:oMathParaPr>
            <m:jc m:val="center"/>
          </m:oMathParaPr>
          <m:oMath>
            <m:r>
              <m:t>3</m:t>
            </m:r>
          </m:oMath>
        </m:oMathPara>
      </w:hyperlink>
      <w:r>
        <w:t xml:space="preserve">, discourse-network analysis of the global debris regime</w:t>
      </w:r>
      <w:r>
        <w:t xml:space="preserve"> </w:t>
      </w:r>
      <w:hyperlink w:anchor="ref-6">
        <m:oMathPara>
          <m:oMathParaPr>
            <m:jc m:val="center"/>
          </m:oMathParaPr>
          <m:oMath>
            <m:r>
              <m:t>6</m:t>
            </m:r>
          </m:oMath>
        </m:oMathPara>
      </w:hyperlink>
      <w:r>
        <w:t xml:space="preserve">, enterprise and orbital-data system design</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 and regulatory framing in commercial space</w:t>
      </w:r>
      <w:r>
        <w:t xml:space="preserve"> </w:t>
      </w:r>
      <w:hyperlink w:anchor="ref-5">
        <m:oMathPara>
          <m:oMathParaPr>
            <m:jc m:val="center"/>
          </m:oMathParaPr>
          <m:oMath>
            <m:r>
              <m:t>5</m:t>
            </m:r>
          </m:oMath>
        </m:oMathPara>
      </w:hyperlink>
      <w:r>
        <w:t xml:space="preserve">. The sample also includes recent work on debris mitigation and institutional bottlenecks in adjacent domains</w:t>
      </w:r>
      <w:r>
        <w:t xml:space="preserve"> </w:t>
      </w:r>
      <w:hyperlink w:anchor="ref-7">
        <m:oMathPara>
          <m:oMathParaPr>
            <m:jc m:val="center"/>
          </m:oMathParaPr>
          <m:oMath>
            <m:r>
              <m:t>7</m:t>
            </m:r>
          </m:oMath>
        </m:oMathPara>
      </w:hyperlink>
      <w:r>
        <w:t xml:space="preserve">,</w:t>
      </w:r>
      <w:r>
        <w:t xml:space="preserve"> </w:t>
      </w:r>
      <w:hyperlink w:anchor="ref-8">
        <m:oMathPara>
          <m:oMathParaPr>
            <m:jc m:val="center"/>
          </m:oMathParaPr>
          <m:oMath>
            <m:r>
              <m:t>8</m:t>
            </m:r>
          </m:oMath>
        </m:oMathPara>
      </w:hyperlink>
      <w:r>
        <w:t xml:space="preserve">. This composition is appropriate for an observational test of whether the nested-enterprise topic signal is structured by time, attention, and venue.</w:t>
      </w:r>
    </w:p>
    <w:bookmarkEnd w:id="63"/>
    <w:bookmarkStart w:id="64" w:name="method"/>
    <w:p>
      <w:pPr>
        <w:pStyle w:val="Heading2"/>
      </w:pPr>
      <w:r>
        <w:t xml:space="preserve">4. Method</w:t>
      </w:r>
    </w:p>
    <w:p>
      <w:pPr>
        <w:pStyle w:val="FirstParagraph"/>
      </w:pPr>
      <w:r>
        <w:t xml:space="preserve">The estimator is ordinary least squares with robust HC1 standard errors. The dependent variable is</w:t>
      </w:r>
      <w:r>
        <w:t xml:space="preserve"> </w:t>
      </w:r>
      <w:r>
        <w:rPr>
          <w:rStyle w:val="VerbatimChar"/>
        </w:rPr>
        <w:t xml:space="preserve">signal_score</w:t>
      </w:r>
      <w:r>
        <w:t xml:space="preserve">. The regressors are</w:t>
      </w:r>
      <w:r>
        <w:t xml:space="preserve"> </w:t>
      </w:r>
      <w:r>
        <w:rPr>
          <w:rStyle w:val="VerbatimChar"/>
        </w:rPr>
        <w:t xml:space="preserve">recency_index</w:t>
      </w:r>
      <w:r>
        <w:t xml:space="preserve">,</w:t>
      </w:r>
      <w:r>
        <w:t xml:space="preserve"> </w:t>
      </w:r>
      <w:r>
        <w:rPr>
          <w:rStyle w:val="VerbatimChar"/>
        </w:rPr>
        <w:t xml:space="preserve">cites_num</w:t>
      </w:r>
      <w:r>
        <w:t xml:space="preserve">, and</w:t>
      </w:r>
      <w:r>
        <w:t xml:space="preserve"> </w:t>
      </w:r>
      <w:r>
        <w:rPr>
          <w:rStyle w:val="VerbatimChar"/>
        </w:rPr>
        <w:t xml:space="preserve">venue_score</w:t>
      </w:r>
      <w:r>
        <w:t xml:space="preserve">, with an intercept included. Robust standard errors are used because metadata richness, venue practice, and citation-index reporting may vary across observations.</w:t>
      </w:r>
    </w:p>
    <w:p>
      <w:pPr>
        <w:pStyle w:val="BodyText"/>
      </w:pPr>
      <w:r>
        <w:t xml:space="preserve">The design is observational and comparative. It does not claim random assignment of records to years, citation counts, or publication venues. Its value lies in measuring whether the retrieved corpus exhibits systematic structure. If more recent records carry stronger debris-governance signals even after controlling for venue family and indexed citation attention, that pattern supports the idea that the nested-enterprise framing has sharpened over time.</w:t>
      </w:r>
    </w:p>
    <w:p>
      <w:pPr>
        <w:pStyle w:val="BodyText"/>
      </w:pPr>
      <w:r>
        <w:t xml:space="preserve">The main inferential questions concern the sign and precision of the recency and citation coefficients. A positive recency coefficient supports the recency component of H1. A positive citation coefficient supports the attention component of H1. The venue coefficient is treated as a control-adjusted association under the supplied ordinal coding.</w:t>
      </w:r>
    </w:p>
    <w:bookmarkEnd w:id="64"/>
    <w:bookmarkStart w:id="65" w:name="findings"/>
    <w:p>
      <w:pPr>
        <w:pStyle w:val="Heading2"/>
      </w:pPr>
      <w:r>
        <w:t xml:space="preserve">5. Findings</w:t>
      </w:r>
    </w:p>
    <w:p>
      <w:pPr>
        <w:pStyle w:val="FirstParagraph"/>
      </w:pPr>
      <w:r>
        <w:t xml:space="preserve">The model is estimated on 30 observations. The reported R-squared is 0.2058353885843227 and the adjusted R-squared is 0.11420101034405228. The model F statistic is 3.6336093675319936 with a p-value of 0.025898986597125466. Taken together, these fit statistics indicate that the three-regressor specification explains a modest but nontrivial share of the variation in topic-signal intensity and that the regressors are jointly associated with the dependent variable.</w:t>
      </w:r>
    </w:p>
    <w:p>
      <w:pPr>
        <w:pStyle w:val="BodyText"/>
      </w:pPr>
      <w:r>
        <w:t xml:space="preserve">The intercept is 3.388904949163603, with a robust standard error of 1.1431420374658432 and a p-value of 0.0030312320202720987. Because the coded regressors begin above zero in much of the observed support, the intercept should be treated mainly as a model constant rather than as the expected score for a substantively meaningful real-world record.</w:t>
      </w:r>
    </w:p>
    <w:p>
      <w:pPr>
        <w:pStyle w:val="BodyText"/>
      </w:pPr>
      <w:r>
        <w:t xml:space="preserve">The coefficient on</w:t>
      </w:r>
      <w:r>
        <w:t xml:space="preserve"> </w:t>
      </w:r>
      <w:r>
        <w:rPr>
          <w:rStyle w:val="VerbatimChar"/>
        </w:rPr>
        <w:t xml:space="preserve">recency_index</w:t>
      </w:r>
      <w:r>
        <w:t xml:space="preserve"> </w:t>
      </w:r>
      <w:r>
        <w:t xml:space="preserve">is 0.2709540044668926, with a robust standard error of 0.11573399302390701 and a p-value of 0.019222943683234593. Holding citation count and venue-family score constant, a one-unit increase in the recency index is associated with an expected increase of about 0.271 in the topic-signal score. This positive and statistically distinguishable coefficient supports the recency component of H1. The result is consistent with the interpretation that more recent records more explicitly combine debris governance, institutional structure, and sustainability language</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w:t>
      </w:r>
    </w:p>
    <w:p>
      <w:pPr>
        <w:pStyle w:val="FirstParagraph"/>
      </w:pPr>
      <w:r>
        <w:t xml:space="preserve">The coefficient on</w:t>
      </w:r>
      <w:r>
        <w:t xml:space="preserve"> </w:t>
      </w:r>
      <w:r>
        <w:rPr>
          <w:rStyle w:val="VerbatimChar"/>
        </w:rPr>
        <w:t xml:space="preserve">cites_num</w:t>
      </w:r>
      <w:r>
        <w:t xml:space="preserve"> </w:t>
      </w:r>
      <w:r>
        <w:t xml:space="preserve">is 0.1014539976195808, with a robust standard error of 0.05925969777238192 and a p-value of 0.08689233025586052. Holding recency and venue family constant, each additional indexed citation is associated with an expected increase of about 0.101 in the topic-signal score. The sign is consistent with H1, but the p-value is above conventional 0.05 thresholds. The evidence therefore points in the expected direction but remains weaker than the recency result.</w:t>
      </w:r>
    </w:p>
    <w:p>
      <w:pPr>
        <w:pStyle w:val="BodyText"/>
      </w:pPr>
      <w:r>
        <w:t xml:space="preserve">The coefficient on</w:t>
      </w:r>
      <w:r>
        <w:t xml:space="preserve"> </w:t>
      </w:r>
      <w:r>
        <w:rPr>
          <w:rStyle w:val="VerbatimChar"/>
        </w:rPr>
        <w:t xml:space="preserve">venue_score</w:t>
      </w:r>
      <w:r>
        <w:t xml:space="preserve"> </w:t>
      </w:r>
      <w:r>
        <w:t xml:space="preserve">is -0.7832983320559841, with a robust standard error of 0.9671542297437254 and a p-value of 0.41799757970966367. Under the supplied coding, a one-unit increase in venue-family score is associated with a lower predicted topic-signal score, but the estimate is imprecise and not statistically distinguishable from zero. This suggests that time matters more than the simple ordinal venue coding in explaining signal variation within the retrieved sample.</w:t>
      </w:r>
    </w:p>
    <w:p>
      <w:pPr>
        <w:pStyle w:val="BodyText"/>
      </w:pPr>
      <w:r>
        <w:t xml:space="preserve">The hypothesis test is therefore mixed but directionally informative. The null of no relationship is weakened by the overall model significance and the positive, statistically distinguishable recency coefficient. The evidence for citation attention is supportive in sign but limited in precision. The strongest result is that the nested-enterprise debris-governance signal appears more intense in more recent records.</w:t>
      </w:r>
    </w:p>
    <w:bookmarkEnd w:id="65"/>
    <w:bookmarkStart w:id="66" w:name="discussion"/>
    <w:p>
      <w:pPr>
        <w:pStyle w:val="Heading2"/>
      </w:pPr>
      <w:r>
        <w:t xml:space="preserve">6. Discussion</w:t>
      </w:r>
    </w:p>
    <w:p>
      <w:pPr>
        <w:pStyle w:val="FirstParagraph"/>
      </w:pPr>
      <w:r>
        <w:t xml:space="preserve">The central empirical finding is that recency is positively associated with topic-signal intensity. This matters because the dissertation argues that debris governance is increasingly understood as an institutional problem rather than only a technical one. The positive recency coefficient is consistent with a literature that has moved toward more explicit treatment of governance architecture, discourse alignment, and sustainability decision support</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The citation coefficient is smaller and less precise. Its positive sign suggests that attention may reinforce topic fit, but the paper cannot claim a strong citation effect from this sample alone. That outcome is plausible. Indexed citations often capture broad technical influence, while a nested-governance framing may still be emerging and therefore more temporally concentrated than citation counts would suggest.</w:t>
      </w:r>
    </w:p>
    <w:p>
      <w:pPr>
        <w:pStyle w:val="BodyText"/>
      </w:pPr>
      <w:r>
        <w:t xml:space="preserve">The imprecise venue result is also informative. It suggests that the strongest structural difference in the retrieved corpus is temporal rather than simply a matter of whether a record appeared in one venue family or another. That fits the broader interpretation that the nested-enterprise problem is becoming sharper over time as debris governance matures across institutions.</w:t>
      </w:r>
    </w:p>
    <w:p>
      <w:pPr>
        <w:pStyle w:val="BodyText"/>
      </w:pPr>
      <w:r>
        <w:t xml:space="preserve">The limitations are clear. The dependent variable is a deterministic metadata score, not a full-text semantic measure. The sample contains only 30 records. The venue variable imposes an ordinal coding that may simplify meaningful differences among publication ecosystems. Even so, the paper provides a disciplined empirical screen that supports the dissertation’s design logic: recent records are more likely to carry the institutional language needed to study nested debris-rule governance directly.</w:t>
      </w:r>
    </w:p>
    <w:bookmarkEnd w:id="66"/>
    <w:bookmarkStart w:id="79" w:name="references"/>
    <w:p>
      <w:pPr>
        <w:pStyle w:val="Heading2"/>
      </w:pPr>
      <w:r>
        <w:t xml:space="preserve">References</w:t>
      </w:r>
    </w:p>
    <w:p>
      <w:pPr>
        <w:pStyle w:val="FirstParagraph"/>
      </w:pPr>
      <w:bookmarkStart w:id="67" w:name="ref-1"/>
      <w:bookmarkEnd w:id="67"/>
      <w:r>
        <w:t xml:space="preserve">1. R. Zhang and A. Balakrishnan,</w:t>
      </w:r>
      <w:r>
        <w:t xml:space="preserve"> </w:t>
      </w:r>
      <w:r>
        <w:t xml:space="preserve">“From Ozone Depletion to Orbital Debris: Lessons Learned from the Montreal Protocol,”</w:t>
      </w:r>
      <w:r>
        <w:t xml:space="preserve"> </w:t>
      </w:r>
      <w:r>
        <w:t xml:space="preserve">AMOS, 2022.</w:t>
      </w:r>
    </w:p>
    <w:p>
      <w:pPr>
        <w:pStyle w:val="BodyText"/>
      </w:pPr>
      <w:bookmarkStart w:id="68" w:name="ref-2"/>
      <w:bookmarkEnd w:id="68"/>
      <w:r>
        <w:t xml:space="preserve">2. A. Balakrishnan, S. Carioscia, B. Caldwell, and B. Lal,</w:t>
      </w:r>
      <w:r>
        <w:t xml:space="preserve"> </w:t>
      </w:r>
      <w:r>
        <w:t xml:space="preserve">“Future of the Space Situational Awareness Enterprise Global Trends,”</w:t>
      </w:r>
      <w:r>
        <w:t xml:space="preserve"> </w:t>
      </w:r>
      <w:r>
        <w:t xml:space="preserve">AMOS, 2018.</w:t>
      </w:r>
    </w:p>
    <w:p>
      <w:pPr>
        <w:pStyle w:val="BodyText"/>
      </w:pPr>
      <w:bookmarkStart w:id="69" w:name="ref-3"/>
      <w:bookmarkEnd w:id="69"/>
      <w:r>
        <w:t xml:space="preserve">3. M. Lifson, D. Jang, and R. Linares,</w:t>
      </w:r>
      <w:r>
        <w:t xml:space="preserve"> </w:t>
      </w:r>
      <w:r>
        <w:t xml:space="preserve">“Space Environmental Governance and Decision-Support using Source-Sink Evolutionary Environmental Models,”</w:t>
      </w:r>
      <w:r>
        <w:t xml:space="preserve"> </w:t>
      </w:r>
      <w:r>
        <w:t xml:space="preserve">2023, doi:</w:t>
      </w:r>
      <w:r>
        <w:t xml:space="preserve"> </w:t>
      </w:r>
      <w:hyperlink r:id="rId70">
        <w:r>
          <w:rPr>
            <w:rStyle w:val="Hyperlink"/>
          </w:rPr>
          <w:t xml:space="preserve">10.64861/FKER7625</w:t>
        </w:r>
      </w:hyperlink>
    </w:p>
    <w:p>
      <w:pPr>
        <w:pStyle w:val="BodyText"/>
      </w:pPr>
      <w:bookmarkStart w:id="71" w:name="ref-4"/>
      <w:bookmarkEnd w:id="71"/>
      <w:r>
        <w:t xml:space="preserve">4. R. Raygan,</w:t>
      </w:r>
      <w:r>
        <w:t xml:space="preserve"> </w:t>
      </w:r>
      <w:r>
        <w:t xml:space="preserve">“The Ultimate Big Data Enterprise Initiative: Defining Functional Capabilities for an International Information System (IIS) for Orbital Space Data (OSD),”</w:t>
      </w:r>
      <w:r>
        <w:t xml:space="preserve"> </w:t>
      </w:r>
      <w:r>
        <w:t xml:space="preserve">AMOS, 2017.</w:t>
      </w:r>
    </w:p>
    <w:p>
      <w:pPr>
        <w:pStyle w:val="BodyText"/>
      </w:pPr>
      <w:bookmarkStart w:id="72" w:name="ref-5"/>
      <w:bookmarkEnd w:id="72"/>
      <w:r>
        <w:t xml:space="preserve">5. J. Goehring,</w:t>
      </w:r>
      <w:r>
        <w:t xml:space="preserve"> </w:t>
      </w:r>
      <w:r>
        <w:t xml:space="preserve">“U.S. Commercial Space Regulation: The Rule of Three,”</w:t>
      </w:r>
      <w:r>
        <w:t xml:space="preserve"> </w:t>
      </w:r>
      <w:r>
        <w:t xml:space="preserve">AMOS, 2022.</w:t>
      </w:r>
    </w:p>
    <w:p>
      <w:pPr>
        <w:pStyle w:val="BodyText"/>
      </w:pPr>
      <w:bookmarkStart w:id="73" w:name="ref-6"/>
      <w:bookmarkEnd w:id="73"/>
      <w:r>
        <w:t xml:space="preserve">6. X. Yap, J. Heiberg, and B. Truffer,</w:t>
      </w:r>
      <w:r>
        <w:t xml:space="preserve"> </w:t>
      </w:r>
      <w:r>
        <w:t xml:space="preserve">“The emerging global socio-technical regime for tackling space debris: A discourse network analysis,”</w:t>
      </w:r>
      <w:r>
        <w:t xml:space="preserve"> </w:t>
      </w:r>
      <w:r>
        <w:t xml:space="preserve">Acta Astronautica, 2023, doi:</w:t>
      </w:r>
      <w:r>
        <w:t xml:space="preserve"> </w:t>
      </w:r>
      <w:hyperlink r:id="rId74">
        <w:r>
          <w:rPr>
            <w:rStyle w:val="Hyperlink"/>
          </w:rPr>
          <w:t xml:space="preserve">10.1016/j.actaastro.2023.01.016</w:t>
        </w:r>
      </w:hyperlink>
    </w:p>
    <w:p>
      <w:pPr>
        <w:pStyle w:val="BodyText"/>
      </w:pPr>
      <w:bookmarkStart w:id="75" w:name="ref-7"/>
      <w:bookmarkEnd w:id="75"/>
      <w:r>
        <w:t xml:space="preserve">7. J. Long and W. Chen,</w:t>
      </w:r>
      <w:r>
        <w:t xml:space="preserve"> </w:t>
      </w:r>
      <w:r>
        <w:t xml:space="preserve">“Laser utilization in outer space: Institutional bottleneck and prospects,”</w:t>
      </w:r>
      <w:r>
        <w:t xml:space="preserve"> </w:t>
      </w:r>
      <w:r>
        <w:t xml:space="preserve">Acta Astronautica, 2025, doi:</w:t>
      </w:r>
      <w:r>
        <w:t xml:space="preserve"> </w:t>
      </w:r>
      <w:hyperlink r:id="rId76">
        <w:r>
          <w:rPr>
            <w:rStyle w:val="Hyperlink"/>
          </w:rPr>
          <w:t xml:space="preserve">10.1016/j.actaastro.2025.01.061</w:t>
        </w:r>
      </w:hyperlink>
    </w:p>
    <w:p>
      <w:pPr>
        <w:pStyle w:val="BodyText"/>
      </w:pPr>
      <w:bookmarkStart w:id="77" w:name="ref-8"/>
      <w:bookmarkEnd w:id="77"/>
      <w:r>
        <w:t xml:space="preserve">8. A. Hurova,</w:t>
      </w:r>
      <w:r>
        <w:t xml:space="preserve"> </w:t>
      </w:r>
      <w:r>
        <w:t xml:space="preserve">“Gamification as a tool to identify and address ongoing challenges in space activities: the case of space debris mitigation,”</w:t>
      </w:r>
      <w:r>
        <w:t xml:space="preserve"> </w:t>
      </w:r>
      <w:r>
        <w:t xml:space="preserve">Acta Astronautica, 2024, doi:</w:t>
      </w:r>
      <w:r>
        <w:t xml:space="preserve"> </w:t>
      </w:r>
      <w:hyperlink r:id="rId78">
        <w:r>
          <w:rPr>
            <w:rStyle w:val="Hyperlink"/>
          </w:rPr>
          <w:t xml:space="preserve">10.1016/j.actaastro.2024.09.057</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3.3889</w:t>
            </w:r>
          </w:p>
        </w:tc>
        <w:tc>
          <w:tcPr>
            <w:tcW w:w="0" w:type="auto"/>
          </w:tcPr>
          <w:p>
            <w:pPr>
              <w:spacing w:line="240" w:lineRule="auto" w:before="0" w:after="0"/>
              <w:pStyle w:val="Compact"/>
            </w:pPr>
            <w:r>
              <w:rPr>
                <w:sz w:val="20"/>
                <w:szCs w:val="20"/>
              </w:rPr>
              <w:t xml:space="preserve">1.1431</w:t>
            </w:r>
          </w:p>
        </w:tc>
        <w:tc>
          <w:tcPr>
            <w:tcW w:w="0" w:type="auto"/>
          </w:tcPr>
          <w:p>
            <w:pPr>
              <w:spacing w:line="240" w:lineRule="auto" w:before="0" w:after="0"/>
              <w:pStyle w:val="Compact"/>
            </w:pPr>
            <w:r>
              <w:rPr>
                <w:sz w:val="20"/>
                <w:szCs w:val="20"/>
              </w:rPr>
              <w:t xml:space="preserve">2.9646</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[1.1484, 5.6294]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0.271</w:t>
            </w:r>
          </w:p>
        </w:tc>
        <w:tc>
          <w:tcPr>
            <w:tcW w:w="0" w:type="auto"/>
          </w:tcPr>
          <w:p>
            <w:pPr>
              <w:spacing w:line="240" w:lineRule="auto" w:before="0" w:after="0"/>
              <w:pStyle w:val="Compact"/>
            </w:pPr>
            <w:r>
              <w:rPr>
                <w:sz w:val="20"/>
                <w:szCs w:val="20"/>
              </w:rPr>
              <w:t xml:space="preserve">0.1157</w:t>
            </w:r>
          </w:p>
        </w:tc>
        <w:tc>
          <w:tcPr>
            <w:tcW w:w="0" w:type="auto"/>
          </w:tcPr>
          <w:p>
            <w:pPr>
              <w:spacing w:line="240" w:lineRule="auto" w:before="0" w:after="0"/>
              <w:pStyle w:val="Compact"/>
            </w:pPr>
            <w:r>
              <w:rPr>
                <w:sz w:val="20"/>
                <w:szCs w:val="20"/>
              </w:rPr>
              <w:t xml:space="preserve">2.3412</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[0.0441, 0.4978]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0.1015</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[-0.0147, 0.2176]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-0.7833</w:t>
            </w:r>
          </w:p>
        </w:tc>
        <w:tc>
          <w:tcPr>
            <w:tcW w:w="0" w:type="auto"/>
          </w:tcPr>
          <w:p>
            <w:pPr>
              <w:spacing w:line="240" w:lineRule="auto" w:before="0" w:after="0"/>
              <w:pStyle w:val="Compact"/>
            </w:pPr>
            <w:r>
              <w:rPr>
                <w:sz w:val="20"/>
                <w:szCs w:val="20"/>
              </w:rPr>
              <w:t xml:space="preserve">0.9672</w:t>
            </w:r>
          </w:p>
        </w:tc>
        <w:tc>
          <w:tcPr>
            <w:tcW w:w="0" w:type="auto"/>
          </w:tcPr>
          <w:p>
            <w:pPr>
              <w:spacing w:line="240" w:lineRule="auto" w:before="0" w:after="0"/>
              <w:pStyle w:val="Compact"/>
            </w:pPr>
            <w:r>
              <w:rPr>
                <w:sz w:val="20"/>
                <w:szCs w:val="20"/>
              </w:rPr>
              <w:t xml:space="preserve">-0.8099</w:t>
            </w:r>
          </w:p>
        </w:tc>
        <w:tc>
          <w:tcPr>
            <w:tcW w:w="0" w:type="auto"/>
          </w:tcPr>
          <w:p>
            <w:pPr>
              <w:spacing w:line="240" w:lineRule="auto" w:before="0" w:after="0"/>
              <w:pStyle w:val="Compact"/>
            </w:pPr>
            <w:r>
              <w:rPr>
                <w:sz w:val="20"/>
                <w:szCs w:val="20"/>
              </w:rPr>
              <w:t xml:space="preserve">0.418</w:t>
            </w:r>
          </w:p>
        </w:tc>
        <w:tc>
          <w:tcPr>
            <w:tcW w:w="0" w:type="auto"/>
          </w:tcPr>
          <w:p>
            <w:pPr>
              <w:spacing w:line="240" w:lineRule="auto" w:before="0" w:after="0"/>
              <w:pStyle w:val="Compact"/>
            </w:pPr>
            <w:r>
              <w:rPr>
                <w:sz w:val="20"/>
                <w:szCs w:val="20"/>
              </w:rPr>
              <w:t xml:space="preserve">[-2.6789, 1.1123]</w:t>
            </w:r>
          </w:p>
        </w:tc>
      </w:tr>
    </w:tbl>
    <w:p>
      <w:pPr>
        <w:pStyle w:val="BodyText"/>
      </w:pPr>
      <w:r>
        <w:t xml:space="preserve">Fit: N = 30 R2 = 0.2058 R2_adj = 0.1142 F = 3.6336 F_p = 0.0259</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USTAINABILITY_INSTITUTIONS_10\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https://amostech.space/year/2022/spacemap-real-time-web-server-for-safer-more-sustainable-and-efficient-space/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https://amostech.space/year/2010/maximizing-multi-core-performance-of-the-weather-research-and-forecast-model-over-the-hawaiian-islands/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10.1016/j.actaastro.2024.03.008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10.1073/pnas.1909726116</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3.3889</w:t>
            </w:r>
          </w:p>
        </w:tc>
        <w:tc>
          <w:tcPr>
            <w:tcW w:w="0" w:type="auto"/>
          </w:tcPr>
          <w:p>
            <w:pPr>
              <w:spacing w:line="240" w:lineRule="auto" w:before="0" w:after="0"/>
              <w:pStyle w:val="Compact"/>
            </w:pPr>
            <w:r>
              <w:rPr>
                <w:sz w:val="20"/>
                <w:szCs w:val="20"/>
              </w:rPr>
              <w:t xml:space="preserve">1.1431</w:t>
            </w:r>
          </w:p>
        </w:tc>
        <w:tc>
          <w:tcPr>
            <w:tcW w:w="0" w:type="auto"/>
          </w:tcPr>
          <w:p>
            <w:pPr>
              <w:spacing w:line="240" w:lineRule="auto" w:before="0" w:after="0"/>
              <w:pStyle w:val="Compact"/>
            </w:pPr>
            <w:r>
              <w:rPr>
                <w:sz w:val="20"/>
                <w:szCs w:val="20"/>
              </w:rPr>
              <w:t xml:space="preserve">2.9646</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[1.1484, 5.6294]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0.271</w:t>
            </w:r>
          </w:p>
        </w:tc>
        <w:tc>
          <w:tcPr>
            <w:tcW w:w="0" w:type="auto"/>
          </w:tcPr>
          <w:p>
            <w:pPr>
              <w:spacing w:line="240" w:lineRule="auto" w:before="0" w:after="0"/>
              <w:pStyle w:val="Compact"/>
            </w:pPr>
            <w:r>
              <w:rPr>
                <w:sz w:val="20"/>
                <w:szCs w:val="20"/>
              </w:rPr>
              <w:t xml:space="preserve">0.1157</w:t>
            </w:r>
          </w:p>
        </w:tc>
        <w:tc>
          <w:tcPr>
            <w:tcW w:w="0" w:type="auto"/>
          </w:tcPr>
          <w:p>
            <w:pPr>
              <w:spacing w:line="240" w:lineRule="auto" w:before="0" w:after="0"/>
              <w:pStyle w:val="Compact"/>
            </w:pPr>
            <w:r>
              <w:rPr>
                <w:sz w:val="20"/>
                <w:szCs w:val="20"/>
              </w:rPr>
              <w:t xml:space="preserve">2.3412</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[0.0441, 0.4978]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0.1015</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[-0.0147, 0.2176]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-0.7833</w:t>
            </w:r>
          </w:p>
        </w:tc>
        <w:tc>
          <w:tcPr>
            <w:tcW w:w="0" w:type="auto"/>
          </w:tcPr>
          <w:p>
            <w:pPr>
              <w:spacing w:line="240" w:lineRule="auto" w:before="0" w:after="0"/>
              <w:pStyle w:val="Compact"/>
            </w:pPr>
            <w:r>
              <w:rPr>
                <w:sz w:val="20"/>
                <w:szCs w:val="20"/>
              </w:rPr>
              <w:t xml:space="preserve">0.9672</w:t>
            </w:r>
          </w:p>
        </w:tc>
        <w:tc>
          <w:tcPr>
            <w:tcW w:w="0" w:type="auto"/>
          </w:tcPr>
          <w:p>
            <w:pPr>
              <w:spacing w:line="240" w:lineRule="auto" w:before="0" w:after="0"/>
              <w:pStyle w:val="Compact"/>
            </w:pPr>
            <w:r>
              <w:rPr>
                <w:sz w:val="20"/>
                <w:szCs w:val="20"/>
              </w:rPr>
              <w:t xml:space="preserve">-0.8099</w:t>
            </w:r>
          </w:p>
        </w:tc>
        <w:tc>
          <w:tcPr>
            <w:tcW w:w="0" w:type="auto"/>
          </w:tcPr>
          <w:p>
            <w:pPr>
              <w:spacing w:line="240" w:lineRule="auto" w:before="0" w:after="0"/>
              <w:pStyle w:val="Compact"/>
            </w:pPr>
            <w:r>
              <w:rPr>
                <w:sz w:val="20"/>
                <w:szCs w:val="20"/>
              </w:rPr>
              <w:t xml:space="preserve">0.418</w:t>
            </w:r>
          </w:p>
        </w:tc>
        <w:tc>
          <w:tcPr>
            <w:tcW w:w="0" w:type="auto"/>
          </w:tcPr>
          <w:p>
            <w:pPr>
              <w:spacing w:line="240" w:lineRule="auto" w:before="0" w:after="0"/>
              <w:pStyle w:val="Compact"/>
            </w:pPr>
            <w:r>
              <w:rPr>
                <w:sz w:val="20"/>
                <w:szCs w:val="20"/>
              </w:rPr>
              <w:t xml:space="preserve">[-2.6789, 1.1123]</w:t>
            </w:r>
          </w:p>
        </w:tc>
      </w:tr>
    </w:tbl>
    <w:p>
      <w:pPr>
        <w:pStyle w:val="BodyText"/>
      </w:pPr>
      <w:r>
        <w:t xml:space="preserve">Fit: N = 30 R2 = 0.2058 R2_adj = 0.1142 F = 3.6336 F_p = 0.0259</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1016/j.actaastro.2023.01.016" TargetMode="External" /><Relationship Type="http://schemas.openxmlformats.org/officeDocument/2006/relationships/hyperlink" Id="rId78" Target="https://doi.org/10.1016/j.actaastro.2024.09.057" TargetMode="External" /><Relationship Type="http://schemas.openxmlformats.org/officeDocument/2006/relationships/hyperlink" Id="rId76" Target="https://doi.org/10.1016/j.actaastro.2025.01.061" TargetMode="External" /><Relationship Type="http://schemas.openxmlformats.org/officeDocument/2006/relationships/hyperlink" Id="rId70" Target="https://doi.org/10.64861/FKER7625"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23.01.016" TargetMode="External" /><Relationship Type="http://schemas.openxmlformats.org/officeDocument/2006/relationships/hyperlink" Id="rId78" Target="https://doi.org/10.1016/j.actaastro.2024.09.057" TargetMode="External" /><Relationship Type="http://schemas.openxmlformats.org/officeDocument/2006/relationships/hyperlink" Id="rId76" Target="https://doi.org/10.1016/j.actaastro.2025.01.061" TargetMode="External" /><Relationship Type="http://schemas.openxmlformats.org/officeDocument/2006/relationships/hyperlink" Id="rId70" Target="https://doi.org/10.64861/FKER762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2026-06-28T19:09:12Z</dcterms:created>
  <dcterms:modified xsi:type="dcterms:W3CDTF">2026-06-28T19:09:12Z</dcterms:modified>
</cp:coreProperties>
</file>

<file path=docProps/custom.xml><?xml version="1.0" encoding="utf-8"?>
<Properties xmlns="http://schemas.openxmlformats.org/officeDocument/2006/custom-properties" xmlns:vt="http://schemas.openxmlformats.org/officeDocument/2006/docPropsVTypes"/>
</file>