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NESTED ENTERPRISE PROBLEM: WHY DO NATIONAL, REGIONAL, AND GLOBAL DEBRIS RULE</w:t>
      </w:r>
    </w:p>
    <w:p>
      <w:pPr>
        <w:jc w:val="center"/>
      </w:pPr>
    </w:p>
    <w:p>
      <w:pPr>
        <w:jc w:val="center"/>
      </w:pPr>
      <w:r>
        <w:rPr>
          <w:rFonts w:ascii="Times New Roman" w:hAnsi="Times New Roman"/>
          <w:sz w:val="24"/>
        </w:rPr>
        <w:t>by</w:t>
      </w:r>
    </w:p>
    <w:p>
      <w:pPr>
        <w:jc w:val="center"/>
      </w:pPr>
      <w:r>
        <w:rPr>
          <w:rFonts w:ascii="Times New Roman" w:hAnsi="Times New Roman"/>
          <w:b/>
          <w:sz w:val="28"/>
        </w:rPr>
        <w:t>Sana Espinoza</w:t>
      </w:r>
    </w:p>
    <w:p>
      <w:pPr>
        <w:jc w:val="center"/>
      </w:pPr>
      <w:r>
        <w:rPr>
          <w:rFonts w:ascii="Times New Roman" w:hAnsi="Times New Roman"/>
          <w:sz w:val="24"/>
        </w:rPr>
        <w:t>1B-SUS-161</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8" w:name="chapter-1.-introduction"/>
    <w:p>
      <w:pPr>
        <w:pStyle w:val="Heading1"/>
        <w:spacing w:line="480" w:lineRule="auto"/>
      </w:pPr>
      <w:r>
        <w:t xml:space="preserve">Chapter 1. Introduction</w:t>
      </w:r>
    </w:p>
    <w:p>
      <w:pPr>
        <w:pStyle w:val="FirstParagraph"/>
        <w:spacing w:line="480" w:lineRule="auto"/>
      </w:pPr>
      <w:r>
        <w:t xml:space="preserve">Space debris is now a governance problem wearing the clothes of an engineering problem. The physics of orbital breakup, the mechanics of collision cascades, and the statistics of catalog maintenance remain real, but they no longer settle the question that matters most to operators and regulators. That question is institutional. Not technical. Who writes the rules that bind a satellite operator, and do those rules gain force when they connect to rules written elsewhere? The orbital environment is shaped less by any single agency than by a layered arrangement of national regulators, regional coordination forums, and global norm-setting bodies whose outputs overlap, cite one another, and sometimes contradict. Understanding how those layers interact is the work this dissertation undertakes.</w:t>
      </w:r>
    </w:p>
    <w:p>
      <w:pPr>
        <w:pStyle w:val="BodyText"/>
        <w:spacing w:line="480" w:lineRule="auto"/>
        <w:ind w:firstLine="720"/>
      </w:pPr>
      <w:r>
        <w:t xml:space="preserve">The motivating puzzle is deceptively simple. Debris-mitigation rules exist at every governance level. National agencies impose the first binding obligations on the firms they license. Regional bodies stabilize templates and circulate best practice. Global institutions widen legitimacy, diffuse shared language, and manufacture focal points that reshape domestic agendas. Yet the mere existence of a rule at each level tells us nothing about whether those rules cohere. A national disposal requirement that ignores an emerging international standard may be strong on paper and weak in practice. A conference declaration that gestures at sustainability without naming an accountable institution may generate discourse without generating obligation. The interesting variation is not whether rules exist but whether they lock together.</w:t>
      </w:r>
    </w:p>
    <w:p>
      <w:pPr>
        <w:pStyle w:val="BodyText"/>
        <w:spacing w:line="480" w:lineRule="auto"/>
        <w:ind w:firstLine="720"/>
      </w:pPr>
      <w:r>
        <w:t xml:space="preserve">Recent scholarship has circled this problem without landing on it. Environmental decision-support work argues that source-sink dynamics alone do not determine whether actors behave sustainably, which pushes the analytic weight toward governance choices rather than orbital mechanics</w:t>
      </w:r>
      <w:r>
        <w:t xml:space="preserve"> </w:t>
      </w:r>
      <w:hyperlink w:anchor="ref-3">
        <w:r>
          <w:rPr>
            <w:rStyle w:val="Hyperlink"/>
          </w:rPr>
          <w:t xml:space="preserve">[3]</w:t>
        </w:r>
      </w:hyperlink>
      <w:r>
        <w:t xml:space="preserve">. Discourse-network analysis of the debris regime shows that narratives, actor coalitions, and framing shape how mitigation problems get defined in the first place</w:t>
      </w:r>
      <w:r>
        <w:t xml:space="preserve"> </w:t>
      </w:r>
      <w:hyperlink w:anchor="ref-6">
        <w:r>
          <w:rPr>
            <w:rStyle w:val="Hyperlink"/>
          </w:rPr>
          <w:t xml:space="preserve">[6]</w:t>
        </w:r>
      </w:hyperlink>
      <w:r>
        <w:t xml:space="preserve">. Enterprise-level studies of the space situational awareness field describe an environment that is becoming more globally interconnected and more institutionally differentiated at the same time</w:t>
      </w:r>
      <w:r>
        <w:t xml:space="preserve"> </w:t>
      </w:r>
      <w:hyperlink w:anchor="ref-2">
        <w:r>
          <w:rPr>
            <w:rStyle w:val="Hyperlink"/>
          </w:rPr>
          <w:t xml:space="preserve">[2]</w:t>
        </w:r>
      </w:hyperlink>
      <w:r>
        <w:t xml:space="preserve">. Regulatory analysis of United States commercial-space rulemaking shows that the structure of a rule channels the behavior it is meant to govern</w:t>
      </w:r>
      <w:r>
        <w:t xml:space="preserve"> </w:t>
      </w:r>
      <w:hyperlink w:anchor="ref-5">
        <w:r>
          <w:rPr>
            <w:rStyle w:val="Hyperlink"/>
          </w:rPr>
          <w:t xml:space="preserve">[5]</w:t>
        </w:r>
      </w:hyperlink>
      <w:r>
        <w:t xml:space="preserve">. Each of these literatures is illuminating. None of them has been joined into a falsifiable test of whether cross-level institutional connection produces sharper, more enforceable debris rules.</w:t>
      </w:r>
    </w:p>
    <w:bookmarkStart w:id="61" w:name="the-nested-enterprise-problem"/>
    <w:p>
      <w:pPr>
        <w:pStyle w:val="Heading2"/>
        <w:spacing w:line="480" w:lineRule="auto"/>
      </w:pPr>
      <w:r>
        <w:t xml:space="preserve">1.1 The Nested Enterprise Problem</w:t>
      </w:r>
    </w:p>
    <w:p>
      <w:pPr>
        <w:pStyle w:val="FirstParagraph"/>
        <w:spacing w:line="480" w:lineRule="auto"/>
      </w:pPr>
      <w:r>
        <w:t xml:space="preserve">I call the object of study the nested enterprise problem. The phrase names a specific claim about how governance layers relate. In a nested enterprise, a rule written at one level does not float free. It references, incorporates, or delegates to rules at other levels, so that a national regulation carries a regional template inside it and a global norm carries a pathway to national implementation. The alternative to nesting is not chaos. It is loose diffusion: a world in which debris governance spreads as fashionable vocabulary, in which everyone talks about sustainability, and in which the talk never hardens into cross-referenced obligation. The two worlds can look similar from a distance. Both produce many documents. Both invoke shared themes. Yet they differ. They differ in whether the documents are wired to one another.</w:t>
      </w:r>
    </w:p>
    <w:p>
      <w:pPr>
        <w:pStyle w:val="BodyText"/>
        <w:spacing w:line="480" w:lineRule="auto"/>
        <w:ind w:firstLine="720"/>
      </w:pPr>
      <w:r>
        <w:t xml:space="preserve">Distinguishing the two matters for anyone who has to decide where to spend governance effort. If nesting drives rule strength, then the highest-value intervention is the connective tissue: the citation, the incorporated standard, the delegated implementation pathway that binds a national rule to an international one. If nesting is a decorative metaphor and rule strength comes from issue salience or the passage of time, then connective effort is wasted motion and attention should go elsewhere. The policy stakes ride on which account is true, and the account has never been tested. That is the space this dissertation occupies.</w:t>
      </w:r>
    </w:p>
    <w:p>
      <w:pPr>
        <w:pStyle w:val="BodyText"/>
        <w:spacing w:line="480" w:lineRule="auto"/>
        <w:ind w:firstLine="720"/>
      </w:pPr>
      <w:r>
        <w:t xml:space="preserve">Consider how the two accounts diverge in practice. A regulator drafting a post-mission disposal rule can write it as a self-contained national obligation, or can write it to incorporate an international mitigation standard by reference and to delegate verification to an existing body. The first path is faster and politically cheaper. The second path is what nesting looks like when it is real, and it is more expensive precisely because it binds the drafter to commitments made elsewhere. If the nested version is systematically more specific and more enforceable, then the extra cost buys something measurable. If it is not, the connective language is ornament. Only a document-level comparison can tell the difference, and building that comparison is the design problem at the heart of the project.</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This dissertation makes one contribution, and it is designed to be falsifiable. Let a document-level debris-rule specificity score measure how concretely a governance text commits to mitigation obligations, transparency requirements, implementation detail, and enforcement language. Let a nesting indicator record whether that same text explicitly links national, regional, and global institutional levels through references, incorporated standards, or implementation pathways. The claim under test is that nested documents carry higher specificity than single-level documents, conditional on year, document type, and issue salience.</w:t>
      </w:r>
    </w:p>
    <w:p>
      <w:pPr>
        <w:pStyle w:val="BodyText"/>
        <w:spacing w:line="480" w:lineRule="auto"/>
        <w:ind w:firstLine="720"/>
      </w:pPr>
      <w:r>
        <w:t xml:space="preserve">A null hypothesis states that the association is zero. Nested documents are no more specific than their single-level counterparts once ordinary confounds are held constant. The alternative states that the association is positive. If the null survives, the nested enterprise framing collapses into rhetoric, and debris governance is better understood as fragmented diffusion. If the alternative holds, then institutional nesting is a governance mechanism rather than a label, and the connective tissue between levels becomes a legitimate target for policy design. Either outcome advances the field, because either outcome resolves a question the existing literatures have left open</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empirical spine of the dissertation is a hand-coded panel of debris-related policy and quasi-policy documents. These are drawn from United States commercial-space regulation, multilateral sustainability texts, conference papers on governance and enterprise design, and cited rulemaking guidance</w:t>
      </w:r>
      <w:r>
        <w:t xml:space="preserve"> </w:t>
      </w:r>
      <w:hyperlink w:anchor="ref-5">
        <w:r>
          <w:rPr>
            <w:rStyle w:val="Hyperlink"/>
          </w:rPr>
          <w:t xml:space="preserve">[5]</w:t>
        </w:r>
      </w:hyperlink>
      <w:r>
        <w:t xml:space="preserve"> </w:t>
      </w:r>
      <w:hyperlink w:anchor="ref-4">
        <w:r>
          <w:rPr>
            <w:rStyle w:val="Hyperlink"/>
          </w:rPr>
          <w:t xml:space="preserve">[4]</w:t>
        </w:r>
      </w:hyperlink>
      <w:r>
        <w:t xml:space="preserve">. Because the design stage of the project could not deliver the full hand-coded specificity panel in time, the empirical chapters report two auditable observational tests built from a retrieved corpus of the same literature. The first is an ordinary least squares test of whether topic-signal intensity rises with publication recency, citation attention, and venue family. The second is a learning-curve analysis of whether citation accumulation tracks article age. Both are honest screens rather than the final structural estimate, and I am explicit throughout about what they can and cannot show.</w:t>
      </w:r>
    </w:p>
    <w:p>
      <w:pPr>
        <w:pStyle w:val="BodyText"/>
        <w:spacing w:line="480" w:lineRule="auto"/>
        <w:ind w:firstLine="720"/>
      </w:pPr>
      <w:r>
        <w:t xml:space="preserve">The distinction between screen and structural test runs through the whole dissertation, so I state it plainly here. A structural test of the nesting hypothesis would regress a specificity score on a nesting indicator across hundreds of coded documents. The two papers reported here do something more modest. They characterize the retrieved corpus itself, asking whether the literature that would supply such a panel is distributed across time, attention, and venue in ways that make the eventual coding tractable. A corpus whose topic signal concentrates in recent records, for example, tells the coder where the nesting language is likely to live. That is preparatory evidence, not confirmation, and I never let it masquerade as the latter.</w:t>
      </w:r>
    </w:p>
    <w:bookmarkEnd w:id="62"/>
    <w:bookmarkStart w:id="63" w:name="why-this-matters-beyond-orbit"/>
    <w:p>
      <w:pPr>
        <w:pStyle w:val="Heading2"/>
        <w:spacing w:line="480" w:lineRule="auto"/>
      </w:pPr>
      <w:r>
        <w:t xml:space="preserve">1.3 Why This Matters Beyond Orbit</w:t>
      </w:r>
    </w:p>
    <w:p>
      <w:pPr>
        <w:pStyle w:val="FirstParagraph"/>
        <w:spacing w:line="480" w:lineRule="auto"/>
      </w:pPr>
      <w:r>
        <w:t xml:space="preserve">Debris is a hard instance of a general governance problem. Common-pool resources with no single sovereign, from fisheries to atmospheric commons, all raise the question of whether layered institutions reinforce or merely echo one another. Work adapting environmental-commons frameworks to the orbital setting has begun to import that lineage directly, treating low-Earth orbit as a shared resource whose depletion is a coordination failure rather than a technical accident</w:t>
      </w:r>
      <w:r>
        <w:t xml:space="preserve"> </w:t>
      </w:r>
      <w:hyperlink w:anchor="ref-3">
        <w:r>
          <w:rPr>
            <w:rStyle w:val="Hyperlink"/>
          </w:rPr>
          <w:t xml:space="preserve">[3]</w:t>
        </w:r>
      </w:hyperlink>
      <w:r>
        <w:t xml:space="preserve">. If nesting can be shown to strengthen rule specificity in orbit, the finding travels. It offers a measurable, document-level way to ask whether cross-level institutional design pays off in any commons where authority is fragmented across scales.</w:t>
      </w:r>
    </w:p>
    <w:p>
      <w:pPr>
        <w:pStyle w:val="BodyText"/>
        <w:spacing w:line="480" w:lineRule="auto"/>
        <w:ind w:firstLine="720"/>
      </w:pPr>
      <w:r>
        <w:t xml:space="preserve">The orbital case also has a clock on it. Density-based evolutionary models of the low-Earth-orbit environment show that the population of hazardous objects is sensitive to when and how strongly mitigation behavior is adopted, which means the timing of institutional coherence has physical consequences</w:t>
      </w:r>
      <w:r>
        <w:t xml:space="preserve"> </w:t>
      </w:r>
      <w:hyperlink w:anchor="ref-9">
        <w:r>
          <w:rPr>
            <w:rStyle w:val="Hyperlink"/>
          </w:rPr>
          <w:t xml:space="preserve">[9]</w:t>
        </w:r>
      </w:hyperlink>
      <w:r>
        <w:t xml:space="preserve">. A governance architecture that hardens a decade late may harden into a far worse orbital environment. That coupling of institutional timing to physical outcome is what gives the nested enterprise problem its urgency and separates it from a purely academic exercise in comparative regulation.</w:t>
      </w:r>
    </w:p>
    <w:p>
      <w:pPr>
        <w:pStyle w:val="BodyText"/>
        <w:spacing w:line="480" w:lineRule="auto"/>
        <w:ind w:firstLine="720"/>
      </w:pPr>
      <w:r>
        <w:t xml:space="preserve">There is a further reason the case rewards attention. Debris governance is young enough that its institutional architecture is still being poured. Regulatory framing in commercial space is actively contested</w:t>
      </w:r>
      <w:r>
        <w:t xml:space="preserve"> </w:t>
      </w:r>
      <w:hyperlink w:anchor="ref-5">
        <w:r>
          <w:rPr>
            <w:rStyle w:val="Hyperlink"/>
          </w:rPr>
          <w:t xml:space="preserve">[5]</w:t>
        </w:r>
      </w:hyperlink>
      <w:r>
        <w:t xml:space="preserve">, mitigation approaches are being trialed through unconventional instruments including gamified compliance schemes</w:t>
      </w:r>
      <w:r>
        <w:t xml:space="preserve"> </w:t>
      </w:r>
      <w:hyperlink w:anchor="ref-8">
        <w:r>
          <w:rPr>
            <w:rStyle w:val="Hyperlink"/>
          </w:rPr>
          <w:t xml:space="preserve">[8]</w:t>
        </w:r>
      </w:hyperlink>
      <w:r>
        <w:t xml:space="preserve">, and the enterprise-level data systems that would let institutions verify one another’s claims are themselves under construction</w:t>
      </w:r>
      <w:r>
        <w:t xml:space="preserve"> </w:t>
      </w:r>
      <w:hyperlink w:anchor="ref-4">
        <w:r>
          <w:rPr>
            <w:rStyle w:val="Hyperlink"/>
          </w:rPr>
          <w:t xml:space="preserve">[4]</w:t>
        </w:r>
      </w:hyperlink>
      <w:r>
        <w:t xml:space="preserve">. A field caught mid-formation is a field where design choices are still reversible, which is exactly when a falsifiable account of what makes rules stick is worth the most. Study a mature regime and you document history. Study this one and you might inform the pour. The distinction is not small.</w:t>
      </w:r>
    </w:p>
    <w:bookmarkEnd w:id="63"/>
    <w:bookmarkStart w:id="64" w:name="scope-and-what-this-dissertation-is-not"/>
    <w:p>
      <w:pPr>
        <w:pStyle w:val="Heading2"/>
        <w:spacing w:line="480" w:lineRule="auto"/>
      </w:pPr>
      <w:r>
        <w:t xml:space="preserve">1.4 Scope and What This Dissertation Is Not</w:t>
      </w:r>
    </w:p>
    <w:p>
      <w:pPr>
        <w:pStyle w:val="FirstParagraph"/>
        <w:spacing w:line="480" w:lineRule="auto"/>
      </w:pPr>
      <w:r>
        <w:t xml:space="preserve">Precision about scope prevents a reader from expecting the wrong thing. This dissertation studies governance texts, and its unit of analysis is the document. It does not observe operator behavior, launch decisions, or the physical evolution of the orbital population. When it speaks of rule specificity, it means the concreteness of what a text commits to, not whether any operator complied. That boundary is deliberate. The causal chain from institutional architecture to a cleaner orbit runs through many links, and a design-stage dissertation can rigorously address only the first of them: whether the architecture of the rules themselves is stronger when levels connect. The later links, from rule to compliance to physical outcome, are named as future work rather than claimed as findings.</w:t>
      </w:r>
    </w:p>
    <w:p>
      <w:pPr>
        <w:pStyle w:val="BodyText"/>
        <w:spacing w:line="480" w:lineRule="auto"/>
        <w:ind w:firstLine="720"/>
      </w:pPr>
      <w:r>
        <w:t xml:space="preserve">The dissertation is also not a comprehensive census of debris governance. The corpus is a retrieved sample of the surrounding literature, assembled to demonstrate that the eventual coding is tractable, not to mirror the full population of rules and quasi-rules. A census would be a different project with a different sampling frame. What the retrieved corpus offers instead is a traceable, auditable base on which to show that the variables the theory needs can be built from open records and that the corpus is structured in the direction the theory predicts. I keep the difference between a demonstration corpus and a census in view at every step, because conflating them would inflate the reach of every result.</w:t>
      </w:r>
    </w:p>
    <w:p>
      <w:pPr>
        <w:pStyle w:val="BodyText"/>
        <w:spacing w:line="480" w:lineRule="auto"/>
        <w:ind w:firstLine="720"/>
      </w:pPr>
      <w:r>
        <w:t xml:space="preserve">Finally, the dissertation is not a causal claim dressed in observational clothing. The two empirical papers estimate conditional associations within a bounded sample, and I never relabel an association as an effect. There is no exogenous variation in recency, citation count, or age to exploit, and I do not pretend otherwise. The value of the screens is that they characterize the corpus honestly and produce a coding decision for the structural test; their value is not that they secretly identify the nesting effect. Holding that line is the discipline the whole project rests on, and it is the difference between a design that can eventually be tested and a narrative that merely sounds tested</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64"/>
    <w:bookmarkStart w:id="65" w:name="a-note-on-the-two-empirical-papers"/>
    <w:p>
      <w:pPr>
        <w:pStyle w:val="Heading2"/>
        <w:spacing w:line="480" w:lineRule="auto"/>
      </w:pPr>
      <w:r>
        <w:t xml:space="preserve">1.5 A Note on the Two Empirical Papers</w:t>
      </w:r>
    </w:p>
    <w:p>
      <w:pPr>
        <w:pStyle w:val="FirstParagraph"/>
        <w:spacing w:line="480" w:lineRule="auto"/>
      </w:pPr>
      <w:r>
        <w:t xml:space="preserve">Because the reader will meet the two papers repeatedly, a brief orientation is useful here. The first paper is cross-sectional. It treats each retrieved record as an observation and asks whether the intensity of the nested-governance topic signal is associated with how recent the record is, how often it has been cited in the local index, and which venue family it belongs to. Its logic is one of attention and diffusion: if the nested-enterprise framing has matured, its vocabulary should be denser in recent records</w:t>
      </w:r>
      <w:r>
        <w:t xml:space="preserve"> </w:t>
      </w:r>
      <w:hyperlink w:anchor="ref-6">
        <w:r>
          <w:rPr>
            <w:rStyle w:val="Hyperlink"/>
          </w:rPr>
          <w:t xml:space="preserve">[6]</w:t>
        </w:r>
      </w:hyperlink>
      <w:r>
        <w:t xml:space="preserve"> </w:t>
      </w:r>
      <w:hyperlink w:anchor="ref-3">
        <w:r>
          <w:rPr>
            <w:rStyle w:val="Hyperlink"/>
          </w:rPr>
          <w:t xml:space="preserve">[3]</w:t>
        </w:r>
      </w:hyperlink>
      <w:r>
        <w:t xml:space="preserve">. The second paper is temporal. It asks whether citation accumulation follows article age through a learning-curve elasticity, and its purpose is to test whether citation age is a safe filter for importance in a corpus weighted toward recent work.</w:t>
      </w:r>
    </w:p>
    <w:p>
      <w:pPr>
        <w:pStyle w:val="BodyText"/>
        <w:spacing w:line="480" w:lineRule="auto"/>
        <w:ind w:firstLine="720"/>
      </w:pPr>
      <w:r>
        <w:t xml:space="preserve">The two papers are complementary rather than interchangeable. One studies structure across records at a moment; the other studies accumulation across time. Neither, on its own, tests the nesting hypothesis, and together they still do not, because the specificity outcome is not yet coded. What they jointly deliver is a characterization of the corpus that the structural test will draw on, and a demonstration that the estimators run cleanly on real, traceable data. That is the honest description of their role, and it governs how Chapter 6 reads their output.</w:t>
      </w:r>
    </w:p>
    <w:p>
      <w:pPr>
        <w:pStyle w:val="BodyText"/>
        <w:spacing w:line="480" w:lineRule="auto"/>
        <w:ind w:firstLine="720"/>
      </w:pPr>
      <w:r>
        <w:t xml:space="preserve">Getting this framing right is not merely academic. A dissertation that mislabels a corpus screen as a structural finding does two kinds of damage. It misleads the reader about what has been established, and it forecloses the harder work by declaring it already done. Debris governance cannot afford either. The stakes are high. The field is deciding its architecture now, and it needs evidence it can trust. By keeping the screens in their proper register, the dissertation stays useful: it tells a future researcher exactly what remains to be coded, exactly which coding decisions the screens already justify, and exactly where the structural estimate would enter. A modest, correctly-labeled contribution compounds; an inflated one has to be unwound before anyone can build on it</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65"/>
    <w:bookmarkStart w:id="66" w:name="the-physical-backdrop"/>
    <w:p>
      <w:pPr>
        <w:pStyle w:val="Heading2"/>
        <w:spacing w:line="480" w:lineRule="auto"/>
      </w:pPr>
      <w:r>
        <w:t xml:space="preserve">1.6 The Physical Backdrop</w:t>
      </w:r>
    </w:p>
    <w:p>
      <w:pPr>
        <w:pStyle w:val="FirstParagraph"/>
        <w:spacing w:line="480" w:lineRule="auto"/>
      </w:pPr>
      <w:r>
        <w:t xml:space="preserve">It helps to hold the physical reality in view, because the institutional argument gains its urgency from it. Low-Earth orbit is not an unlimited frontier. It is a set of altitude shells with finite capacity to absorb hazardous objects before the rate of collision-generated debris begins to outpace natural decay. Density-based evolutionary modeling of the environment shows that the hazardous-object population follows a trajectory sensitive to the timing and intensity of mitigation behavior, so that the same shell can stabilize or spiral depending on when operators and regulators act</w:t>
      </w:r>
      <w:r>
        <w:t xml:space="preserve"> </w:t>
      </w:r>
      <w:hyperlink w:anchor="ref-9">
        <w:r>
          <w:rPr>
            <w:rStyle w:val="Hyperlink"/>
          </w:rPr>
          <w:t xml:space="preserve">[9]</w:t>
        </w:r>
      </w:hyperlink>
      <w:r>
        <w:t xml:space="preserve">. The physics does not dictate the governance, but it sets the deadline the governance is racing against.</w:t>
      </w:r>
    </w:p>
    <w:p>
      <w:pPr>
        <w:pStyle w:val="BodyText"/>
        <w:spacing w:line="480" w:lineRule="auto"/>
        <w:ind w:firstLine="720"/>
      </w:pPr>
      <w:r>
        <w:t xml:space="preserve">That deadline is what converts an abstract question about institutional design into a matter of consequence. If nested governance strengthens rules, and if stronger rules accelerate the adoption of mitigation behavior, then the connective architecture between institutional levels is not a bureaucratic nicety; it is a lever on the physical environment, operating through the adoption rate the evolutionary models treat as their critical input. The environmental decision-support literature makes the coupling explicit by insisting that sustainability outcomes turn on institutional choices rather than orbital mechanics alone</w:t>
      </w:r>
      <w:r>
        <w:t xml:space="preserve"> </w:t>
      </w:r>
      <w:hyperlink w:anchor="ref-3">
        <w:r>
          <w:rPr>
            <w:rStyle w:val="Hyperlink"/>
          </w:rPr>
          <w:t xml:space="preserve">[3]</w:t>
        </w:r>
      </w:hyperlink>
      <w:r>
        <w:t xml:space="preserve">. The dissertation studies one such choice, the choice to nest, and asks whether it is the kind of lever the physics rewards.</w:t>
      </w:r>
    </w:p>
    <w:p>
      <w:pPr>
        <w:pStyle w:val="BodyText"/>
        <w:spacing w:line="480" w:lineRule="auto"/>
        <w:ind w:firstLine="720"/>
      </w:pPr>
      <w:r>
        <w:t xml:space="preserve">The physical backdrop also disciplines the dissertation’s humility. Nothing in the corpus of governance texts observes the orbital population directly, so the dissertation cannot claim any effect on debris density. What it can do is study the institutional architecture that plausibly influences the adoption rate, and specify the test that would establish whether that architecture is stronger when levels connect. The link from architecture to orbit is real but long, and I keep the dissertation to the segment it can actually address while naming the segments it cannot</w:t>
      </w:r>
      <w:r>
        <w:t xml:space="preserve"> </w:t>
      </w:r>
      <w:hyperlink w:anchor="ref-9">
        <w:r>
          <w:rPr>
            <w:rStyle w:val="Hyperlink"/>
          </w:rPr>
          <w:t xml:space="preserve">[9]</w:t>
        </w:r>
      </w:hyperlink>
      <w:r>
        <w:t xml:space="preserve"> </w:t>
      </w:r>
      <w:hyperlink w:anchor="ref-3">
        <w:r>
          <w:rPr>
            <w:rStyle w:val="Hyperlink"/>
          </w:rPr>
          <w:t xml:space="preserve">[3]</w:t>
        </w:r>
      </w:hyperlink>
      <w:r>
        <w:t xml:space="preserve">.</w:t>
      </w:r>
    </w:p>
    <w:bookmarkEnd w:id="66"/>
    <w:bookmarkStart w:id="67" w:name="roadmap"/>
    <w:p>
      <w:pPr>
        <w:pStyle w:val="Heading2"/>
        <w:spacing w:line="480" w:lineRule="auto"/>
      </w:pPr>
      <w:r>
        <w:t xml:space="preserve">1.7 Roadmap</w:t>
      </w:r>
    </w:p>
    <w:p>
      <w:pPr>
        <w:pStyle w:val="FirstParagraph"/>
        <w:spacing w:line="480" w:lineRule="auto"/>
      </w:pPr>
      <w:r>
        <w:t xml:space="preserve">Eight chapters carry the argument. Chapter 2 situates the argument against the prior literatures on environmental governance, discourse networks, enterprise design, and regulatory structure, and shows precisely where they stop short of the test proposed here. Chapter 3 builds the theory, specifies the nesting mechanism, and states the testable predictions that follow from it. Chapter 4 lays out the methodology and identification logic, explaining the estimators drawn from the two empirical papers and why they support the inferences claimed. Chapter 5 describes the data and measurement: the retrieved corpus, the construction of each variable, the provenance fields, and the sample size. Chapter 6 reports the results of both estimators exactly as the analyses produced them, and interprets the signs and magnitudes without inflating them. Chapter 7 discusses what the findings mean, catalogs the threats to validity, and states plainly what the data cannot show. Chapter 8 draws conclusions, connects them to governance and program relevance, and lays out the future work that would convert these screens into the full structural test the design envisions.</w:t>
      </w:r>
    </w:p>
    <w:p>
      <w:pPr>
        <w:pStyle w:val="BodyText"/>
        <w:spacing w:line="480" w:lineRule="auto"/>
        <w:ind w:firstLine="720"/>
      </w:pPr>
      <w:r>
        <w:t xml:space="preserve">A word on tone and discipline is warranted at the outset. The dissertation reports real numbers from real analyses, and it never inflates them. The recency result is genuine and modest. The citation result points the right way but does not clear conventional significance. The age-elasticity result is negative and imprecise. I treat each of these as informative in its own register, because a dissertation that reports honest, bounded findings is worth more to the field than one that pretends its screens are structural proofs. The contribution is the design, the coding logic, and one falsifiable estimate. That is a modest claim, and I defend it as a modest one throughout the chapters that follow.</w:t>
      </w:r>
    </w:p>
    <w:bookmarkEnd w:id="67"/>
    <w:bookmarkEnd w:id="68"/>
    <w:bookmarkStart w:id="77" w:name="chapter-2.-literature-review"/>
    <w:p>
      <w:pPr>
        <w:pStyle w:val="Heading1"/>
        <w:spacing w:line="480" w:lineRule="auto"/>
      </w:pPr>
      <w:r>
        <w:t xml:space="preserve">Chapter 2. Literature Review</w:t>
      </w:r>
    </w:p>
    <w:p>
      <w:pPr>
        <w:pStyle w:val="FirstParagraph"/>
        <w:spacing w:line="480" w:lineRule="auto"/>
      </w:pPr>
      <w:r>
        <w:t xml:space="preserve">Four bodies of work bear on the nested enterprise problem, and they have grown up largely without talking to one another. There is a technical and environmental-governance literature that explains why debris matters and how mitigation choices shape the orbital environment. There is a discourse and diffusion literature that explains how governance ideas spread and cohere. There is an enterprise and information-systems literature that describes the architectures through which institutions coordinate. And there is a regulatory-design literature that explains how the structure of a rule shapes the behavior it governs. This chapter takes each in turn, credits what it delivers, and marks the precise seam where it stops short of the test this dissertation proposes.</w:t>
      </w:r>
    </w:p>
    <w:bookmarkStart w:id="69" w:name="X4c85e4b702b9126b0931e93762d16a902a70059"/>
    <w:p>
      <w:pPr>
        <w:pStyle w:val="Heading2"/>
        <w:spacing w:line="480" w:lineRule="auto"/>
      </w:pPr>
      <w:r>
        <w:t xml:space="preserve">2.1 Environmental Governance and the Orbital Commons</w:t>
      </w:r>
    </w:p>
    <w:p>
      <w:pPr>
        <w:pStyle w:val="FirstParagraph"/>
        <w:spacing w:line="480" w:lineRule="auto"/>
      </w:pPr>
      <w:r>
        <w:t xml:space="preserve">The starting point is the recognition that orbit is a shared environment whose degradation is a collective-action problem rather than a technical accident. Source-sink evolutionary modeling of the orbital environment couples the physics of debris generation and removal to the governance choices that determine whether operators behave sustainably, and its central move is to insist that decision support must join the technical model to the institutional one</w:t>
      </w:r>
      <w:r>
        <w:t xml:space="preserve"> </w:t>
      </w:r>
      <w:hyperlink w:anchor="ref-3">
        <w:r>
          <w:rPr>
            <w:rStyle w:val="Hyperlink"/>
          </w:rPr>
          <w:t xml:space="preserve">[3]</w:t>
        </w:r>
      </w:hyperlink>
      <w:r>
        <w:t xml:space="preserve">. That is a consequential claim. Physics is not enough. It says that knowing the carrying capacity of a shell of low-Earth orbit is not enough; you also have to know whether the institutions governing that shell will act on the knowledge.</w:t>
      </w:r>
    </w:p>
    <w:p>
      <w:pPr>
        <w:pStyle w:val="BodyText"/>
        <w:spacing w:line="480" w:lineRule="auto"/>
        <w:ind w:firstLine="720"/>
      </w:pPr>
      <w:r>
        <w:t xml:space="preserve">Density-based evolutionary models sharpen the physical side of this coupling. They show that the future population of hazardous objects in low-Earth orbit is highly sensitive to the timing and intensity of mitigation adoption, so that small differences in when compliance takes hold translate into large differences in the long-run environment</w:t>
      </w:r>
      <w:r>
        <w:t xml:space="preserve"> </w:t>
      </w:r>
      <w:hyperlink w:anchor="ref-9">
        <w:r>
          <w:rPr>
            <w:rStyle w:val="Hyperlink"/>
          </w:rPr>
          <w:t xml:space="preserve">[9]</w:t>
        </w:r>
      </w:hyperlink>
      <w:r>
        <w:t xml:space="preserve">. The governance implication is direct. If institutional coherence arrives late, it arrives into a worse orbit. What these models do not supply is a mechanism for institutional coherence itself. They treat the adoption rate as an input, a dial to be turned, rather than as an outcome to be explained. The question of what makes debris rules sharp and enforceable sits outside their frame, and that is exactly the question the nested enterprise problem asks.</w:t>
      </w:r>
    </w:p>
    <w:p>
      <w:pPr>
        <w:pStyle w:val="BodyText"/>
        <w:spacing w:line="480" w:lineRule="auto"/>
        <w:ind w:firstLine="720"/>
      </w:pPr>
      <w:r>
        <w:t xml:space="preserve">A commons framing has begun to migrate into the orbital literature through explicit borrowing from environmental-resource management. Work in the retrieved corpus adapts fisheries-management methodology and common-pool-resource theory to low-Earth orbit, treating the shell as a stock to be managed under shared governance rather than a frontier to be exploited</w:t>
      </w:r>
      <w:r>
        <w:t xml:space="preserve"> </w:t>
      </w:r>
      <w:hyperlink w:anchor="ref-3">
        <w:r>
          <w:rPr>
            <w:rStyle w:val="Hyperlink"/>
          </w:rPr>
          <w:t xml:space="preserve">[3]</w:t>
        </w:r>
      </w:hyperlink>
      <w:r>
        <w:t xml:space="preserve">. This lineage matters because it imports a large body of empirical experience about when layered institutions succeed and when they merely echo. The orbital application is young, and it has not yet converted the analogy into a measured test of whether cross-level nesting strengthens rules. The framework is present; the estimate is not. That gap is the opening.</w:t>
      </w:r>
    </w:p>
    <w:bookmarkEnd w:id="69"/>
    <w:bookmarkStart w:id="70" w:name="discourse-diffusion-and-regime-formation"/>
    <w:p>
      <w:pPr>
        <w:pStyle w:val="Heading2"/>
        <w:spacing w:line="480" w:lineRule="auto"/>
      </w:pPr>
      <w:r>
        <w:t xml:space="preserve">2.2 Discourse, Diffusion, and Regime Formation</w:t>
      </w:r>
    </w:p>
    <w:p>
      <w:pPr>
        <w:pStyle w:val="FirstParagraph"/>
        <w:spacing w:line="480" w:lineRule="auto"/>
      </w:pPr>
      <w:r>
        <w:t xml:space="preserve">A second literature studies how debris governance takes shape as a field of discourse. Discourse-network analysis of the emerging global debris regime maps the actor coalitions, governance narratives, and framing contests that determine how the mitigation problem gets defined, and it demonstrates that language and alignment are not epiphenomenal but constitutive of the regime</w:t>
      </w:r>
      <w:r>
        <w:t xml:space="preserve"> </w:t>
      </w:r>
      <w:hyperlink w:anchor="ref-6">
        <w:r>
          <w:rPr>
            <w:rStyle w:val="Hyperlink"/>
          </w:rPr>
          <w:t xml:space="preserve">[6]</w:t>
        </w:r>
      </w:hyperlink>
      <w:r>
        <w:t xml:space="preserve">. This is the strongest available account of how shared vocabulary propagates across the field. It shows that certain framings win, that coalitions cohere around them, and that the resulting narratives structure subsequent policy.</w:t>
      </w:r>
    </w:p>
    <w:p>
      <w:pPr>
        <w:pStyle w:val="BodyText"/>
        <w:spacing w:line="480" w:lineRule="auto"/>
        <w:ind w:firstLine="720"/>
      </w:pPr>
      <w:r>
        <w:t xml:space="preserve">The discourse account has a boundary that is important for this dissertation. Showing that a framing has diffused is not the same as showing that the framing has hardened into obligation. A concept can saturate the conference circuit, appear in every abstract, and still leave the actual rule texts no more specific than they were before. The diffusion literature tracks the spread of ideas; the nested enterprise problem asks whether the spread produces cross-referenced, enforceable rules or merely a shared idiom. The two can diverge. Distinguishing them is the whole point of the specificity-versus-nesting design.</w:t>
      </w:r>
    </w:p>
    <w:p>
      <w:pPr>
        <w:pStyle w:val="BodyText"/>
        <w:spacing w:line="480" w:lineRule="auto"/>
        <w:ind w:firstLine="720"/>
      </w:pPr>
      <w:r>
        <w:t xml:space="preserve">Unconventional instruments for closing the gap between concern and action have also entered the literature. Analysis of gamification as a mechanism for debris-mitigation governance examines whether game-like compliance schemes can convert broad awareness into concrete behavior, and it is candid that translating salience into coordinated action is genuinely hard</w:t>
      </w:r>
      <w:r>
        <w:t xml:space="preserve"> </w:t>
      </w:r>
      <w:hyperlink w:anchor="ref-8">
        <w:r>
          <w:rPr>
            <w:rStyle w:val="Hyperlink"/>
          </w:rPr>
          <w:t xml:space="preserve">[8]</w:t>
        </w:r>
      </w:hyperlink>
      <w:r>
        <w:t xml:space="preserve">. That candor is useful. It confirms from a different angle that attention and obligation are separate quantities, which is the premise the empirical chapters test when they distinguish topic-signal intensity from rule specificity.</w:t>
      </w:r>
    </w:p>
    <w:bookmarkEnd w:id="70"/>
    <w:bookmarkStart w:id="71" w:name="Xa4fc86d193a7a0bb7e6477a20ae0071d06f0b78"/>
    <w:p>
      <w:pPr>
        <w:pStyle w:val="Heading2"/>
        <w:spacing w:line="480" w:lineRule="auto"/>
      </w:pPr>
      <w:r>
        <w:t xml:space="preserve">2.3 Enterprise Architecture and Information Systems</w:t>
      </w:r>
    </w:p>
    <w:p>
      <w:pPr>
        <w:pStyle w:val="FirstParagraph"/>
        <w:spacing w:line="480" w:lineRule="auto"/>
      </w:pPr>
      <w:r>
        <w:t xml:space="preserve">A third literature treats space governance as an enterprise-coordination problem and focuses on the data architectures that let institutions share information and verify one another’s claims. Analysis of the future of the space situational awareness enterprise describes a field becoming simultaneously more globally interconnected and more institutionally differentiated, which is precisely the condition under which nesting could matter or fail to matter</w:t>
      </w:r>
      <w:r>
        <w:t xml:space="preserve"> </w:t>
      </w:r>
      <w:hyperlink w:anchor="ref-2">
        <w:r>
          <w:rPr>
            <w:rStyle w:val="Hyperlink"/>
          </w:rPr>
          <w:t xml:space="preserve">[2]</w:t>
        </w:r>
      </w:hyperlink>
      <w:r>
        <w:t xml:space="preserve">. When many differentiated institutions share an environment, whether their rules connect becomes an empirical question rather than an assumption.</w:t>
      </w:r>
    </w:p>
    <w:p>
      <w:pPr>
        <w:pStyle w:val="BodyText"/>
        <w:spacing w:line="480" w:lineRule="auto"/>
        <w:ind w:firstLine="720"/>
      </w:pPr>
      <w:r>
        <w:t xml:space="preserve">The information-systems strand pushes this further by specifying the functional capabilities an international system for orbital data would need. Work defining the requirements for a shared orbital-data enterprise argues that coordination depends on interoperable information infrastructure, without which cross-level claims cannot be checked</w:t>
      </w:r>
      <w:r>
        <w:t xml:space="preserve"> </w:t>
      </w:r>
      <w:hyperlink w:anchor="ref-4">
        <w:r>
          <w:rPr>
            <w:rStyle w:val="Hyperlink"/>
          </w:rPr>
          <w:t xml:space="preserve">[4]</w:t>
        </w:r>
      </w:hyperlink>
      <w:r>
        <w:t xml:space="preserve">. This is the enabling layer for nesting. A national rule cannot meaningfully incorporate an international standard if there is no shared system through which compliance with that standard can be observed. The enterprise literature thus describes the plumbing that nesting would run through, but it does not test whether documents that use the plumbing produce stronger rules. It is architecture without the outcome regression.</w:t>
      </w:r>
    </w:p>
    <w:p>
      <w:pPr>
        <w:pStyle w:val="BodyText"/>
        <w:spacing w:line="480" w:lineRule="auto"/>
        <w:ind w:firstLine="720"/>
      </w:pPr>
      <w:r>
        <w:t xml:space="preserve">There is a lesson from an adjacent governance domain that the corpus surfaces as well. Analysis of institutional bottlenecks in the regulation of laser use in outer space shows how a promising capability can stall when the governance architecture around it is fragmented and no level of authority resolves the coordination failure</w:t>
      </w:r>
      <w:r>
        <w:t xml:space="preserve"> </w:t>
      </w:r>
      <w:hyperlink w:anchor="ref-7">
        <w:r>
          <w:rPr>
            <w:rStyle w:val="Hyperlink"/>
          </w:rPr>
          <w:t xml:space="preserve">[7]</w:t>
        </w:r>
      </w:hyperlink>
      <w:r>
        <w:t xml:space="preserve">. The bottleneck story is the nested enterprise problem seen from its failure mode. When levels do not connect, capability outruns rule, and the gap becomes the binding constraint. That failure case makes the positive hypothesis concrete: nesting, if it works, is what keeps capability and rule from decoupling.</w:t>
      </w:r>
    </w:p>
    <w:bookmarkEnd w:id="71"/>
    <w:bookmarkStart w:id="72" w:name="X1c05587359daed4ca1421b34b2ed5af9fddb829"/>
    <w:p>
      <w:pPr>
        <w:pStyle w:val="Heading2"/>
        <w:spacing w:line="480" w:lineRule="auto"/>
      </w:pPr>
      <w:r>
        <w:t xml:space="preserve">2.4 Regulatory Structure and the Rule of Three</w:t>
      </w:r>
    </w:p>
    <w:p>
      <w:pPr>
        <w:pStyle w:val="FirstParagraph"/>
        <w:spacing w:line="480" w:lineRule="auto"/>
      </w:pPr>
      <w:r>
        <w:t xml:space="preserve">A fourth literature examines how the structure of a regulation channels behavior. Analysis of United States commercial-space regulation, framed around a rule-of-three logic, shows that the architecture of a rule, its layering of obligation, oversight, and implementation, determines the practical boundaries of what operators actually do</w:t>
      </w:r>
      <w:r>
        <w:t xml:space="preserve"> </w:t>
      </w:r>
      <w:hyperlink w:anchor="ref-5">
        <w:r>
          <w:rPr>
            <w:rStyle w:val="Hyperlink"/>
          </w:rPr>
          <w:t xml:space="preserve">[5]</w:t>
        </w:r>
      </w:hyperlink>
      <w:r>
        <w:t xml:space="preserve">. This is the most direct precedent for measuring rule specificity as an outcome, because it treats the internal structure of a text as a variable with behavioral consequences rather than as legal furniture.</w:t>
      </w:r>
    </w:p>
    <w:p>
      <w:pPr>
        <w:pStyle w:val="BodyText"/>
        <w:spacing w:line="480" w:lineRule="auto"/>
        <w:ind w:firstLine="720"/>
      </w:pPr>
      <w:r>
        <w:t xml:space="preserve">What the regulatory-structure literature has not done is connect the internal structure of a national rule to its external connections. It reads a rule vertically, asking how its provisions stack, but not horizontally, asking whether it reaches out to regional and global instruments and whether that reach makes it sharper. The nested enterprise problem completes the reading. It keeps the specificity measure the regulatory literature pioneered and adds the nesting indicator the enterprise and discourse literatures imply, then asks whether the two move together.</w:t>
      </w:r>
    </w:p>
    <w:bookmarkEnd w:id="72"/>
    <w:bookmarkStart w:id="73" w:name="lessons-from-analogous-regimes"/>
    <w:p>
      <w:pPr>
        <w:pStyle w:val="Heading2"/>
        <w:spacing w:line="480" w:lineRule="auto"/>
      </w:pPr>
      <w:r>
        <w:t xml:space="preserve">2.5 Lessons From Analogous Regimes</w:t>
      </w:r>
    </w:p>
    <w:p>
      <w:pPr>
        <w:pStyle w:val="FirstParagraph"/>
        <w:spacing w:line="480" w:lineRule="auto"/>
      </w:pPr>
      <w:r>
        <w:t xml:space="preserve">The debris case does not stand alone, and one strand of the corpus reaches deliberately outside orbit for precedent. Work drawing an analogy from ozone-layer governance to orbital debris asks what the Montreal Protocol experience teaches about building a durable environmental regime, and the answer bears directly on the nesting question</w:t>
      </w:r>
      <w:r>
        <w:t xml:space="preserve"> </w:t>
      </w:r>
      <w:hyperlink w:anchor="ref-1">
        <w:r>
          <w:rPr>
            <w:rStyle w:val="Hyperlink"/>
          </w:rPr>
          <w:t xml:space="preserve">[1]</w:t>
        </w:r>
      </w:hyperlink>
      <w:r>
        <w:t xml:space="preserve">. The ozone regime succeeded in part because national implementation, regional coordination, and a global instrument were bound together, with national obligations incorporating an internationally negotiated schedule and a global body monitoring compliance. That is nesting in the sense this dissertation defines it, and the ozone precedent suggests that cross-level connection was not incidental to the regime’s strength but constitutive of it.</w:t>
      </w:r>
    </w:p>
    <w:p>
      <w:pPr>
        <w:pStyle w:val="BodyText"/>
        <w:spacing w:line="480" w:lineRule="auto"/>
        <w:ind w:firstLine="720"/>
      </w:pPr>
      <w:r>
        <w:t xml:space="preserve">The analogy is instructive precisely because it is imperfect. Ozone-depleting substances had identifiable producers and substitutes, which made obligations enforceable in a way debris mitigation does not yet match. Orbit has many operators, diffuse responsibility, and no clean substitute for the behaviors that generate debris. The lesson the corpus draws is therefore cautious: the architecture that worked for ozone, layered and mutually reinforcing, is a candidate mechanism for debris, but its transfer cannot be assumed</w:t>
      </w:r>
      <w:r>
        <w:t xml:space="preserve"> </w:t>
      </w:r>
      <w:hyperlink w:anchor="ref-1">
        <w:r>
          <w:rPr>
            <w:rStyle w:val="Hyperlink"/>
          </w:rPr>
          <w:t xml:space="preserve">[1]</w:t>
        </w:r>
      </w:hyperlink>
      <w:r>
        <w:t xml:space="preserve">. This is exactly the kind of claim the nested enterprise problem is built to test rather than to assert, and the ozone precedent supplies both the hypothesis and the warning against taking it for granted.</w:t>
      </w:r>
    </w:p>
    <w:p>
      <w:pPr>
        <w:pStyle w:val="BodyText"/>
        <w:spacing w:line="480" w:lineRule="auto"/>
        <w:ind w:firstLine="720"/>
      </w:pPr>
      <w:r>
        <w:t xml:space="preserve">Fisheries governance adds a second analogous regime. Adapting fisheries-management practice and common-pool-resource theory to orbit, the corpus treats the low-Earth-orbit shell as a shared stock whose management depends on institutions that operate across scales</w:t>
      </w:r>
      <w:r>
        <w:t xml:space="preserve"> </w:t>
      </w:r>
      <w:hyperlink w:anchor="ref-3">
        <w:r>
          <w:rPr>
            <w:rStyle w:val="Hyperlink"/>
          </w:rPr>
          <w:t xml:space="preserve">[3]</w:t>
        </w:r>
      </w:hyperlink>
      <w:r>
        <w:t xml:space="preserve">. Fisheries governance offers decades of evidence that layered institutions can either reinforce or undercut one another, depending on whether local rules connect to regional and international frameworks. Importing that evidence gives the orbital case a comparative baseline, and it sharpens the stakes of the nesting test: if orbit follows the fisheries pattern, then cross-level connection should predict rule strength, and if it does not, the analogy fails and orbit needs its own account.</w:t>
      </w:r>
    </w:p>
    <w:bookmarkEnd w:id="73"/>
    <w:bookmarkStart w:id="74" w:name="the-seam-and-the-screens"/>
    <w:p>
      <w:pPr>
        <w:pStyle w:val="Heading2"/>
        <w:spacing w:line="480" w:lineRule="auto"/>
      </w:pPr>
      <w:r>
        <w:t xml:space="preserve">2.6 The Seam and the Screens</w:t>
      </w:r>
    </w:p>
    <w:p>
      <w:pPr>
        <w:pStyle w:val="FirstParagraph"/>
        <w:spacing w:line="480" w:lineRule="auto"/>
      </w:pPr>
      <w:r>
        <w:t xml:space="preserve">Set side by side, the four literatures leave a single joint unmade. The environmental literature supplies the stakes and the clock but treats adoption as exogenous</w:t>
      </w:r>
      <w:r>
        <w:t xml:space="preserve"> </w:t>
      </w:r>
      <w:hyperlink w:anchor="ref-3">
        <w:r>
          <w:rPr>
            <w:rStyle w:val="Hyperlink"/>
          </w:rPr>
          <w:t xml:space="preserve">[3]</w:t>
        </w:r>
      </w:hyperlink>
      <w:r>
        <w:t xml:space="preserve"> </w:t>
      </w:r>
      <w:hyperlink w:anchor="ref-9">
        <w:r>
          <w:rPr>
            <w:rStyle w:val="Hyperlink"/>
          </w:rPr>
          <w:t xml:space="preserve">[9]</w:t>
        </w:r>
      </w:hyperlink>
      <w:r>
        <w:t xml:space="preserve">. The discourse literature supplies the spread of ideas but not their hardening into obligation</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enterprise literature supplies the coordination architecture but not the outcome test</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The regulatory literature supplies the specificity measure but reads rules vertically rather than across levels</w:t>
      </w:r>
      <w:r>
        <w:t xml:space="preserve"> </w:t>
      </w:r>
      <w:hyperlink w:anchor="ref-5">
        <w:r>
          <w:rPr>
            <w:rStyle w:val="Hyperlink"/>
          </w:rPr>
          <w:t xml:space="preserve">[5]</w:t>
        </w:r>
      </w:hyperlink>
      <w:r>
        <w:t xml:space="preserve">. The unmade joint is a falsifiable, document-level test of whether cross-level nesting predicts rule specificity, and building it is the dissertation’s contribution.</w:t>
      </w:r>
    </w:p>
    <w:p>
      <w:pPr>
        <w:pStyle w:val="BodyText"/>
        <w:spacing w:line="480" w:lineRule="auto"/>
        <w:ind w:firstLine="720"/>
      </w:pPr>
      <w:r>
        <w:t xml:space="preserve">The two empirical papers reported later are preparatory rather than confirmatory, and it is worth stating here how they relate to the literatures above. The first paper treats retrieved source records as observations and asks whether topic-signal intensity is structured by publication recency, citation attention, and venue family. It is an ordinary least squares model estimated on thirty records, and it speaks to the discourse literature by asking whether the nested-governance framing has sharpened over time within the corpus that would supply the eventual coding</w:t>
      </w:r>
      <w:r>
        <w:t xml:space="preserve"> </w:t>
      </w:r>
      <w:hyperlink w:anchor="ref-6">
        <w:r>
          <w:rPr>
            <w:rStyle w:val="Hyperlink"/>
          </w:rPr>
          <w:t xml:space="preserve">[6]</w:t>
        </w:r>
      </w:hyperlink>
      <w:r>
        <w:t xml:space="preserve">. The second paper asks whether citation accumulation follows article age through a log-log learning-curve specification on the same thirty records, and it speaks to the enterprise and regulatory literatures by cautioning that citation age is a poor filter for the importance of recent governance texts</w:t>
      </w:r>
      <w:r>
        <w:t xml:space="preserve"> </w:t>
      </w:r>
      <w:hyperlink w:anchor="ref-5">
        <w:r>
          <w:rPr>
            <w:rStyle w:val="Hyperlink"/>
          </w:rPr>
          <w:t xml:space="preserve">[5]</w:t>
        </w:r>
      </w:hyperlink>
      <w:r>
        <w:t xml:space="preserve"> </w:t>
      </w:r>
      <w:hyperlink w:anchor="ref-4">
        <w:r>
          <w:rPr>
            <w:rStyle w:val="Hyperlink"/>
          </w:rPr>
          <w:t xml:space="preserve">[4]</w:t>
        </w:r>
      </w:hyperlink>
      <w:r>
        <w:t xml:space="preserve">. Neither paper tests the nesting hypothesis directly. Both characterize the literature that the structural test would draw on, and Chapter 6 reports their outputs exactly, without letting a screen pose as a proof.</w:t>
      </w:r>
    </w:p>
    <w:bookmarkEnd w:id="74"/>
    <w:bookmarkStart w:id="75" w:name="Xa02561f6589f7f0ba7bca26297e601119597028"/>
    <w:p>
      <w:pPr>
        <w:pStyle w:val="Heading2"/>
        <w:spacing w:line="480" w:lineRule="auto"/>
      </w:pPr>
      <w:r>
        <w:t xml:space="preserve">2.7 What the Existing Literatures Share and Where They Break</w:t>
      </w:r>
    </w:p>
    <w:p>
      <w:pPr>
        <w:pStyle w:val="FirstParagraph"/>
        <w:spacing w:line="480" w:lineRule="auto"/>
      </w:pPr>
      <w:r>
        <w:t xml:space="preserve">Reading the four literatures together reveals a common assumption they each make and none tests. Every one of them treats the strength of a debris rule as produced by forces internal to a single level: the physics of the environment</w:t>
      </w:r>
      <w:r>
        <w:t xml:space="preserve"> </w:t>
      </w:r>
      <w:hyperlink w:anchor="ref-3">
        <w:r>
          <w:rPr>
            <w:rStyle w:val="Hyperlink"/>
          </w:rPr>
          <w:t xml:space="preserve">[3]</w:t>
        </w:r>
      </w:hyperlink>
      <w:r>
        <w:t xml:space="preserve"> </w:t>
      </w:r>
      <w:hyperlink w:anchor="ref-9">
        <w:r>
          <w:rPr>
            <w:rStyle w:val="Hyperlink"/>
          </w:rPr>
          <w:t xml:space="preserve">[9]</w:t>
        </w:r>
      </w:hyperlink>
      <w:r>
        <w:t xml:space="preserve">, the framing contests within a discourse community</w:t>
      </w:r>
      <w:r>
        <w:t xml:space="preserve"> </w:t>
      </w:r>
      <w:hyperlink w:anchor="ref-6">
        <w:r>
          <w:rPr>
            <w:rStyle w:val="Hyperlink"/>
          </w:rPr>
          <w:t xml:space="preserve">[6]</w:t>
        </w:r>
      </w:hyperlink>
      <w:r>
        <w:t xml:space="preserve">, the maturity of an enterprise’s data architecture</w:t>
      </w:r>
      <w:r>
        <w:t xml:space="preserve"> </w:t>
      </w:r>
      <w:hyperlink w:anchor="ref-2">
        <w:r>
          <w:rPr>
            <w:rStyle w:val="Hyperlink"/>
          </w:rPr>
          <w:t xml:space="preserve">[2]</w:t>
        </w:r>
      </w:hyperlink>
      <w:r>
        <w:t xml:space="preserve"> </w:t>
      </w:r>
      <w:hyperlink w:anchor="ref-4">
        <w:r>
          <w:rPr>
            <w:rStyle w:val="Hyperlink"/>
          </w:rPr>
          <w:t xml:space="preserve">[4]</w:t>
        </w:r>
      </w:hyperlink>
      <w:r>
        <w:t xml:space="preserve">, or the internal structure of a national regulation</w:t>
      </w:r>
      <w:r>
        <w:t xml:space="preserve"> </w:t>
      </w:r>
      <w:hyperlink w:anchor="ref-5">
        <w:r>
          <w:rPr>
            <w:rStyle w:val="Hyperlink"/>
          </w:rPr>
          <w:t xml:space="preserve">[5]</w:t>
        </w:r>
      </w:hyperlink>
      <w:r>
        <w:t xml:space="preserve">. Each account is level-bound. None looks across. The environmental modelers ask what happens inside orbit; the discourse analysts ask what happens inside the conversation; the enterprise scholars ask what happens inside the coordination system; the regulatory scholars ask what happens inside the rule. None asks whether the connection between levels is itself a source of rule strength.</w:t>
      </w:r>
    </w:p>
    <w:p>
      <w:pPr>
        <w:pStyle w:val="BodyText"/>
        <w:spacing w:line="480" w:lineRule="auto"/>
        <w:ind w:firstLine="720"/>
      </w:pPr>
      <w:r>
        <w:t xml:space="preserve">That shared blind spot is the opening the nested enterprise problem occupies. It reframes the question from within-level to between-level, asking not how strong a rule is on its own terms but how strong it is as a function of its connections to rules elsewhere. This is a genuinely different question, and it is the reason the dissertation cannot simply borrow an existing measure and rerun it on new data. There is no existing measure of cross-level nesting paired with rule specificity, because no prior study has treated nesting as the explanatory variable and specificity as the outcome. Building that pairing is the empirical labor the design chapters lay out.</w:t>
      </w:r>
    </w:p>
    <w:p>
      <w:pPr>
        <w:pStyle w:val="BodyText"/>
        <w:spacing w:line="480" w:lineRule="auto"/>
        <w:ind w:firstLine="720"/>
      </w:pPr>
      <w:r>
        <w:t xml:space="preserve">This break also explains why the two screens are shaped as they are. If the field’s literature has been reframing debris governance from a technical to an institutional problem, that reframing should leave a temporal fingerprint in the corpus, denser institutional vocabulary in recent records, which the first screen tests directly</w:t>
      </w:r>
      <w:r>
        <w:t xml:space="preserve"> </w:t>
      </w:r>
      <w:hyperlink w:anchor="ref-6">
        <w:r>
          <w:rPr>
            <w:rStyle w:val="Hyperlink"/>
          </w:rPr>
          <w:t xml:space="preserve">[6]</w:t>
        </w:r>
      </w:hyperlink>
      <w:r>
        <w:t xml:space="preserve"> </w:t>
      </w:r>
      <w:hyperlink w:anchor="ref-3">
        <w:r>
          <w:rPr>
            <w:rStyle w:val="Hyperlink"/>
          </w:rPr>
          <w:t xml:space="preserve">[3]</w:t>
        </w:r>
      </w:hyperlink>
      <w:r>
        <w:t xml:space="preserve">. And if recent governance texts are conceptually central despite short citation histories, then any structural coding must not filter them out, which the second screen justifies by showing citation age to be a weak organizing variable. The screens are thus not arbitrary exercises; they are the specific corpus checks that the gap in the literature makes necessary before the structural test can proceed</w:t>
      </w:r>
      <w:r>
        <w:t xml:space="preserve"> </w:t>
      </w:r>
      <w:hyperlink w:anchor="ref-8">
        <w:r>
          <w:rPr>
            <w:rStyle w:val="Hyperlink"/>
          </w:rPr>
          <w:t xml:space="preserve">[8]</w:t>
        </w:r>
      </w:hyperlink>
      <w:r>
        <w:t xml:space="preserve"> </w:t>
      </w:r>
      <w:hyperlink w:anchor="ref-4">
        <w:r>
          <w:rPr>
            <w:rStyle w:val="Hyperlink"/>
          </w:rPr>
          <w:t xml:space="preserve">[4]</w:t>
        </w:r>
      </w:hyperlink>
      <w:r>
        <w:t xml:space="preserve">.</w:t>
      </w:r>
    </w:p>
    <w:bookmarkEnd w:id="75"/>
    <w:bookmarkStart w:id="76" w:name="measurement-precedents-and-their-limits"/>
    <w:p>
      <w:pPr>
        <w:pStyle w:val="Heading2"/>
        <w:spacing w:line="480" w:lineRule="auto"/>
      </w:pPr>
      <w:r>
        <w:t xml:space="preserve">2.8 Measurement Precedents and Their Limits</w:t>
      </w:r>
    </w:p>
    <w:p>
      <w:pPr>
        <w:pStyle w:val="FirstParagraph"/>
        <w:spacing w:line="480" w:lineRule="auto"/>
      </w:pPr>
      <w:r>
        <w:t xml:space="preserve">A second methodological literature bears on the design, distinct from the substantive strands above: the practice of turning documents, citations, venues, and publication years into variables. The dissertation leans on this practice for its screens, and it is worth crediting its logic and marking its limits. Treating a retrieved record as an observation, coding its metadata into scores, and regressing an outcome on those scores is a disciplined way to detect structure in a literature. It is auditable, reproducible, and cheap, and it lets a design-stage project establish whether a claim is even measurable before committing to expensive hand-coding. The first screen is an instance of this practice, and its value is precisely that it can be reproduced from open metadata by anyone.</w:t>
      </w:r>
    </w:p>
    <w:p>
      <w:pPr>
        <w:pStyle w:val="BodyText"/>
        <w:spacing w:line="480" w:lineRule="auto"/>
        <w:ind w:firstLine="720"/>
      </w:pPr>
      <w:r>
        <w:t xml:space="preserve">That practice has a hard limit the substantive question eventually forces. Metadata scores measure how a literature talks about a topic, not what the underlying documents commit to. A topic-signal score built from title, snippet, keyword, and author fields rewards records that carry the vocabulary densely, regardless of whether the record is a binding rule or a discursive essay</w:t>
      </w:r>
      <w:r>
        <w:t xml:space="preserve"> </w:t>
      </w:r>
      <w:hyperlink w:anchor="ref-5">
        <w:r>
          <w:rPr>
            <w:rStyle w:val="Hyperlink"/>
          </w:rPr>
          <w:t xml:space="preserve">[5]</w:t>
        </w:r>
      </w:hyperlink>
      <w:r>
        <w:t xml:space="preserve">. The regulatory-structure literature shows that what matters for behavior is the internal obligation structure of a text, which metadata cannot see</w:t>
      </w:r>
      <w:r>
        <w:t xml:space="preserve"> </w:t>
      </w:r>
      <w:hyperlink w:anchor="ref-5">
        <w:r>
          <w:rPr>
            <w:rStyle w:val="Hyperlink"/>
          </w:rPr>
          <w:t xml:space="preserve">[5]</w:t>
        </w:r>
      </w:hyperlink>
      <w:r>
        <w:t xml:space="preserve">. The measurement precedent therefore takes the design only to the threshold of the substantive test: it can show that the topic is measurable and that the corpus is structured, but it cannot substitute for reading the documents. The dissertation uses the precedent for exactly that threshold role and hands off to hand-coding for the structural test, which is the honest division of labor between a cheap screen and an expensive but decisive measurement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measurement precedent carries one further caution that shapes the design. Local citation counts, of the kind the second screen uses, are a proxy for attention, not a census of it. An index reports what it happens to hold, and coverage varies across venue families and years, so a zero in the citation field may mean an uncited record or merely an unindexed one. The learning-curve screen inherits this ambiguity, which is one reason its estimate is imprecise and its conclusion cautious. Rather than treat the local count as ground truth, the design reads it as a noisy signal and draws only the coding lesson it can safely support: do not filter by citation age. That restraint is the measurement precedent used well, taking from it what a small local index can bear and no more</w:t>
      </w:r>
      <w:r>
        <w:t xml:space="preserve"> </w:t>
      </w:r>
      <w:hyperlink w:anchor="ref-7">
        <w:r>
          <w:rPr>
            <w:rStyle w:val="Hyperlink"/>
          </w:rPr>
          <w:t xml:space="preserve">[7]</w:t>
        </w:r>
      </w:hyperlink>
      <w:r>
        <w:t xml:space="preserve"> </w:t>
      </w:r>
      <w:hyperlink w:anchor="ref-5">
        <w:r>
          <w:rPr>
            <w:rStyle w:val="Hyperlink"/>
          </w:rPr>
          <w:t xml:space="preserve">[5]</w:t>
        </w:r>
      </w:hyperlink>
      <w:r>
        <w:t xml:space="preserve">.</w:t>
      </w:r>
    </w:p>
    <w:bookmarkEnd w:id="76"/>
    <w:bookmarkEnd w:id="77"/>
    <w:bookmarkStart w:id="86"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The theory of the nested enterprise problem rests on a single causal claim about how governance layers interact, and everything else in the dissertation follows from making that claim precise enough to be wrong. This chapter states the mechanism, derives the predictions it implies, distinguishes it from its rivals, and connects the abstract hypothesis to the two concrete tests the empirical chapters report. The goal is not elegance for its own sake. The goal is a mechanism specific enough that a document either exhibits it or does not, so that the data can adjudicate.</w:t>
      </w:r>
    </w:p>
    <w:bookmarkStart w:id="78" w:name="Xc880f711deec1bbbb0a3d76acea1d75128254e6"/>
    <w:p>
      <w:pPr>
        <w:pStyle w:val="Heading2"/>
        <w:spacing w:line="480" w:lineRule="auto"/>
      </w:pPr>
      <w:r>
        <w:t xml:space="preserve">3.1 The Mechanism: Nesting as Mutual Reinforcement</w:t>
      </w:r>
    </w:p>
    <w:p>
      <w:pPr>
        <w:pStyle w:val="FirstParagraph"/>
        <w:spacing w:line="480" w:lineRule="auto"/>
      </w:pPr>
      <w:r>
        <w:t xml:space="preserve">Start with the actors. Three of them. A national regulator writes rules that bind licensed operators. A regional forum circulates templates and harmonizes practice across neighboring jurisdictions. A global body sets norms, confers legitimacy, and creates focal points around which expectations converge. Each level has an instrument, and each instrument can be written in isolation or written to connect. Nesting is the condition in which the instruments connect: a national rule incorporates an international standard by reference, a global norm specifies a pathway to national implementation, a regional template carries the accountable institution’s name into the operator’s obligations.</w:t>
      </w:r>
    </w:p>
    <w:p>
      <w:pPr>
        <w:pStyle w:val="BodyText"/>
        <w:spacing w:line="480" w:lineRule="auto"/>
        <w:ind w:firstLine="720"/>
      </w:pPr>
      <w:r>
        <w:t xml:space="preserve">Connection strengthens content: that is the mechanism’s claim. When a national rule incorporates an external standard, it inherits the specificity of that standard, and it borrows the credibility of the body that maintains it. When a global norm names an implementation pathway, it converts aspiration into an addressable obligation. Connection does work. It transfers detail, it distributes accountability, and it raises the cost of writing a vague rule, because a rule that reaches out to a named standard must be specific enough to interlock with it. Environmental decision-support work supplies the background condition for this mechanism by showing that sustainable behavior depends on institutional choices rather than physics alone, which is what makes the connective architecture consequential rather than cosmetic</w:t>
      </w:r>
      <w:r>
        <w:t xml:space="preserve"> </w:t>
      </w:r>
      <w:hyperlink w:anchor="ref-3">
        <w:r>
          <w:rPr>
            <w:rStyle w:val="Hyperlink"/>
          </w:rPr>
          <w:t xml:space="preserve">[3]</w:t>
        </w:r>
      </w:hyperlink>
      <w:r>
        <w:t xml:space="preserve">.</w:t>
      </w:r>
    </w:p>
    <w:p>
      <w:pPr>
        <w:pStyle w:val="BodyText"/>
        <w:spacing w:line="480" w:lineRule="auto"/>
        <w:ind w:firstLine="720"/>
      </w:pPr>
      <w:r>
        <w:t xml:space="preserve">The mechanism has a mirror image that makes it testable. If connection does no work, then nested and single-level documents should look alike once ordinary confounds are removed. A document that cites three levels but commits to nothing specific would be all connective language and no content. The discourse literature warns that this is a live possibility, because framings can diffuse across a field without hardening into obligation</w:t>
      </w:r>
      <w:r>
        <w:t xml:space="preserve"> </w:t>
      </w:r>
      <w:hyperlink w:anchor="ref-6">
        <w:r>
          <w:rPr>
            <w:rStyle w:val="Hyperlink"/>
          </w:rPr>
          <w:t xml:space="preserve">[6]</w:t>
        </w:r>
      </w:hyperlink>
      <w:r>
        <w:t xml:space="preserve">. The gamification literature reinforces the warning by documenting how difficult it is to convert broad concern into coordinated action</w:t>
      </w:r>
      <w:r>
        <w:t xml:space="preserve"> </w:t>
      </w:r>
      <w:hyperlink w:anchor="ref-8">
        <w:r>
          <w:rPr>
            <w:rStyle w:val="Hyperlink"/>
          </w:rPr>
          <w:t xml:space="preserve">[8]</w:t>
        </w:r>
      </w:hyperlink>
      <w:r>
        <w:t xml:space="preserve">. The mechanism therefore predicts a difference the null denies, and the denial is not a straw man. It is the outcome one would expect in a field of loose diffusion.</w:t>
      </w:r>
    </w:p>
    <w:bookmarkEnd w:id="78"/>
    <w:bookmarkStart w:id="79" w:name="the-central-hypothesis"/>
    <w:p>
      <w:pPr>
        <w:pStyle w:val="Heading2"/>
        <w:spacing w:line="480" w:lineRule="auto"/>
      </w:pPr>
      <w:r>
        <w:t xml:space="preserve">3.2 The Central Hypothesis</w:t>
      </w:r>
    </w:p>
    <w:p>
      <w:pPr>
        <w:pStyle w:val="FirstParagraph"/>
        <w:spacing w:line="480" w:lineRule="auto"/>
      </w:pPr>
      <w:r>
        <w:t xml:space="preserve">Let debris-rule specificity be the outcome: a document-level score capturing the concreteness of mitigation obligations, transparency requirements, implementation detail, and enforcement language. Let nesting be the treatment: an indicator that the document explicitly links national, regional, and global institutional levels through references, incorporated standards, or implementation pathways. The central hypothesis is a statement about their conditional association.</w:t>
      </w:r>
    </w:p>
    <w:p>
      <w:pPr>
        <w:pStyle w:val="BodyText"/>
        <w:spacing w:line="480" w:lineRule="auto"/>
        <w:ind w:firstLine="720"/>
      </w:pPr>
      <w:r>
        <w:t xml:space="preserve">A null hypothesis holds that the coefficient on nesting is zero. Conditional on publication year, document type, venue family, and issue salience, documents that connect governance levels are no more specific than documents that operate at one level. The alternative hypothesis holds that the coefficient is positive. Conditional on the same controls, nested documents carry higher specificity. The conditioning set is not decoration. It exists because a naive comparison would confound nesting with time, since recent documents are both more connected and more detailed, and with venue, since some publication ecosystems reward specificity independent of nesting. The hypothesis is meaningful only when those confounds are held fixed, which is why the design chapters devote such care to them.</w:t>
      </w:r>
    </w:p>
    <w:bookmarkEnd w:id="79"/>
    <w:bookmarkStart w:id="80" w:name="Xdb1b6e1f5e859e41ae3712f4ceabcb3b8dbc054"/>
    <w:p>
      <w:pPr>
        <w:pStyle w:val="Heading2"/>
        <w:spacing w:line="480" w:lineRule="auto"/>
      </w:pPr>
      <w:r>
        <w:t xml:space="preserve">3.3 Auxiliary Predictions and the Two Screens</w:t>
      </w:r>
    </w:p>
    <w:p>
      <w:pPr>
        <w:pStyle w:val="FirstParagraph"/>
        <w:spacing w:line="480" w:lineRule="auto"/>
      </w:pPr>
      <w:r>
        <w:t xml:space="preserve">The full structural test of the central hypothesis requires the hand-coded specificity panel, which the design stage could not complete. The dissertation therefore reports two auxiliary tests that probe the corpus from which that panel would be built. Each connects to the mechanism through a distinct auxiliary prediction, and it is important to state those connections precisely so that the screens are not mistaken for the structural test itself.</w:t>
      </w:r>
    </w:p>
    <w:p>
      <w:pPr>
        <w:pStyle w:val="BodyText"/>
        <w:spacing w:line="480" w:lineRule="auto"/>
        <w:ind w:firstLine="720"/>
      </w:pPr>
      <w:r>
        <w:t xml:space="preserve">A first auxiliary prediction concerns the timing of the framing. If the nested-governance idea has sharpened over time, as the discourse and environmental literatures suggest</w:t>
      </w:r>
      <w:r>
        <w:t xml:space="preserve"> </w:t>
      </w:r>
      <w:hyperlink w:anchor="ref-6">
        <w:r>
          <w:rPr>
            <w:rStyle w:val="Hyperlink"/>
          </w:rPr>
          <w:t xml:space="preserve">[6]</w:t>
        </w:r>
      </w:hyperlink>
      <w:r>
        <w:t xml:space="preserve"> </w:t>
      </w:r>
      <w:hyperlink w:anchor="ref-3">
        <w:r>
          <w:rPr>
            <w:rStyle w:val="Hyperlink"/>
          </w:rPr>
          <w:t xml:space="preserve">[3]</w:t>
        </w:r>
      </w:hyperlink>
      <w:r>
        <w:t xml:space="preserve">, then the metadata signal for the topic should be denser in more recent records. The first paper operationalizes this through a topic-signal score regressed on a recency index, a citation count, and a venue-family score. Its null holds that the topic-signal score is unrelated to recency, citation attention, and venue family; its alternative holds that the score rises with recency and attention. A positive recency coefficient would indicate that the corpus concentrates the nested-governance vocabulary in recent work, which tells the eventual coder where the nesting language lives. It would not, by itself, confirm that nesting strengthens rules.</w:t>
      </w:r>
    </w:p>
    <w:p>
      <w:pPr>
        <w:pStyle w:val="BodyText"/>
        <w:spacing w:line="480" w:lineRule="auto"/>
        <w:ind w:firstLine="720"/>
      </w:pPr>
      <w:r>
        <w:t xml:space="preserve">A second auxiliary prediction concerns the reliability of citation age as a filter for importance. A naive analyst might weight the corpus by citation count and thereby privilege older records. If, instead, recent governance texts are conceptually central before they have accumulated citations, then citation age should be a weak or negative predictor of citation count within the corpus. The second paper operationalizes this through a log-log learning-curve model of citation accumulation against article age. Its null holds that citation accumulation is unrelated to age; its alternative holds that accumulation follows a measurable age-based curve. A weak or negative age elasticity would caution against filtering the eventual panel by citation age, protecting recent nesting-relevant texts from being discarded</w:t>
      </w:r>
      <w:r>
        <w:t xml:space="preserve"> </w:t>
      </w:r>
      <w:hyperlink w:anchor="ref-8">
        <w:r>
          <w:rPr>
            <w:rStyle w:val="Hyperlink"/>
          </w:rPr>
          <w:t xml:space="preserve">[8]</w:t>
        </w:r>
      </w:hyperlink>
      <w:r>
        <w:t xml:space="preserve">.</w:t>
      </w:r>
    </w:p>
    <w:p>
      <w:pPr>
        <w:pStyle w:val="BodyText"/>
        <w:spacing w:line="480" w:lineRule="auto"/>
        <w:ind w:firstLine="720"/>
      </w:pPr>
      <w:r>
        <w:t xml:space="preserve">Neither screen tests the mechanism. Both characterize the literature the central test would draw on. Chapter 6 reports their exact outputs, and I flag here that the results are honest and bounded: the recency coefficient is positive and distinguishable from zero, the citation coefficient points the right way without clearing conventional significance, and the age elasticity is negative and imprecise. Those outcomes are informative about the corpus, and I treat them that way, not as stand-ins for the structural estimate.</w:t>
      </w:r>
    </w:p>
    <w:bookmarkEnd w:id="80"/>
    <w:bookmarkStart w:id="81" w:name="rival-explanations"/>
    <w:p>
      <w:pPr>
        <w:pStyle w:val="Heading2"/>
        <w:spacing w:line="480" w:lineRule="auto"/>
      </w:pPr>
      <w:r>
        <w:t xml:space="preserve">3.4 Rival Explanations</w:t>
      </w:r>
    </w:p>
    <w:p>
      <w:pPr>
        <w:pStyle w:val="FirstParagraph"/>
        <w:spacing w:line="480" w:lineRule="auto"/>
      </w:pPr>
      <w:r>
        <w:t xml:space="preserve">A responsible theory names what would fool it. Four rivals could produce apparent structure in the screens without any nesting mechanism being present. The first is a venue effect: differences between AMOS and Acta Astronautica in vocabulary and publication convention could drive the topic signal independent of substance, which is why venue family enters the first model as a control</w:t>
      </w:r>
      <w:r>
        <w:t xml:space="preserve"> </w:t>
      </w:r>
      <w:hyperlink w:anchor="ref-2">
        <w:r>
          <w:rPr>
            <w:rStyle w:val="Hyperlink"/>
          </w:rPr>
          <w:t xml:space="preserve">[2]</w:t>
        </w:r>
      </w:hyperlink>
      <w:r>
        <w:t xml:space="preserve">. The second is a salience effect: high-profile conjunction events could raise both cross-referencing and rule detail simultaneously, so that attention shocks masquerade as structural nesting, which is why the design codes event salience and includes year controls. Risk assessment of high-interest conjunctions documents exactly the kind of episodic attention spike that could confound a naive reading</w:t>
      </w:r>
      <w:r>
        <w:t xml:space="preserve"> </w:t>
      </w:r>
      <w:hyperlink w:anchor="ref-22">
        <w:r>
          <w:rPr>
            <w:rStyle w:val="Hyperlink"/>
          </w:rPr>
          <w:t xml:space="preserve">[22]</w:t>
        </w:r>
      </w:hyperlink>
      <w:r>
        <w:t xml:space="preserve">.</w:t>
      </w:r>
    </w:p>
    <w:p>
      <w:pPr>
        <w:pStyle w:val="BodyText"/>
        <w:spacing w:line="480" w:lineRule="auto"/>
        <w:ind w:firstLine="720"/>
      </w:pPr>
      <w:r>
        <w:t xml:space="preserve">The third rival is a coverage effect: the retrieved corpus reflects what the local index holds, not the true population of debris-governance texts, so patterns could reflect sampling rather than the field. The fourth is a metadata-availability effect: records with richer metadata will score higher on a metadata-based signal regardless of substantive depth. These rivals are not nuisances to be waved away. They are the reasons the screens are screens and not proofs, and they set the agenda for the robustness work the design chapters describe. The theory earns its keep precisely by naming them in advance, so that a confirmed prediction cannot be dismissed as an artifact the analyst never considered</w:t>
      </w:r>
      <w:r>
        <w:t xml:space="preserve"> </w:t>
      </w:r>
      <w:hyperlink w:anchor="ref-5">
        <w:r>
          <w:rPr>
            <w:rStyle w:val="Hyperlink"/>
          </w:rPr>
          <w:t xml:space="preserve">[5]</w:t>
        </w:r>
      </w:hyperlink>
      <w:r>
        <w:t xml:space="preserve"> </w:t>
      </w:r>
      <w:hyperlink w:anchor="ref-4">
        <w:r>
          <w:rPr>
            <w:rStyle w:val="Hyperlink"/>
          </w:rPr>
          <w:t xml:space="preserve">[4]</w:t>
        </w:r>
      </w:hyperlink>
      <w:r>
        <w:t xml:space="preserve">.</w:t>
      </w:r>
    </w:p>
    <w:bookmarkEnd w:id="81"/>
    <w:bookmarkStart w:id="82" w:name="scope-conditions-of-the-mechanism"/>
    <w:p>
      <w:pPr>
        <w:pStyle w:val="Heading2"/>
        <w:spacing w:line="480" w:lineRule="auto"/>
      </w:pPr>
      <w:r>
        <w:t xml:space="preserve">3.5 Scope Conditions of the Mechanism</w:t>
      </w:r>
    </w:p>
    <w:p>
      <w:pPr>
        <w:pStyle w:val="FirstParagraph"/>
        <w:spacing w:line="480" w:lineRule="auto"/>
      </w:pPr>
      <w:r>
        <w:t xml:space="preserve">A mechanism worth stating is a mechanism with boundaries, and the nesting argument has three. The first boundary is observability. Nesting can only strengthen a rule if the connection between levels is real rather than nominal, and a connection is real only when there is an infrastructure through which one level can verify another’s claims. The enterprise literature makes this condition concrete by describing the shared orbital-data systems that would let a national regulator confirm compliance with an international standard</w:t>
      </w:r>
      <w:r>
        <w:t xml:space="preserve"> </w:t>
      </w:r>
      <w:hyperlink w:anchor="ref-4">
        <w:r>
          <w:rPr>
            <w:rStyle w:val="Hyperlink"/>
          </w:rPr>
          <w:t xml:space="preserve">[4]</w:t>
        </w:r>
      </w:hyperlink>
      <w:r>
        <w:t xml:space="preserve">. Where that infrastructure is absent, a document may cite three levels and still bind nothing, because the citation cannot be operationalized. The mechanism therefore predicts a stronger nesting effect in domains where verification infrastructure exists, and a weaker one where it does not.</w:t>
      </w:r>
    </w:p>
    <w:p>
      <w:pPr>
        <w:pStyle w:val="BodyText"/>
        <w:spacing w:line="480" w:lineRule="auto"/>
        <w:ind w:firstLine="720"/>
      </w:pPr>
      <w:r>
        <w:t xml:space="preserve">The second boundary is bindingness. The mechanism applies most cleanly to texts that can actually impose obligations, and it applies weakly or not at all to purely discursive texts that shape conversation without producing rules. This is why the design distinguishes binding, quasi-binding, and discursive documents and reports a tightened estimate on the binding subset. A conference declaration that nests three levels rhetorically is not the same as a regulation that incorporates an international standard by reference, and the mechanism expects the connective act to do measurable work only in the latter</w:t>
      </w:r>
      <w:r>
        <w:t xml:space="preserve"> </w:t>
      </w:r>
      <w:hyperlink w:anchor="ref-5">
        <w:r>
          <w:rPr>
            <w:rStyle w:val="Hyperlink"/>
          </w:rPr>
          <w:t xml:space="preserve">[5]</w:t>
        </w:r>
      </w:hyperlink>
      <w:r>
        <w:t xml:space="preserve">. The scope condition protects the hypothesis from being tested on texts it was never meant to explain.</w:t>
      </w:r>
    </w:p>
    <w:p>
      <w:pPr>
        <w:pStyle w:val="BodyText"/>
        <w:spacing w:line="480" w:lineRule="auto"/>
        <w:ind w:firstLine="720"/>
      </w:pPr>
      <w:r>
        <w:t xml:space="preserve">The third boundary is timing. Because the orbital environment evolves on its own physical clock, the mechanism’s practical value depends on nesting arriving before the environment degrades past a threshold. Density-based evolutionary modeling shows that the hazardous-object population responds sharply to when mitigation behavior takes hold</w:t>
      </w:r>
      <w:r>
        <w:t xml:space="preserve"> </w:t>
      </w:r>
      <w:hyperlink w:anchor="ref-9">
        <w:r>
          <w:rPr>
            <w:rStyle w:val="Hyperlink"/>
          </w:rPr>
          <w:t xml:space="preserve">[9]</w:t>
        </w:r>
      </w:hyperlink>
      <w:r>
        <w:t xml:space="preserve">, which means a nesting effect that materializes too late may strengthen rules into an orbit already compromised. The mechanism is thus not timeless; its governance payoff is front-loaded, and a rule architecture that hardens a decade after it was needed delivers less than the same architecture hardening on time. Naming this condition connects the institutional argument to the physical stakes and keeps the theory from floating free of the environment it is meant to govern.</w:t>
      </w:r>
    </w:p>
    <w:bookmarkEnd w:id="82"/>
    <w:bookmarkStart w:id="83" w:name="from-screens-to-structure"/>
    <w:p>
      <w:pPr>
        <w:pStyle w:val="Heading2"/>
        <w:spacing w:line="480" w:lineRule="auto"/>
      </w:pPr>
      <w:r>
        <w:t xml:space="preserve">3.6 From Screens to Structure</w:t>
      </w:r>
    </w:p>
    <w:p>
      <w:pPr>
        <w:pStyle w:val="FirstParagraph"/>
        <w:spacing w:line="480" w:lineRule="auto"/>
      </w:pPr>
      <w:r>
        <w:t xml:space="preserve">The chapter closes by making the ladder of inference explicit. A positive recency coefficient in the first screen supports the claim that the corpus is temporally structured in a way consistent with a sharpening framing, which is a precondition for the structural test but not the test itself. A weak age elasticity in the second screen supports a coding decision, namely that recent texts should be retained despite modest citation counts. The structural test, when the panel is complete, would regress specificity on nesting under the conditioning set above, and only that regression can confirm or reject the central hypothesis. The theory thus specifies three levels of evidence, association within the corpus, support for a measurement decision, and the structural estimate, and it insists that the dissertation claim only what each level can bear</w:t>
      </w:r>
      <w:r>
        <w:t xml:space="preserve"> </w:t>
      </w:r>
      <w:hyperlink w:anchor="ref-9">
        <w:r>
          <w:rPr>
            <w:rStyle w:val="Hyperlink"/>
          </w:rPr>
          <w:t xml:space="preserve">[9]</w:t>
        </w:r>
      </w:hyperlink>
      <w:r>
        <w:t xml:space="preserve"> </w:t>
      </w:r>
      <w:hyperlink w:anchor="ref-7">
        <w:r>
          <w:rPr>
            <w:rStyle w:val="Hyperlink"/>
          </w:rPr>
          <w:t xml:space="preserve">[7]</w:t>
        </w:r>
      </w:hyperlink>
      <w:r>
        <w:t xml:space="preserve">.</w:t>
      </w:r>
    </w:p>
    <w:bookmarkEnd w:id="83"/>
    <w:bookmarkStart w:id="84" w:name="microfoundations-of-the-nesting-effect"/>
    <w:p>
      <w:pPr>
        <w:pStyle w:val="Heading2"/>
        <w:spacing w:line="480" w:lineRule="auto"/>
      </w:pPr>
      <w:r>
        <w:t xml:space="preserve">3.7 Microfoundations of the Nesting Effect</w:t>
      </w:r>
    </w:p>
    <w:p>
      <w:pPr>
        <w:pStyle w:val="FirstParagraph"/>
        <w:spacing w:line="480" w:lineRule="auto"/>
      </w:pPr>
      <w:r>
        <w:t xml:space="preserve">Stated at the level of the individual drafter, the mechanism which makes its predictions sharper. Consider the choice a regulator faces when writing a mitigation rule. Writing the rule as a self-contained national obligation is cheaper in the short run: it avoids negotiating alignment with external standards and keeps discretion at home. Writing it to incorporate an international standard by reference is more expensive up front, because the drafter must ensure the national text interlocks with the external one, but it transfers detail and credibility into the rule at low marginal cost thereafter. The nesting hypothesis is, at bottom, a claim that the second choice produces more specific rules, and it predicts that drafters who make it will produce texts that score higher on the specificity rubric.</w:t>
      </w:r>
    </w:p>
    <w:p>
      <w:pPr>
        <w:pStyle w:val="BodyText"/>
        <w:spacing w:line="480" w:lineRule="auto"/>
        <w:ind w:firstLine="720"/>
      </w:pPr>
      <w:r>
        <w:t xml:space="preserve">Why would incorporation raise specificity rather than merely add a citation? Because a reference to an external standard is only usable if the referencing text is precise enough to interlock with it. A vague national rule cannot meaningfully incorporate a detailed international mitigation standard, since the two would not fit together at the level of obligation. The act of nesting therefore disciplines the drafter toward specificity as a precondition of coherence. This is the causal microfoundation the environmental decision-support literature gestures at when it insists that sustainable outcomes depend on institutional choices rather than technical facts alone</w:t>
      </w:r>
      <w:r>
        <w:t xml:space="preserve"> </w:t>
      </w:r>
      <w:hyperlink w:anchor="ref-3">
        <w:r>
          <w:rPr>
            <w:rStyle w:val="Hyperlink"/>
          </w:rPr>
          <w:t xml:space="preserve">[3]</w:t>
        </w:r>
      </w:hyperlink>
      <w:r>
        <w:t xml:space="preserve">: the institutional choice to nest carries specificity in its train.</w:t>
      </w:r>
    </w:p>
    <w:p>
      <w:pPr>
        <w:pStyle w:val="BodyText"/>
        <w:spacing w:line="480" w:lineRule="auto"/>
        <w:ind w:firstLine="720"/>
      </w:pPr>
      <w:r>
        <w:t xml:space="preserve">The microfoundation also predicts heterogeneity, which the structural test can exploit. Drafters with access to verification infrastructure, the shared orbital-data systems the enterprise literature describes</w:t>
      </w:r>
      <w:r>
        <w:t xml:space="preserve"> </w:t>
      </w:r>
      <w:hyperlink w:anchor="ref-4">
        <w:r>
          <w:rPr>
            <w:rStyle w:val="Hyperlink"/>
          </w:rPr>
          <w:t xml:space="preserve">[4]</w:t>
        </w:r>
      </w:hyperlink>
      <w:r>
        <w:t xml:space="preserve">, can nest credibly, because their references to external standards can be checked. Drafters without that infrastructure can nest only nominally, producing cross-level citations that bind nothing. The mechanism therefore predicts a stronger specificity association where verification is possible and a weaker one where it is not, and that predicted heterogeneity is a further test the structural design can run once the panel is coded. A mechanism that predicts not just a main effect but its pattern of variation is more falsifiable than one that predicts only a sign, and stating the microfoundation is what generates the additional predictions</w:t>
      </w:r>
      <w:r>
        <w:t xml:space="preserve"> </w:t>
      </w:r>
      <w:hyperlink w:anchor="ref-7">
        <w:r>
          <w:rPr>
            <w:rStyle w:val="Hyperlink"/>
          </w:rPr>
          <w:t xml:space="preserve">[7]</w:t>
        </w:r>
      </w:hyperlink>
      <w:r>
        <w:t xml:space="preserve"> </w:t>
      </w:r>
      <w:hyperlink w:anchor="ref-5">
        <w:r>
          <w:rPr>
            <w:rStyle w:val="Hyperlink"/>
          </w:rPr>
          <w:t xml:space="preserve">[5]</w:t>
        </w:r>
      </w:hyperlink>
      <w:r>
        <w:t xml:space="preserve">.</w:t>
      </w:r>
    </w:p>
    <w:bookmarkEnd w:id="84"/>
    <w:bookmarkStart w:id="85" w:name="Xa172ebcc7a701afa979cd79cff6a23b26e7edd6"/>
    <w:p>
      <w:pPr>
        <w:pStyle w:val="Heading2"/>
        <w:spacing w:line="480" w:lineRule="auto"/>
      </w:pPr>
      <w:r>
        <w:t xml:space="preserve">3.8 Distinguishing the Hypothesis From Its Nearest Neighbors</w:t>
      </w:r>
    </w:p>
    <w:p>
      <w:pPr>
        <w:pStyle w:val="FirstParagraph"/>
        <w:spacing w:line="480" w:lineRule="auto"/>
      </w:pPr>
      <w:r>
        <w:t xml:space="preserve">Three neighboring claims must be separated from the nesting hypothesis it could be confused with, because the confusion would let a weaker finding pose as a confirmation. The first neighbor is a length claim: nested documents cite more levels and are therefore longer, and longer documents contain more provisions. If specificity were merely a proxy for length, the nesting association would be trivial. The design defeats this by scoring specificity from the concreteness of obligations rather than their count, and by controlling for document type, so that a long discursive essay does not outscore a short but precise rule. The hypothesis is about the interlocking of commitments, not the accumulation of words</w:t>
      </w:r>
      <w:r>
        <w:t xml:space="preserve"> </w:t>
      </w:r>
      <w:hyperlink w:anchor="ref-5">
        <w:r>
          <w:rPr>
            <w:rStyle w:val="Hyperlink"/>
          </w:rPr>
          <w:t xml:space="preserve">[5]</w:t>
        </w:r>
      </w:hyperlink>
      <w:r>
        <w:t xml:space="preserve">.</w:t>
      </w:r>
    </w:p>
    <w:p>
      <w:pPr>
        <w:pStyle w:val="BodyText"/>
        <w:spacing w:line="480" w:lineRule="auto"/>
        <w:ind w:firstLine="720"/>
      </w:pPr>
      <w:r>
        <w:t xml:space="preserve">The second neighbor is a recency claim: recent documents are both more connected and more detailed, so nesting could be standing in for time. This is why year enters the conditioning set as a control rather than being ignored, and why the first screen’s finding that topic signal rises with recency is treated as a confound to be held fixed in the structural test, not as evidence for nesting itself. The mechanism claims that nesting raises specificity holding time constant, which is a stronger and more falsifiable claim than the observation that recent documents are richer</w:t>
      </w:r>
      <w:r>
        <w:t xml:space="preserve"> </w:t>
      </w:r>
      <w:hyperlink w:anchor="ref-6">
        <w:r>
          <w:rPr>
            <w:rStyle w:val="Hyperlink"/>
          </w:rPr>
          <w:t xml:space="preserve">[6]</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third neighbor is a salience claim: high-profile events raise both cross-referencing and detail at once, so an attention shock could produce the nesting association spuriously. Risk-assessment work on high-interest conjunctions documents exactly this kind of episodic spike</w:t>
      </w:r>
      <w:r>
        <w:t xml:space="preserve"> </w:t>
      </w:r>
      <w:hyperlink w:anchor="ref-22">
        <w:r>
          <w:rPr>
            <w:rStyle w:val="Hyperlink"/>
          </w:rPr>
          <w:t xml:space="preserve">[22]</w:t>
        </w:r>
      </w:hyperlink>
      <w:r>
        <w:t xml:space="preserve">, and the design responds by coding event salience and including it in the conditioning set. Separating the hypothesis from these three neighbors is not pedantry. It is what makes the eventual confirmation meaningful, because a positive coefficient that survives the length, recency, and salience controls is evidence for the mechanism itself rather than for one of its cheaper look-alikes</w:t>
      </w:r>
      <w:r>
        <w:t xml:space="preserve"> </w:t>
      </w:r>
      <w:hyperlink w:anchor="ref-5">
        <w:r>
          <w:rPr>
            <w:rStyle w:val="Hyperlink"/>
          </w:rPr>
          <w:t xml:space="preserve">[5]</w:t>
        </w:r>
      </w:hyperlink>
      <w:r>
        <w:t xml:space="preserve"> </w:t>
      </w:r>
      <w:hyperlink w:anchor="ref-4">
        <w:r>
          <w:rPr>
            <w:rStyle w:val="Hyperlink"/>
          </w:rPr>
          <w:t xml:space="preserve">[4]</w:t>
        </w:r>
      </w:hyperlink>
      <w:r>
        <w:t xml:space="preserve">.</w:t>
      </w:r>
    </w:p>
    <w:p>
      <w:pPr>
        <w:pStyle w:val="BodyText"/>
        <w:spacing w:line="480" w:lineRule="auto"/>
        <w:ind w:firstLine="720"/>
      </w:pPr>
      <w:r>
        <w:t xml:space="preserve">A final word on the theory’s ambition is warranted. The nesting mechanism is deliberately narrow. It does not claim that nested institutions solve the debris problem, that specificity guarantees compliance, or that connected rules always outperform isolated ones. It claims only that, holding confounds fixed, documents which genuinely connect governance levels tend to be more specific than those which do not, and that this connective act does measurable work on the concreteness of the rule. A narrow mechanism is easier to test and harder to dismiss than a sweeping one, and the discipline of keeping the claim small is what lets the empirical chapters engage it honestly rather than gesture at it. The theory earns its place by being modest enough to be wrong and precise enough to matter</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same modesty governs how the hypotheses translate into the empirical chapters. The auxiliary predictions carried by the two screens are weaker than the central claim by design, because the screens run on metadata rather than coded text, and the chapters that follow keep that hierarchy visible so that a confirmed screen is never mistaken for a confirmed mechanism. Theory, in this dissertation, is a ladder with clearly labeled rungs, and the labeling is as much a part of the contribution as the rungs themselves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85"/>
    <w:bookmarkEnd w:id="86"/>
    <w:bookmarkStart w:id="95"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chapter explains the estimators the dissertation uses, why each is appropriate to its question, and what identification claim each one can honestly support. The posture is conservative throughout. Deliberately so. The dissertation runs observational models on a small retrieved corpus, and it never dresses an observational association in causal language. The chapter is organized around three commitments: transparency of specification, precision about identification, and explicitness about the limits of each design. I take the two empirical papers in turn and then state the identification logic that governs the eventual structural test.</w:t>
      </w:r>
    </w:p>
    <w:bookmarkStart w:id="87" w:name="the-design-envelope"/>
    <w:p>
      <w:pPr>
        <w:pStyle w:val="Heading2"/>
        <w:spacing w:line="480" w:lineRule="auto"/>
      </w:pPr>
      <w:r>
        <w:t xml:space="preserve">4.1 The Design Envelope</w:t>
      </w:r>
    </w:p>
    <w:p>
      <w:pPr>
        <w:pStyle w:val="FirstParagraph"/>
        <w:spacing w:line="480" w:lineRule="auto"/>
      </w:pPr>
      <w:r>
        <w:t xml:space="preserve">A document-level panel is the intended structural test. Each observation is a rule, policy statement, standards text, conference-derived governance proposal, or cited implementation guidance document. The outcome is a debris-rule specificity score built from coded commitments; the treatment is a nesting indicator; the controls are document year, document type, venue family, issue salience, and technical specificity. That panel regresses specificity on nesting under year fixed effects, and its identification rests on structured comparison across documents that address debris governance but vary in how far they connect national, regional, and global levels. The design makes no claim of random assignment. Its causal logic is modest and stated plainly: conditional on year, document type, and salience, a consistent association between nesting and specificity would make nested structure a plausible mechanism rather than a descriptive label</w:t>
      </w:r>
      <w:r>
        <w:t xml:space="preserve"> </w:t>
      </w:r>
      <w:hyperlink w:anchor="ref-5">
        <w:r>
          <w:rPr>
            <w:rStyle w:val="Hyperlink"/>
          </w:rPr>
          <w:t xml:space="preserve">[5]</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design stage could not deliver the completed specificity panel. What it could deliver is a retrieved corpus of the relevant literature, coded for auditable metadata features, and two estimators that characterize that corpus. Those estimators are the subject of the rest of this chapter. They are preparatory. Their identification claims are correspondingly narrow. I keep them narrow on purpose.</w:t>
      </w:r>
    </w:p>
    <w:bookmarkEnd w:id="87"/>
    <w:bookmarkStart w:id="88" w:name="X55437ac0feaeaa84f50c98e630040ffafba3b8b"/>
    <w:p>
      <w:pPr>
        <w:pStyle w:val="Heading2"/>
        <w:spacing w:line="480" w:lineRule="auto"/>
      </w:pPr>
      <w:r>
        <w:t xml:space="preserve">4.2 Estimator One: Ordinary Least Squares on Topic Signal</w:t>
      </w:r>
    </w:p>
    <w:p>
      <w:pPr>
        <w:pStyle w:val="FirstParagraph"/>
        <w:spacing w:line="480" w:lineRule="auto"/>
      </w:pPr>
      <w:r>
        <w:t xml:space="preserve">Paper one estimates an ordinary least squares model with robust HC1 standard errors. Its dependent variable is the topic-signal score for each retrieved record. The regressors are a recency index, a citation count, and an ordinal venue-family score, with an intercept. The estimating equation is</w:t>
      </w:r>
    </w:p>
    <w:p>
      <w:pPr>
        <w:pStyle w:val="BodyText"/>
        <w:spacing w:line="480" w:lineRule="auto"/>
        <w:ind w:firstLine="720"/>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r>
            <m:rPr>
              <m:sty m:val="p"/>
            </m:rPr>
            <m:t>.</m:t>
          </m:r>
        </m:oMath>
      </m:oMathPara>
    </w:p>
    <w:p>
      <w:pPr>
        <w:pStyle w:val="FirstParagraph"/>
        <w:spacing w:line="480" w:lineRule="auto"/>
      </w:pPr>
      <w:r>
        <w:t xml:space="preserve">Ordinary least squares is the right tool here for a specific reason. The outcome is a bounded count-like composite with roughly linear structure across the observed support, and the question is whether three observable features are jointly and individually associated with it. The model is not asked to recover a treatment effect. It is asked whether the corpus exhibits systematic structure by time, attention, and venue. That is an estimation question about conditional means, and least squares answers it directly.</w:t>
      </w:r>
    </w:p>
    <w:p>
      <w:pPr>
        <w:pStyle w:val="BodyText"/>
        <w:spacing w:line="480" w:lineRule="auto"/>
        <w:ind w:firstLine="720"/>
      </w:pPr>
      <w:r>
        <w:t xml:space="preserve">Robust HC1 standard errors follow from the data-generating conditions rather than from habit. Metadata richness varies across records, venue conventions differ, and the local index reports citations unevenly, all of which make homoskedasticity implausible. HC1 errors do not fix a misspecified mean, but they prevent overconfident inference when the error variance moves with the regressors. The reported precision is therefore conservative relative to classical standard errors, which is the correct direction for a small-sample screen.</w:t>
      </w:r>
    </w:p>
    <w:p>
      <w:pPr>
        <w:pStyle w:val="BodyText"/>
        <w:spacing w:line="480" w:lineRule="auto"/>
        <w:ind w:firstLine="720"/>
      </w:pPr>
      <w:r>
        <w:t xml:space="preserve">Identification here is thin. That is by design. A positive recency coefficient identifies an association between publication recency and topic-signal intensity within the retrieved corpus, holding citation count and venue family fixed. It does not identify a causal effect of time on governance quality, and it does not generalize beyond the corpus to the population of debris-governance texts. The venue coefficient is an association under the supplied ordinal coding, nothing more, since the coding compresses genuinely different publication ecologies into a single ordered scale. I read every coefficient in this model as a conditional association inside a bounded sample, and Chapter 6 interprets the outputs on exactly those terms.</w:t>
      </w:r>
    </w:p>
    <w:bookmarkEnd w:id="88"/>
    <w:bookmarkStart w:id="89" w:name="X1a2b00560f7d37a743a084f1b818b92892d37a4"/>
    <w:p>
      <w:pPr>
        <w:pStyle w:val="Heading2"/>
        <w:spacing w:line="480" w:lineRule="auto"/>
      </w:pPr>
      <w:r>
        <w:t xml:space="preserve">4.3 Estimator Two: The Learning-Curve Log-Log Model</w:t>
      </w:r>
    </w:p>
    <w:p>
      <w:pPr>
        <w:pStyle w:val="FirstParagraph"/>
        <w:spacing w:line="480" w:lineRule="auto"/>
      </w:pPr>
      <w:r>
        <w:t xml:space="preserve">Paper two estimates a log-log ordinary least squares model, again with robust HC1 standard errors. The dependent variable is the natural log of citation count plus one; the single regressor is the natural log of an article-age index. The estimating equation is</w:t>
      </w:r>
    </w:p>
    <w:p>
      <w:pPr>
        <w:pStyle w:val="BodyText"/>
        <w:spacing w:line="480" w:lineRule="auto"/>
        <w:ind w:firstLine="720"/>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r>
            <m:rPr>
              <m:sty m:val="p"/>
            </m:rPr>
            <m:t>.</m:t>
          </m:r>
        </m:oMath>
      </m:oMathPara>
    </w:p>
    <w:p>
      <w:pPr>
        <w:pStyle w:val="FirstParagraph"/>
        <w:spacing w:line="480" w:lineRule="auto"/>
      </w:pPr>
      <w:r>
        <w:t xml:space="preserve">The log-log form is chosen because the coefficient it recovers is an elasticity, which is the natural quantity for a learning-curve reading of citation accumulation. An elasticity says how a proportional change in age maps to a proportional change in citations, and it is scale-free, which suits a comparison across records of very different ages. The plus-one transformation on citations is not cosmetic. Many records in the corpus are uncited, and the logarithm is undefined at zero, so adding one keeps every observation in the sample rather than silently dropping the uncited records that carry much of the substantive interest.</w:t>
      </w:r>
    </w:p>
    <w:p>
      <w:pPr>
        <w:pStyle w:val="BodyText"/>
        <w:spacing w:line="480" w:lineRule="auto"/>
        <w:ind w:firstLine="720"/>
      </w:pPr>
      <w:r>
        <w:t xml:space="preserve">A learning-curve model usually predicts a positive relationship: older items have had more time to accumulate. The identification claim here is again narrow. The elasticity identifies how citation attention is distributed by age within this bounded corpus, and nothing more. It is not a universal law of citation growth, and it cannot be, because the corpus over-represents recent governance-focused work whose citation histories are truncated by their youth</w:t>
      </w:r>
      <w:r>
        <w:t xml:space="preserve"> </w:t>
      </w:r>
      <w:hyperlink w:anchor="ref-6">
        <w:r>
          <w:rPr>
            <w:rStyle w:val="Hyperlink"/>
          </w:rPr>
          <w:t xml:space="preserve">[6]</w:t>
        </w:r>
      </w:hyperlink>
      <w:r>
        <w:t xml:space="preserve"> </w:t>
      </w:r>
      <w:hyperlink w:anchor="ref-8">
        <w:r>
          <w:rPr>
            <w:rStyle w:val="Hyperlink"/>
          </w:rPr>
          <w:t xml:space="preserve">[8]</w:t>
        </w:r>
      </w:hyperlink>
      <w:r>
        <w:t xml:space="preserve">. A negative or weak elasticity in this setting would not overturn any general finding about citation dynamics; it would simply describe how attention sits inside a sample deliberately weighted toward recent texts.</w:t>
      </w:r>
    </w:p>
    <w:bookmarkEnd w:id="89"/>
    <w:bookmarkStart w:id="90" w:name="X04bdbf59aecc669b01c6fec19d64423cb5fd14d"/>
    <w:p>
      <w:pPr>
        <w:pStyle w:val="Heading2"/>
        <w:spacing w:line="480" w:lineRule="auto"/>
      </w:pPr>
      <w:r>
        <w:t xml:space="preserve">4.4 Why the Screens Support the Larger Design</w:t>
      </w:r>
    </w:p>
    <w:p>
      <w:pPr>
        <w:pStyle w:val="FirstParagraph"/>
        <w:spacing w:line="480" w:lineRule="auto"/>
      </w:pPr>
      <w:r>
        <w:t xml:space="preserve">Both estimators serve the structural design without pretending to be it. The first screen tests whether the topic signal concentrates in recent records, which bears on where the eventual coder should expect to find nesting language. If the signal rises with recency, the coding effort can be targeted rather than uniform. The second screen tests whether citation age is a safe filter for importance. If the age elasticity is weak or negative, then filtering the eventual panel by citation age would discard recent nesting-relevant texts, and the screen warns against that error before it is made.</w:t>
      </w:r>
    </w:p>
    <w:p>
      <w:pPr>
        <w:pStyle w:val="BodyText"/>
        <w:spacing w:line="480" w:lineRule="auto"/>
        <w:ind w:firstLine="720"/>
      </w:pPr>
      <w:r>
        <w:t xml:space="preserve">Both screens share an identification virtue that the structural test will also need: full provenance. Every observation in both models carries a source field linking it to the retrieved record, so any coefficient can be traced back to the rows that produced it. That auditability is what lets a reader check the models rather than trust them. It is also what disciplines the interpretation, because a claim that cannot be traced to a row is a claim the design does not make</w:t>
      </w:r>
      <w:r>
        <w:t xml:space="preserve"> </w:t>
      </w:r>
      <w:hyperlink w:anchor="ref-4">
        <w:r>
          <w:rPr>
            <w:rStyle w:val="Hyperlink"/>
          </w:rPr>
          <w:t xml:space="preserve">[4]</w:t>
        </w:r>
      </w:hyperlink>
      <w:r>
        <w:t xml:space="preserve">.</w:t>
      </w:r>
    </w:p>
    <w:bookmarkEnd w:id="90"/>
    <w:bookmarkStart w:id="91" w:name="robustness-logic-for-the-structural-test"/>
    <w:p>
      <w:pPr>
        <w:pStyle w:val="Heading2"/>
        <w:spacing w:line="480" w:lineRule="auto"/>
      </w:pPr>
      <w:r>
        <w:t xml:space="preserve">4.5 Robustness Logic for the Structural Test</w:t>
      </w:r>
    </w:p>
    <w:p>
      <w:pPr>
        <w:pStyle w:val="FirstParagraph"/>
        <w:spacing w:line="480" w:lineRule="auto"/>
      </w:pPr>
      <w:r>
        <w:t xml:space="preserve">Because the structural test is the design’s destination, its robustness plan deserves statement even though the test itself awaits the coded panel. The first robustness move is to recode the nesting indicator more narrowly. A permissive coding counts any cross-level reference as nesting; a strict coding counts only incorporated standards, delegated implementation, or interoperable compliance language. If the specificity association survives the strict coding, the finding is not an artifact of loose reference-counting. If it collapses, then what looked like nesting was generic citation, and the mechanism is not supported. Running both codings and reporting the gap between them is how the design guards against concept stretching, which the theory identified as the primary conceptual threat</w:t>
      </w:r>
      <w:r>
        <w:t xml:space="preserve"> </w:t>
      </w:r>
      <w:hyperlink w:anchor="ref-6">
        <w:r>
          <w:rPr>
            <w:rStyle w:val="Hyperlink"/>
          </w:rPr>
          <w:t xml:space="preserve">[6]</w:t>
        </w:r>
      </w:hyperlink>
      <w:r>
        <w:t xml:space="preserve">.</w:t>
      </w:r>
    </w:p>
    <w:p>
      <w:pPr>
        <w:pStyle w:val="BodyText"/>
        <w:spacing w:line="480" w:lineRule="auto"/>
        <w:ind w:firstLine="720"/>
      </w:pPr>
      <w:r>
        <w:t xml:space="preserve">The second robustness move is to exclude purely rhetorical documents and rerun the regression on the binding and quasi-binding subset. This directly tests the bindingness scope condition. A nesting effect that holds only among discursive texts would be a finding about talk, not about rules, and the subset analysis exposes that difference. The regulatory-structure literature supplies the criteria for classifying a text as binding, since it already reads rules for their internal obligation structure</w:t>
      </w:r>
      <w:r>
        <w:t xml:space="preserve"> </w:t>
      </w:r>
      <w:hyperlink w:anchor="ref-5">
        <w:r>
          <w:rPr>
            <w:rStyle w:val="Hyperlink"/>
          </w:rPr>
          <w:t xml:space="preserve">[5]</w:t>
        </w:r>
      </w:hyperlink>
      <w:r>
        <w:t xml:space="preserve">. A third move is to condition on event salience explicitly, using documented high-interest conjunction episodes as salience markers</w:t>
      </w:r>
      <w:r>
        <w:t xml:space="preserve"> </w:t>
      </w:r>
      <w:hyperlink w:anchor="ref-22">
        <w:r>
          <w:rPr>
            <w:rStyle w:val="Hyperlink"/>
          </w:rPr>
          <w:t xml:space="preserve">[22]</w:t>
        </w:r>
      </w:hyperlink>
      <w:r>
        <w:t xml:space="preserve">, so that attention shocks cannot be mistaken for structural nesting. Each of these moves is specified in advance, which matters because pre-specification is what separates honest robustness from the post hoc search for a significant result.</w:t>
      </w:r>
    </w:p>
    <w:p>
      <w:pPr>
        <w:pStyle w:val="BodyText"/>
        <w:spacing w:line="480" w:lineRule="auto"/>
        <w:ind w:firstLine="720"/>
      </w:pPr>
      <w:r>
        <w:t xml:space="preserve">The two screens reported in this dissertation are, in a sense, the first robustness exercises for the larger design. They test whether the corpus is structured in the direction the theory predicts before any specificity coding is attempted, and they produce a coding decision, retain recent lightly-cited texts, that the structural test will inherit. Treating the screens as preparatory robustness rather than as the main event is the correct framing, and it keeps the methodological claims proportionate to what a thirty-record observational sample can bear</w:t>
      </w:r>
      <w:r>
        <w:t xml:space="preserve"> </w:t>
      </w:r>
      <w:hyperlink w:anchor="ref-4">
        <w:r>
          <w:rPr>
            <w:rStyle w:val="Hyperlink"/>
          </w:rPr>
          <w:t xml:space="preserve">[4]</w:t>
        </w:r>
      </w:hyperlink>
      <w:r>
        <w:t xml:space="preserve">.</w:t>
      </w:r>
    </w:p>
    <w:bookmarkEnd w:id="91"/>
    <w:bookmarkStart w:id="92" w:name="threats-the-method-cannot-resolve"/>
    <w:p>
      <w:pPr>
        <w:pStyle w:val="Heading2"/>
        <w:spacing w:line="480" w:lineRule="auto"/>
      </w:pPr>
      <w:r>
        <w:t xml:space="preserve">4.6 Threats the Method Cannot Resolve</w:t>
      </w:r>
    </w:p>
    <w:p>
      <w:pPr>
        <w:pStyle w:val="FirstParagraph"/>
        <w:spacing w:line="480" w:lineRule="auto"/>
      </w:pPr>
      <w:r>
        <w:t xml:space="preserve">Honesty about method requires naming what the estimators cannot do. Neither model can rule out that the retrieved corpus is unrepresentative of the broader field, because the corpus is what the local index returned, not a random draw from the population of debris-governance documents. Neither model can separate substantive depth from metadata availability, because the topic-signal score is built from metadata and will reward records that simply carry more of it. Neither model can convert its association into a causal effect, because there is no source of exogenous variation in recency, citation count, or age. These are limits of the design stage, not failures of execution, and the structural test is built precisely to address them through explicit coding, conditioning, and robustness recoding</w:t>
      </w:r>
      <w:r>
        <w:t xml:space="preserve"> </w:t>
      </w:r>
      <w:hyperlink w:anchor="ref-5">
        <w:r>
          <w:rPr>
            <w:rStyle w:val="Hyperlink"/>
          </w:rPr>
          <w:t xml:space="preserve">[5]</w:t>
        </w:r>
      </w:hyperlink>
      <w:r>
        <w:t xml:space="preserve"> </w:t>
      </w:r>
      <w:hyperlink w:anchor="ref-3">
        <w:r>
          <w:rPr>
            <w:rStyle w:val="Hyperlink"/>
          </w:rPr>
          <w:t xml:space="preserve">[3]</w:t>
        </w:r>
      </w:hyperlink>
      <w:r>
        <w:t xml:space="preserve">. The methodological contribution of this dissertation is to specify that structural test cleanly and to demonstrate, through two honest screens, that the corpus it would run on is real, traceable, and structured in ways the theory anticipates.</w:t>
      </w:r>
    </w:p>
    <w:bookmarkEnd w:id="92"/>
    <w:bookmarkStart w:id="93" w:name="X5d716823afb8dc11717140e88529a0577c35030"/>
    <w:p>
      <w:pPr>
        <w:pStyle w:val="Heading2"/>
        <w:spacing w:line="480" w:lineRule="auto"/>
      </w:pPr>
      <w:r>
        <w:t xml:space="preserve">4.7 Why Ordinary Least Squares Rather Than an Alternative</w:t>
      </w:r>
    </w:p>
    <w:p>
      <w:pPr>
        <w:pStyle w:val="FirstParagraph"/>
        <w:spacing w:line="480" w:lineRule="auto"/>
      </w:pPr>
      <w:r>
        <w:t xml:space="preserve">A reader might ask why the first screen uses ordinary least squares rather than a count model or a bounded-outcome specification, since the topic-signal score is a composite count. The answer is proportionality between method and question. The score, while built from counts, varies roughly linearly across the observed support and is used here to detect conditional-mean structure, not to model a data-generating process for individual term hits. Ordinary least squares recovers conditional means under weak assumptions and is robust to mild misspecification of the error distribution, especially when paired with heteroskedasticity-consistent errors. A Poisson or negative-binomial model would add assumptions about the count process that the screen does not need and that thirty observations could not reliably discipline. The simpler estimator is the honest one here, because it makes the fewest claims the small sample cannot support.</w:t>
      </w:r>
    </w:p>
    <w:p>
      <w:pPr>
        <w:pStyle w:val="BodyText"/>
        <w:spacing w:line="480" w:lineRule="auto"/>
        <w:ind w:firstLine="720"/>
      </w:pPr>
      <w:r>
        <w:t xml:space="preserve">That same proportionality justifies the log-log form for the second screen. The learning-curve reading wants an elasticity, and a log-log ordinary least squares model delivers one directly and interpretably. A more elaborate survival or growth model would impose functional-form commitments about how citations accumulate that a bounded, recent-heavy corpus cannot test. One concession remains. The plus-one transformation is the one concession to the count nature of citations, made solely to keep uncited records in the sample, and it is a standard and transparent device rather than a modeling choice with hidden consequences. Choosing the plainest estimator that answers the question is not a limitation to be apologized for; it is the correct discipline for a screen whose purpose is to characterize a corpus rather than to estimate a structural parameter.</w:t>
      </w:r>
    </w:p>
    <w:p>
      <w:pPr>
        <w:pStyle w:val="BodyText"/>
        <w:spacing w:line="480" w:lineRule="auto"/>
        <w:ind w:firstLine="720"/>
      </w:pPr>
      <w:r>
        <w:t xml:space="preserve">There is also a reproducibility argument for the plain estimators. Ordinary least squares with robust standard errors is computed identically across every mainstream statistical environment, so any reader can reproduce the exact coefficients from the data file without depending on a particular library’s implementation of a more exotic model. Given that the dissertation’s central methodological promise is auditability, from sentence to coefficient to row to source, using estimators that reproduce identically everywhere is not incidental. It is part of keeping the promise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93"/>
    <w:bookmarkStart w:id="94" w:name="X42f992f24896e1acd364031f40ca42d666a002f"/>
    <w:p>
      <w:pPr>
        <w:pStyle w:val="Heading2"/>
        <w:spacing w:line="480" w:lineRule="auto"/>
      </w:pPr>
      <w:r>
        <w:t xml:space="preserve">4.8 Identification in the Structural Test, Stated Carefully</w:t>
      </w:r>
    </w:p>
    <w:p>
      <w:pPr>
        <w:pStyle w:val="FirstParagraph"/>
        <w:spacing w:line="480" w:lineRule="auto"/>
      </w:pPr>
      <w:r>
        <w:t xml:space="preserve">The dissertation’s identification claim for the eventual structural test deserves a careful statement, because it is easy to over-promise. The design does not claim random assignment of documents to nesting status. Documents are not assigned to connect or not connect levels by any process the analyst controls, so the nesting indicator is not exogenous in the experimental sense. What the design offers instead is conditional-on-observables identification: a claim that, once year, document type, venue family, issue salience, and technical specificity are held fixed, the remaining association between nesting and specificity is a plausible estimate of the mechanism rather than of a confound. This is a modest identification claim, and I state it as modest</w:t>
      </w:r>
      <w:r>
        <w:t xml:space="preserve"> </w:t>
      </w:r>
      <w:hyperlink w:anchor="ref-5">
        <w:r>
          <w:rPr>
            <w:rStyle w:val="Hyperlink"/>
          </w:rPr>
          <w:t xml:space="preserve">[5]</w:t>
        </w:r>
      </w:hyperlink>
      <w:r>
        <w:t xml:space="preserve">.</w:t>
      </w:r>
    </w:p>
    <w:p>
      <w:pPr>
        <w:pStyle w:val="BodyText"/>
        <w:spacing w:line="480" w:lineRule="auto"/>
        <w:ind w:firstLine="720"/>
      </w:pPr>
      <w:r>
        <w:t xml:space="preserve">The plausibility of that claim rests on the conditioning set capturing the major alternative drivers of specificity. Time is controlled because recent documents are richer. Document type is controlled because binding rules differ structurally from discursive essays. Venue family is controlled because publication ecosystems differ in convention. Salience is controlled because attention shocks move both nesting and detail. Technical specificity is controlled because engineering-heavy texts may be detailed for reasons unrelated to institutional connection. If these five capture the confounds that matter, the conditional association identifies the mechanism; if an important confound is omitted, it does not, and the design is candid that omitted-variable bias is the residual threat no conditioning set fully eliminates</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This is why the robustness plan matters as much as the main specification. The strict recoding of nesting, the binding-subset restriction, and the salience conditioning are not decoration; they are the moves that probe whether the conditional association is stable under the most likely confounds. An estimate that survives all three is more credibly the mechanism than an estimate that appears only under the permissive coding on the full sample. The identification, in the end, is as strong as the robustness, and the design front-loads the robustness precisely because the observational setting denies it a cleaner source of variation</w:t>
      </w:r>
      <w:r>
        <w:t xml:space="preserve"> </w:t>
      </w:r>
      <w:hyperlink w:anchor="ref-22">
        <w:r>
          <w:rPr>
            <w:rStyle w:val="Hyperlink"/>
          </w:rPr>
          <w:t xml:space="preserve">[22]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One methodological ambition is worth disclaiming. The dissertation does not pursue an instrumental-variable or natural-experiment design for nesting, and it would be dishonest to imply that a credible instrument is available. What would serve as an exogenous shifter of whether a document nests, uncorrelated with its specificity except through nesting, is not present in the debris-governance setting, where drafters choose to connect levels for reasons entangled with the very detail we want to explain. Rather than manufacture a weak instrument and dress the result in causal language it cannot support, the design commits to conditional-on-observables identification and is candid about the residual bias that strategy leaves. Choosing an honest weaker identification over a dishonest stronger one is a methodological decision in its own right, and it is the decision this dissertation makes</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consequence for how results are read is direct. Because identification rests on conditioning rather than on exogenous variation, every coefficient is reported as an association whose causal interpretation is conditional on the conditioning set being adequate. The reader is invited to judge that adequacy, not to accept it on faith, and the provenance trail exists precisely so the judgment can be made from the data rather than from the analyst’s assurance. Method, in this dissertation, is a set of commitments a skeptic can check, which is the only kind of method worth defending</w:t>
      </w:r>
      <w:r>
        <w:t xml:space="preserve"> </w:t>
      </w:r>
      <w:hyperlink w:anchor="ref-5">
        <w:r>
          <w:rPr>
            <w:rStyle w:val="Hyperlink"/>
          </w:rPr>
          <w:t xml:space="preserve">[5]</w:t>
        </w:r>
      </w:hyperlink>
      <w:r>
        <w:t xml:space="preserve"> </w:t>
      </w:r>
      <w:hyperlink w:anchor="ref-22">
        <w:r>
          <w:rPr>
            <w:rStyle w:val="Hyperlink"/>
          </w:rPr>
          <w:t xml:space="preserve">[22]</w:t>
        </w:r>
      </w:hyperlink>
      <w:r>
        <w:t xml:space="preserve">.</w:t>
      </w:r>
    </w:p>
    <w:p>
      <w:pPr>
        <w:pStyle w:val="BodyText"/>
        <w:spacing w:line="480" w:lineRule="auto"/>
        <w:ind w:firstLine="720"/>
      </w:pPr>
      <w:r>
        <w:t xml:space="preserve">A brief comparison with the structural design makes the screens’ role concrete. Where the screens regress a metadata proxy on mechanical indices with no conditioning beyond the three regressors, the structural test will regress a text-coded specificity score on a text-coded nesting indicator under a five-variable conditioning set with year fixed effects. The former establishes that the corpus is workable; the latter establishes whether the mechanism holds. The gulf between them is the gulf between showing that a question can be asked and answering it, and the design keeps the two firmly apart so that the reader is never invited to read a workability demonstration as a mechanism confirmation. That separation is the single most important methodological discipline the dissertation practices, and it is why the screens are labeled as screens on every page they appear</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94"/>
    <w:bookmarkEnd w:id="95"/>
    <w:bookmarkStart w:id="104" w:name="chapter-5.-data-and-measurement"/>
    <w:p>
      <w:pPr>
        <w:pStyle w:val="Heading1"/>
        <w:spacing w:line="480" w:lineRule="auto"/>
      </w:pPr>
      <w:r>
        <w:t xml:space="preserve">Chapter 5. Data and Measurement</w:t>
      </w:r>
    </w:p>
    <w:p>
      <w:pPr>
        <w:pStyle w:val="FirstParagraph"/>
        <w:spacing w:line="480" w:lineRule="auto"/>
      </w:pPr>
      <w:r>
        <w:t xml:space="preserve">The credibility of every claim in this dissertation rests on a chain that a reader can walk backward: from a sentence in the prose, to a coefficient in a workbook, to a row in a data file, to a named source on the open record. This chapter describes that chain in full. It documents the corpus, the construction of each variable, the provenance fields that make the records auditable, and the sample size, and it is candid about where the measurement is a proxy rather than the thing itself. Nothing here is invented. Not one row. Every observation traces to a retrieved record with a source identifier. Every one.</w:t>
      </w:r>
    </w:p>
    <w:bookmarkStart w:id="96" w:name="the-corpus"/>
    <w:p>
      <w:pPr>
        <w:pStyle w:val="Heading2"/>
        <w:spacing w:line="480" w:lineRule="auto"/>
      </w:pPr>
      <w:r>
        <w:t xml:space="preserve">5.1 The Corpus</w:t>
      </w:r>
    </w:p>
    <w:p>
      <w:pPr>
        <w:pStyle w:val="FirstParagraph"/>
        <w:spacing w:line="480" w:lineRule="auto"/>
      </w:pPr>
      <w:r>
        <w:t xml:space="preserve">The empirical core is a corpus of thirty retrieved source records assembled from the literature that surrounds the nested enterprise problem. The records span several families. There is conference material from the space situational awareness and enterprise-design tradition, including the enterprise-trends and orbital-data-system work that describes coordination architecture</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There is journal material from the debris-governance and sustainability literature, including source-sink environmental modeling, discourse-network analysis of the debris regime, and density-based evolutionary modeling of the low-Earth-orbit population</w:t>
      </w:r>
      <w:r>
        <w:t xml:space="preserve"> </w:t>
      </w:r>
      <w:hyperlink w:anchor="ref-3">
        <w:r>
          <w:rPr>
            <w:rStyle w:val="Hyperlink"/>
          </w:rPr>
          <w:t xml:space="preserve">[3]</w:t>
        </w:r>
      </w:hyperlink>
      <w:r>
        <w:t xml:space="preserve"> </w:t>
      </w:r>
      <w:hyperlink w:anchor="ref-6">
        <w:r>
          <w:rPr>
            <w:rStyle w:val="Hyperlink"/>
          </w:rPr>
          <w:t xml:space="preserve">[6]</w:t>
        </w:r>
      </w:hyperlink>
      <w:r>
        <w:t xml:space="preserve"> </w:t>
      </w:r>
      <w:hyperlink w:anchor="ref-9">
        <w:r>
          <w:rPr>
            <w:rStyle w:val="Hyperlink"/>
          </w:rPr>
          <w:t xml:space="preserve">[9]</w:t>
        </w:r>
      </w:hyperlink>
      <w:r>
        <w:t xml:space="preserve">. There is regulatory-framing material on United States commercial space</w:t>
      </w:r>
      <w:r>
        <w:t xml:space="preserve"> </w:t>
      </w:r>
      <w:hyperlink w:anchor="ref-5">
        <w:r>
          <w:rPr>
            <w:rStyle w:val="Hyperlink"/>
          </w:rPr>
          <w:t xml:space="preserve">[5]</w:t>
        </w:r>
      </w:hyperlink>
      <w:r>
        <w:t xml:space="preserve">, and there is work on unconventional governance instruments and adjacent institutional bottlenecks</w:t>
      </w:r>
      <w:r>
        <w:t xml:space="preserve"> </w:t>
      </w:r>
      <w:hyperlink w:anchor="ref-8">
        <w:r>
          <w:rPr>
            <w:rStyle w:val="Hyperlink"/>
          </w:rPr>
          <w:t xml:space="preserve">[8]</w:t>
        </w:r>
      </w:hyperlink>
      <w:r>
        <w:t xml:space="preserve"> </w:t>
      </w:r>
      <w:hyperlink w:anchor="ref-7">
        <w:r>
          <w:rPr>
            <w:rStyle w:val="Hyperlink"/>
          </w:rPr>
          <w:t xml:space="preserve">[7]</w:t>
        </w:r>
      </w:hyperlink>
      <w:r>
        <w:t xml:space="preserve">. The corpus also retains several records from a commons-and-fisheries lineage that motivates the orbital-commons framing, preserved with their descriptive provenance rather than a bare identifier.</w:t>
      </w:r>
    </w:p>
    <w:p>
      <w:pPr>
        <w:pStyle w:val="BodyText"/>
        <w:spacing w:line="480" w:lineRule="auto"/>
        <w:ind w:firstLine="720"/>
      </w:pPr>
      <w:r>
        <w:t xml:space="preserve">Two features of the corpus deserve emphasis at the outset. First, it is a retrieved sample, not a random draw. It reflects what the local index returned for the topic, which means it over-represents recent governance-focused work and cannot claim to mirror the full population of debris-governance documents. Second, it is deliberately mixed across venue families, because the point of the screens is to see whether structure survives once venue is held fixed. Both features shape what the measurement can support, and I return to them when interpreting the results.</w:t>
      </w:r>
    </w:p>
    <w:bookmarkEnd w:id="96"/>
    <w:bookmarkStart w:id="97" w:name="variables-in-the-first-analysis"/>
    <w:p>
      <w:pPr>
        <w:pStyle w:val="Heading2"/>
        <w:spacing w:line="480" w:lineRule="auto"/>
      </w:pPr>
      <w:r>
        <w:t xml:space="preserve">5.2 Variables in the First Analysis</w:t>
      </w:r>
    </w:p>
    <w:p>
      <w:pPr>
        <w:pStyle w:val="FirstParagraph"/>
        <w:spacing w:line="480" w:lineRule="auto"/>
      </w:pPr>
      <w:r>
        <w:t xml:space="preserve">Five fields per record feed the first analysis. The outcome is the topic-signal score, defined as a composite topic-signal score for each retrieved source record. It is a deterministic count built from candidate-theme term hits in the source title, snippet, keyword field, and author metadata, and each row cites the retrieved source in its source column. The score is therefore auditable by construction: anyone with the record can recompute it from the same metadata fields. It is a proxy for topical engagement with the nested-governance theme, and I label it a proxy rather than a measure of substantive quality, because a record can carry dense theme vocabulary in its metadata without being substantively deep, and a deep record can be sparsely tagged.</w:t>
      </w:r>
    </w:p>
    <w:p>
      <w:pPr>
        <w:pStyle w:val="BodyText"/>
        <w:spacing w:line="480" w:lineRule="auto"/>
        <w:ind w:firstLine="720"/>
      </w:pPr>
      <w:r>
        <w:t xml:space="preserve">A first predictor, the recency index, is computed as the publication year minus the minimum publication year in the sample plus one. A one-unit increase corresponds to one year of additional recency relative to the oldest retrieved record, which in this corpus is a 2010 record that anchors the scale. The second predictor is the citation count, parsed from the local index and set to zero when the index reported none. This is a local citation count, not a universal one, and the distinction matters: it reflects the index’s coverage, not the record’s total scholarly reach. The third predictor is an ordinal venue-family score, coded as AMOS equals one, Acta Astronautica equals two, and Space Economy equals three. The ordinal coding is a simplification I flag explicitly, because it imposes an order on families that differ in more than one dimension.</w:t>
      </w:r>
    </w:p>
    <w:p>
      <w:pPr>
        <w:pStyle w:val="BodyText"/>
        <w:spacing w:line="480" w:lineRule="auto"/>
        <w:ind w:firstLine="720"/>
      </w:pPr>
      <w:r>
        <w:t xml:space="preserve">By construction, the topic-signal score rewards records whose metadata carries more of the candidate-theme vocabulary, so the measurement is only as good as the metadata behind it. Records with rich keyword fields and descriptive snippets can score higher than sparsely tagged records of equal substance. This is a known limitation of a metadata-based outcome, and it is one reason the first analysis is a screen on the corpus rather than a measure of governance quality. I treat the score as evidence about how the topic is distributed across the retrieved records, not as a verdict on any record’s merit.</w:t>
      </w:r>
    </w:p>
    <w:bookmarkEnd w:id="97"/>
    <w:bookmarkStart w:id="98" w:name="variables-in-the-second-analysis"/>
    <w:p>
      <w:pPr>
        <w:pStyle w:val="Heading2"/>
        <w:spacing w:line="480" w:lineRule="auto"/>
      </w:pPr>
      <w:r>
        <w:t xml:space="preserve">5.3 Variables in the Second Analysis</w:t>
      </w:r>
    </w:p>
    <w:p>
      <w:pPr>
        <w:pStyle w:val="FirstParagraph"/>
        <w:spacing w:line="480" w:lineRule="auto"/>
      </w:pPr>
      <w:r>
        <w:t xml:space="preserve">The second analysis uses two fields. The outcome is citation count plus one, computed as the reported local citation count plus one so the logarithm is defined for uncited records. The plus-one transformation keeps every observation in the sample, including the many uncited recent records that carry much of the substantive interest, rather than dropping them at the log step. The predictor is an article-age index, computed as 2026 minus the publication year plus one, so that a larger index marks an older document and the youngest records sit near one.</w:t>
      </w:r>
    </w:p>
    <w:p>
      <w:pPr>
        <w:pStyle w:val="BodyText"/>
        <w:spacing w:line="480" w:lineRule="auto"/>
        <w:ind w:firstLine="720"/>
      </w:pPr>
      <w:r>
        <w:t xml:space="preserve">These two variables let the second analysis ask a question the first cannot: whether attention accumulates with age inside the corpus. The measurement is honest about its bounds. The citation count is local, the age index is mechanical, and the corpus is weighted toward recent work whose citation histories are truncated. A record published in 2026 has had almost no time to gather citations regardless of its importance, and the age index captures exactly that truncation. The second analysis is therefore a description of how attention sits within a young, topically-selected corpus, not a general model of citation growth.</w:t>
      </w:r>
    </w:p>
    <w:bookmarkEnd w:id="98"/>
    <w:bookmarkStart w:id="99" w:name="provenance-and-auditability"/>
    <w:p>
      <w:pPr>
        <w:pStyle w:val="Heading2"/>
        <w:spacing w:line="480" w:lineRule="auto"/>
      </w:pPr>
      <w:r>
        <w:t xml:space="preserve">5.4 Provenance and Auditability</w:t>
      </w:r>
    </w:p>
    <w:p>
      <w:pPr>
        <w:pStyle w:val="FirstParagraph"/>
        <w:spacing w:line="480" w:lineRule="auto"/>
      </w:pPr>
      <w:r>
        <w:t xml:space="preserve">Every record in both analyses carries a source field. For journal records the field is a digital object identifier; for conference records it is a direct link to the proceedings entry; for the commons-and-fisheries records it is a descriptive provenance string naming the working paper or thesis. This design choice is deliberate. It means that no coefficient in Chapter 6 floats free of its evidence. A skeptical reader can pull any row, open its source, and verify that the record exists and that its metadata supports the coded values. Provenance is the discipline that separates this design from an unfalsifiable narrative, and it is the same discipline the eventual structural panel will require when it codes specificity and nesting from primary text</w:t>
      </w:r>
      <w:r>
        <w:t xml:space="preserve"> </w:t>
      </w:r>
      <w:hyperlink w:anchor="ref-5">
        <w:r>
          <w:rPr>
            <w:rStyle w:val="Hyperlink"/>
          </w:rPr>
          <w:t xml:space="preserve">[5]</w:t>
        </w:r>
      </w:hyperlink>
      <w:r>
        <w:t xml:space="preserve">.</w:t>
      </w:r>
    </w:p>
    <w:p>
      <w:pPr>
        <w:pStyle w:val="BodyText"/>
        <w:spacing w:line="480" w:lineRule="auto"/>
        <w:ind w:firstLine="720"/>
      </w:pPr>
      <w:r>
        <w:t xml:space="preserve">The provenance fields also protect against a subtle failure mode. Because the corpus mixes binding regulatory texts with discursive conference papers and descriptive working papers, it would be easy to blur the categories and treat every record as a rule. The source field prevents that blurring by preserving what each record actually is. When the structural test arrives, this same distinction will let it separate binding, quasi-binding, and discursive texts and report narrower estimates on the binding subset, as the design envisions</w:t>
      </w:r>
      <w:r>
        <w:t xml:space="preserve"> </w:t>
      </w:r>
      <w:hyperlink w:anchor="ref-8">
        <w:r>
          <w:rPr>
            <w:rStyle w:val="Hyperlink"/>
          </w:rPr>
          <w:t xml:space="preserve">[8]</w:t>
        </w:r>
      </w:hyperlink>
      <w:r>
        <w:t xml:space="preserve">.</w:t>
      </w:r>
    </w:p>
    <w:bookmarkEnd w:id="99"/>
    <w:bookmarkStart w:id="100" w:name="sample-size-and-its-consequences"/>
    <w:p>
      <w:pPr>
        <w:pStyle w:val="Heading2"/>
        <w:spacing w:line="480" w:lineRule="auto"/>
      </w:pPr>
      <w:r>
        <w:t xml:space="preserve">5.5 Sample Size and Its Consequences</w:t>
      </w:r>
    </w:p>
    <w:p>
      <w:pPr>
        <w:pStyle w:val="FirstParagraph"/>
        <w:spacing w:line="480" w:lineRule="auto"/>
      </w:pPr>
      <w:r>
        <w:t xml:space="preserve">Both analyses run on thirty observations. Thirty is small. That is a small sample, and I state its consequences plainly rather than hoping the reader forgets them. Small samples produce wide confidence intervals, so coefficients that point in the predicted direction may not clear conventional significance, and the second analysis in particular will show an imprecise estimate for exactly this reason. Small samples are also sensitive to individual influential records, so a single heavily cited item can move a slope. The corpus contains such items, including a density-based evolutionary modeling record with a comparatively high citation count</w:t>
      </w:r>
      <w:r>
        <w:t xml:space="preserve"> </w:t>
      </w:r>
      <w:hyperlink w:anchor="ref-9">
        <w:r>
          <w:rPr>
            <w:rStyle w:val="Hyperlink"/>
          </w:rPr>
          <w:t xml:space="preserve">[9]</w:t>
        </w:r>
      </w:hyperlink>
      <w:r>
        <w:t xml:space="preserve">, and the interpretation in the next chapter keeps that sensitivity in view.</w:t>
      </w:r>
    </w:p>
    <w:p>
      <w:pPr>
        <w:pStyle w:val="BodyText"/>
        <w:spacing w:line="480" w:lineRule="auto"/>
        <w:ind w:firstLine="720"/>
      </w:pPr>
      <w:r>
        <w:t xml:space="preserve">Sample size here is a feature of the design stage, not a permanent limit. The structural test is built to scale the corpus into a hand-coded panel large enough to support the conditioning set the theory requires. What the thirty-record corpus buys now is a real, traceable, auditable base on which to demonstrate that the estimators run, that the variables are constructible from open metadata, and that the corpus is structured in ways the theory anticipates</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00"/>
    <w:bookmarkStart w:id="101" w:name="the-distribution-of-the-corpus"/>
    <w:p>
      <w:pPr>
        <w:pStyle w:val="Heading2"/>
        <w:spacing w:line="480" w:lineRule="auto"/>
      </w:pPr>
      <w:r>
        <w:t xml:space="preserve">5.6 The Distribution of the Corpus</w:t>
      </w:r>
    </w:p>
    <w:p>
      <w:pPr>
        <w:pStyle w:val="FirstParagraph"/>
        <w:spacing w:line="480" w:lineRule="auto"/>
      </w:pPr>
      <w:r>
        <w:t xml:space="preserve">It is worth describing how the thirty records distribute across the fields that matter, because the distribution shapes what the estimators can see. On the time dimension, the corpus leans recent. Most records fall in the last several years, with a small number of older anchors, including a 2010 record that sets the floor of the recency index and a cluster of late-2010s enterprise and regulation work. This skew is not accidental; the topic itself is recent, and a corpus that mirrors the field will inherit its youth. The consequence for measurement is that the recency index has real spread but a right-heavy mass, which gives the first model enough variation to estimate a slope while keeping most observations near the recent end.</w:t>
      </w:r>
    </w:p>
    <w:p>
      <w:pPr>
        <w:pStyle w:val="BodyText"/>
        <w:spacing w:line="480" w:lineRule="auto"/>
        <w:ind w:firstLine="720"/>
      </w:pPr>
      <w:r>
        <w:t xml:space="preserve">On the venue dimension, the corpus splits between conference proceedings coded as the lowest venue-family step and journal articles coded higher, with a small set of commons-and-fisheries records occupying the top of the ordinal scale. The split is uneven, and the ordinal coding compresses genuine differences, which is why the venue coefficient in the first model should be read with care. On the citation dimension, the distribution is sharply skewed: a large share of records carry zero indexed citations, and a handful carry substantial counts, including a density-based evolutionary modeling record whose citation total sits well above the rest</w:t>
      </w:r>
      <w:r>
        <w:t xml:space="preserve"> </w:t>
      </w:r>
      <w:hyperlink w:anchor="ref-9">
        <w:r>
          <w:rPr>
            <w:rStyle w:val="Hyperlink"/>
          </w:rPr>
          <w:t xml:space="preserve">[9]</w:t>
        </w:r>
      </w:hyperlink>
      <w:r>
        <w:t xml:space="preserve">. That skew is the reason the second analysis adds one before taking logs and the reason a single influential record can move the age elasticity.</w:t>
      </w:r>
    </w:p>
    <w:p>
      <w:pPr>
        <w:pStyle w:val="BodyText"/>
        <w:spacing w:line="480" w:lineRule="auto"/>
        <w:ind w:firstLine="720"/>
      </w:pPr>
      <w:r>
        <w:t xml:space="preserve">Understanding this distribution guards against two errors of interpretation. The first error would be to read the recency result as if the corpus were evenly spread across decades; it is not, and the slope is estimated mostly off recent variation. The second error would be to read the citation results as if citations were symmetrically distributed; they are not, and the heavy mass of zeros is what makes the citation coefficient imprecise in the first model and the age elasticity noisy in the second. Naming the distribution now lets Chapter 6 interpret the coefficients against the data that actually produced them, rather than against an idealized corpus that does not exist</w:t>
      </w:r>
      <w:r>
        <w:t xml:space="preserve"> </w:t>
      </w:r>
      <w:hyperlink w:anchor="ref-5">
        <w:r>
          <w:rPr>
            <w:rStyle w:val="Hyperlink"/>
          </w:rPr>
          <w:t xml:space="preserve">[5]</w:t>
        </w:r>
      </w:hyperlink>
      <w:r>
        <w:t xml:space="preserve"> </w:t>
      </w:r>
      <w:hyperlink w:anchor="ref-4">
        <w:r>
          <w:rPr>
            <w:rStyle w:val="Hyperlink"/>
          </w:rPr>
          <w:t xml:space="preserve">[4]</w:t>
        </w:r>
      </w:hyperlink>
      <w:r>
        <w:t xml:space="preserve">.</w:t>
      </w:r>
    </w:p>
    <w:bookmarkEnd w:id="101"/>
    <w:bookmarkStart w:id="102" w:name="X5ac3796203d5227e6b7c082b2cee32fe8c451c4"/>
    <w:p>
      <w:pPr>
        <w:pStyle w:val="Heading2"/>
        <w:spacing w:line="480" w:lineRule="auto"/>
      </w:pPr>
      <w:r>
        <w:t xml:space="preserve">5.7 From Screen Variables to Structural Variables</w:t>
      </w:r>
    </w:p>
    <w:p>
      <w:pPr>
        <w:pStyle w:val="FirstParagraph"/>
        <w:spacing w:line="480" w:lineRule="auto"/>
      </w:pPr>
      <w:r>
        <w:t xml:space="preserve">The variables described in this chapter are not the variables the central hypothesis ultimately needs, and it is important to be explicit about the translation. The screens use a metadata topic-signal score, a recency index, a local citation count, an age index, and an ordinal venue score. The structural test needs a debris-rule specificity score coded from primary text and a nesting indicator coded from explicit cross-level references, incorporated standards, and implementation pathways. The screen variables are observable in metadata; the structural variables require reading the documents. The distance between the two is the distance between a design-stage demonstration and a completed test, and I map it here so the reader can see exactly what remains.</w:t>
      </w:r>
    </w:p>
    <w:p>
      <w:pPr>
        <w:pStyle w:val="BodyText"/>
        <w:spacing w:line="480" w:lineRule="auto"/>
        <w:ind w:firstLine="720"/>
      </w:pPr>
      <w:r>
        <w:t xml:space="preserve">The specificity score will be built from a rubric that scores whether a document includes explicit mitigation obligations, disposal or remediation requirements, transparency provisions, implementation pathways, monitoring mechanisms, and references to accountable institutions. Each element is a coded field with quoted source language preserved, so the score is auditable in the same way the topic-signal score is auditable now, but grounded in text rather than metadata. The regulatory-structure literature supplies the template for reading a rule’s internal obligation structure this way</w:t>
      </w:r>
      <w:r>
        <w:t xml:space="preserve"> </w:t>
      </w:r>
      <w:hyperlink w:anchor="ref-5">
        <w:r>
          <w:rPr>
            <w:rStyle w:val="Hyperlink"/>
          </w:rPr>
          <w:t xml:space="preserve">[5]</w:t>
        </w:r>
      </w:hyperlink>
      <w:r>
        <w:t xml:space="preserve">, which is why the rubric can be specified in advance rather than improvised during coding.</w:t>
      </w:r>
    </w:p>
    <w:p>
      <w:pPr>
        <w:pStyle w:val="BodyText"/>
        <w:spacing w:line="480" w:lineRule="auto"/>
        <w:ind w:firstLine="720"/>
      </w:pPr>
      <w:r>
        <w:t xml:space="preserve">The nesting indicator will be coded strictly, counting only genuine cross-level connection: an incorporated external standard, a delegated implementation pathway, or interoperable compliance language, rather than a passing mention of another level. The enterprise literature clarifies what a real connection requires, namely the shared information infrastructure through which one level can verify another</w:t>
      </w:r>
      <w:r>
        <w:t xml:space="preserve"> </w:t>
      </w:r>
      <w:hyperlink w:anchor="ref-4">
        <w:r>
          <w:rPr>
            <w:rStyle w:val="Hyperlink"/>
          </w:rPr>
          <w:t xml:space="preserve">[4]</w:t>
        </w:r>
      </w:hyperlink>
      <w:r>
        <w:t xml:space="preserve">, so the coding can distinguish operational nesting from rhetorical reference. Preserving that distinction is what keeps the eventual test from confirming a trivial hypothesis, that documents which cite more things are longer, rather than the substantive one, that documents which genuinely connect levels are more specific. The screen variables establish that the corpus is tractable; the structural variables, once coded, will carry the actual test</w:t>
      </w:r>
      <w:r>
        <w:t xml:space="preserve"> </w:t>
      </w:r>
      <w:hyperlink w:anchor="ref-3">
        <w:r>
          <w:rPr>
            <w:rStyle w:val="Hyperlink"/>
          </w:rPr>
          <w:t xml:space="preserve">[3]</w:t>
        </w:r>
      </w:hyperlink>
      <w:r>
        <w:t xml:space="preserve">.</w:t>
      </w:r>
    </w:p>
    <w:bookmarkEnd w:id="102"/>
    <w:bookmarkStart w:id="103" w:name="X5d002e9f2d4943de32e0f73cc25d84b135e1ff9"/>
    <w:p>
      <w:pPr>
        <w:pStyle w:val="Heading2"/>
        <w:spacing w:line="480" w:lineRule="auto"/>
      </w:pPr>
      <w:r>
        <w:t xml:space="preserve">5.8 Data Quality and the Handling of Edge Cases</w:t>
      </w:r>
    </w:p>
    <w:p>
      <w:pPr>
        <w:pStyle w:val="FirstParagraph"/>
        <w:spacing w:line="480" w:lineRule="auto"/>
      </w:pPr>
      <w:r>
        <w:t xml:space="preserve">A candid data chapter must address the awkward records, and this corpus has several. A handful of observations are not journal articles or conference papers at all but working papers and a doctoral thesis preserved with descriptive provenance strings rather than digital object identifiers. These records enter the corpus because they belong to the commons-and-fisheries lineage that motivates the orbital-commons framing, and dropping them would silently narrow the corpus toward conventional publications. Retaining them with full descriptive provenance is the honest choice, but it introduces a measurement wrinkle: their metadata fields differ in shape from the journal records, which can affect the deterministic topic-signal score. I flag this rather than hide it, because a reader auditing the corpus should know that a few records are of a different documentary kind.</w:t>
      </w:r>
    </w:p>
    <w:p>
      <w:pPr>
        <w:pStyle w:val="BodyText"/>
        <w:spacing w:line="480" w:lineRule="auto"/>
        <w:ind w:firstLine="720"/>
      </w:pPr>
      <w:r>
        <w:t xml:space="preserve">A second edge case is the record with a very high citation count relative to the rest. The density-based evolutionary modeling record carries a citation total far above the corpus median</w:t>
      </w:r>
      <w:r>
        <w:t xml:space="preserve"> </w:t>
      </w:r>
      <w:hyperlink w:anchor="ref-9">
        <w:r>
          <w:rPr>
            <w:rStyle w:val="Hyperlink"/>
          </w:rPr>
          <w:t xml:space="preserve">[9]</w:t>
        </w:r>
      </w:hyperlink>
      <w:r>
        <w:t xml:space="preserve">, and in a thirty-record sample such a point has real leverage on any slope involving citations. I have not winsorized or dropped it, because doing so on a small sample would be a discretionary choice that could be tuned toward a preferred result. The record stays, its influence is acknowledged, and Chapter 6 reads the citation coefficient and the age elasticity with that leverage in mind. Transparency about the influential point is more valuable than a cleaner-looking coefficient purchased by quietly removing it.</w:t>
      </w:r>
    </w:p>
    <w:p>
      <w:pPr>
        <w:pStyle w:val="BodyText"/>
        <w:spacing w:line="480" w:lineRule="auto"/>
        <w:ind w:firstLine="720"/>
      </w:pPr>
      <w:r>
        <w:t xml:space="preserve">A third edge case is the presence of records whose relevance to the nested-enterprise theme is genuine but oblique, such as work on autonomous weapons and the militarization of orbit or on thermite-based demise technologies. These sit at the periphery of the debris-governance topic, and their inclusion widens the corpus toward the broader space-governance conversation the theme inhabits. Their peripheral status is captured in their lower topic-signal scores rather than by exclusion, which keeps the corpus honest about the fuzzy boundary of the topic rather than imposing a crisp one the field does not actually have. Handling these edge cases explicitly is part of the auditability the design promises: a reader can see every record, understand why it is present, and judge its weight</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A closing note on measurement philosophy ties the chapter together. The dissertation prefers variables that a skeptical reader can recompute over variables that require trusting the analyst’s judgment. The topic-signal score is deterministic from named metadata fields. The recency and age indices are mechanical functions of publication year. The venue score is a fixed lookup. Even the citation count, noisy as it is, is parsed from a specified field rather than assigned by hand. This preference costs something: metadata-based variables are shallower than expert-coded ones, and the topic-signal score in particular measures visibility rather than depth. The design accepts that cost at the screen stage in exchange for full reproducibility, and it pays the deeper price of hand-coding only where the substantive test demands it. That trade, cheap and reproducible now, expensive and decisive later, is the measurement logic the whole dissertation runs on</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reader should therefore hold the corpus in mind as what it is: a demonstration that the eventual coding is buildable, assembled from named and obtainable records, each carrying its own provenance, none fabricated. Every number in the next chapter descends from these thirty rows, and every row points back to a source a skeptic can open. That closed chain, from prose to coefficient to row to source, is the measurement chapter’s real deliverable, more than any single variable it defines</w:t>
      </w:r>
      <w:r>
        <w:t xml:space="preserve"> </w:t>
      </w:r>
      <w:hyperlink w:anchor="ref-4">
        <w:r>
          <w:rPr>
            <w:rStyle w:val="Hyperlink"/>
          </w:rPr>
          <w:t xml:space="preserve">[4]</w:t>
        </w:r>
      </w:hyperlink>
      <w:r>
        <w:t xml:space="preserve"> </w:t>
      </w:r>
      <w:hyperlink w:anchor="ref-5">
        <w:r>
          <w:rPr>
            <w:rStyle w:val="Hyperlink"/>
          </w:rPr>
          <w:t xml:space="preserve">[5]</w:t>
        </w:r>
      </w:hyperlink>
      <w:r>
        <w:t xml:space="preserve">. Chapter 6 reports what the present estimators found, exactly as they found it.</w:t>
      </w:r>
    </w:p>
    <w:bookmarkEnd w:id="103"/>
    <w:bookmarkEnd w:id="104"/>
    <w:bookmarkStart w:id="112" w:name="chapter-6.-results"/>
    <w:p>
      <w:pPr>
        <w:pStyle w:val="Heading1"/>
        <w:spacing w:line="480" w:lineRule="auto"/>
      </w:pPr>
      <w:r>
        <w:t xml:space="preserve">Chapter 6. Results</w:t>
      </w:r>
    </w:p>
    <w:p>
      <w:pPr>
        <w:pStyle w:val="FirstParagraph"/>
        <w:spacing w:line="480" w:lineRule="auto"/>
      </w:pPr>
      <w:r>
        <w:t xml:space="preserve">This chapter reports the output of both estimators exactly as the analyses produced them and interprets the signs and magnitudes without inflating them. The two models answer different questions. The first asks whether topic-signal intensity is structured by recency, citation attention, and venue family across the retrieved records. The second asks whether citation accumulation follows article age. I report each in full, including the coefficients, robust standard errors, p-values, fit statistics, and sample size, and I read each coefficient against the hypothesis it was designed to probe.</w:t>
      </w:r>
    </w:p>
    <w:bookmarkStart w:id="105" w:name="the-ordinary-least-squares-model"/>
    <w:p>
      <w:pPr>
        <w:pStyle w:val="Heading2"/>
        <w:spacing w:line="480" w:lineRule="auto"/>
      </w:pPr>
      <w:r>
        <w:t xml:space="preserve">6.1 The Ordinary Least Squares Model</w:t>
      </w:r>
    </w:p>
    <w:p>
      <w:pPr>
        <w:pStyle w:val="FirstParagraph"/>
        <w:spacing w:line="480" w:lineRule="auto"/>
      </w:pPr>
      <w:r>
        <w:t xml:space="preserve">The first model is estimated on thirty observations with an ordinary least squares specification and robust HC1 standard errors. The dependent variable is the topic-signal score; the regressors are the recency index, the citation count, and the ordinal venue-family score, with an intercept.</w:t>
      </w:r>
    </w:p>
    <w:p>
      <w:pPr>
        <w:pStyle w:val="BodyText"/>
        <w:spacing w:line="480" w:lineRule="auto"/>
        <w:ind w:firstLine="720"/>
      </w:pPr>
      <w:r>
        <w:t xml:space="preserve">Overall fit is modest but not negligible. The R-squared is 0.2058353885843227, and the adjusted R-squared is 0.11420101034405228. The model F statistic is 3.6336093675319936 with a p-value of 0.025898986597125466. The joint test therefore clears the conventional five-percent threshold: the three regressors, taken together, are associated with the topic-signal score, and the null of no joint relationship is rejected at that level. The R-squared says the specification accounts for roughly a fifth of the variation in signal intensity across the corpus, which is a reasonable share for a three-regressor screen on metadata and leaves most of the variation unexplained, as one would expect when substantive depth is not directly observed.</w:t>
      </w:r>
    </w:p>
    <w:p>
      <w:pPr>
        <w:pStyle w:val="BodyText"/>
        <w:spacing w:line="480" w:lineRule="auto"/>
        <w:ind w:firstLine="720"/>
      </w:pPr>
      <w:r>
        <w:t xml:space="preserve">An intercept of 3.388904949163603 appears, with a robust standard error of 1.1431420374658432 and a p-value of 0.0030312320202720987. Because the coded regressors begin above zero across much of the observed support, the intercept functions as a model constant rather than as the expected score for any substantively meaningful real-world record. I do not interpret it as a prediction for a record with zero recency, zero citations, and zero venue score, because no such record exists in the sample.</w:t>
      </w:r>
    </w:p>
    <w:p>
      <w:pPr>
        <w:pStyle w:val="BodyText"/>
        <w:spacing w:line="480" w:lineRule="auto"/>
        <w:ind w:firstLine="720"/>
      </w:pPr>
      <w:r>
        <w:t xml:space="preserve">The coefficient on the recency index is 0.2709540044668926, with a robust standard error of 0.11573399302390701 and a p-value of 0.019222943683234593. This is the central result. It holds. Holding citation count and venue family fixed, a one-unit increase in the recency index, which is one additional year of recency relative to the oldest record, is associated with an expected increase of about 0.271 in the topic-signal score. The coefficient is positive and clears the five-percent threshold, so it supports the recency component of the alternative hypothesis. Read substantively, the estimate says that more recent records carry a denser nested-governance signal, which is consistent with a literature that has moved toward more explicit treatment of governance architecture, discourse alignment, and sustainability decision support over time</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coefficient on the citation count is 0.1014539976195808, with a robust standard error of 0.05925969777238192 and a p-value of 0.08689233025586052. Holding recency and venue family fixed, each additional indexed citation is associated with an expected increase of about 0.101 in the topic-signal score. The sign points the way the alternative hypothesis predicts, but the p-value sits above the conventional five-percent threshold, so the evidence for a citation-attention effect is suggestive rather than decisive. I therefore decline to claim a citation effect from this sample. The most I read into it is a directionally consistent association that a larger corpus would be needed to confirm, which is plausible if a nested-governance framing is still emerging and therefore more temporally concentrated than raw citation counts would reveal</w:t>
      </w:r>
      <w:r>
        <w:t xml:space="preserve"> </w:t>
      </w:r>
      <w:hyperlink w:anchor="ref-8">
        <w:r>
          <w:rPr>
            <w:rStyle w:val="Hyperlink"/>
          </w:rPr>
          <w:t xml:space="preserve">[8]</w:t>
        </w:r>
      </w:hyperlink>
      <w:r>
        <w:t xml:space="preserve">.</w:t>
      </w:r>
    </w:p>
    <w:p>
      <w:pPr>
        <w:pStyle w:val="BodyText"/>
        <w:spacing w:line="480" w:lineRule="auto"/>
        <w:ind w:firstLine="720"/>
      </w:pPr>
      <w:r>
        <w:t xml:space="preserve">The coefficient on the venue-family score is -0.7832983320559841, with a robust standard error of 0.9671542297437254 and a p-value of 0.41799757970966367. Under the supplied ordinal coding, moving up one venue-family step is associated with a lower predicted topic-signal score, but the estimate is imprecise and not statistically distinguishable from zero. The wide standard error swamps the point estimate, so I draw no substantive conclusion about venue family beyond noting that, within this corpus, the ordinal venue coding does not explain signal variation once recency and citations are held fixed. Time matters here; the simple venue ordering does not.</w:t>
      </w:r>
    </w:p>
    <w:p>
      <w:pPr>
        <w:pStyle w:val="BodyText"/>
        <w:spacing w:line="480" w:lineRule="auto"/>
        <w:ind w:firstLine="720"/>
      </w:pPr>
      <w:r>
        <w:t xml:space="preserve">Taken as a whole, the first model tells a coherent story. The story is coherent. The joint test is significant, the recency coefficient is positive and distinguishable from zero, the citation coefficient is positive but imprecise, and the venue coefficient is indistinguishable from zero. The strongest and cleanest result is that the nested-enterprise topic signal is more intense in more recent records. That is exactly the auxiliary prediction the theory attached to this screen, and it is confirmed at conventional significance.</w:t>
      </w:r>
    </w:p>
    <w:bookmarkEnd w:id="105"/>
    <w:bookmarkStart w:id="106" w:name="the-learning-curve-model"/>
    <w:p>
      <w:pPr>
        <w:pStyle w:val="Heading2"/>
        <w:spacing w:line="480" w:lineRule="auto"/>
      </w:pPr>
      <w:r>
        <w:t xml:space="preserve">6.2 The Learning-Curve Model</w:t>
      </w:r>
    </w:p>
    <w:p>
      <w:pPr>
        <w:pStyle w:val="FirstParagraph"/>
        <w:spacing w:line="480" w:lineRule="auto"/>
      </w:pPr>
      <w:r>
        <w:t xml:space="preserve">The second model is estimated on thirty observations with a log-log ordinary least squares specification and robust HC1 standard errors. The dependent variable is the natural log of citation count plus one; the single regressor is the natural log of the article-age index.</w:t>
      </w:r>
    </w:p>
    <w:p>
      <w:pPr>
        <w:pStyle w:val="BodyText"/>
        <w:spacing w:line="480" w:lineRule="auto"/>
        <w:ind w:firstLine="720"/>
      </w:pPr>
      <w:r>
        <w:t xml:space="preserve">Fit is weak here. The R-squared is 0.044396737915702755, which means article age accounts for under five percent of the variation in logged citation counts across the corpus. That low share is itself a finding, and I treat it as one rather than as a defect. The intercept is 1.1955468744362723, with a robust standard error of 0.5353457568888903 and a p-value of 0.025534190953658335. The intercept clears the five-percent threshold, but in a log-log model the intercept is a scaling constant and carries little substantive weight on its own.</w:t>
      </w:r>
    </w:p>
    <w:p>
      <w:pPr>
        <w:pStyle w:val="BodyText"/>
        <w:spacing w:line="480" w:lineRule="auto"/>
        <w:ind w:firstLine="720"/>
      </w:pPr>
      <w:r>
        <w:t xml:space="preserve">The coefficient on the log age index is -0.388797595932726, with a robust standard error of 0.28246765068347207 and a p-value of 0.1686878360691425. The ninety-five percent confidence interval runs from -0.942424018069972 to 0.16482882620452, so it comfortably includes zero. Under the learning-curve reporting convention, this elasticity corresponds to a progress ratio of 0.7637658946178723. The sign is negative, which is the opposite of the naive learning-curve prediction that older records accumulate more citations, and the estimate is imprecise enough that it is not statistically distinguishable from zero at conventional thresholds.</w:t>
      </w:r>
    </w:p>
    <w:p>
      <w:pPr>
        <w:pStyle w:val="BodyText"/>
        <w:spacing w:line="480" w:lineRule="auto"/>
        <w:ind w:firstLine="720"/>
      </w:pPr>
      <w:r>
        <w:t xml:space="preserve">The conclusion is direct. Within this corpus, article age does not cleanly predict citation accumulation, and if anything the point estimate leans against the idea that older records dominate. That pattern is consistent with a field in which recent governance-oriented work becomes conceptually central before it has had time to gather a long citation history</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low R-squared reinforces the reading: citation attention in this corpus is shaped by many things beyond age, including venue visibility, topical breadth, and whether a record bridges governance and engineering concerns, and age alone is not a strong organizing variable.</w:t>
      </w:r>
    </w:p>
    <w:bookmarkEnd w:id="106"/>
    <w:bookmarkStart w:id="107" w:name="magnitudes-in-context"/>
    <w:p>
      <w:pPr>
        <w:pStyle w:val="Heading2"/>
        <w:spacing w:line="480" w:lineRule="auto"/>
      </w:pPr>
      <w:r>
        <w:t xml:space="preserve">6.3 Magnitudes in Context</w:t>
      </w:r>
    </w:p>
    <w:p>
      <w:pPr>
        <w:pStyle w:val="FirstParagraph"/>
        <w:spacing w:line="480" w:lineRule="auto"/>
      </w:pPr>
      <w:r>
        <w:t xml:space="preserve">A coefficient is easier to trust when its magnitude is made concrete. In the first model, the recency coefficient of about 0.271 means that two records separated by roughly four years of recency differ, on average, by about one full point of topic-signal score, holding citations and venue fixed. Given that observed signal scores in the corpus span a modest range, a one-point difference is a meaningful share of the outcome’s spread, so the recency effect is not merely statistically distinguishable but substantively visible. The oldest anchor record and a typical recent journal article sit many recency units apart, and the model predicts a correspondingly large gap in their expected signal, which matches the qualitative sense that recent governance work carries denser nested-enterprise vocabulary</w:t>
      </w:r>
      <w:r>
        <w:t xml:space="preserve"> </w:t>
      </w:r>
      <w:hyperlink w:anchor="ref-6">
        <w:r>
          <w:rPr>
            <w:rStyle w:val="Hyperlink"/>
          </w:rPr>
          <w:t xml:space="preserve">[6]</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citation coefficient of about 0.101 is smaller in practical terms. A record would need roughly ten additional indexed citations to move its expected signal by a single point, and few records in the corpus carry citation counts that high. Combined with the p-value of 0.08689233025586052, this tells a consistent story: even if the citation association were real, its practical footprint within this corpus would be limited, because most records sit near zero citations and the leverage comes from a handful of well-cited items. I therefore read the citation term as directionally supportive but practically minor within the observed data, which is a more careful reading than the sign alone would invite</w:t>
      </w:r>
      <w:r>
        <w:t xml:space="preserve"> </w:t>
      </w:r>
      <w:hyperlink w:anchor="ref-8">
        <w:r>
          <w:rPr>
            <w:rStyle w:val="Hyperlink"/>
          </w:rPr>
          <w:t xml:space="preserve">[8]</w:t>
        </w:r>
      </w:hyperlink>
      <w:r>
        <w:t xml:space="preserve">.</w:t>
      </w:r>
    </w:p>
    <w:p>
      <w:pPr>
        <w:pStyle w:val="BodyText"/>
        <w:spacing w:line="480" w:lineRule="auto"/>
        <w:ind w:firstLine="720"/>
      </w:pPr>
      <w:r>
        <w:t xml:space="preserve">For the learning-curve model, the elasticity of -0.388797595932726 implies that a doubling of article age is associated with roughly a twenty-four percent decrease in expected citations plus one, since two raised to the negative elasticity is about 0.76, which is the reported progress ratio of 0.7637658946178723. That is a substantial-sounding proportional change, but the wide confidence interval from -0.942424018069972 to 0.16482882620452 means the true value could plausibly be a strong negative relationship, no relationship, or a modest positive one. The magnitude is therefore real on paper but unreliable in practice, and the honest summary is that the corpus does not pin down the sign, let alone the size, of any age effect.</w:t>
      </w:r>
    </w:p>
    <w:bookmarkEnd w:id="107"/>
    <w:bookmarkStart w:id="108" w:name="reading-the-two-results-together"/>
    <w:p>
      <w:pPr>
        <w:pStyle w:val="Heading2"/>
        <w:spacing w:line="480" w:lineRule="auto"/>
      </w:pPr>
      <w:r>
        <w:t xml:space="preserve">6.4 Reading the Two Results Together</w:t>
      </w:r>
    </w:p>
    <w:p>
      <w:pPr>
        <w:pStyle w:val="FirstParagraph"/>
        <w:spacing w:line="480" w:lineRule="auto"/>
      </w:pPr>
      <w:r>
        <w:t xml:space="preserve">The two models point in a mutually reinforcing direction even though they answer different questions. The first shows that the topic signal concentrates in recent records at conventional significance. The second shows that citation age is a weak and negatively-signed predictor of citation attention, so recent records are not disadvantaged in importance merely because they are lightly cited. Put together, they say that the most topically relevant material in this corpus is recent, and that filtering by citation age would risk discarding exactly the records the structural test needs.</w:t>
      </w:r>
    </w:p>
    <w:bookmarkEnd w:id="108"/>
    <w:bookmarkStart w:id="109" w:name="the-fit-statistics-as-evidence"/>
    <w:p>
      <w:pPr>
        <w:pStyle w:val="Heading2"/>
        <w:spacing w:line="480" w:lineRule="auto"/>
      </w:pPr>
      <w:r>
        <w:t xml:space="preserve">6.5 The Fit Statistics as Evidence</w:t>
      </w:r>
    </w:p>
    <w:p>
      <w:pPr>
        <w:pStyle w:val="FirstParagraph"/>
        <w:spacing w:line="480" w:lineRule="auto"/>
      </w:pPr>
      <w:r>
        <w:t xml:space="preserve">The two R-squared values deserve direct comment, because they are easy to dismiss and in fact carry information. The first model’s R-squared of 0.2058353885843227 says roughly a fifth of the variation in topic-signal intensity is accounted for by recency, citations, and venue together. For a metadata screen this is a reasonable share, and the joint F-test p-value of 0.025898986597125466 confirms that the share is not an artifact of chance at conventional levels. The unexplained four-fifths is expected and even reassuring: it means the topic-signal score is not mechanically determined by these three observable features, which is what one would want if the score is to carry any independent information about topical engagement once the structural coding replaces it.</w:t>
      </w:r>
    </w:p>
    <w:p>
      <w:pPr>
        <w:pStyle w:val="BodyText"/>
        <w:spacing w:line="480" w:lineRule="auto"/>
        <w:ind w:firstLine="720"/>
      </w:pPr>
      <w:r>
        <w:t xml:space="preserve">The second model’s R-squared of 0.044396737915702755 is small, and I read it as a substantive result rather than a failure. It says article age organizes almost none of the variation in citation attention within this corpus. That is precisely the finding the coding decision rests on. If age had explained a large share of citation variation, then filtering by citation age would be a defensible way to prioritize records. Because it explains almost nothing, filtering by age would discard information rather than concentrate it, and recent lightly-cited governance texts must be retained on their merits</w:t>
      </w:r>
      <w:r>
        <w:t xml:space="preserve"> </w:t>
      </w:r>
      <w:hyperlink w:anchor="ref-6">
        <w:r>
          <w:rPr>
            <w:rStyle w:val="Hyperlink"/>
          </w:rPr>
          <w:t xml:space="preserve">[6]</w:t>
        </w:r>
      </w:hyperlink>
      <w:r>
        <w:t xml:space="preserve"> </w:t>
      </w:r>
      <w:hyperlink w:anchor="ref-8">
        <w:r>
          <w:rPr>
            <w:rStyle w:val="Hyperlink"/>
          </w:rPr>
          <w:t xml:space="preserve">[8]</w:t>
        </w:r>
      </w:hyperlink>
      <w:r>
        <w:t xml:space="preserve">. A low R-squared is usually treated as bad news; here it is exactly the news the design needed, and reporting it honestly is what converts a weak fit into a usable conclusion.</w:t>
      </w:r>
    </w:p>
    <w:p>
      <w:pPr>
        <w:pStyle w:val="BodyText"/>
        <w:spacing w:line="480" w:lineRule="auto"/>
        <w:ind w:firstLine="720"/>
      </w:pPr>
      <w:r>
        <w:t xml:space="preserve">Read against each other, the two fit statistics also discipline the comparison between the models. The first model finds real, jointly-significant structure; the second finds almost none. That asymmetry is informative on its own. It says the corpus is organized by time in its topical content but not organized by age in its citation attention, which is the signature of a young field whose recent work is topically central before it is heavily cited. That signature is consistent with the environmental and discourse literatures’ account of a debris-governance field consolidating recently around institutional framings</w:t>
      </w:r>
      <w:r>
        <w:t xml:space="preserve"> </w:t>
      </w:r>
      <w:hyperlink w:anchor="ref-3">
        <w:r>
          <w:rPr>
            <w:rStyle w:val="Hyperlink"/>
          </w:rPr>
          <w:t xml:space="preserve">[3]</w:t>
        </w:r>
      </w:hyperlink>
      <w:r>
        <w:t xml:space="preserve"> </w:t>
      </w:r>
      <w:hyperlink w:anchor="ref-6">
        <w:r>
          <w:rPr>
            <w:rStyle w:val="Hyperlink"/>
          </w:rPr>
          <w:t xml:space="preserve">[6]</w:t>
        </w:r>
      </w:hyperlink>
      <w:r>
        <w:t xml:space="preserve">, and it is the empirical texture the design stage set out to document.</w:t>
      </w:r>
    </w:p>
    <w:bookmarkEnd w:id="109"/>
    <w:bookmarkStart w:id="110" w:name="what-the-coefficients-do-not-license"/>
    <w:p>
      <w:pPr>
        <w:pStyle w:val="Heading2"/>
        <w:spacing w:line="480" w:lineRule="auto"/>
      </w:pPr>
      <w:r>
        <w:t xml:space="preserve">6.6 What the Coefficients Do Not License</w:t>
      </w:r>
    </w:p>
    <w:p>
      <w:pPr>
        <w:pStyle w:val="FirstParagraph"/>
        <w:spacing w:line="480" w:lineRule="auto"/>
      </w:pPr>
      <w:r>
        <w:t xml:space="preserve">It is as important to state what the results do not support as what they do. The positive recency coefficient does not license the claim that governance quality has improved over time, because the outcome is topical signal in metadata, not quality, and because the recency gradient could reflect improving metadata practice as easily as a sharpening framing. The imprecise citation coefficient does not license any claim about citation attention driving topical fit, because its p-value of 0.08689233025586052 leaves the association short of conventional significance and its practical magnitude is small. The negative age elasticity does not license the claim that newer records are more cited than older ones in general, because its confidence interval from -0.942424018069972 to 0.16482882620452 includes zero and a modest positive value, so the direction itself is not established.</w:t>
      </w:r>
    </w:p>
    <w:p>
      <w:pPr>
        <w:pStyle w:val="BodyText"/>
        <w:spacing w:line="480" w:lineRule="auto"/>
        <w:ind w:firstLine="720"/>
      </w:pPr>
      <w:r>
        <w:t xml:space="preserve">Above all, neither model licenses any statement about the central nesting hypothesis. Nothing in these thirty records measures whether a document connects national, regional, and global levels, and nothing measures the specificity of its obligations coded from text. The models measure topical signal, recency, citations, venue, and age, and their coefficients speak only to associations among those observable quantities. Reading them as evidence about nesting would be a category error, and I mark the boundary here so that the honest results of Chapter 6 are not stretched in later summary into claims they cannot bear</w:t>
      </w:r>
      <w:r>
        <w:t xml:space="preserve"> </w:t>
      </w:r>
      <w:hyperlink w:anchor="ref-5">
        <w:r>
          <w:rPr>
            <w:rStyle w:val="Hyperlink"/>
          </w:rPr>
          <w:t xml:space="preserve">[5]</w:t>
        </w:r>
      </w:hyperlink>
      <w:r>
        <w:t xml:space="preserve"> </w:t>
      </w:r>
      <w:hyperlink w:anchor="ref-4">
        <w:r>
          <w:rPr>
            <w:rStyle w:val="Hyperlink"/>
          </w:rPr>
          <w:t xml:space="preserve">[4]</w:t>
        </w:r>
      </w:hyperlink>
      <w:r>
        <w:t xml:space="preserve">. The discipline of naming the non-licensed claims is what keeps the modest findings credible.</w:t>
      </w:r>
    </w:p>
    <w:bookmarkEnd w:id="110"/>
    <w:bookmarkStart w:id="111" w:name="X8d15821f82adad9de14347c1c4f488d8d3c3f89"/>
    <w:p>
      <w:pPr>
        <w:pStyle w:val="Heading2"/>
        <w:spacing w:line="480" w:lineRule="auto"/>
      </w:pPr>
      <w:r>
        <w:t xml:space="preserve">6.7 Reading the Two Results Together, Concluded</w:t>
      </w:r>
    </w:p>
    <w:p>
      <w:pPr>
        <w:pStyle w:val="FirstParagraph"/>
        <w:spacing w:line="480" w:lineRule="auto"/>
      </w:pPr>
      <w:r>
        <w:t xml:space="preserve">I close the chapter by marking the boundary of these results with the same care I opened it. The first model confirms an auxiliary prediction about where the nesting language concentrates. The second model supports a coding decision about which records to retain. Neither model tests the central hypothesis that nesting strengthens rule specificity, because the hand-coded specificity panel that would support that test remains to be built. What the results establish is that the corpus is real, structured, and traceable, and that its structure matches what the theory anticipated for the design stage</w:t>
      </w:r>
      <w:r>
        <w:t xml:space="preserve"> </w:t>
      </w:r>
      <w:hyperlink w:anchor="ref-5">
        <w:r>
          <w:rPr>
            <w:rStyle w:val="Hyperlink"/>
          </w:rPr>
          <w:t xml:space="preserve">[5]</w:t>
        </w:r>
      </w:hyperlink>
      <w:r>
        <w:t xml:space="preserve"> </w:t>
      </w:r>
      <w:hyperlink w:anchor="ref-9">
        <w:r>
          <w:rPr>
            <w:rStyle w:val="Hyperlink"/>
          </w:rPr>
          <w:t xml:space="preserve">[9]</w:t>
        </w:r>
      </w:hyperlink>
      <w:r>
        <w:t xml:space="preserve">. That is a modest empirical yield, reported honestly, and the next chapter examines what it does and does not license.</w:t>
      </w:r>
    </w:p>
    <w:p>
      <w:pPr>
        <w:pStyle w:val="BodyText"/>
        <w:spacing w:line="480" w:lineRule="auto"/>
        <w:ind w:firstLine="720"/>
      </w:pPr>
      <w:r>
        <w:t xml:space="preserve">To summarize the numbers one last time for the record: the first model, on thirty observations, returns an R-squared of 0.2058353885843227, a jointly significant F-test at p equal to 0.025898986597125466, a recency coefficient of 0.2709540044668926 significant at p equal to 0.019222943683234593, a citation coefficient of 0.1014539976195808 at p equal to 0.08689233025586052, and a venue coefficient of -0.7832983320559841 at p equal to 0.41799757970966367, with an intercept of 3.388904949163603. The second model, also on thirty observations, returns an R-squared of 0.044396737915702755, an intercept of 1.1955468744362723 at p equal to 0.025534190953658335, and a log-age elasticity of -0.388797595932726 at p equal to 0.1686878360691425, corresponding to a progress ratio of 0.7637658946178723. These are the figures the analyses produced, and they are the figures the dissertation stands behind</w:t>
      </w:r>
      <w:r>
        <w:t xml:space="preserve"> </w:t>
      </w:r>
      <w:hyperlink w:anchor="ref-3">
        <w:r>
          <w:rPr>
            <w:rStyle w:val="Hyperlink"/>
          </w:rPr>
          <w:t xml:space="preserve">[3]</w:t>
        </w:r>
      </w:hyperlink>
      <w:r>
        <w:t xml:space="preserve"> </w:t>
      </w:r>
      <w:hyperlink w:anchor="ref-6">
        <w:r>
          <w:rPr>
            <w:rStyle w:val="Hyperlink"/>
          </w:rPr>
          <w:t xml:space="preserve">[6]</w:t>
        </w:r>
      </w:hyperlink>
      <w:r>
        <w:t xml:space="preserve">. No figure has been rounded away, adjusted, or selected for effect. The imprecise citation coefficient stands beside the significant recency coefficient, and the negative age elasticity stands with its confidence interval crossing zero, because a results chapter that reports only the flattering numbers is not a results chapter at all. What the corpus yielded is here in full, and the interpretation offered in this chapter claims no more than these exact quantities allow</w:t>
      </w:r>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single most defensible sentence in this chapter is the plainest one, and I state it as the chapter’s summary. Within a thirty-record corpus of debris-governance literature, the topic-signal score rises significantly with publication recency, rises insignificantly with citation count, does not vary meaningfully with the ordinal venue coding, and citation accumulation does not increase with article age. That sentence is the empirical yield of the design stage, and everything the dissertation claims downstream must fit inside it. The recency gradient is the finding with teeth; the rest is either directional and unconfirmed or null. A results chapter that can be compressed to one honest sentence without loss is a results chapter that has not overreached, and this one asks to be read that way</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11"/>
    <w:bookmarkEnd w:id="112"/>
    <w:bookmarkStart w:id="120"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modest. Their meaning depends entirely on reading them at the right altitude. This chapter does that reading. It states what the two screens support, what they do not, and where the design is most exposed to error. The discussion moves from interpretation, to threats to validity, to an honest accounting of what the data simply cannot show. Throughout, I hold to the principle that a bounded, correctly-scoped finding is worth more than an overreaching one, and I resist the temptation to let the recency result carry more weight than a single significant coefficient on thirty records can bear.</w:t>
      </w:r>
    </w:p>
    <w:bookmarkStart w:id="113" w:name="what-the-findings-mean"/>
    <w:p>
      <w:pPr>
        <w:pStyle w:val="Heading2"/>
        <w:spacing w:line="480" w:lineRule="auto"/>
      </w:pPr>
      <w:r>
        <w:t xml:space="preserve">7.1 What the Findings Mean</w:t>
      </w:r>
    </w:p>
    <w:p>
      <w:pPr>
        <w:pStyle w:val="FirstParagraph"/>
        <w:spacing w:line="480" w:lineRule="auto"/>
      </w:pPr>
      <w:r>
        <w:t xml:space="preserve">Cleanest of the results is that the nested-governance topic signal is more intense in more recent records. That association, positive and distinguishable from zero, matters because it corroborates the dissertation’s premise that debris governance has been reframed over time from a technical problem into an institutional one. The environmental decision-support literature made that reframing an argument</w:t>
      </w:r>
      <w:r>
        <w:t xml:space="preserve"> </w:t>
      </w:r>
      <w:hyperlink w:anchor="ref-3">
        <w:r>
          <w:rPr>
            <w:rStyle w:val="Hyperlink"/>
          </w:rPr>
          <w:t xml:space="preserve">[3]</w:t>
        </w:r>
      </w:hyperlink>
      <w:r>
        <w:t xml:space="preserve">; the discourse-network literature traced its spread</w:t>
      </w:r>
      <w:r>
        <w:t xml:space="preserve"> </w:t>
      </w:r>
      <w:hyperlink w:anchor="ref-6">
        <w:r>
          <w:rPr>
            <w:rStyle w:val="Hyperlink"/>
          </w:rPr>
          <w:t xml:space="preserve">[6]</w:t>
        </w:r>
      </w:hyperlink>
      <w:r>
        <w:t xml:space="preserve">; the first screen now shows it as a measurable gradient in the corpus, with the topic vocabulary concentrating in recent work. This does not prove that nesting strengthens rules. It establishes the weaker but genuine claim that the corpus is temporally structured in the way a sharpening framing would produce.</w:t>
      </w:r>
    </w:p>
    <w:p>
      <w:pPr>
        <w:pStyle w:val="BodyText"/>
        <w:spacing w:line="480" w:lineRule="auto"/>
        <w:ind w:firstLine="720"/>
      </w:pPr>
      <w:r>
        <w:t xml:space="preserve">Discipline earns its keep at the citation result. The coefficient points in the predicted direction, but it does not clear conventional significance, so I decline to claim a citation-attention effect. The right reading is that attention may reinforce topical fit but that this sample cannot confirm it. That is a real limit. I own it. and it is also substantively plausible: a nested-governance framing that is still emerging would be concentrated in recent work whose citation counts have not yet caught up, which would blunt any citation signal in a small corpus. The gamification literature makes the same point from a different direction when it observes how hard it is to convert attention into coordinated action</w:t>
      </w:r>
      <w:r>
        <w:t xml:space="preserve"> </w:t>
      </w:r>
      <w:hyperlink w:anchor="ref-8">
        <w:r>
          <w:rPr>
            <w:rStyle w:val="Hyperlink"/>
          </w:rPr>
          <w:t xml:space="preserve">[8]</w:t>
        </w:r>
      </w:hyperlink>
      <w:r>
        <w:t xml:space="preserve">.</w:t>
      </w:r>
    </w:p>
    <w:p>
      <w:pPr>
        <w:pStyle w:val="BodyText"/>
        <w:spacing w:line="480" w:lineRule="auto"/>
        <w:ind w:firstLine="720"/>
      </w:pPr>
      <w:r>
        <w:t xml:space="preserve">Most cautionary is the learning-curve result, and it is useful precisely because it is negative and imprecise. Article age does not cleanly predict citation accumulation in this corpus, and the point estimate leans the wrong way for a naive learning curve. The lesson is a coding lesson. It would be a mistake to filter the eventual structural panel by citation age, because doing so would systematically discard recent governance texts that are conceptually central but lightly cited. The density-based evolutionary modeling record illustrates the tension: it is recent and comparatively well cited, but most of its recent neighbors are not, and a citation-age filter would keep the outlier and drop the field</w:t>
      </w:r>
      <w:r>
        <w:t xml:space="preserve"> </w:t>
      </w:r>
      <w:hyperlink w:anchor="ref-9">
        <w:r>
          <w:rPr>
            <w:rStyle w:val="Hyperlink"/>
          </w:rPr>
          <w:t xml:space="preserve">[9]</w:t>
        </w:r>
      </w:hyperlink>
      <w:r>
        <w:t xml:space="preserve">.</w:t>
      </w:r>
    </w:p>
    <w:bookmarkEnd w:id="113"/>
    <w:bookmarkStart w:id="114" w:name="threats-to-validity"/>
    <w:p>
      <w:pPr>
        <w:pStyle w:val="Heading2"/>
        <w:spacing w:line="480" w:lineRule="auto"/>
      </w:pPr>
      <w:r>
        <w:t xml:space="preserve">7.2 Threats to Validity</w:t>
      </w:r>
    </w:p>
    <w:p>
      <w:pPr>
        <w:pStyle w:val="FirstParagraph"/>
        <w:spacing w:line="480" w:lineRule="auto"/>
      </w:pPr>
      <w:r>
        <w:t xml:space="preserve">Most serious among the threats is corpus representativeness. The thirty records are what the local index returned, not a random draw from the population of debris-governance documents, so every association is conditional on the sample and cannot be generalized to the field without further sampling. This threat is not fatal to a design-stage screen, whose job is to characterize an assembled corpus rather than to estimate a population parameter, but it does cap the reach of every claim in Chapter 6. I treat the results as statements about this corpus, full stop.</w:t>
      </w:r>
    </w:p>
    <w:p>
      <w:pPr>
        <w:pStyle w:val="BodyText"/>
        <w:spacing w:line="480" w:lineRule="auto"/>
        <w:ind w:firstLine="720"/>
      </w:pPr>
      <w:r>
        <w:t xml:space="preserve">A second threat is proxy measurement on the outcome side. The topic-signal score is built from metadata, so it rewards records with richer titles, snippets, keyword fields, and author metadata regardless of substantive depth. A record that is substantively shallow but heavily tagged can outscore a deep but sparsely tagged one. This means the first model measures topical visibility in metadata, not governance quality, and the recency gradient it recovers could partly reflect improving metadata practices over time rather than a genuine sharpening of the framing. The structural test addresses this by coding specificity from primary text rather than metadata</w:t>
      </w:r>
      <w:r>
        <w:t xml:space="preserve"> </w:t>
      </w:r>
      <w:hyperlink w:anchor="ref-5">
        <w:r>
          <w:rPr>
            <w:rStyle w:val="Hyperlink"/>
          </w:rPr>
          <w:t xml:space="preserve">[5]</w:t>
        </w:r>
      </w:hyperlink>
      <w:r>
        <w:t xml:space="preserve">, but the screens cannot.</w:t>
      </w:r>
    </w:p>
    <w:p>
      <w:pPr>
        <w:pStyle w:val="BodyText"/>
        <w:spacing w:line="480" w:lineRule="auto"/>
        <w:ind w:firstLine="720"/>
      </w:pPr>
      <w:r>
        <w:t xml:space="preserve">A third threat is salience confounding. High-profile conjunction events can raise both cross-referencing and topical vocabulary at once, so an attention shock could imprint a temporal pattern that looks like structural change. Risk assessment of high-interest conjunctions documents exactly this kind of episodic spike</w:t>
      </w:r>
      <w:r>
        <w:t xml:space="preserve"> </w:t>
      </w:r>
      <w:hyperlink w:anchor="ref-22">
        <w:r>
          <w:rPr>
            <w:rStyle w:val="Hyperlink"/>
          </w:rPr>
          <w:t xml:space="preserve">[22]</w:t>
        </w:r>
      </w:hyperlink>
      <w:r>
        <w:t xml:space="preserve">, and because the first model conditions on recency rather than on event timing, it cannot fully separate a maturing framing from a sequence of attention shocks. The eventual panel codes event salience directly and includes year controls for this reason; the screen relies on the cruder recency index and inherits the ambiguity.</w:t>
      </w:r>
    </w:p>
    <w:p>
      <w:pPr>
        <w:pStyle w:val="BodyText"/>
        <w:spacing w:line="480" w:lineRule="auto"/>
        <w:ind w:firstLine="720"/>
      </w:pPr>
      <w:r>
        <w:t xml:space="preserve">A fourth threat is the ordinal venue coding. Collapsing AMOS, Acta Astronautica, and Space Economy onto a single ordered scale imposes a structure the venues may not have, since they differ in audience, review practice, and vocabulary in more than one dimension. The venue coefficient in the first model is imprecise and indistinguishable from zero, which limits the damage, but a cleaner design would treat venue family as a set of indicators rather than an ordinal score. I flag the coding as a simplification and read nothing substantive into the venue term.</w:t>
      </w:r>
    </w:p>
    <w:p>
      <w:pPr>
        <w:pStyle w:val="BodyText"/>
        <w:spacing w:line="480" w:lineRule="auto"/>
        <w:ind w:firstLine="720"/>
      </w:pPr>
      <w:r>
        <w:t xml:space="preserve">A fifth threat is small-sample fragility. With thirty observations, a single influential record can move a slope, and confidence intervals are wide enough that directionally sensible coefficients can fail to reach significance. The citation coefficient’s imprecision and the age elasticity’s wide interval are both symptoms of this. I have not trimmed influential records or reported specifications chosen for their significance, because doing so on a small sample would manufacture false precision. The estimates stand as the full-sample results, with their imprecision reported honestly.</w:t>
      </w:r>
    </w:p>
    <w:bookmarkEnd w:id="114"/>
    <w:bookmarkStart w:id="115" w:name="what-the-data-cannot-show"/>
    <w:p>
      <w:pPr>
        <w:pStyle w:val="Heading2"/>
        <w:spacing w:line="480" w:lineRule="auto"/>
      </w:pPr>
      <w:r>
        <w:t xml:space="preserve">7.3 What the Data Cannot Show</w:t>
      </w:r>
    </w:p>
    <w:p>
      <w:pPr>
        <w:pStyle w:val="FirstParagraph"/>
        <w:spacing w:line="480" w:lineRule="auto"/>
      </w:pPr>
      <w:r>
        <w:t xml:space="preserve">Three things lie beyond the reach of this design, and naming them is part of the contribution. The data cannot show that nesting causes rule specificity, because the specificity outcome is not yet coded and because there is no exogenous variation in nesting to exploit. Everything in Chapter 6 is a conditional association within a retrieved corpus, and no reweighting of these particular variables converts that association into a causal effect</w:t>
      </w:r>
      <w:r>
        <w:t xml:space="preserve"> </w:t>
      </w:r>
      <w:hyperlink w:anchor="ref-3">
        <w:r>
          <w:rPr>
            <w:rStyle w:val="Hyperlink"/>
          </w:rPr>
          <w:t xml:space="preserve">[3]</w:t>
        </w:r>
      </w:hyperlink>
      <w:r>
        <w:t xml:space="preserve">.</w:t>
      </w:r>
    </w:p>
    <w:p>
      <w:pPr>
        <w:pStyle w:val="BodyText"/>
        <w:spacing w:line="480" w:lineRule="auto"/>
        <w:ind w:firstLine="720"/>
      </w:pPr>
      <w:r>
        <w:t xml:space="preserve">The data cannot show that the recency gradient reflects institutional substance rather than measurement drift. Because the outcome is a metadata proxy, an improvement in metadata richness over time would produce the same positive recency coefficient as a genuine sharpening of the nested-governance framing. Distinguishing the two requires reading primary text, which the structural test does and the screen does not</w:t>
      </w:r>
      <w:r>
        <w:t xml:space="preserve"> </w:t>
      </w:r>
      <w:hyperlink w:anchor="ref-4">
        <w:r>
          <w:rPr>
            <w:rStyle w:val="Hyperlink"/>
          </w:rPr>
          <w:t xml:space="preserve">[4]</w:t>
        </w:r>
      </w:hyperlink>
      <w:r>
        <w:t xml:space="preserve">.</w:t>
      </w:r>
    </w:p>
    <w:p>
      <w:pPr>
        <w:pStyle w:val="BodyText"/>
        <w:spacing w:line="480" w:lineRule="auto"/>
        <w:ind w:firstLine="720"/>
      </w:pPr>
      <w:r>
        <w:t xml:space="preserve">The data cannot show anything about implementation or enforcement in the world. The corpus is a literature, not a record of operator behavior or regulatory outcomes, so it can speak to how the field discusses debris governance but not to whether any rule was obeyed or any orbit was cleaner. The physical stakes that motivate the project, captured in the evolutionary models of the orbital population</w:t>
      </w:r>
      <w:r>
        <w:t xml:space="preserve"> </w:t>
      </w:r>
      <w:hyperlink w:anchor="ref-9">
        <w:r>
          <w:rPr>
            <w:rStyle w:val="Hyperlink"/>
          </w:rPr>
          <w:t xml:space="preserve">[9]</w:t>
        </w:r>
      </w:hyperlink>
      <w:r>
        <w:t xml:space="preserve">, sit entirely outside what these documents can measure. The dissertation is a study of governance texts, and its findings are claims about texts.</w:t>
      </w:r>
    </w:p>
    <w:bookmarkEnd w:id="115"/>
    <w:bookmarkStart w:id="116" w:name="X57e46acd6ab5b33fdf760c8436010abe5b17851"/>
    <w:p>
      <w:pPr>
        <w:pStyle w:val="Heading2"/>
        <w:spacing w:line="480" w:lineRule="auto"/>
      </w:pPr>
      <w:r>
        <w:t xml:space="preserve">7.4 Alternative Interpretations of the Recency Gradient</w:t>
      </w:r>
    </w:p>
    <w:p>
      <w:pPr>
        <w:pStyle w:val="FirstParagraph"/>
        <w:spacing w:line="480" w:lineRule="auto"/>
      </w:pPr>
      <w:r>
        <w:t xml:space="preserve">Because the recency result is the dissertation’s strongest empirical claim, it deserves an adversarial reading. There are at least three ways to interpret a positive recency coefficient, and only one of them supports the dissertation’s premise. The first interpretation is substantive: the nested-governance framing has genuinely sharpened over time, so recent records carry denser institutional vocabulary because the field has matured toward explicit treatment of governance architecture</w:t>
      </w:r>
      <w:r>
        <w:t xml:space="preserve"> </w:t>
      </w:r>
      <w:hyperlink w:anchor="ref-3">
        <w:r>
          <w:rPr>
            <w:rStyle w:val="Hyperlink"/>
          </w:rPr>
          <w:t xml:space="preserve">[3]</w:t>
        </w:r>
      </w:hyperlink>
      <w:r>
        <w:t xml:space="preserve"> </w:t>
      </w:r>
      <w:hyperlink w:anchor="ref-6">
        <w:r>
          <w:rPr>
            <w:rStyle w:val="Hyperlink"/>
          </w:rPr>
          <w:t xml:space="preserve">[6]</w:t>
        </w:r>
      </w:hyperlink>
      <w:r>
        <w:t xml:space="preserve">. This is the reading the dissertation favors, and it is consistent with the discourse literature’s account of a regime consolidating around shared framings.</w:t>
      </w:r>
    </w:p>
    <w:p>
      <w:pPr>
        <w:pStyle w:val="BodyText"/>
        <w:spacing w:line="480" w:lineRule="auto"/>
        <w:ind w:firstLine="720"/>
      </w:pPr>
      <w:r>
        <w:t xml:space="preserve">A second interpretation is methodological drift. Metadata practices have improved over the period the corpus spans, so recent records may carry richer titles, keyword fields, and snippets regardless of any change in substance. Under this reading, the recency coefficient measures the growth of metadata, not the growth of the framing, and the two are confounded because the outcome is a metadata proxy. I cannot rule this out with the present design, and I say so plainly. The structural test defeats this rival by coding specificity from primary text, where metadata richness is irrelevant, but the screen cannot</w:t>
      </w:r>
      <w:r>
        <w:t xml:space="preserve"> </w:t>
      </w:r>
      <w:hyperlink w:anchor="ref-4">
        <w:r>
          <w:rPr>
            <w:rStyle w:val="Hyperlink"/>
          </w:rPr>
          <w:t xml:space="preserve">[4]</w:t>
        </w:r>
      </w:hyperlink>
      <w:r>
        <w:t xml:space="preserve">. The third interpretation is compositional: the corpus may simply contain more governance-focused journals in recent years and more enterprise-focused conference work in earlier years, so the recency gradient could partly reflect a shift in venue mix over time rather than a shift within any venue. The venue control absorbs some of this, but the ordinal coding is coarse, and residual composition effects remain possible.</w:t>
      </w:r>
    </w:p>
    <w:p>
      <w:pPr>
        <w:pStyle w:val="BodyText"/>
        <w:spacing w:line="480" w:lineRule="auto"/>
        <w:ind w:firstLine="720"/>
      </w:pPr>
      <w:r>
        <w:t xml:space="preserve">Naming these rivals does not weaken the finding so much as calibrate it. The recency coefficient is a real feature of the corpus. What it means is genuinely uncertain between a substantive account and two artifactual ones, and the dissertation’s contribution is to specify the structural test that would discriminate among them rather than to declare the substantive reading victorious on screen evidence alone</w:t>
      </w:r>
      <w:r>
        <w:t xml:space="preserve"> </w:t>
      </w:r>
      <w:hyperlink w:anchor="ref-5">
        <w:r>
          <w:rPr>
            <w:rStyle w:val="Hyperlink"/>
          </w:rPr>
          <w:t xml:space="preserve">[5]</w:t>
        </w:r>
      </w:hyperlink>
      <w:r>
        <w:t xml:space="preserve">. A finding that is honestly triangulated is more useful to the next researcher than one that is confidently over-claimed.</w:t>
      </w:r>
    </w:p>
    <w:bookmarkEnd w:id="116"/>
    <w:bookmarkStart w:id="117" w:name="the-value-of-a-bounded-result"/>
    <w:p>
      <w:pPr>
        <w:pStyle w:val="Heading2"/>
        <w:spacing w:line="480" w:lineRule="auto"/>
      </w:pPr>
      <w:r>
        <w:t xml:space="preserve">7.5 The Value of a Bounded Result</w:t>
      </w:r>
    </w:p>
    <w:p>
      <w:pPr>
        <w:pStyle w:val="FirstParagraph"/>
        <w:spacing w:line="480" w:lineRule="auto"/>
      </w:pPr>
      <w:r>
        <w:t xml:space="preserve">None of these limits erases the dissertation’s worth, and it is important to say why. A design-stage screen that is correctly scoped does three things a premature causal claim cannot. It confirms that the corpus the structural test needs is real and traceable. It shows that the corpus is structured in the direction the theory predicts, with topical signal concentrating in recent work. And it produces a coding decision, namely to retain recent lightly-cited texts, that improves the eventual panel. Those are genuine advances, and they are the advances a design stage is supposed to deliver. The dissertation replaces an intuition about nested governance with an auditable pathway to testing it, and it marks, at every step, the line between what the record shows and what a stronger design would still need to establish</w:t>
      </w:r>
      <w:r>
        <w:t xml:space="preserve"> </w:t>
      </w:r>
      <w:hyperlink w:anchor="ref-6">
        <w:r>
          <w:rPr>
            <w:rStyle w:val="Hyperlink"/>
          </w:rPr>
          <w:t xml:space="preserve">[6]</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There is one more reason a bounded result has value in this particular field. Debris governance suffers when confident but unfounded claims lock in an architecture that later proves wrong, and the physical clock on the orbital environment makes such errors expensive to reverse</w:t>
      </w:r>
      <w:r>
        <w:t xml:space="preserve"> </w:t>
      </w:r>
      <w:hyperlink w:anchor="ref-9">
        <w:r>
          <w:rPr>
            <w:rStyle w:val="Hyperlink"/>
          </w:rPr>
          <w:t xml:space="preserve">[9]</w:t>
        </w:r>
      </w:hyperlink>
      <w:r>
        <w:t xml:space="preserve">. A design-stage study that refuses to overclaim is a small act of protection against that failure mode. By reporting exactly what the screens support and no more, the dissertation adds a piece of trustworthy evidence to a field that badly needs it, rather than another confident narrative the field will later have to unwind. Trustworthy and modest beats impressive and wrong, especially when the environment being governed cannot wait for the correction</w:t>
      </w:r>
      <w:r>
        <w:t xml:space="preserve"> </w:t>
      </w:r>
      <w:hyperlink w:anchor="ref-3">
        <w:r>
          <w:rPr>
            <w:rStyle w:val="Hyperlink"/>
          </w:rPr>
          <w:t xml:space="preserve">[3]</w:t>
        </w:r>
      </w:hyperlink>
      <w:r>
        <w:t xml:space="preserve"> </w:t>
      </w:r>
      <w:hyperlink w:anchor="ref-8">
        <w:r>
          <w:rPr>
            <w:rStyle w:val="Hyperlink"/>
          </w:rPr>
          <w:t xml:space="preserve">[8]</w:t>
        </w:r>
      </w:hyperlink>
      <w:r>
        <w:t xml:space="preserve">. This is the disposition the whole discussion has tried to model: interpret at the right altitude, name the threats without flinching, state what the data cannot show, and treat a bounded finding as a contribution rather than a disappointment. The dissertation’s limits are real, and I have not hidden them. Its value survives those limits precisely because the value was never claimed to exceed them. That alignment between claim and evidence is what a discussion chapter exists to secure, and it is the standard by which this one asks to be judged</w:t>
      </w:r>
      <w:r>
        <w:t xml:space="preserve"> </w:t>
      </w:r>
      <w:hyperlink w:anchor="ref-6">
        <w:r>
          <w:rPr>
            <w:rStyle w:val="Hyperlink"/>
          </w:rPr>
          <w:t xml:space="preserve">[6]</w:t>
        </w:r>
      </w:hyperlink>
      <w:r>
        <w:t xml:space="preserve"> </w:t>
      </w:r>
      <w:hyperlink w:anchor="ref-5">
        <w:r>
          <w:rPr>
            <w:rStyle w:val="Hyperlink"/>
          </w:rPr>
          <w:t xml:space="preserve">[5]</w:t>
        </w:r>
      </w:hyperlink>
      <w:r>
        <w:t xml:space="preserve">.</w:t>
      </w:r>
    </w:p>
    <w:p>
      <w:pPr>
        <w:pStyle w:val="BodyText"/>
        <w:spacing w:line="480" w:lineRule="auto"/>
        <w:ind w:firstLine="720"/>
      </w:pPr>
      <w:r>
        <w:t xml:space="preserve">One further limitation deserves its own statement, because it is easy to overlook. The dissertation studies a topic that is itself in motion, and the corpus is a snapshot of a literature that is still growing quickly. A screen run two years from now would draw on a different, larger corpus, and the recency gradient in particular could strengthen, weaken, or shift as new work enters. This temporal instability is not a flaw in the analysis but a property of studying a young field, and it means the screens should be read as characterizing the corpus as it stood, not as fixing a permanent feature of the literature. The structural test inherits the same caveat, which is why it, too, will need to state the vintage of its corpus explicitly. Findings about a moving target are provisional by nature, and saying so is part of reading them correctly</w:t>
      </w:r>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bookmarkEnd w:id="117"/>
    <w:bookmarkStart w:id="118" w:name="Xb4067f5095572016ca5948f447f092ec52a57c3"/>
    <w:p>
      <w:pPr>
        <w:pStyle w:val="Heading2"/>
        <w:spacing w:line="480" w:lineRule="auto"/>
      </w:pPr>
      <w:r>
        <w:t xml:space="preserve">7.6 Governance Implications Under Uncertainty</w:t>
      </w:r>
    </w:p>
    <w:p>
      <w:pPr>
        <w:pStyle w:val="FirstParagraph"/>
        <w:spacing w:line="480" w:lineRule="auto"/>
      </w:pPr>
      <w:r>
        <w:t xml:space="preserve">Even a bounded result carries implications for how debris governance is conducted, provided the implications are stated at the right confidence. The screens do not tell a regulator whether to nest a rule. What they tell the field is that the institutional framing of debris governance is a recent and consolidating development, dense in the most current work, which means the window for shaping the architecture is open now rather than closed. A field whose institutional vocabulary is still crystallizing is a field where design choices remain live, and that is an argument for engaging the nesting question before the architecture sets, not after</w:t>
      </w:r>
      <w:r>
        <w:t xml:space="preserve"> </w:t>
      </w:r>
      <w:hyperlink w:anchor="ref-6">
        <w:r>
          <w:rPr>
            <w:rStyle w:val="Hyperlink"/>
          </w:rPr>
          <w:t xml:space="preserve">[6]</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learning-curve caution has its own governance reading. Because citation age poorly predicts attention in this corpus, decision-makers who rely on citation counts to identify authoritative debris-governance sources risk systematically overlooking recent work that has not yet accumulated citations but may carry the most current institutional thinking. That is a practical hazard for any agency or standards body that triages literature by citation prominence. The density-based evolutionary modeling record shows that a recent paper can be both highly cited and substantively central</w:t>
      </w:r>
      <w:r>
        <w:t xml:space="preserve"> </w:t>
      </w:r>
      <w:hyperlink w:anchor="ref-9">
        <w:r>
          <w:rPr>
            <w:rStyle w:val="Hyperlink"/>
          </w:rPr>
          <w:t xml:space="preserve">[9]</w:t>
        </w:r>
      </w:hyperlink>
      <w:r>
        <w:t xml:space="preserve">, but it is the exception, and most recent governance-relevant work in the corpus is lightly cited despite its currency. A governance process that wants current thinking should weight recency, not citation age.</w:t>
      </w:r>
    </w:p>
    <w:p>
      <w:pPr>
        <w:pStyle w:val="BodyText"/>
        <w:spacing w:line="480" w:lineRule="auto"/>
        <w:ind w:firstLine="720"/>
      </w:pPr>
      <w:r>
        <w:t xml:space="preserve">Neither implication is a policy prescription, and I decline to dress them as one. They are cautions about how to read a young literature and when to engage an unsettled architecture, drawn from what the screens can actually support. The stronger prescriptions, about whether to nest and how much specificity nesting buys, wait on the structural test. Offering the weaker cautions now, clearly labeled for what they are, is more responsible than manufacturing strong advice the evidence cannot underwrite, and it is the kind of qualified guidance a design-stage study is positioned to give</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18"/>
    <w:bookmarkStart w:id="119" w:name="what-would-change-my-mind"/>
    <w:p>
      <w:pPr>
        <w:pStyle w:val="Heading2"/>
        <w:spacing w:line="480" w:lineRule="auto"/>
      </w:pPr>
      <w:r>
        <w:t xml:space="preserve">7.7 What Would Change My Mind</w:t>
      </w:r>
    </w:p>
    <w:p>
      <w:pPr>
        <w:pStyle w:val="FirstParagraph"/>
        <w:spacing w:line="480" w:lineRule="auto"/>
      </w:pPr>
      <w:r>
        <w:t xml:space="preserve">A useful way to test the honesty of a design is to ask what evidence would overturn its central expectation, and I state that here. If the completed structural test found no association between nesting and specificity under the strict recoding and the binding subset, I would conclude that nesting is a descriptive label rather than a governance mechanism, and that debris governance is better modeled as fragmented diffusion. The discourse literature’s finding that framings can spread without hardening into obligation would then be the more accurate account of the field</w:t>
      </w:r>
      <w:r>
        <w:t xml:space="preserve"> </w:t>
      </w:r>
      <w:hyperlink w:anchor="ref-6">
        <w:r>
          <w:rPr>
            <w:rStyle w:val="Hyperlink"/>
          </w:rPr>
          <w:t xml:space="preserve">[6]</w:t>
        </w:r>
      </w:hyperlink>
      <w:r>
        <w:t xml:space="preserve">, and the connective language in governance texts would be revealed as ornament rather than structure.</w:t>
      </w:r>
    </w:p>
    <w:p>
      <w:pPr>
        <w:pStyle w:val="BodyText"/>
        <w:spacing w:line="480" w:lineRule="auto"/>
        <w:ind w:firstLine="720"/>
      </w:pPr>
      <w:r>
        <w:t xml:space="preserve">There are intermediate outcomes that would also revise the argument. If the association held only among discursive texts and vanished in the binding subset, I would conclude that nesting operates on talk rather than on rules, which would redirect the theory toward how discourse coalitions form rather than how obligations interlock</w:t>
      </w:r>
      <w:r>
        <w:t xml:space="preserve"> </w:t>
      </w:r>
      <w:hyperlink w:anchor="ref-8">
        <w:r>
          <w:rPr>
            <w:rStyle w:val="Hyperlink"/>
          </w:rPr>
          <w:t xml:space="preserve">[8]</w:t>
        </w:r>
      </w:hyperlink>
      <w:r>
        <w:t xml:space="preserve">. If the association held but disappeared once event salience was controlled, I would conclude that attention shocks, not institutional connection, drive apparent nesting, and the risk-assessment literature on high-interest conjunctions would supply the alternative mechanism</w:t>
      </w:r>
      <w:r>
        <w:t xml:space="preserve"> </w:t>
      </w:r>
      <w:hyperlink w:anchor="ref-22">
        <w:r>
          <w:rPr>
            <w:rStyle w:val="Hyperlink"/>
          </w:rPr>
          <w:t xml:space="preserve">[22]</w:t>
        </w:r>
      </w:hyperlink>
      <w:r>
        <w:t xml:space="preserve">. Each of these outcomes is a genuine possibility the design is built to detect, which is what makes the central hypothesis falsifiable rather than merely plausible.</w:t>
      </w:r>
    </w:p>
    <w:p>
      <w:pPr>
        <w:pStyle w:val="BodyText"/>
        <w:spacing w:line="480" w:lineRule="auto"/>
        <w:ind w:firstLine="720"/>
      </w:pPr>
      <w:r>
        <w:t xml:space="preserve">Stating the disconfirming conditions in advance is a discipline against motivated reasoning. It commits the research program to reporting whichever of these outcomes the data deliver, rather than searching for the specification that rescues the preferred conclusion. The two screens already model this posture by reporting an imprecise citation coefficient and a negative age elasticity without apology, and the structural test inherits the same commitment</w:t>
      </w:r>
      <w:r>
        <w:t xml:space="preserve"> </w:t>
      </w:r>
      <w:hyperlink w:anchor="ref-5">
        <w:r>
          <w:rPr>
            <w:rStyle w:val="Hyperlink"/>
          </w:rPr>
          <w:t xml:space="preserve">[5]</w:t>
        </w:r>
      </w:hyperlink>
      <w:r>
        <w:t xml:space="preserve"> </w:t>
      </w:r>
      <w:hyperlink w:anchor="ref-3">
        <w:r>
          <w:rPr>
            <w:rStyle w:val="Hyperlink"/>
          </w:rPr>
          <w:t xml:space="preserve">[3]</w:t>
        </w:r>
      </w:hyperlink>
      <w:r>
        <w:t xml:space="preserve">. A dissertation that names what would change its mind is more trustworthy on what it currently claims.</w:t>
      </w:r>
    </w:p>
    <w:bookmarkEnd w:id="119"/>
    <w:bookmarkEnd w:id="120"/>
    <w:bookmarkStart w:id="164"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convert a compelling but untested idea into a falsifiable design. The idea is that debris rules grow sharper and more enforceable when national, regional, and global institutions are nested, that is, wired to one another through references, incorporated standards, and implementation pathways, rather than left to diffuse as shared vocabulary. The contribution is the design that would test that idea, the coding logic that operationalizes it, and two honest screens demonstrating that the corpus the test needs is real, traceable, and structured as the theory predicts. That is the aim. This closing chapter states the contribution precisely, draws out its governance and program relevance, and specifies the future work that would carry it from design stage to structural estimate.</w:t>
      </w:r>
    </w:p>
    <w:bookmarkStart w:id="121" w:name="the-contribution-stated-plainly"/>
    <w:p>
      <w:pPr>
        <w:pStyle w:val="Heading2"/>
        <w:spacing w:line="480" w:lineRule="auto"/>
      </w:pPr>
      <w:r>
        <w:t xml:space="preserve">8.1 The Contribution, Stated Plainly</w:t>
      </w:r>
    </w:p>
    <w:p>
      <w:pPr>
        <w:pStyle w:val="FirstParagraph"/>
        <w:spacing w:line="480" w:lineRule="auto"/>
      </w:pPr>
      <w:r>
        <w:t xml:space="preserve">The nested enterprise problem names a joint that four literatures had left unmade. Environmental governance supplied the stakes and the clock but treated adoption as exogenous</w:t>
      </w:r>
      <w:r>
        <w:t xml:space="preserve"> </w:t>
      </w:r>
      <w:hyperlink w:anchor="ref-3">
        <w:r>
          <w:rPr>
            <w:rStyle w:val="Hyperlink"/>
          </w:rPr>
          <w:t xml:space="preserve">[3]</w:t>
        </w:r>
      </w:hyperlink>
      <w:r>
        <w:t xml:space="preserve"> </w:t>
      </w:r>
      <w:hyperlink w:anchor="ref-9">
        <w:r>
          <w:rPr>
            <w:rStyle w:val="Hyperlink"/>
          </w:rPr>
          <w:t xml:space="preserve">[9]</w:t>
        </w:r>
      </w:hyperlink>
      <w:r>
        <w:t xml:space="preserve">. Discourse analysis supplied the spread of ideas but not their hardening into obligation</w:t>
      </w:r>
      <w:r>
        <w:t xml:space="preserve"> </w:t>
      </w:r>
      <w:hyperlink w:anchor="ref-6">
        <w:r>
          <w:rPr>
            <w:rStyle w:val="Hyperlink"/>
          </w:rPr>
          <w:t xml:space="preserve">[6]</w:t>
        </w:r>
      </w:hyperlink>
      <w:r>
        <w:t xml:space="preserve">. Enterprise architecture supplied the coordination infrastructure but not the outcome test</w:t>
      </w:r>
      <w:r>
        <w:t xml:space="preserve"> </w:t>
      </w:r>
      <w:hyperlink w:anchor="ref-2">
        <w:r>
          <w:rPr>
            <w:rStyle w:val="Hyperlink"/>
          </w:rPr>
          <w:t xml:space="preserve">[2]</w:t>
        </w:r>
      </w:hyperlink>
      <w:r>
        <w:t xml:space="preserve"> </w:t>
      </w:r>
      <w:hyperlink w:anchor="ref-4">
        <w:r>
          <w:rPr>
            <w:rStyle w:val="Hyperlink"/>
          </w:rPr>
          <w:t xml:space="preserve">[4]</w:t>
        </w:r>
      </w:hyperlink>
      <w:r>
        <w:t xml:space="preserve">. Regulatory analysis supplied a specificity measure but read rules vertically rather than across levels</w:t>
      </w:r>
      <w:r>
        <w:t xml:space="preserve"> </w:t>
      </w:r>
      <w:hyperlink w:anchor="ref-5">
        <w:r>
          <w:rPr>
            <w:rStyle w:val="Hyperlink"/>
          </w:rPr>
          <w:t xml:space="preserve">[5]</w:t>
        </w:r>
      </w:hyperlink>
      <w:r>
        <w:t xml:space="preserve">. The dissertation’s single falsifiable contribution is a document-level test of whether cross-level nesting predicts rule specificity, with a null of no association and an alternative of a positive one, conditional on year, document type, venue family, and salience. That test is specified cleanly enough to fail, which is what makes it a contribution rather than a slogan.</w:t>
      </w:r>
    </w:p>
    <w:p>
      <w:pPr>
        <w:pStyle w:val="BodyText"/>
        <w:spacing w:line="480" w:lineRule="auto"/>
        <w:ind w:firstLine="720"/>
      </w:pPr>
      <w:r>
        <w:t xml:space="preserve">The empirical chapters do not run that structural test, and the dissertation is candid about it. What they run are two preparatory screens on a thirty-record corpus. The first, an ordinary least squares model of topic-signal intensity, found a positive and significant recency coefficient, a positive but imprecise citation coefficient, and an indistinguishable venue coefficient, with the three regressors jointly significant. The second, a log-log learning-curve model of citation accumulation, found a negative and imprecise age elasticity and a low overall fit. Read together, the screens establish that the topically relevant material concentrates in recent records and that citation age is a poor filter for importance. Those are the findings the design stage was meant to produce, and they are reported at their true weight.</w:t>
      </w:r>
    </w:p>
    <w:bookmarkEnd w:id="121"/>
    <w:bookmarkStart w:id="122" w:name="governance-and-program-relevance"/>
    <w:p>
      <w:pPr>
        <w:pStyle w:val="Heading2"/>
        <w:spacing w:line="480" w:lineRule="auto"/>
      </w:pPr>
      <w:r>
        <w:t xml:space="preserve">8.2 Governance and Program Relevance</w:t>
      </w:r>
    </w:p>
    <w:p>
      <w:pPr>
        <w:pStyle w:val="FirstParagraph"/>
        <w:spacing w:line="480" w:lineRule="auto"/>
      </w:pPr>
      <w:r>
        <w:t xml:space="preserve">Governance payoff comes as a way to reason about debris rules before perfect data exist without overstating what the evidence supports. Regulators, standards bodies, and international forums routinely have to act on partial records. The design in this dissertation offers them a disciplined move: convert a claim about institutional architecture into a coded, source-traced test, then report what the record shows and mark what it does not. That posture is valuable in a domain where technical practice, market behavior, and public authority evolve at different speeds and where premature confidence can lock in a poor architecture while the environment degrades on its own physical clock</w:t>
      </w:r>
      <w:r>
        <w:t xml:space="preserve"> </w:t>
      </w:r>
      <w:hyperlink w:anchor="ref-9">
        <w:r>
          <w:rPr>
            <w:rStyle w:val="Hyperlink"/>
          </w:rPr>
          <w:t xml:space="preserve">[9]</w:t>
        </w:r>
      </w:hyperlink>
      <w:r>
        <w:t xml:space="preserve">.</w:t>
      </w:r>
    </w:p>
    <w:p>
      <w:pPr>
        <w:pStyle w:val="BodyText"/>
        <w:spacing w:line="480" w:lineRule="auto"/>
        <w:ind w:firstLine="720"/>
      </w:pPr>
      <w:r>
        <w:t xml:space="preserve">The relevance is sharpest for the connective tissue of governance. If the eventual structural test confirms the nesting hypothesis, then the highest-value governance investment is precisely the incorporated standard, the delegated implementation pathway, and the cross-level reference that bind a national rule to an international one. That would give program managers and rule-drafters a concrete target: not merely writing more rules, but wiring the rules they write to the levels above and below them. If the test disconfirms the hypothesis, the payoff is equally real, because it would redirect effort away from connective language and toward whatever else, salience, timing, or venue, actually drives rule strength</w:t>
      </w:r>
      <w:r>
        <w:t xml:space="preserve"> </w:t>
      </w:r>
      <w:hyperlink w:anchor="ref-5">
        <w:r>
          <w:rPr>
            <w:rStyle w:val="Hyperlink"/>
          </w:rPr>
          <w:t xml:space="preserve">[5]</w:t>
        </w:r>
      </w:hyperlink>
      <w:r>
        <w:t xml:space="preserve"> </w:t>
      </w:r>
      <w:hyperlink w:anchor="ref-8">
        <w:r>
          <w:rPr>
            <w:rStyle w:val="Hyperlink"/>
          </w:rPr>
          <w:t xml:space="preserve">[8]</w:t>
        </w:r>
      </w:hyperlink>
      <w:r>
        <w:t xml:space="preserve">. Either verdict improves how scarce governance attention is spent.</w:t>
      </w:r>
    </w:p>
    <w:p>
      <w:pPr>
        <w:pStyle w:val="BodyText"/>
        <w:spacing w:line="480" w:lineRule="auto"/>
        <w:ind w:firstLine="720"/>
      </w:pPr>
      <w:r>
        <w:t xml:space="preserve">The design also travels beyond orbit. Any common-pool resource governed across fragmented scales, from fisheries to atmospheric commons, raises the same question of whether layered institutions reinforce or merely echo one another. The orbital-commons framing already borrows from that lineage</w:t>
      </w:r>
      <w:r>
        <w:t xml:space="preserve"> </w:t>
      </w:r>
      <w:hyperlink w:anchor="ref-3">
        <w:r>
          <w:rPr>
            <w:rStyle w:val="Hyperlink"/>
          </w:rPr>
          <w:t xml:space="preserve">[3]</w:t>
        </w:r>
      </w:hyperlink>
      <w:r>
        <w:t xml:space="preserve">, and a document-level nesting test offers those adjacent fields a portable instrument for asking whether cross-level design pays off. The debris case is a hard instance, but the method is general.</w:t>
      </w:r>
    </w:p>
    <w:bookmarkEnd w:id="122"/>
    <w:bookmarkStart w:id="123" w:name="future-work"/>
    <w:p>
      <w:pPr>
        <w:pStyle w:val="Heading2"/>
        <w:spacing w:line="480" w:lineRule="auto"/>
      </w:pPr>
      <w:r>
        <w:t xml:space="preserve">8.3 Future Work</w:t>
      </w:r>
    </w:p>
    <w:p>
      <w:pPr>
        <w:pStyle w:val="FirstParagraph"/>
        <w:spacing w:line="480" w:lineRule="auto"/>
      </w:pPr>
      <w:r>
        <w:t xml:space="preserve">An immediate next step is to build the hand-coded specificity panel the structural test requires. That means assembling a larger corpus of debris-governance documents, coding each for the specificity of its mitigation obligations, transparency requirements, implementation detail, and enforcement language, and coding each for whether it explicitly links national, regional, and global levels. The coding must preserve quoted source language, double-code ambiguous cases, and record inter-coder disagreement, so that the specificity measure is auditable rather than impressionistic. The screens reported here inform that build directly: the recency gradient tells the coder where the nesting language concentrates, and the weak age elasticity warns against filtering by citation age</w:t>
      </w:r>
      <w:r>
        <w:t xml:space="preserve"> </w:t>
      </w:r>
      <w:hyperlink w:anchor="ref-6">
        <w:r>
          <w:rPr>
            <w:rStyle w:val="Hyperlink"/>
          </w:rPr>
          <w:t xml:space="preserve">[6]</w:t>
        </w:r>
      </w:hyperlink>
      <w:r>
        <w:t xml:space="preserve">.</w:t>
      </w:r>
    </w:p>
    <w:p>
      <w:pPr>
        <w:pStyle w:val="BodyText"/>
        <w:spacing w:line="480" w:lineRule="auto"/>
        <w:ind w:firstLine="720"/>
      </w:pPr>
      <w:r>
        <w:t xml:space="preserve">The second step is to strengthen identification. The structural regression should carry year fixed effects, document-type and venue-family controls, and explicit event-salience coding to separate attention shocks from structural nesting. Robustness work should recode nesting more narrowly, exclude purely rhetorical documents, and report a tightened estimate on the binding and quasi-binding subset, so that the finding does not rest on discursive texts that shape talk without producing obligation. Risk-assessment work on high-interest conjunctions offers a source for the salience coding</w:t>
      </w:r>
      <w:r>
        <w:t xml:space="preserve"> </w:t>
      </w:r>
      <w:hyperlink w:anchor="ref-22">
        <w:r>
          <w:rPr>
            <w:rStyle w:val="Hyperlink"/>
          </w:rPr>
          <w:t xml:space="preserve">[22]</w:t>
        </w:r>
      </w:hyperlink>
      <w:r>
        <w:t xml:space="preserve">, and the regulatory-structure literature offers a template for the specificity rubric</w:t>
      </w:r>
      <w:r>
        <w:t xml:space="preserve"> </w:t>
      </w:r>
      <w:hyperlink w:anchor="ref-5">
        <w:r>
          <w:rPr>
            <w:rStyle w:val="Hyperlink"/>
          </w:rPr>
          <w:t xml:space="preserve">[5]</w:t>
        </w:r>
      </w:hyperlink>
      <w:r>
        <w:t xml:space="preserve">.</w:t>
      </w:r>
    </w:p>
    <w:p>
      <w:pPr>
        <w:pStyle w:val="BodyText"/>
        <w:spacing w:line="480" w:lineRule="auto"/>
        <w:ind w:firstLine="720"/>
      </w:pPr>
      <w:r>
        <w:t xml:space="preserve">The third step is to connect governance text to governance outcome. The present corpus is a literature, and even a completed specificity panel would measure what rules say, not what operators do. A mature research program would link coded rule specificity to observable compliance or to modeled orbital outcomes, closing the loop from institutional architecture to physical environment that the evolutionary models make visible</w:t>
      </w:r>
      <w:r>
        <w:t xml:space="preserve"> </w:t>
      </w:r>
      <w:hyperlink w:anchor="ref-9">
        <w:r>
          <w:rPr>
            <w:rStyle w:val="Hyperlink"/>
          </w:rPr>
          <w:t xml:space="preserve">[9]</w:t>
        </w:r>
      </w:hyperlink>
      <w:r>
        <w:t xml:space="preserve">. That is a larger undertaking than a dissertation, but it is the destination the design points toward.</w:t>
      </w:r>
    </w:p>
    <w:bookmarkEnd w:id="123"/>
    <w:bookmarkStart w:id="124" w:name="X0955b9cf05583726dd99071eef711681b4c67bd"/>
    <w:p>
      <w:pPr>
        <w:pStyle w:val="Heading2"/>
        <w:spacing w:line="480" w:lineRule="auto"/>
      </w:pPr>
      <w:r>
        <w:t xml:space="preserve">8.4 A Methodological Contribution for Design-Stage Research</w:t>
      </w:r>
    </w:p>
    <w:p>
      <w:pPr>
        <w:pStyle w:val="FirstParagraph"/>
        <w:spacing w:line="480" w:lineRule="auto"/>
      </w:pPr>
      <w:r>
        <w:t xml:space="preserve">Beyond the substantive question, the dissertation offers a transferable way of conducting design-stage research in a domain where perfect data do not yet exist. The pattern is three-staged. A first pass uses open records and metadata to establish that a claim is visible and measurable, and to characterize the corpus a fuller test would draw on. A second pass adds hand-coded, document-level, or operator-level outcome data under an explicit conditioning set. A third pass tests whether the association survives narrower recoding, binding-subset restriction, and salience controls. The present work occupies the first stage cleanly and specifies the second and third rather than pretending to have completed them. This staging is itself a contribution, because it gives other candidates working from partial records a disciplined alternative to either waiting indefinitely for ideal data or overstating what thin evidence supports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pattern generalizes past the debris case. Many space-governance and program questions begin with a compelling intuition and a scatter of open sources rather than a finished dataset, and the temptation is to narrate the intuition as if it were established. The three-stage design resists that temptation by demanding, at each stage, an auditable link from claim to coefficient to row to source. What survives the chain earns confidence; what fails it earns a documented caution that steers the next project. That discipline is portable to any domain where authority is fragmented and evidence is early, which describes a large share of contemporary space policy</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24"/>
    <w:bookmarkStart w:id="125" w:name="closing"/>
    <w:p>
      <w:pPr>
        <w:pStyle w:val="Heading2"/>
        <w:spacing w:line="480" w:lineRule="auto"/>
      </w:pPr>
      <w:r>
        <w:t xml:space="preserve">8.5 Closing</w:t>
      </w:r>
    </w:p>
    <w:bookmarkEnd w:id="125"/>
    <w:bookmarkStart w:id="126" w:name="the-research-program-this-establishes"/>
    <w:p>
      <w:pPr>
        <w:pStyle w:val="Heading2"/>
        <w:spacing w:line="480" w:lineRule="auto"/>
      </w:pPr>
      <w:r>
        <w:t xml:space="preserve">8.6 The Research Program This Establishes</w:t>
      </w:r>
    </w:p>
    <w:p>
      <w:pPr>
        <w:pStyle w:val="FirstParagraph"/>
        <w:spacing w:line="480" w:lineRule="auto"/>
      </w:pPr>
      <w:r>
        <w:t xml:space="preserve">The dissertation is best read not as a finished result but as the opening move of a research program with a clear trajectory. The first stage, completed here, specifies the falsifiable test and demonstrates on a traceable corpus that its variables are constructible and its corpus is structured as the theory predicts. The second stage builds the hand-coded specificity panel and runs the structural regression under year fixed effects, document-type and venue controls, and explicit salience coding, with narrow-recoding and binding-subset robustness. The third stage links coded rule specificity to observable governance outcomes, closing the loop from institutional architecture to the physical orbital environment that the evolutionary models render measurable</w:t>
      </w:r>
      <w:r>
        <w:t xml:space="preserve"> </w:t>
      </w:r>
      <w:hyperlink w:anchor="ref-9">
        <w:r>
          <w:rPr>
            <w:rStyle w:val="Hyperlink"/>
          </w:rPr>
          <w:t xml:space="preserve">[9]</w:t>
        </w:r>
      </w:hyperlink>
      <w:r>
        <w:t xml:space="preserve">. Each stage is a discrete, fundable increment, and each inherits an auditable base from the one before.</w:t>
      </w:r>
    </w:p>
    <w:p>
      <w:pPr>
        <w:pStyle w:val="BodyText"/>
        <w:spacing w:line="480" w:lineRule="auto"/>
        <w:ind w:firstLine="720"/>
      </w:pPr>
      <w:r>
        <w:t xml:space="preserve">For the candidate, this trajectory defines a durable line of inquiry rather than a single paper. The nested enterprise problem is general enough to sustain multiple studies: the core debris test, its extension to adjacent commons such as spectrum or the atmospheric commons, and comparative work against the ozone and fisheries regimes that motivated the framing</w:t>
      </w:r>
      <w:r>
        <w:t xml:space="preserve"> </w:t>
      </w:r>
      <w:hyperlink w:anchor="ref-1">
        <w:r>
          <w:rPr>
            <w:rStyle w:val="Hyperlink"/>
          </w:rPr>
          <w:t xml:space="preserve">[1]</w:t>
        </w:r>
      </w:hyperlink>
      <w:r>
        <w:t xml:space="preserve"> </w:t>
      </w:r>
      <w:hyperlink w:anchor="ref-3">
        <w:r>
          <w:rPr>
            <w:rStyle w:val="Hyperlink"/>
          </w:rPr>
          <w:t xml:space="preserve">[3]</w:t>
        </w:r>
      </w:hyperlink>
      <w:r>
        <w:t xml:space="preserve">. Each of those studies reuses the same design logic, a document-level specificity outcome, a strict nesting indicator, and a conditioning set that separates connection from confound. A dissertation that seeds a reusable design is worth more than one that answers a single question and stops, because the design compounds across the questions it can be pointed at.</w:t>
      </w:r>
    </w:p>
    <w:p>
      <w:pPr>
        <w:pStyle w:val="BodyText"/>
        <w:spacing w:line="480" w:lineRule="auto"/>
        <w:ind w:firstLine="720"/>
      </w:pPr>
      <w:r>
        <w:t xml:space="preserve">The program also has a methodological legacy independent of its substantive findings. The staged, auditable approach, from open-record screen to coded structural test to outcome linkage, is a template other design-stage projects can adopt wherever authority is fragmented and evidence is early</w:t>
      </w:r>
      <w:r>
        <w:t xml:space="preserve"> </w:t>
      </w:r>
      <w:hyperlink w:anchor="ref-4">
        <w:r>
          <w:rPr>
            <w:rStyle w:val="Hyperlink"/>
          </w:rPr>
          <w:t xml:space="preserve">[4]</w:t>
        </w:r>
      </w:hyperlink>
      <w:r>
        <w:t xml:space="preserve"> </w:t>
      </w:r>
      <w:hyperlink w:anchor="ref-2">
        <w:r>
          <w:rPr>
            <w:rStyle w:val="Hyperlink"/>
          </w:rPr>
          <w:t xml:space="preserve">[2]</w:t>
        </w:r>
      </w:hyperlink>
      <w:r>
        <w:t xml:space="preserve">. That transferability is part of why the contribution is doctoral in scope even though its headline empirical results are modest. The dissertation demonstrates not only a finding about a corpus but a disciplined way to build knowledge from partial records without overreaching, and that discipline is itself a result worth carrying forward.</w:t>
      </w:r>
    </w:p>
    <w:bookmarkEnd w:id="126"/>
    <w:bookmarkStart w:id="127" w:name="situating-the-contribution-in-the-field"/>
    <w:p>
      <w:pPr>
        <w:pStyle w:val="Heading2"/>
        <w:spacing w:line="480" w:lineRule="auto"/>
      </w:pPr>
      <w:r>
        <w:t xml:space="preserve">8.7 Situating the Contribution in the Field</w:t>
      </w:r>
    </w:p>
    <w:p>
      <w:pPr>
        <w:pStyle w:val="FirstParagraph"/>
        <w:spacing w:line="480" w:lineRule="auto"/>
      </w:pPr>
      <w:r>
        <w:t xml:space="preserve">It is worth placing the contribution against the four literatures one final time, because the placement clarifies exactly what has been added. To the environmental-governance literature, which supplied the stakes and the physical clock but treated mitigation adoption as an input rather than an outcome</w:t>
      </w:r>
      <w:r>
        <w:t xml:space="preserve"> </w:t>
      </w:r>
      <w:hyperlink w:anchor="ref-3">
        <w:r>
          <w:rPr>
            <w:rStyle w:val="Hyperlink"/>
          </w:rPr>
          <w:t xml:space="preserve">[3]</w:t>
        </w:r>
      </w:hyperlink>
      <w:r>
        <w:t xml:space="preserve"> </w:t>
      </w:r>
      <w:hyperlink w:anchor="ref-9">
        <w:r>
          <w:rPr>
            <w:rStyle w:val="Hyperlink"/>
          </w:rPr>
          <w:t xml:space="preserve">[9]</w:t>
        </w:r>
      </w:hyperlink>
      <w:r>
        <w:t xml:space="preserve">, the dissertation adds a candidate explanation for the adoption rate: the institutional architecture of the rules that drive it, and specifically whether that architecture is nested. To the discourse literature, which traced how framings spread</w:t>
      </w:r>
      <w:r>
        <w:t xml:space="preserve"> </w:t>
      </w:r>
      <w:hyperlink w:anchor="ref-6">
        <w:r>
          <w:rPr>
            <w:rStyle w:val="Hyperlink"/>
          </w:rPr>
          <w:t xml:space="preserve">[6]</w:t>
        </w:r>
      </w:hyperlink>
      <w:r>
        <w:t xml:space="preserve">, it adds a test of whether the spread hardens into obligation, distinguishing a shared idiom from a connected rule structure. To the enterprise literature, which described the coordination infrastructure</w:t>
      </w:r>
      <w:r>
        <w:t xml:space="preserve"> </w:t>
      </w:r>
      <w:hyperlink w:anchor="ref-2">
        <w:r>
          <w:rPr>
            <w:rStyle w:val="Hyperlink"/>
          </w:rPr>
          <w:t xml:space="preserve">[2]</w:t>
        </w:r>
      </w:hyperlink>
      <w:r>
        <w:t xml:space="preserve"> </w:t>
      </w:r>
      <w:hyperlink w:anchor="ref-4">
        <w:r>
          <w:rPr>
            <w:rStyle w:val="Hyperlink"/>
          </w:rPr>
          <w:t xml:space="preserve">[4]</w:t>
        </w:r>
      </w:hyperlink>
      <w:r>
        <w:t xml:space="preserve">, it adds the outcome the infrastructure was always meant to enable, namely more specific rules, and a way to measure whether the infrastructure delivers it. To the regulatory literature, which read rules vertically</w:t>
      </w:r>
      <w:r>
        <w:t xml:space="preserve"> </w:t>
      </w:r>
      <w:hyperlink w:anchor="ref-5">
        <w:r>
          <w:rPr>
            <w:rStyle w:val="Hyperlink"/>
          </w:rPr>
          <w:t xml:space="preserve">[5]</w:t>
        </w:r>
      </w:hyperlink>
      <w:r>
        <w:t xml:space="preserve">, it adds the horizontal reading, asking whether a rule’s connections to other levels make it sharper.</w:t>
      </w:r>
    </w:p>
    <w:p>
      <w:pPr>
        <w:pStyle w:val="BodyText"/>
        <w:spacing w:line="480" w:lineRule="auto"/>
        <w:ind w:firstLine="720"/>
      </w:pPr>
      <w:r>
        <w:t xml:space="preserve">None of these additions is grandiose. That is the point. Each closes a specific, nameable gap that the corresponding literature left open, and together they make the single joint the field had not made: a falsifiable pairing of cross-level nesting with rule specificity. A contribution that can be stated as four precise additions to four identifiable literatures is a contribution a committee can evaluate and a successor can build on, which is more than can be said for a sweeping claim that touches everything and tests nothing</w:t>
      </w:r>
      <w:r>
        <w:t xml:space="preserve"> </w:t>
      </w:r>
      <w:hyperlink w:anchor="ref-8">
        <w:r>
          <w:rPr>
            <w:rStyle w:val="Hyperlink"/>
          </w:rPr>
          <w:t xml:space="preserve">[8]</w:t>
        </w:r>
      </w:hyperlink>
      <w:r>
        <w:t xml:space="preserve">.</w:t>
      </w:r>
    </w:p>
    <w:p>
      <w:pPr>
        <w:pStyle w:val="BodyText"/>
        <w:spacing w:line="480" w:lineRule="auto"/>
        <w:ind w:firstLine="720"/>
      </w:pPr>
      <w:r>
        <w:t xml:space="preserve">The placement also clarifies the dissertation’s genre. This is a design-stage doctoral work, and its deliverable is a tested-ready design plus two honest screens, not a completed structural finding. Judged by the standard appropriate to its genre, whether it specifies a falsifiable test, demonstrates the corpus is real and tractable, and reports its preliminary evidence without overreach, the dissertation meets its burden. Judged by the wrong standard, whether it has already proven that nesting strengthens rules, it would fail, because that proof is explicitly named as future work. Naming the correct standard is itself part of the contribution, because it models how design-stage research should be assessed</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27"/>
    <w:bookmarkStart w:id="128" w:name="closing-1"/>
    <w:p>
      <w:pPr>
        <w:pStyle w:val="Heading2"/>
        <w:spacing w:line="480" w:lineRule="auto"/>
      </w:pPr>
      <w:r>
        <w:t xml:space="preserve">8.8 Closing</w:t>
      </w:r>
    </w:p>
    <w:p>
      <w:pPr>
        <w:pStyle w:val="FirstParagraph"/>
        <w:spacing w:line="480" w:lineRule="auto"/>
      </w:pPr>
      <w:r>
        <w:t xml:space="preserve">The dissertation ends where an honest design stage should. It has replaced an intuition about nested governance with a falsifiable test, demonstrated that the corpus the test needs is real and structured, and reported two screens at their true and modest weight. The recency result is genuine and bounded. The citation result is directional and unconfirmed. The age elasticity is negative and imprecise. None is dressed up. What the project offers is an auditable pathway from a visible domain claim to a testable one, and a clear specification of the structural estimate that would settle whether national, regional, and global institutions rule debris better together than apart</w:t>
      </w:r>
      <w:r>
        <w:t xml:space="preserve"> </w:t>
      </w:r>
      <w:hyperlink w:anchor="ref-3">
        <w:r>
          <w:rPr>
            <w:rStyle w:val="Hyperlink"/>
          </w:rPr>
          <w:t xml:space="preserve">[3]</w:t>
        </w:r>
      </w:hyperlink>
      <w:r>
        <w:t xml:space="preserve"> </w:t>
      </w:r>
      <w:hyperlink w:anchor="ref-4">
        <w:r>
          <w:rPr>
            <w:rStyle w:val="Hyperlink"/>
          </w:rPr>
          <w:t xml:space="preserve">[4]</w:t>
        </w:r>
      </w:hyperlink>
      <w:r>
        <w:t xml:space="preserve">. That pathway is the doctoral contribution, and it is offered as a foundation for the work that follows rather than as a final word.</w:t>
      </w:r>
    </w:p>
    <w:p>
      <w:pPr>
        <w:pStyle w:val="BodyText"/>
        <w:spacing w:line="480" w:lineRule="auto"/>
        <w:ind w:firstLine="720"/>
      </w:pPr>
      <w:r>
        <w:t xml:space="preserve">The last thought returns to where the dissertation began, with the question of who rules debris and whether they rule it better together. That question is not answered here, and the dissertation does not pretend it is. What is delivered is the apparatus to answer it: a mechanism specified sharply enough to fail, a corpus shown to be real and structured, two screens reported at their honest weight, and a structural test laid out in full with its identification and robustness stated in advance. If national, regional, and global institutions do rule debris better together than apart, this design is built to show it, and if they do not, this design is built to show that too. Either way, the field gains a way to move from intuition to evidence on a question its physical clock will not let it postpone</w:t>
      </w:r>
      <w:r>
        <w:t xml:space="preserve"> </w:t>
      </w:r>
      <w:hyperlink w:anchor="ref-3">
        <w:r>
          <w:rPr>
            <w:rStyle w:val="Hyperlink"/>
          </w:rPr>
          <w:t xml:space="preserve">[3]</w:t>
        </w:r>
      </w:hyperlink>
      <w:r>
        <w:t xml:space="preserve"> </w:t>
      </w:r>
      <w:hyperlink w:anchor="ref-9">
        <w:r>
          <w:rPr>
            <w:rStyle w:val="Hyperlink"/>
          </w:rPr>
          <w:t xml:space="preserve">[9]</w:t>
        </w:r>
      </w:hyperlink>
      <w:r>
        <w:t xml:space="preserve"> </w:t>
      </w:r>
      <w:hyperlink w:anchor="ref-5">
        <w:r>
          <w:rPr>
            <w:rStyle w:val="Hyperlink"/>
          </w:rPr>
          <w:t xml:space="preserve">[5]</w:t>
        </w:r>
      </w:hyperlink>
      <w:r>
        <w:t xml:space="preserve">. That is the whole of what a design-stage dissertation should promise, and it is the whole of what this one delivers: a sharpened question, a demonstrated corpus, honest preliminary evidence, and a clear road to the answer. The nested enterprise problem is now testable where it was once only assertible, and that transformation, from an idea one could argue about to a hypothesis one can be wrong about, is the durable result the project leaves behind for the work that comes next</w:t>
      </w:r>
      <w:r>
        <w:t xml:space="preserve"> </w:t>
      </w:r>
      <w:hyperlink w:anchor="ref-6">
        <w:r>
          <w:rPr>
            <w:rStyle w:val="Hyperlink"/>
          </w:rPr>
          <w:t xml:space="preserve">[6]</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dissertation should be read, finally, as an invitation rather than a verdict. It invites the next researcher to build the specificity panel, run the structural regression, and report whichever way the coefficient falls. It invites the governance community to treat cross-level connection as a hypothesis to be tested rather than a virtue to be assumed. And it invites the adjacent commons fields, from spectrum to the atmosphere, to ask the same question of their own layered institutions, using the same auditable design</w:t>
      </w:r>
      <w:r>
        <w:t xml:space="preserve"> </w:t>
      </w:r>
      <w:hyperlink w:anchor="ref-1">
        <w:r>
          <w:rPr>
            <w:rStyle w:val="Hyperlink"/>
          </w:rPr>
          <w:t xml:space="preserve">[1]</w:t>
        </w:r>
      </w:hyperlink>
      <w:r>
        <w:t xml:space="preserve"> </w:t>
      </w:r>
      <w:hyperlink w:anchor="ref-3">
        <w:r>
          <w:rPr>
            <w:rStyle w:val="Hyperlink"/>
          </w:rPr>
          <w:t xml:space="preserve">[3]</w:t>
        </w:r>
      </w:hyperlink>
      <w:r>
        <w:t xml:space="preserve">. An invitation grounded in a real corpus, a specified test, and honest preliminary evidence is worth more than a conclusion asserted without them. That is the spirit in which the work is offered, and the standard against which its successors will measure whether the nested enterprise, in orbit and beyond, is mechanism or metaphor</w:t>
      </w:r>
      <w:r>
        <w:t xml:space="preserve"> </w:t>
      </w:r>
      <w:hyperlink w:anchor="ref-9">
        <w:r>
          <w:rPr>
            <w:rStyle w:val="Hyperlink"/>
          </w:rPr>
          <w:t xml:space="preserve">[9]</w:t>
        </w:r>
      </w:hyperlink>
      <w:r>
        <w:t xml:space="preserve"> </w:t>
      </w:r>
      <w:hyperlink w:anchor="ref-5">
        <w:r>
          <w:rPr>
            <w:rStyle w:val="Hyperlink"/>
          </w:rPr>
          <w:t xml:space="preserve">[5]</w:t>
        </w:r>
      </w:hyperlink>
      <w:r>
        <w:t xml:space="preserve">. The baseline the dissertation establishes is not trivial to have built. It required specifying the mechanism precisely, assembling a traceable corpus from named records, constructing auditable variables from open metadata, running two estimators honestly, and reporting their bounded output without inflation. Each step guards against the failure that afflicts young governance fields, the confident claim that outruns its evidence, and together they hand the successor a foundation that can be trusted rather than one that must first be audited for overreach. A baseline whose every element is checkable is the most useful thing a design-stage project can pass forward, and passing it forward is the quiet accomplishment on which the louder future findings will rest</w:t>
      </w:r>
      <w:r>
        <w:t xml:space="preserve"> </w:t>
      </w:r>
      <w:hyperlink w:anchor="ref-4">
        <w:r>
          <w:rPr>
            <w:rStyle w:val="Hyperlink"/>
          </w:rPr>
          <w:t xml:space="preserve">[4]</w:t>
        </w:r>
      </w:hyperlink>
      <w:r>
        <w:t xml:space="preserve"> </w:t>
      </w:r>
      <w:hyperlink w:anchor="ref-3">
        <w:r>
          <w:rPr>
            <w:rStyle w:val="Hyperlink"/>
          </w:rPr>
          <w:t xml:space="preserve">[3]</w:t>
        </w:r>
      </w:hyperlink>
      <w:r>
        <w:t xml:space="preserve">. The dissertation closes, then, not with a grand claim but with a well-founded one: the question of whether national, regional, and global institutions rule debris better together than apart has been made answerable, and the apparatus to answer it has been built, tested for tractability, and left ready for the hand that codes the panel and runs the structural estimate that will settle it</w:t>
      </w:r>
      <w:r>
        <w:t xml:space="preserve"> </w:t>
      </w:r>
      <w:hyperlink w:anchor="ref-6">
        <w:r>
          <w:rPr>
            <w:rStyle w:val="Hyperlink"/>
          </w:rPr>
          <w:t xml:space="preserve">[6]</w:t>
        </w:r>
      </w:hyperlink>
      <w:r>
        <w:t xml:space="preserve">.</w:t>
      </w:r>
    </w:p>
    <w:bookmarkEnd w:id="128"/>
    <w:bookmarkStart w:id="163" w:name="references"/>
    <w:p>
      <w:pPr>
        <w:pStyle w:val="Heading2"/>
        <w:spacing w:line="480" w:lineRule="auto"/>
      </w:pPr>
      <w:r>
        <w:t xml:space="preserve">References</w:t>
      </w:r>
    </w:p>
    <w:p>
      <w:pPr>
        <w:pStyle w:val="FirstParagraph"/>
        <w:spacing w:line="480" w:lineRule="auto"/>
      </w:pPr>
      <w:bookmarkStart w:id="129" w:name="ref-1"/>
      <w:bookmarkEnd w:id="129"/>
      <w:r>
        <w:t xml:space="preserve">1. R. Zhang and A. Balakrishnan,</w:t>
      </w:r>
      <w:r>
        <w:t xml:space="preserve"> </w:t>
      </w:r>
      <w:r>
        <w:t xml:space="preserve">“From Ozone Depletion to Orbital Debris: Lessons Learned from the Montreal Protocol,”</w:t>
      </w:r>
      <w:r>
        <w:t xml:space="preserve"> </w:t>
      </w:r>
      <w:r>
        <w:t xml:space="preserve">AMOS, 2022.</w:t>
      </w:r>
    </w:p>
    <w:p>
      <w:pPr>
        <w:pStyle w:val="BodyText"/>
        <w:spacing w:line="480" w:lineRule="auto"/>
        <w:ind w:firstLine="720"/>
      </w:pPr>
      <w:bookmarkStart w:id="130" w:name="ref-2"/>
      <w:bookmarkEnd w:id="130"/>
      <w:r>
        <w:t xml:space="preserve">2. A. Balakrishnan, S. Carioscia, B. Caldwell, and B. Lal,</w:t>
      </w:r>
      <w:r>
        <w:t xml:space="preserve"> </w:t>
      </w:r>
      <w:r>
        <w:t xml:space="preserve">“Future of the Space Situational Awareness Enterprise Global Trends,”</w:t>
      </w:r>
      <w:r>
        <w:t xml:space="preserve"> </w:t>
      </w:r>
      <w:r>
        <w:t xml:space="preserve">AMOS, 2018.</w:t>
      </w:r>
    </w:p>
    <w:p>
      <w:pPr>
        <w:pStyle w:val="BodyText"/>
        <w:spacing w:line="480" w:lineRule="auto"/>
        <w:ind w:firstLine="720"/>
      </w:pPr>
      <w:bookmarkStart w:id="131" w:name="ref-3"/>
      <w:bookmarkEnd w:id="131"/>
      <w:r>
        <w:t xml:space="preserve">3. M. Lifson, D. Jang, and R. Linares,</w:t>
      </w:r>
      <w:r>
        <w:t xml:space="preserve"> </w:t>
      </w:r>
      <w:r>
        <w:t xml:space="preserve">“Space Environmental Governance and Decision-Support using Source-Sink Evolutionary Environmental Models,”</w:t>
      </w:r>
      <w:r>
        <w:t xml:space="preserve"> </w:t>
      </w:r>
      <w:r>
        <w:t xml:space="preserve">2023, doi:</w:t>
      </w:r>
      <w:r>
        <w:t xml:space="preserve"> </w:t>
      </w:r>
      <w:hyperlink r:id="rId132">
        <w:r>
          <w:rPr>
            <w:rStyle w:val="Hyperlink"/>
          </w:rPr>
          <w:t xml:space="preserve">10.64861/FKER7625</w:t>
        </w:r>
      </w:hyperlink>
    </w:p>
    <w:p>
      <w:pPr>
        <w:pStyle w:val="BodyText"/>
        <w:spacing w:line="480" w:lineRule="auto"/>
        <w:ind w:firstLine="720"/>
      </w:pPr>
      <w:bookmarkStart w:id="133" w:name="ref-4"/>
      <w:bookmarkEnd w:id="133"/>
      <w:r>
        <w:t xml:space="preserve">4. R. Raygan,</w:t>
      </w:r>
      <w:r>
        <w:t xml:space="preserve"> </w:t>
      </w:r>
      <w:r>
        <w:t xml:space="preserve">“The Ultimate Big Data Enterprise Initiative: Defining Functional Capabilities for an International Information System (IIS) for Orbital Space Data (OSD),”</w:t>
      </w:r>
      <w:r>
        <w:t xml:space="preserve"> </w:t>
      </w:r>
      <w:r>
        <w:t xml:space="preserve">AMOS, 2017.</w:t>
      </w:r>
    </w:p>
    <w:p>
      <w:pPr>
        <w:pStyle w:val="BodyText"/>
        <w:spacing w:line="480" w:lineRule="auto"/>
        <w:ind w:firstLine="720"/>
      </w:pPr>
      <w:bookmarkStart w:id="134" w:name="ref-5"/>
      <w:bookmarkEnd w:id="134"/>
      <w:r>
        <w:t xml:space="preserve">5. J. Goehring,</w:t>
      </w:r>
      <w:r>
        <w:t xml:space="preserve"> </w:t>
      </w:r>
      <w:r>
        <w:t xml:space="preserve">“U.S. Commercial Space Regulation: The Rule of Three,”</w:t>
      </w:r>
      <w:r>
        <w:t xml:space="preserve"> </w:t>
      </w:r>
      <w:r>
        <w:t xml:space="preserve">AMOS, 2022.</w:t>
      </w:r>
    </w:p>
    <w:p>
      <w:pPr>
        <w:pStyle w:val="BodyText"/>
        <w:spacing w:line="480" w:lineRule="auto"/>
        <w:ind w:firstLine="720"/>
      </w:pPr>
      <w:bookmarkStart w:id="135" w:name="ref-6"/>
      <w:bookmarkEnd w:id="135"/>
      <w:r>
        <w:t xml:space="preserve">6. X. Yap, J. Heiberg, and B. Truffer,</w:t>
      </w:r>
      <w:r>
        <w:t xml:space="preserve"> </w:t>
      </w:r>
      <w:r>
        <w:t xml:space="preserve">“The emerging global socio-technical regime for tackling space debris: A discourse network analysis,”</w:t>
      </w:r>
      <w:r>
        <w:t xml:space="preserve"> </w:t>
      </w:r>
      <w:r>
        <w:t xml:space="preserve">Acta Astronautica, 2023, doi:</w:t>
      </w:r>
      <w:r>
        <w:t xml:space="preserve"> </w:t>
      </w:r>
      <w:hyperlink r:id="rId136">
        <w:r>
          <w:rPr>
            <w:rStyle w:val="Hyperlink"/>
          </w:rPr>
          <w:t xml:space="preserve">10.1016/j.actaastro.2023.01.016</w:t>
        </w:r>
      </w:hyperlink>
    </w:p>
    <w:p>
      <w:pPr>
        <w:pStyle w:val="BodyText"/>
        <w:spacing w:line="480" w:lineRule="auto"/>
        <w:ind w:firstLine="720"/>
      </w:pPr>
      <w:bookmarkStart w:id="137" w:name="ref-7"/>
      <w:bookmarkEnd w:id="137"/>
      <w:r>
        <w:t xml:space="preserve">7. J. Long and W. Chen,</w:t>
      </w:r>
      <w:r>
        <w:t xml:space="preserve"> </w:t>
      </w:r>
      <w:r>
        <w:t xml:space="preserve">“Laser utilization in outer space: Institutional bottleneck and prospects,”</w:t>
      </w:r>
      <w:r>
        <w:t xml:space="preserve"> </w:t>
      </w:r>
      <w:r>
        <w:t xml:space="preserve">Acta Astronautica, 2025, doi:</w:t>
      </w:r>
      <w:r>
        <w:t xml:space="preserve"> </w:t>
      </w:r>
      <w:hyperlink r:id="rId138">
        <w:r>
          <w:rPr>
            <w:rStyle w:val="Hyperlink"/>
          </w:rPr>
          <w:t xml:space="preserve">10.1016/j.actaastro.2025.01.061</w:t>
        </w:r>
      </w:hyperlink>
    </w:p>
    <w:p>
      <w:pPr>
        <w:pStyle w:val="BodyText"/>
        <w:spacing w:line="480" w:lineRule="auto"/>
        <w:ind w:firstLine="720"/>
      </w:pPr>
      <w:bookmarkStart w:id="139" w:name="ref-8"/>
      <w:bookmarkEnd w:id="139"/>
      <w:r>
        <w:t xml:space="preserve">8. A. Hurova,</w:t>
      </w:r>
      <w:r>
        <w:t xml:space="preserve"> </w:t>
      </w:r>
      <w:r>
        <w:t xml:space="preserve">“Gamification as a tool to identify and address ongoing challenges in space activities: the case of space debris mitigation,”</w:t>
      </w:r>
      <w:r>
        <w:t xml:space="preserve"> </w:t>
      </w:r>
      <w:r>
        <w:t xml:space="preserve">Acta Astronautica, 2024, doi:</w:t>
      </w:r>
      <w:r>
        <w:t xml:space="preserve"> </w:t>
      </w:r>
      <w:hyperlink r:id="rId140">
        <w:r>
          <w:rPr>
            <w:rStyle w:val="Hyperlink"/>
          </w:rPr>
          <w:t xml:space="preserve">10.1016/j.actaastro.2024.09.057</w:t>
        </w:r>
      </w:hyperlink>
    </w:p>
    <w:p>
      <w:pPr>
        <w:pStyle w:val="BodyText"/>
        <w:spacing w:line="480" w:lineRule="auto"/>
        <w:ind w:firstLine="720"/>
      </w:pPr>
      <w:bookmarkStart w:id="141" w:name="ref-9"/>
      <w:bookmarkEnd w:id="141"/>
      <w:r>
        <w:t xml:space="preserve">9. L. Giudici, C. Colombo, A. Horstmann, F. Letizia, and S. Lemmens,</w:t>
      </w:r>
      <w:r>
        <w:t xml:space="preserve"> </w:t>
      </w:r>
      <w:r>
        <w:t xml:space="preserve">“Density-based evolutionary model of the space debris environment in low-Earth orbit,”</w:t>
      </w:r>
      <w:r>
        <w:t xml:space="preserve"> </w:t>
      </w:r>
      <w:r>
        <w:t xml:space="preserve">Acta Astronautica, 2024, doi:</w:t>
      </w:r>
      <w:r>
        <w:t xml:space="preserve"> </w:t>
      </w:r>
      <w:hyperlink r:id="rId142">
        <w:r>
          <w:rPr>
            <w:rStyle w:val="Hyperlink"/>
          </w:rPr>
          <w:t xml:space="preserve">10.1016/j.actaastro.2024.03.008</w:t>
        </w:r>
      </w:hyperlink>
    </w:p>
    <w:p>
      <w:pPr>
        <w:pStyle w:val="BodyText"/>
        <w:spacing w:line="480" w:lineRule="auto"/>
        <w:ind w:firstLine="720"/>
      </w:pPr>
      <w:bookmarkStart w:id="143" w:name="ref-10"/>
      <w:bookmarkEnd w:id="143"/>
      <w:r>
        <w:t xml:space="preserve">10. Rina Zhang, Science and Technology Policy Institute; Asha Balakrishnan, Science and Technology Policy Institute. From Ozone Depletion to Orbital Debris: Lessons Learned from the Montreal Protocol (2022).</w:t>
      </w:r>
    </w:p>
    <w:p>
      <w:pPr>
        <w:pStyle w:val="BodyText"/>
        <w:spacing w:line="480" w:lineRule="auto"/>
        <w:ind w:firstLine="720"/>
      </w:pPr>
      <w:bookmarkStart w:id="144" w:name="ref-11"/>
      <w:bookmarkEnd w:id="144"/>
      <w:r>
        <w:t xml:space="preserve">11. Todd Harrison, Center for Strategic and International Studies. International Perspectives on Space Weapons (2020).</w:t>
      </w:r>
    </w:p>
    <w:p>
      <w:pPr>
        <w:pStyle w:val="BodyText"/>
        <w:spacing w:line="480" w:lineRule="auto"/>
        <w:ind w:firstLine="720"/>
      </w:pPr>
      <w:bookmarkStart w:id="145" w:name="ref-12"/>
      <w:bookmarkEnd w:id="145"/>
      <w:r>
        <w:t xml:space="preserve">12. Asha Balakrishnan, IDA Science and Technology Policy Institute; Sara Carioscia, IDA Science and Technology Policy Institute; Becaja Caldwell, IDA Science and Technology Policy Institute; Bhavya Lal, IDA Science and Technology Policy Institute. Future of the Space Situational Awareness Enterprise – Global Trends (2018).</w:t>
      </w:r>
    </w:p>
    <w:p>
      <w:pPr>
        <w:pStyle w:val="BodyText"/>
        <w:spacing w:line="480" w:lineRule="auto"/>
        <w:ind w:firstLine="720"/>
      </w:pPr>
      <w:bookmarkStart w:id="146" w:name="ref-13"/>
      <w:bookmarkEnd w:id="146"/>
      <w:r>
        <w:t xml:space="preserve">13. Kaitlyn Johnson, Center for Strategic and International Studies; Seamus P. Daniels, Center for Strategic and International Studies. Buying Space: Trends in U.S. SDA Acquisition (2022).</w:t>
      </w:r>
    </w:p>
    <w:p>
      <w:pPr>
        <w:pStyle w:val="BodyText"/>
        <w:spacing w:line="480" w:lineRule="auto"/>
        <w:ind w:firstLine="720"/>
      </w:pPr>
      <w:bookmarkStart w:id="147" w:name="ref-14"/>
      <w:bookmarkEnd w:id="147"/>
      <w:r>
        <w:t xml:space="preserve">14.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132">
        <w:r>
          <w:rPr>
            <w:rStyle w:val="Hyperlink"/>
          </w:rPr>
          <w:t xml:space="preserve">10.64861/FKER7625</w:t>
        </w:r>
      </w:hyperlink>
    </w:p>
    <w:p>
      <w:pPr>
        <w:pStyle w:val="BodyText"/>
        <w:spacing w:line="480" w:lineRule="auto"/>
        <w:ind w:firstLine="720"/>
      </w:pPr>
      <w:bookmarkStart w:id="148" w:name="ref-15"/>
      <w:bookmarkEnd w:id="148"/>
      <w:r>
        <w:t xml:space="preserve">15. Shawn Seunghwan Choi, SPACEMAP Inc, Hanyang University; Peter (Joonghyun) Ryu, SPACEMAP Inc., Voronoi Diagram Research Center; Chanyoung Song, Hanyang University; Minwoo Ji, Hanyang University; Jaedong Seong, Korea Aerospace Research Institute; Misoon Mah, M&amp;K Research &amp; Development; Roberto Furfaro, University of Arizona; Douglas Deok-Soo Kim, SPACEMAP Inc., Voronoi Diagram Research Center, Hanyang University. SpaceMap: Real-time Web Server for Safer, more Sustainable and Efficient Space (2022).</w:t>
      </w:r>
    </w:p>
    <w:p>
      <w:pPr>
        <w:pStyle w:val="BodyText"/>
        <w:spacing w:line="480" w:lineRule="auto"/>
        <w:ind w:firstLine="720"/>
      </w:pPr>
      <w:bookmarkStart w:id="149" w:name="ref-16"/>
      <w:bookmarkEnd w:id="149"/>
      <w:r>
        <w:t xml:space="preserve">16. Robert Raygan, Integrity Applications Incorporated. The Ultimate Big Data Enterprise Initiative: Defining Functional Capabilities for an International Information System (IIS) for Orbital Space Data (OSD) (2017).</w:t>
      </w:r>
    </w:p>
    <w:p>
      <w:pPr>
        <w:pStyle w:val="BodyText"/>
        <w:spacing w:line="480" w:lineRule="auto"/>
        <w:ind w:firstLine="720"/>
      </w:pPr>
      <w:bookmarkStart w:id="150" w:name="ref-17"/>
      <w:bookmarkEnd w:id="150"/>
      <w:r>
        <w:t xml:space="preserve">17. John Goehring, National Geospatial-Intelligence Agency. U.S. Commercial Space Regulation: The Rule of Three (2022).</w:t>
      </w:r>
    </w:p>
    <w:p>
      <w:pPr>
        <w:pStyle w:val="BodyText"/>
        <w:spacing w:line="480" w:lineRule="auto"/>
        <w:ind w:firstLine="720"/>
      </w:pPr>
      <w:bookmarkStart w:id="151" w:name="ref-18"/>
      <w:bookmarkEnd w:id="151"/>
      <w:r>
        <w:t xml:space="preserve">18. Xiao-Shan Yap; Jonas Heiberg; Bernhard Truffer. The emerging global socio-technical regime for tackling space debris: A discourse network analysis (2023). doi:</w:t>
      </w:r>
      <w:r>
        <w:t xml:space="preserve"> </w:t>
      </w:r>
      <w:hyperlink r:id="rId136">
        <w:r>
          <w:rPr>
            <w:rStyle w:val="Hyperlink"/>
          </w:rPr>
          <w:t xml:space="preserve">10.1016/j.actaastro.2023.01.016</w:t>
        </w:r>
      </w:hyperlink>
    </w:p>
    <w:p>
      <w:pPr>
        <w:pStyle w:val="BodyText"/>
        <w:spacing w:line="480" w:lineRule="auto"/>
        <w:ind w:firstLine="720"/>
      </w:pPr>
      <w:bookmarkStart w:id="152" w:name="ref-19"/>
      <w:bookmarkEnd w:id="152"/>
      <w:r>
        <w:t xml:space="preserve">19. Jie Long; Wenzhen Chen. Laser utilization in outer space: Institutional bottleneck and prospects (2025). doi:</w:t>
      </w:r>
      <w:r>
        <w:t xml:space="preserve"> </w:t>
      </w:r>
      <w:hyperlink r:id="rId138">
        <w:r>
          <w:rPr>
            <w:rStyle w:val="Hyperlink"/>
          </w:rPr>
          <w:t xml:space="preserve">10.1016/j.actaastro.2025.01.061</w:t>
        </w:r>
      </w:hyperlink>
    </w:p>
    <w:p>
      <w:pPr>
        <w:pStyle w:val="BodyText"/>
        <w:spacing w:line="480" w:lineRule="auto"/>
        <w:ind w:firstLine="720"/>
      </w:pPr>
      <w:bookmarkStart w:id="153" w:name="ref-20"/>
      <w:bookmarkEnd w:id="153"/>
      <w:r>
        <w:t xml:space="preserve">20. Alessandro Finazzi; Dennis Daub; Filippo Maggi; Christian Paravan; Stefano Dossi; T. Lips; Geert Smet; Kobyé Bodjona. Thermite-for-demise (T4D): Experiments and numerical modelling on ball-bearing unit mock-ups containing thermite in an arc-heated wind tunnel (2024). doi:</w:t>
      </w:r>
      <w:r>
        <w:t xml:space="preserve"> </w:t>
      </w:r>
      <w:hyperlink r:id="rId154">
        <w:r>
          <w:rPr>
            <w:rStyle w:val="Hyperlink"/>
          </w:rPr>
          <w:t xml:space="preserve">10.1016/j.actaastro.2024.06.013</w:t>
        </w:r>
      </w:hyperlink>
    </w:p>
    <w:p>
      <w:pPr>
        <w:pStyle w:val="BodyText"/>
        <w:spacing w:line="480" w:lineRule="auto"/>
        <w:ind w:firstLine="720"/>
      </w:pPr>
      <w:bookmarkStart w:id="155" w:name="ref-21"/>
      <w:bookmarkEnd w:id="155"/>
      <w:r>
        <w:t xml:space="preserve">21. Anna Hurova. Gamification as a tool to identify and address ongoing challenges in space activities: the case of space debris mitigation (2024). doi:</w:t>
      </w:r>
      <w:r>
        <w:t xml:space="preserve"> </w:t>
      </w:r>
      <w:hyperlink r:id="rId140">
        <w:r>
          <w:rPr>
            <w:rStyle w:val="Hyperlink"/>
          </w:rPr>
          <w:t xml:space="preserve">10.1016/j.actaastro.2024.09.057</w:t>
        </w:r>
      </w:hyperlink>
    </w:p>
    <w:p>
      <w:pPr>
        <w:pStyle w:val="BodyText"/>
        <w:spacing w:line="480" w:lineRule="auto"/>
        <w:ind w:firstLine="720"/>
      </w:pPr>
      <w:bookmarkStart w:id="156" w:name="ref-22"/>
      <w:bookmarkEnd w:id="156"/>
      <w:r>
        <w:t xml:space="preserve">22. Salvatore Alfano; Daniel Oltrogge; H. Krag; Klaus Merz; Robert E. Hall. Risk assessment of recent high-interest conjunctions (2021). doi:</w:t>
      </w:r>
      <w:r>
        <w:t xml:space="preserve"> </w:t>
      </w:r>
      <w:hyperlink r:id="rId157">
        <w:r>
          <w:rPr>
            <w:rStyle w:val="Hyperlink"/>
          </w:rPr>
          <w:t xml:space="preserve">10.1016/j.actaastro.2021.04.009</w:t>
        </w:r>
      </w:hyperlink>
    </w:p>
    <w:p>
      <w:pPr>
        <w:pStyle w:val="BodyText"/>
        <w:spacing w:line="480" w:lineRule="auto"/>
        <w:ind w:firstLine="720"/>
      </w:pPr>
      <w:bookmarkStart w:id="158" w:name="ref-23"/>
      <w:bookmarkEnd w:id="158"/>
      <w:r>
        <w:t xml:space="preserve">23. Khaja Faisal Hussain; Nour El‐Din Safwat; Kathiravan Thangavel; Roberto Sabatini. Space-based debris trajectory estimation using vision sensors and track-based data fusion techniques (2025). doi:</w:t>
      </w:r>
      <w:r>
        <w:t xml:space="preserve"> </w:t>
      </w:r>
      <w:hyperlink r:id="rId159">
        <w:r>
          <w:rPr>
            <w:rStyle w:val="Hyperlink"/>
          </w:rPr>
          <w:t xml:space="preserve">10.1016/j.actaastro.2025.01.038</w:t>
        </w:r>
      </w:hyperlink>
    </w:p>
    <w:p>
      <w:pPr>
        <w:pStyle w:val="BodyText"/>
        <w:spacing w:line="480" w:lineRule="auto"/>
        <w:ind w:firstLine="720"/>
      </w:pPr>
      <w:bookmarkStart w:id="160" w:name="ref-24"/>
      <w:bookmarkEnd w:id="160"/>
      <w:r>
        <w:t xml:space="preserve">24. Ioana Bratu; Steven Freeland. Winner takes all? Legal implications of autonomous weapons systems and the militarization of outer space (2025). doi:</w:t>
      </w:r>
      <w:r>
        <w:t xml:space="preserve"> </w:t>
      </w:r>
      <w:hyperlink r:id="rId161">
        <w:r>
          <w:rPr>
            <w:rStyle w:val="Hyperlink"/>
          </w:rPr>
          <w:t xml:space="preserve">10.1016/j.actaastro.2025.09.031</w:t>
        </w:r>
      </w:hyperlink>
    </w:p>
    <w:p>
      <w:pPr>
        <w:pStyle w:val="BodyText"/>
        <w:spacing w:line="480" w:lineRule="auto"/>
        <w:ind w:firstLine="720"/>
      </w:pPr>
      <w:bookmarkStart w:id="162" w:name="ref-25"/>
      <w:bookmarkEnd w:id="162"/>
      <w:r>
        <w:t xml:space="preserve">25. Lorenzo Giudici; Camilla Colombo; André Horstmann; Francesca Letizia; Stijn Lemmens. Density-based evolutionary model of the space debris environment in low-Earth orbit (2024). doi:</w:t>
      </w:r>
      <w:r>
        <w:t xml:space="preserve"> </w:t>
      </w:r>
      <w:hyperlink r:id="rId142">
        <w:r>
          <w:rPr>
            <w:rStyle w:val="Hyperlink"/>
          </w:rPr>
          <w:t xml:space="preserve">10.1016/j.actaastro.2024.03.008</w:t>
        </w:r>
      </w:hyperlink>
    </w:p>
    <w:bookmarkEnd w:id="163"/>
    <w:bookmarkEnd w:id="164"/>
    <w:bookmarkStart w:id="181"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2" w:name="X127b41596fed93519f1914eb3198a34b246ab3a"/>
    <w:p>
      <w:pPr>
        <w:pStyle w:val="Heading2"/>
        <w:spacing w:line="480" w:lineRule="auto"/>
      </w:pPr>
      <w:r>
        <w:t xml:space="preserve">A.1 Signal Intensity in The Nested Enterprise Problem Why Do National, Regional, and Global Debris Rule: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65"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3.3889</w:t>
            </w:r>
          </w:p>
        </w:tc>
        <w:tc>
          <w:tcPr>
            <w:tcW w:w="0" w:type="auto"/>
          </w:tcPr>
          <w:p>
            <w:pPr>
              <w:spacing w:line="240" w:lineRule="auto" w:before="0" w:after="0"/>
              <w:pStyle w:val="Compact"/>
            </w:pPr>
            <w:r>
              <w:rPr>
                <w:sz w:val="20"/>
                <w:szCs w:val="20"/>
              </w:rPr>
              <w:t xml:space="preserve">1.1431</w:t>
            </w:r>
          </w:p>
        </w:tc>
        <w:tc>
          <w:tcPr>
            <w:tcW w:w="0" w:type="auto"/>
          </w:tcPr>
          <w:p>
            <w:pPr>
              <w:spacing w:line="240" w:lineRule="auto" w:before="0" w:after="0"/>
              <w:pStyle w:val="Compact"/>
            </w:pPr>
            <w:r>
              <w:rPr>
                <w:sz w:val="20"/>
                <w:szCs w:val="20"/>
              </w:rPr>
              <w:t xml:space="preserve">2.9646</w:t>
            </w:r>
          </w:p>
        </w:tc>
        <w:tc>
          <w:tcPr>
            <w:tcW w:w="0" w:type="auto"/>
          </w:tcPr>
          <w:p>
            <w:pPr>
              <w:spacing w:line="240" w:lineRule="auto" w:before="0" w:after="0"/>
              <w:pStyle w:val="Compact"/>
            </w:pPr>
            <w:r>
              <w:rPr>
                <w:sz w:val="20"/>
                <w:szCs w:val="20"/>
              </w:rPr>
              <w:t xml:space="preserve">0.003</w:t>
            </w:r>
          </w:p>
        </w:tc>
        <w:tc>
          <w:tcPr>
            <w:tcW w:w="0" w:type="auto"/>
          </w:tcPr>
          <w:p>
            <w:pPr>
              <w:spacing w:line="240" w:lineRule="auto" w:before="0" w:after="0"/>
              <w:pStyle w:val="Compact"/>
            </w:pPr>
            <w:r>
              <w:rPr>
                <w:sz w:val="20"/>
                <w:szCs w:val="20"/>
              </w:rPr>
              <w:t xml:space="preserve">[1.1484, 5.6294]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0.271</w:t>
            </w:r>
          </w:p>
        </w:tc>
        <w:tc>
          <w:tcPr>
            <w:tcW w:w="0" w:type="auto"/>
          </w:tcPr>
          <w:p>
            <w:pPr>
              <w:spacing w:line="240" w:lineRule="auto" w:before="0" w:after="0"/>
              <w:pStyle w:val="Compact"/>
            </w:pPr>
            <w:r>
              <w:rPr>
                <w:sz w:val="20"/>
                <w:szCs w:val="20"/>
              </w:rPr>
              <w:t xml:space="preserve">0.1157</w:t>
            </w:r>
          </w:p>
        </w:tc>
        <w:tc>
          <w:tcPr>
            <w:tcW w:w="0" w:type="auto"/>
          </w:tcPr>
          <w:p>
            <w:pPr>
              <w:spacing w:line="240" w:lineRule="auto" w:before="0" w:after="0"/>
              <w:pStyle w:val="Compact"/>
            </w:pPr>
            <w:r>
              <w:rPr>
                <w:sz w:val="20"/>
                <w:szCs w:val="20"/>
              </w:rPr>
              <w:t xml:space="preserve">2.3412</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[0.0441, 0.4978]</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0.1015</w:t>
            </w:r>
          </w:p>
        </w:tc>
        <w:tc>
          <w:tcPr>
            <w:tcW w:w="0" w:type="auto"/>
          </w:tcPr>
          <w:p>
            <w:pPr>
              <w:spacing w:line="240" w:lineRule="auto" w:before="0" w:after="0"/>
              <w:pStyle w:val="Compact"/>
            </w:pPr>
            <w:r>
              <w:rPr>
                <w:sz w:val="20"/>
                <w:szCs w:val="20"/>
              </w:rPr>
              <w:t xml:space="preserve">0.0593</w:t>
            </w:r>
          </w:p>
        </w:tc>
        <w:tc>
          <w:tcPr>
            <w:tcW w:w="0" w:type="auto"/>
          </w:tcPr>
          <w:p>
            <w:pPr>
              <w:spacing w:line="240" w:lineRule="auto" w:before="0" w:after="0"/>
              <w:pStyle w:val="Compact"/>
            </w:pPr>
            <w:r>
              <w:rPr>
                <w:sz w:val="20"/>
                <w:szCs w:val="20"/>
              </w:rPr>
              <w:t xml:space="preserve">1.712</w:t>
            </w:r>
          </w:p>
        </w:tc>
        <w:tc>
          <w:tcPr>
            <w:tcW w:w="0" w:type="auto"/>
          </w:tcPr>
          <w:p>
            <w:pPr>
              <w:spacing w:line="240" w:lineRule="auto" w:before="0" w:after="0"/>
              <w:pStyle w:val="Compact"/>
            </w:pPr>
            <w:r>
              <w:rPr>
                <w:sz w:val="20"/>
                <w:szCs w:val="20"/>
              </w:rPr>
              <w:t xml:space="preserve">0.0869</w:t>
            </w:r>
          </w:p>
        </w:tc>
        <w:tc>
          <w:tcPr>
            <w:tcW w:w="0" w:type="auto"/>
          </w:tcPr>
          <w:p>
            <w:pPr>
              <w:spacing w:line="240" w:lineRule="auto" w:before="0" w:after="0"/>
              <w:pStyle w:val="Compact"/>
            </w:pPr>
            <w:r>
              <w:rPr>
                <w:sz w:val="20"/>
                <w:szCs w:val="20"/>
              </w:rPr>
              <w:t xml:space="preserve">[-0.0147, 0.2176]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-0.7833</w:t>
            </w:r>
          </w:p>
        </w:tc>
        <w:tc>
          <w:tcPr>
            <w:tcW w:w="0" w:type="auto"/>
          </w:tcPr>
          <w:p>
            <w:pPr>
              <w:spacing w:line="240" w:lineRule="auto" w:before="0" w:after="0"/>
              <w:pStyle w:val="Compact"/>
            </w:pPr>
            <w:r>
              <w:rPr>
                <w:sz w:val="20"/>
                <w:szCs w:val="20"/>
              </w:rPr>
              <w:t xml:space="preserve">0.9672</w:t>
            </w:r>
          </w:p>
        </w:tc>
        <w:tc>
          <w:tcPr>
            <w:tcW w:w="0" w:type="auto"/>
          </w:tcPr>
          <w:p>
            <w:pPr>
              <w:spacing w:line="240" w:lineRule="auto" w:before="0" w:after="0"/>
              <w:pStyle w:val="Compact"/>
            </w:pPr>
            <w:r>
              <w:rPr>
                <w:sz w:val="20"/>
                <w:szCs w:val="20"/>
              </w:rPr>
              <w:t xml:space="preserve">-0.8099</w:t>
            </w:r>
          </w:p>
        </w:tc>
        <w:tc>
          <w:tcPr>
            <w:tcW w:w="0" w:type="auto"/>
          </w:tcPr>
          <w:p>
            <w:pPr>
              <w:spacing w:line="240" w:lineRule="auto" w:before="0" w:after="0"/>
              <w:pStyle w:val="Compact"/>
            </w:pPr>
            <w:r>
              <w:rPr>
                <w:sz w:val="20"/>
                <w:szCs w:val="20"/>
              </w:rPr>
              <w:t xml:space="preserve">0.418</w:t>
            </w:r>
          </w:p>
        </w:tc>
        <w:tc>
          <w:tcPr>
            <w:tcW w:w="0" w:type="auto"/>
          </w:tcPr>
          <w:p>
            <w:pPr>
              <w:spacing w:line="240" w:lineRule="auto" w:before="0" w:after="0"/>
              <w:pStyle w:val="Compact"/>
            </w:pPr>
            <w:r>
              <w:rPr>
                <w:sz w:val="20"/>
                <w:szCs w:val="20"/>
              </w:rPr>
              <w:t xml:space="preserve">[-2.6789, 1.1123]</w:t>
            </w:r>
          </w:p>
        </w:tc>
      </w:tr>
    </w:tbl>
    <w:p>
      <w:pPr>
        <w:pStyle w:val="BodyText"/>
        <w:spacing w:line="480" w:lineRule="auto"/>
        <w:ind w:firstLine="720"/>
      </w:pPr>
      <w:r>
        <w:t xml:space="preserve">Fit: N = 30 R2 = 0.2058 R2_adj = 0.1142 F = 3.6336 F_p = 0.0259</w:t>
      </w:r>
    </w:p>
    <w:bookmarkEnd w:id="165"/>
    <w:bookmarkStart w:id="169"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67" name="Picture"/>
            <a:graphic>
              <a:graphicData uri="http://schemas.openxmlformats.org/drawingml/2006/picture">
                <pic:pic>
                  <pic:nvPicPr>
                    <pic:cNvPr descr="D:/Claude_Code/brain/collegium/candidates/dissertations/SUSTAINABILITY_INSTITUTIONS_10/research_papers/p1/paper_fig1.png" id="168" name="Picture"/>
                    <pic:cNvPicPr>
                      <a:picLocks noChangeArrowheads="1" noChangeAspect="1"/>
                    </pic:cNvPicPr>
                  </pic:nvPicPr>
                  <pic:blipFill>
                    <a:blip r:embed="rId16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69"/>
    <w:bookmarkStart w:id="170"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https://amostech.space/year/2018/future-of-the-space-situational-awareness-enterprise-global-trends/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https://amostech.space/year/2022/buying-space-trends-in-u-s-sda-acquisition/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https://amostech.space/year/2022/spacemap-real-time-web-server-for-safer-more-sustainable-and-efficient-space/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https://amostech.space/year/2017/the-ultimate-big-data-enterprise-initiative-defining-functional-capabilities-for-an-international-information-system-iis-for-orbital-space-data-osd/</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https://amostech.space/year/2010/maximizing-multi-core-performance-of-the-weather-research-and-forecast-model-over-the-hawaiian-islands/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https://amostech.space/year/2020/wrc-19-new-space-law-enabling-the-sustainability-of-leo/</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10.64861/AJDV3259</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10.64861/OHST9432</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10.1016/j.actaastro.2024.06.013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10.1016/j.actaastro.2021.04.009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10.1016/j.actaastro.2025.01.038</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10.1016/j.actaastro.2024.03.008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10.1016/j.actaastro.2025.01.043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10.1016/j.actaastro.2026.01.042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10.1016/j.actaastro.2022.05.045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10.1016/j.actaastro.2025.11.043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10.1073/pnas.1909726116</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Effective Fisheries Management Improves Fish Stock Status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bl>
    <w:bookmarkEnd w:id="170"/>
    <w:bookmarkStart w:id="171"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71"/>
    <w:bookmarkEnd w:id="172"/>
    <w:bookmarkStart w:id="180" w:name="X4a80a5d7b7e4f927ce7ad3d8fbc21dc996b780c"/>
    <w:p>
      <w:pPr>
        <w:pStyle w:val="Heading2"/>
        <w:spacing w:line="480" w:lineRule="auto"/>
      </w:pPr>
      <w:r>
        <w:t xml:space="preserve">A.2 Attention Accumulation in The Nested Enterprise Problem Why Do National, Regional, and Global Debris Rule: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73"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1.1955</w:t>
            </w:r>
          </w:p>
        </w:tc>
        <w:tc>
          <w:tcPr>
            <w:tcW w:w="0" w:type="auto"/>
          </w:tcPr>
          <w:p>
            <w:pPr>
              <w:spacing w:line="240" w:lineRule="auto" w:before="0" w:after="0"/>
              <w:pStyle w:val="Compact"/>
            </w:pPr>
            <w:r>
              <w:rPr>
                <w:sz w:val="20"/>
                <w:szCs w:val="20"/>
              </w:rPr>
              <w:t xml:space="preserve">0.5353</w:t>
            </w:r>
          </w:p>
        </w:tc>
        <w:tc>
          <w:tcPr>
            <w:tcW w:w="0" w:type="auto"/>
          </w:tcPr>
          <w:p>
            <w:pPr>
              <w:spacing w:line="240" w:lineRule="auto" w:before="0" w:after="0"/>
              <w:pStyle w:val="Compact"/>
            </w:pPr>
            <w:r>
              <w:rPr>
                <w:sz w:val="20"/>
                <w:szCs w:val="20"/>
              </w:rPr>
              <w:t xml:space="preserve">2.2332</w:t>
            </w:r>
          </w:p>
        </w:tc>
        <w:tc>
          <w:tcPr>
            <w:tcW w:w="0" w:type="auto"/>
          </w:tcPr>
          <w:p>
            <w:pPr>
              <w:spacing w:line="240" w:lineRule="auto" w:before="0" w:after="0"/>
              <w:pStyle w:val="Compact"/>
            </w:pPr>
            <w:r>
              <w:rPr>
                <w:sz w:val="20"/>
                <w:szCs w:val="20"/>
              </w:rPr>
              <w:t xml:space="preserve">0.0255</w:t>
            </w:r>
          </w:p>
        </w:tc>
        <w:tc>
          <w:tcPr>
            <w:tcW w:w="0" w:type="auto"/>
          </w:tcPr>
          <w:p>
            <w:pPr>
              <w:spacing w:line="240" w:lineRule="auto" w:before="0" w:after="0"/>
              <w:pStyle w:val="Compact"/>
            </w:pPr>
            <w:r>
              <w:rPr>
                <w:sz w:val="20"/>
                <w:szCs w:val="20"/>
              </w:rPr>
              <w:t xml:space="preserve">[0.1463, 2.2448]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-0.3888</w:t>
            </w:r>
          </w:p>
        </w:tc>
        <w:tc>
          <w:tcPr>
            <w:tcW w:w="0" w:type="auto"/>
          </w:tcPr>
          <w:p>
            <w:pPr>
              <w:spacing w:line="240" w:lineRule="auto" w:before="0" w:after="0"/>
              <w:pStyle w:val="Compact"/>
            </w:pPr>
            <w:r>
              <w:rPr>
                <w:sz w:val="20"/>
                <w:szCs w:val="20"/>
              </w:rPr>
              <w:t xml:space="preserve">0.2825</w:t>
            </w:r>
          </w:p>
        </w:tc>
        <w:tc>
          <w:tcPr>
            <w:tcW w:w="0" w:type="auto"/>
          </w:tcPr>
          <w:p>
            <w:pPr>
              <w:spacing w:line="240" w:lineRule="auto" w:before="0" w:after="0"/>
              <w:pStyle w:val="Compact"/>
            </w:pPr>
            <w:r>
              <w:rPr>
                <w:sz w:val="20"/>
                <w:szCs w:val="20"/>
              </w:rPr>
              <w:t xml:space="preserve">-1.3764</w:t>
            </w:r>
          </w:p>
        </w:tc>
        <w:tc>
          <w:tcPr>
            <w:tcW w:w="0" w:type="auto"/>
          </w:tcPr>
          <w:p>
            <w:pPr>
              <w:spacing w:line="240" w:lineRule="auto" w:before="0" w:after="0"/>
              <w:pStyle w:val="Compact"/>
            </w:pPr>
            <w:r>
              <w:rPr>
                <w:sz w:val="20"/>
                <w:szCs w:val="20"/>
              </w:rPr>
              <w:t xml:space="preserve">0.1687</w:t>
            </w:r>
          </w:p>
        </w:tc>
        <w:tc>
          <w:tcPr>
            <w:tcW w:w="0" w:type="auto"/>
          </w:tcPr>
          <w:p>
            <w:pPr>
              <w:spacing w:line="240" w:lineRule="auto" w:before="0" w:after="0"/>
              <w:pStyle w:val="Compact"/>
            </w:pPr>
            <w:r>
              <w:rPr>
                <w:sz w:val="20"/>
                <w:szCs w:val="20"/>
              </w:rPr>
              <w:t xml:space="preserve">[-0.9424, 0.1648]</w:t>
            </w:r>
          </w:p>
        </w:tc>
      </w:tr>
    </w:tbl>
    <w:p>
      <w:pPr>
        <w:pStyle w:val="BodyText"/>
        <w:spacing w:line="480" w:lineRule="auto"/>
        <w:ind w:firstLine="720"/>
      </w:pPr>
      <w:r>
        <w:t xml:space="preserve">Fit: N = 30 R2 = 0.0444 elasticity_b = -0.3888 progress_ratio_2^b = 0.7638</w:t>
      </w:r>
    </w:p>
    <w:bookmarkEnd w:id="173"/>
    <w:bookmarkStart w:id="177"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75" name="Picture"/>
            <a:graphic>
              <a:graphicData uri="http://schemas.openxmlformats.org/drawingml/2006/picture">
                <pic:pic>
                  <pic:nvPicPr>
                    <pic:cNvPr descr="D:/Claude_Code/brain/collegium/candidates/dissertations/SUSTAINABILITY_INSTITUTIONS_10/research_papers/p2/paper_fig1.png" id="176" name="Picture"/>
                    <pic:cNvPicPr>
                      <a:picLocks noChangeArrowheads="1" noChangeAspect="1"/>
                    </pic:cNvPicPr>
                  </pic:nvPicPr>
                  <pic:blipFill>
                    <a:blip r:embed="rId17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77"/>
    <w:bookmarkStart w:id="178"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https://amostech.space/year/2018/future-of-the-space-situational-awareness-enterprise-global-trends/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https://amostech.space/year/2022/buying-space-trends-in-u-s-sda-acquisition/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https://amostech.space/year/2022/spacemap-real-time-web-server-for-safer-more-sustainable-and-efficient-space/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https://amostech.space/year/2017/the-ultimate-big-data-enterprise-initiative-defining-functional-capabilities-for-an-international-information-system-iis-for-orbital-space-data-osd/</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https://amostech.space/year/2010/maximizing-multi-core-performance-of-the-weather-research-and-forecast-model-over-the-hawaiian-islands/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https://amostech.space/year/2020/wrc-19-new-space-law-enabling-the-sustainability-of-leo/</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10.64861/AJDV3259</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10.64861/OHST9432</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10.1016/j.actaastro.2024.06.013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10.1016/j.actaastro.2024.09.057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10.1016/j.actaastro.2021.04.009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10.1016/j.actaastro.2025.01.038</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10.1016/j.actaastro.2024.03.008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10.1016/j.actaastro.2025.01.043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10.1016/j.actaastro.2026.01.042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10.1016/j.actaastro.2022.05.045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10.1016/j.actaastro.2025.11.043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10.1073/pnas.1909726116</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Effective Fisheries Management Improves Fish Stock Status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bl>
    <w:bookmarkEnd w:id="178"/>
    <w:bookmarkStart w:id="179"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79"/>
    <w:bookmarkEnd w:id="180"/>
    <w:bookmarkEnd w:id="18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66" Type="http://schemas.openxmlformats.org/officeDocument/2006/relationships/image" Target="media/rId166.png"/><Relationship Id="rId174" Type="http://schemas.openxmlformats.org/officeDocument/2006/relationships/image" Target="media/rId174.png"/><Relationship Id="rId157" Type="http://schemas.openxmlformats.org/officeDocument/2006/relationships/hyperlink" Target="https://doi.org/10.1016/j.actaastro.2021.04.009" TargetMode="External"/><Relationship Id="rId136" Type="http://schemas.openxmlformats.org/officeDocument/2006/relationships/hyperlink" Target="https://doi.org/10.1016/j.actaastro.2023.01.016" TargetMode="External"/><Relationship Id="rId142" Type="http://schemas.openxmlformats.org/officeDocument/2006/relationships/hyperlink" Target="https://doi.org/10.1016/j.actaastro.2024.03.008" TargetMode="External"/><Relationship Id="rId154" Type="http://schemas.openxmlformats.org/officeDocument/2006/relationships/hyperlink" Target="https://doi.org/10.1016/j.actaastro.2024.06.013" TargetMode="External"/><Relationship Id="rId140" Type="http://schemas.openxmlformats.org/officeDocument/2006/relationships/hyperlink" Target="https://doi.org/10.1016/j.actaastro.2024.09.057" TargetMode="External"/><Relationship Id="rId159" Type="http://schemas.openxmlformats.org/officeDocument/2006/relationships/hyperlink" Target="https://doi.org/10.1016/j.actaastro.2025.01.038" TargetMode="External"/><Relationship Id="rId138" Type="http://schemas.openxmlformats.org/officeDocument/2006/relationships/hyperlink" Target="https://doi.org/10.1016/j.actaastro.2025.01.061" TargetMode="External"/><Relationship Id="rId161" Type="http://schemas.openxmlformats.org/officeDocument/2006/relationships/hyperlink" Target="https://doi.org/10.1016/j.actaastro.2025.09.031" TargetMode="External"/><Relationship Id="rId132" Type="http://schemas.openxmlformats.org/officeDocument/2006/relationships/hyperlink" Target="https://doi.org/10.64861/FKER7625" TargetMode="External"/></Relationships>
</file>

<file path=word/_rels/footnotes.xml.rels><?xml version='1.0' encoding='UTF-8' standalone='yes'?>
<Relationships xmlns="http://schemas.openxmlformats.org/package/2006/relationships"><Relationship Id="rId157" Type="http://schemas.openxmlformats.org/officeDocument/2006/relationships/hyperlink" Target="https://doi.org/10.1016/j.actaastro.2021.04.009" TargetMode="External"/><Relationship Id="rId136" Type="http://schemas.openxmlformats.org/officeDocument/2006/relationships/hyperlink" Target="https://doi.org/10.1016/j.actaastro.2023.01.016" TargetMode="External"/><Relationship Id="rId142" Type="http://schemas.openxmlformats.org/officeDocument/2006/relationships/hyperlink" Target="https://doi.org/10.1016/j.actaastro.2024.03.008" TargetMode="External"/><Relationship Id="rId154" Type="http://schemas.openxmlformats.org/officeDocument/2006/relationships/hyperlink" Target="https://doi.org/10.1016/j.actaastro.2024.06.013" TargetMode="External"/><Relationship Id="rId140" Type="http://schemas.openxmlformats.org/officeDocument/2006/relationships/hyperlink" Target="https://doi.org/10.1016/j.actaastro.2024.09.057" TargetMode="External"/><Relationship Id="rId159" Type="http://schemas.openxmlformats.org/officeDocument/2006/relationships/hyperlink" Target="https://doi.org/10.1016/j.actaastro.2025.01.038" TargetMode="External"/><Relationship Id="rId138" Type="http://schemas.openxmlformats.org/officeDocument/2006/relationships/hyperlink" Target="https://doi.org/10.1016/j.actaastro.2025.01.061" TargetMode="External"/><Relationship Id="rId161" Type="http://schemas.openxmlformats.org/officeDocument/2006/relationships/hyperlink" Target="https://doi.org/10.1016/j.actaastro.2025.09.031" TargetMode="External"/><Relationship Id="rId132" Type="http://schemas.openxmlformats.org/officeDocument/2006/relationships/hyperlink" Target="https://doi.org/10.64861/FKER76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Nested Enterprise Problem: Why Do National, Regional, and Global Debris Rule</dc:title>
  <dc:creator>Sana Espinoza (1B-SUS-161)</dc:creator>
  <cp:keywords/>
  <dcterms:created xsi:type="dcterms:W3CDTF">2026-07-03T01:37:49Z</dcterms:created>
  <dcterms:modified xsi:type="dcterms:W3CDTF">2026-07-03T01:37:49Z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