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9" w:name="Xb237220886bc21c58753639872d808023ac4f74"/>
    <w:p>
      <w:pPr>
        <w:pStyle w:val="Heading1"/>
      </w:pPr>
      <w:r>
        <w:t xml:space="preserve">Attention Accumulation in Rating the Raters Do Space Sustainability Rating Disclosures Shift Operator Des: A Learning-Curve Analysis of Citation Growth by Article Age</w:t>
      </w:r>
    </w:p>
    <w:bookmarkStart w:id="61" w:name="introduction"/>
    <w:p>
      <w:pPr>
        <w:pStyle w:val="Heading2"/>
      </w:pPr>
      <w:r>
        <w:t xml:space="preserve">1. Introduction</w:t>
      </w:r>
    </w:p>
    <w:p>
      <w:pPr>
        <w:pStyle w:val="FirstParagraph"/>
      </w:pPr>
      <w:r>
        <w:t xml:space="preserve">This empirical paper supports Leila Saito (1B-SUS-222) and the dissertation project</w:t>
      </w:r>
      <w:r>
        <w:t xml:space="preserve"> </w:t>
      </w:r>
      <w:r>
        <w:rPr>
          <w:i/>
          <w:iCs/>
        </w:rPr>
        <w:t xml:space="preserve">Rating the Raters: Do Space Sustainability Rating Disclosures Shift Operator Des</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R2=0.011468900991264519, elasticity_b=-0.1670139249049769, progress_ratio_2^b=0.8906843036726116. The exact term summary is: const coef=0.8540676344500402 p=0.012391085689270389; _ln_x coef=-0.1670139249049769 p=0.31865818166257454.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9" w:name="references"/>
    <w:p>
      <w:pPr>
        <w:pStyle w:val="Heading2"/>
      </w:pPr>
      <w:r>
        <w:t xml:space="preserve">References</w:t>
      </w:r>
    </w:p>
    <w:p>
      <w:pPr>
        <w:pStyle w:val="FirstParagraph"/>
      </w:pPr>
      <w:bookmarkStart w:id="67" w:name="ref-1"/>
      <w:bookmarkEnd w:id="67"/>
      <w:r>
        <w:t xml:space="preserve">1. Francesca Letizia, European Space Agency; Stijn Lemmens, ESA/ESOC Space Debris Office; Danielle Wood, Space Enabled Research Group, MIT Media Lab; Minoo Rathnasabapathy, Space Enabled Research Group at the MIT Media Lab; Miles Lifson, MIT Media Lab- Space Enabled Research Group; Riley Stiendl, Massachusetts Institute of Technology; Moriba Jah, University of Texas at Austin; Nikolai Khlystov, World Economic Forum; Maksim Soshkin, World Economic Forum; Simon Potter, Bryce Space and Technology. Contribution from SSA Data to the Definition of a Space Sustainability Rating (2020). [AMOS]</w:t>
      </w:r>
      <w:r>
        <w:t xml:space="preserve"> </w:t>
      </w:r>
      <w:bookmarkStart w:id="68" w:name="ref-2"/>
      <w:bookmarkEnd w:id="68"/>
      <w:r>
        <w:t xml:space="preserve">2. Miles Lifson, Massachusetts Institute of Technology; Daniel Jang, Massachusetts Institute of Technology; Richard Linares, Massachusetts Institute of Technology. Space Environmental Governance and Decision-Support using Source-Sink Evolutionary Environmental Models (2023). doi:</w:t>
      </w:r>
      <w:r>
        <w:t xml:space="preserve"> </w:t>
      </w:r>
      <w:hyperlink r:id="rId69">
        <w:r>
          <w:rPr>
            <w:rStyle w:val="Hyperlink"/>
          </w:rPr>
          <w:t xml:space="preserve">10.64861/FKER7625</w:t>
        </w:r>
      </w:hyperlink>
      <w:r>
        <w:t xml:space="preserve"> </w:t>
      </w:r>
      <w:bookmarkStart w:id="70" w:name="ref-3"/>
      <w:bookmarkEnd w:id="70"/>
      <w:r>
        <w:t xml:space="preserve">3. Peter N. Crabtree (AFRL), Phan D. Dao (AFRL), Richard H. Picard (AFRL). Experimental Investigation of the Performance of Image Registration and De-aliasing Algorithms (2009). [AMOS]</w:t>
      </w:r>
      <w:r>
        <w:t xml:space="preserve"> </w:t>
      </w:r>
      <w:bookmarkStart w:id="71" w:name="ref-4"/>
      <w:bookmarkEnd w:id="71"/>
      <w:r>
        <w:t xml:space="preserve">4. Andrea D’Ambrosio, Massachusetts Institute of Technology; Miles Lifson, Massachusetts Institute of Technology; Daniel Jang, Massachusetts Institute of Technology; Celina Pasiecznik, Massachusetts Institute of Technology; Richard Linares, Massachusetts Institute of Technology. Projected Orbital Demand and LEO Environmental Capacity (2022). [AMOS]</w:t>
      </w:r>
      <w:r>
        <w:t xml:space="preserve"> </w:t>
      </w:r>
      <w:bookmarkStart w:id="72" w:name="ref-5"/>
      <w:bookmarkEnd w:id="72"/>
      <w:r>
        <w:t xml:space="preserve">5. Sam Kirkwood, HEO; Jack Sines, HEO; James Allworth, HEO; Karla Vincent, HEO; Hannah Dawe, HEO; Francesco Scopelliti, HEO; Hiranya Jayakody, HEO; William Crowe, HEO. Advancing RSO Characterisation: Flyby Non-Earth Imaging for Attitude State and Tumble Rate Estimation (2025). doi:</w:t>
      </w:r>
      <w:r>
        <w:t xml:space="preserve"> </w:t>
      </w:r>
      <w:hyperlink r:id="rId73">
        <w:r>
          <w:rPr>
            <w:rStyle w:val="Hyperlink"/>
          </w:rPr>
          <w:t xml:space="preserve">10.64861/BJII1274</w:t>
        </w:r>
      </w:hyperlink>
      <w:r>
        <w:t xml:space="preserve"> </w:t>
      </w:r>
      <w:bookmarkStart w:id="74" w:name="ref-6"/>
      <w:bookmarkEnd w:id="74"/>
      <w:r>
        <w:t xml:space="preserve">6. Di Wu, Massachusetts Institute of Technology; Daniel Jang, Massachusetts Institute of Technology; Guillermo D Mendoza Contreras, Massachusetts Institute of Technology; Richard Linares, Massachusetts Institute of Technology. MOCAT on Temporal Analysis and Quantification for Policies in Space Sustainability (2024). doi:</w:t>
      </w:r>
      <w:r>
        <w:t xml:space="preserve"> </w:t>
      </w:r>
      <w:hyperlink r:id="rId75">
        <w:r>
          <w:rPr>
            <w:rStyle w:val="Hyperlink"/>
          </w:rPr>
          <w:t xml:space="preserve">10.64861/COAK4355</w:t>
        </w:r>
      </w:hyperlink>
      <w:r>
        <w:t xml:space="preserve"> </w:t>
      </w:r>
      <w:bookmarkStart w:id="76" w:name="ref-7"/>
      <w:bookmarkEnd w:id="76"/>
      <w:r>
        <w:t xml:space="preserve">7. Simon George, Defence Science and Technology Laboratory; Andrew Ash, Defence Science and Technology Laboratory; Travis Bessell, Defence Science and Technology Group; James Frith, AFRL/RVSW; Lauchie Scott, Defence R&amp;D Canada; Jovan Skuljan, Defence Technology Agency; Roberto Furfaro, University of Arizona; Vishnu Reddy, University of Arizona. PHANTOM ECHOES: A Five-Eyes SDA Experiment to Examine GEO Rendezvous and Proximity (2020). [AMOS]</w:t>
      </w:r>
      <w:r>
        <w:t xml:space="preserve"> </w:t>
      </w:r>
      <w:bookmarkStart w:id="77" w:name="ref-8"/>
      <w:bookmarkEnd w:id="77"/>
      <w:r>
        <w:t xml:space="preserve">8. James Blake, University of Warwick; Benjamin Cooke, University of Warwick; Grant Privett, Defence Science and Technology Laboratory; Toshifumi Yanagisawa, Japan Aerospace Exploration Agency; William Feline, Defence Science Technology Laboratory; Christopher Onken, Australian National University; Don Pollacco, University of Warwick; Paul Chote, University of Warwick; Tomoko Fujiwara, JAXA Bisei Space Guard Center; Daisuke Kuroda, JAXA Bisei Space Guard Center; Tokuhiro Nimura, JAXA Bisei Space Guard Center; Kota Nishiyama, JAXA Bisei Space Guard Center; Shin-ichiro Okumura, JAXA Bisei Space Guard Center; Seitaro Urakawa, JAXA Bisei Space Guard Center; Christian Wolf, Australian National University. Improved Astrometry and Sensitivity for a Survey of Faint Geosynchronous Debris (2025). doi:</w:t>
      </w:r>
      <w:r>
        <w:t xml:space="preserve"> </w:t>
      </w:r>
      <w:hyperlink r:id="rId78">
        <w:r>
          <w:rPr>
            <w:rStyle w:val="Hyperlink"/>
          </w:rPr>
          <w:t xml:space="preserve">10.64861/SYCB6464</w:t>
        </w:r>
      </w:hyperlink>
    </w:p>
    <w:bookmarkEnd w:id="79"/>
    <w:bookmarkStart w:id="80"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80"/>
    <w:bookmarkStart w:id="84"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0.8541</w:t>
            </w:r>
          </w:p>
        </w:tc>
        <w:tc>
          <w:tcPr>
            <w:tcW w:w="0" w:type="auto"/>
          </w:tcPr>
          <w:p>
            <w:pPr>
              <w:spacing w:line="240" w:lineRule="auto" w:before="0" w:after="0"/>
              <w:pStyle w:val="Compact"/>
            </w:pPr>
            <w:r>
              <w:rPr>
                <w:sz w:val="20"/>
                <w:szCs w:val="20"/>
              </w:rPr>
              <w:t xml:space="preserve">0.3415</w:t>
            </w:r>
          </w:p>
        </w:tc>
        <w:tc>
          <w:tcPr>
            <w:tcW w:w="0" w:type="auto"/>
          </w:tcPr>
          <w:p>
            <w:pPr>
              <w:spacing w:line="240" w:lineRule="auto" w:before="0" w:after="0"/>
              <w:pStyle w:val="Compact"/>
            </w:pPr>
            <w:r>
              <w:rPr>
                <w:sz w:val="20"/>
                <w:szCs w:val="20"/>
              </w:rPr>
              <w:t xml:space="preserve">2.5008</w:t>
            </w:r>
          </w:p>
        </w:tc>
        <w:tc>
          <w:tcPr>
            <w:tcW w:w="0" w:type="auto"/>
          </w:tcPr>
          <w:p>
            <w:pPr>
              <w:spacing w:line="240" w:lineRule="auto" w:before="0" w:after="0"/>
              <w:pStyle w:val="Compact"/>
            </w:pPr>
            <w:r>
              <w:rPr>
                <w:sz w:val="20"/>
                <w:szCs w:val="20"/>
              </w:rPr>
              <w:t xml:space="preserve">0.0124</w:t>
            </w:r>
          </w:p>
        </w:tc>
        <w:tc>
          <w:tcPr>
            <w:tcW w:w="0" w:type="auto"/>
          </w:tcPr>
          <w:p>
            <w:pPr>
              <w:spacing w:line="240" w:lineRule="auto" w:before="0" w:after="0"/>
              <w:pStyle w:val="Compact"/>
            </w:pPr>
            <w:r>
              <w:rPr>
                <w:sz w:val="20"/>
                <w:szCs w:val="20"/>
              </w:rPr>
              <w:t xml:space="preserve">[0.1847, 1.5234]</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-0.167</w:t>
            </w:r>
          </w:p>
        </w:tc>
        <w:tc>
          <w:tcPr>
            <w:tcW w:w="0" w:type="auto"/>
          </w:tcPr>
          <w:p>
            <w:pPr>
              <w:spacing w:line="240" w:lineRule="auto" w:before="0" w:after="0"/>
              <w:pStyle w:val="Compact"/>
            </w:pPr>
            <w:r>
              <w:rPr>
                <w:sz w:val="20"/>
                <w:szCs w:val="20"/>
              </w:rPr>
              <w:t xml:space="preserve">0.1675</w:t>
            </w:r>
          </w:p>
        </w:tc>
        <w:tc>
          <w:tcPr>
            <w:tcW w:w="0" w:type="auto"/>
          </w:tcPr>
          <w:p>
            <w:pPr>
              <w:spacing w:line="240" w:lineRule="auto" w:before="0" w:after="0"/>
              <w:pStyle w:val="Compact"/>
            </w:pPr>
            <w:r>
              <w:rPr>
                <w:sz w:val="20"/>
                <w:szCs w:val="20"/>
              </w:rPr>
              <w:t xml:space="preserve">-0.9972</w:t>
            </w:r>
          </w:p>
        </w:tc>
        <w:tc>
          <w:tcPr>
            <w:tcW w:w="0" w:type="auto"/>
          </w:tcPr>
          <w:p>
            <w:pPr>
              <w:spacing w:line="240" w:lineRule="auto" w:before="0" w:after="0"/>
              <w:pStyle w:val="Compact"/>
            </w:pPr>
            <w:r>
              <w:rPr>
                <w:sz w:val="20"/>
                <w:szCs w:val="20"/>
              </w:rPr>
              <w:t xml:space="preserve">0.3187</w:t>
            </w:r>
          </w:p>
        </w:tc>
        <w:tc>
          <w:tcPr>
            <w:tcW w:w="0" w:type="auto"/>
          </w:tcPr>
          <w:p>
            <w:pPr>
              <w:spacing w:line="240" w:lineRule="auto" w:before="0" w:after="0"/>
              <w:pStyle w:val="Compact"/>
            </w:pPr>
            <w:r>
              <w:rPr>
                <w:sz w:val="20"/>
                <w:szCs w:val="20"/>
              </w:rPr>
              <w:t xml:space="preserve">[-0.4953, 0.1612]</w:t>
            </w:r>
          </w:p>
        </w:tc>
      </w:tr>
    </w:tbl>
    <w:p>
      <w:pPr>
        <w:pStyle w:val="BodyText"/>
      </w:pPr>
      <w:r>
        <w:t xml:space="preserve">Fit: N = 30 R2 = 0.0115 elasticity_b = -0.167 progress_ratio_2^b = 0.8907</w:t>
      </w:r>
    </w:p>
    <w:p>
      <w:pPr>
        <w:pStyle w:val="CaptionedFigure"/>
      </w:pPr>
      <w:r>
        <w:drawing>
          <wp:inline>
            <wp:extent cx="5669280" cy="3657600"/>
            <wp:effectExtent b="0" l="0" r="0" t="0"/>
            <wp:docPr descr="Figure 1. Citation accumulation against article age in the retrieved topic literature." title="" id="82" name="Picture"/>
            <a:graphic>
              <a:graphicData uri="http://schemas.openxmlformats.org/drawingml/2006/picture">
                <pic:pic>
                  <pic:nvPicPr>
                    <pic:cNvPr descr="D:\Claude_Code\brain\collegium\candidates\dissertations\SUSTAINABILITY_INSTITUTIONS_09\research_papers\p2\paper_fig1.png" id="83" name="Picture"/>
                    <pic:cNvPicPr>
                      <a:picLocks noChangeArrowheads="1" noChangeAspect="1"/>
                    </pic:cNvPicPr>
                  </pic:nvPicPr>
                  <pic:blipFill>
                    <a:blip r:embed="rId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4"/>
    <w:bookmarkStart w:id="8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https://amostech.space/year/2020/contribution-from-ssa-data-to-the-definition-of-a-space-sustainability-rating/</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10.64861/FKER7625</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https://amostech.space/year/2009/experimental-investigation-of-the-performance-of-image-registration-and-de-aliasing-algorithms/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https://amostech.space/year/2022/projected-orbital-demand-and-leo-environmental-capacity/</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10.64861/BJII1274</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10.64861/COAK4355</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https://amostech.space/year/2020/phantom-echoes-a-five-eyes-sda-experiment-to-examine-geo-rendezvous-and-proximity/</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10.64861/SYCB6464</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10.64861/BUIN8954</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10.64861/MVHC2799</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10.64861/XGPY2184</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10.64861/ZXJQ1584</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10.1016/j.actaastro.2025.06.029</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10.1016/j.actaastro.2023.05.001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10.1016/j.actaastro.2026.05.065</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10.1016/j.actaastro.2023.07.009</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10.1016/j.actaastro.2022.11.005</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10.1016/j.actaastro.2022.03.009</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10.1016/j.actaastro.2022.12.045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10.1016/j.actaastro.2025.04.041</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McKinsey and World Economic Forum 2022 report synthesizing perspectives from nearly 100 leaders across 25 countries on the space sector’s inflection point, four future scenarios, and five priority actions needed to achieve a self-sustaining space economy, with particular emphasis on governance gaps, finite orbital resource competition, and the sustainability-security nexus.</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10.1016/j.actaastro.2025.06.015</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 New Role for MSY in Stock Assessment and Management</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Reed and Dailey (MITRE, STM Conference 2023) propose a three-prong sociotechnical framework to enable a circular/lifecycle-oriented space economy: a standardized evolvable space ontology, a trusted symmetric information-sharing ecosystem (SISE), and actionable norms built on Minimal Viable Information (MVI) principles.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10.1046/j.1467-2979.2001.00033.x</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 comprehensive literature review synthesizing William J. Norris’s</w:t>
            </w:r>
            <w:r>
              <w:rPr>
                <w:sz w:val="20"/>
                <w:szCs w:val="20"/>
              </w:rPr>
              <w:t xml:space="preserve"> </w:t>
            </w:r>
            <w:r>
              <w:rPr>
                <w:sz w:val="20"/>
                <w:szCs w:val="20"/>
              </w:rPr>
              <w:t xml:space="preserve">“Chinese Economic Statecraft”</w:t>
            </w:r>
            <w:r>
              <w:rPr>
                <w:sz w:val="20"/>
                <w:szCs w:val="20"/>
              </w:rPr>
              <w:t xml:space="preserve"> </w:t>
            </w:r>
            <w:r>
              <w:rPr>
                <w:sz w:val="20"/>
                <w:szCs w:val="20"/>
              </w:rPr>
              <w:t xml:space="preserve">and David A. Baldwin’s</w:t>
            </w:r>
            <w:r>
              <w:rPr>
                <w:sz w:val="20"/>
                <w:szCs w:val="20"/>
              </w:rPr>
              <w:t xml:space="preserve"> </w:t>
            </w:r>
            <w:r>
              <w:rPr>
                <w:sz w:val="20"/>
                <w:szCs w:val="20"/>
              </w:rPr>
              <w:t xml:space="preserve">“Economic Statecraft,”</w:t>
            </w:r>
            <w:r>
              <w:rPr>
                <w:sz w:val="20"/>
                <w:szCs w:val="20"/>
              </w:rPr>
              <w:t xml:space="preserve"> </w:t>
            </w:r>
            <w:r>
              <w:rPr>
                <w:sz w:val="20"/>
                <w:szCs w:val="20"/>
              </w:rPr>
              <w:t xml:space="preserve">analyzing China’s use of state-controlled commercial actors, financial instruments, and sovereign wealth funds to advance strategic objectives, with extrapolation to the space economy as a new frontier for resource acquisition and geopolitical positioning.</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10.1016/j.actaastro.2025.03.034</w:t>
            </w:r>
          </w:p>
        </w:tc>
      </w:tr>
    </w:tbl>
    <w:bookmarkEnd w:id="85"/>
    <w:bookmarkStart w:id="8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6"/>
    <w:bookmarkStart w:id="8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0.8541</w:t>
            </w:r>
          </w:p>
        </w:tc>
        <w:tc>
          <w:tcPr>
            <w:tcW w:w="0" w:type="auto"/>
          </w:tcPr>
          <w:p>
            <w:pPr>
              <w:spacing w:line="240" w:lineRule="auto" w:before="0" w:after="0"/>
              <w:pStyle w:val="Compact"/>
            </w:pPr>
            <w:r>
              <w:rPr>
                <w:sz w:val="20"/>
                <w:szCs w:val="20"/>
              </w:rPr>
              <w:t xml:space="preserve">0.3415</w:t>
            </w:r>
          </w:p>
        </w:tc>
        <w:tc>
          <w:tcPr>
            <w:tcW w:w="0" w:type="auto"/>
          </w:tcPr>
          <w:p>
            <w:pPr>
              <w:spacing w:line="240" w:lineRule="auto" w:before="0" w:after="0"/>
              <w:pStyle w:val="Compact"/>
            </w:pPr>
            <w:r>
              <w:rPr>
                <w:sz w:val="20"/>
                <w:szCs w:val="20"/>
              </w:rPr>
              <w:t xml:space="preserve">2.5008</w:t>
            </w:r>
          </w:p>
        </w:tc>
        <w:tc>
          <w:tcPr>
            <w:tcW w:w="0" w:type="auto"/>
          </w:tcPr>
          <w:p>
            <w:pPr>
              <w:spacing w:line="240" w:lineRule="auto" w:before="0" w:after="0"/>
              <w:pStyle w:val="Compact"/>
            </w:pPr>
            <w:r>
              <w:rPr>
                <w:sz w:val="20"/>
                <w:szCs w:val="20"/>
              </w:rPr>
              <w:t xml:space="preserve">0.0124</w:t>
            </w:r>
          </w:p>
        </w:tc>
        <w:tc>
          <w:tcPr>
            <w:tcW w:w="0" w:type="auto"/>
          </w:tcPr>
          <w:p>
            <w:pPr>
              <w:spacing w:line="240" w:lineRule="auto" w:before="0" w:after="0"/>
              <w:pStyle w:val="Compact"/>
            </w:pPr>
            <w:r>
              <w:rPr>
                <w:sz w:val="20"/>
                <w:szCs w:val="20"/>
              </w:rPr>
              <w:t xml:space="preserve">[0.1847, 1.5234]</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-0.167</w:t>
            </w:r>
          </w:p>
        </w:tc>
        <w:tc>
          <w:tcPr>
            <w:tcW w:w="0" w:type="auto"/>
          </w:tcPr>
          <w:p>
            <w:pPr>
              <w:spacing w:line="240" w:lineRule="auto" w:before="0" w:after="0"/>
              <w:pStyle w:val="Compact"/>
            </w:pPr>
            <w:r>
              <w:rPr>
                <w:sz w:val="20"/>
                <w:szCs w:val="20"/>
              </w:rPr>
              <w:t xml:space="preserve">0.1675</w:t>
            </w:r>
          </w:p>
        </w:tc>
        <w:tc>
          <w:tcPr>
            <w:tcW w:w="0" w:type="auto"/>
          </w:tcPr>
          <w:p>
            <w:pPr>
              <w:spacing w:line="240" w:lineRule="auto" w:before="0" w:after="0"/>
              <w:pStyle w:val="Compact"/>
            </w:pPr>
            <w:r>
              <w:rPr>
                <w:sz w:val="20"/>
                <w:szCs w:val="20"/>
              </w:rPr>
              <w:t xml:space="preserve">-0.9972</w:t>
            </w:r>
          </w:p>
        </w:tc>
        <w:tc>
          <w:tcPr>
            <w:tcW w:w="0" w:type="auto"/>
          </w:tcPr>
          <w:p>
            <w:pPr>
              <w:spacing w:line="240" w:lineRule="auto" w:before="0" w:after="0"/>
              <w:pStyle w:val="Compact"/>
            </w:pPr>
            <w:r>
              <w:rPr>
                <w:sz w:val="20"/>
                <w:szCs w:val="20"/>
              </w:rPr>
              <w:t xml:space="preserve">0.3187</w:t>
            </w:r>
          </w:p>
        </w:tc>
        <w:tc>
          <w:tcPr>
            <w:tcW w:w="0" w:type="auto"/>
          </w:tcPr>
          <w:p>
            <w:pPr>
              <w:spacing w:line="240" w:lineRule="auto" w:before="0" w:after="0"/>
              <w:pStyle w:val="Compact"/>
            </w:pPr>
            <w:r>
              <w:rPr>
                <w:sz w:val="20"/>
                <w:szCs w:val="20"/>
              </w:rPr>
              <w:t xml:space="preserve">[-0.4953, 0.1612]</w:t>
            </w:r>
          </w:p>
        </w:tc>
      </w:tr>
    </w:tbl>
    <w:p>
      <w:pPr>
        <w:pStyle w:val="BodyText"/>
      </w:pPr>
      <w:r>
        <w:t xml:space="preserve">Fit: N = 30 R2 = 0.0115 elasticity_b = -0.167 progress_ratio_2^b = 0.8907</w:t>
      </w:r>
    </w:p>
    <w:bookmarkEnd w:id="87"/>
    <w:bookmarkEnd w:id="88"/>
    <w:bookmarkEnd w:id="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1" Target="media/rId81.png" /><Relationship Type="http://schemas.openxmlformats.org/officeDocument/2006/relationships/hyperlink" Id="rId73" Target="https://doi.org/10.64861/BJII1274" TargetMode="External" /><Relationship Type="http://schemas.openxmlformats.org/officeDocument/2006/relationships/hyperlink" Id="rId75" Target="https://doi.org/10.64861/COAK4355" TargetMode="External" /><Relationship Type="http://schemas.openxmlformats.org/officeDocument/2006/relationships/hyperlink" Id="rId69" Target="https://doi.org/10.64861/FKER7625" TargetMode="External" /><Relationship Type="http://schemas.openxmlformats.org/officeDocument/2006/relationships/hyperlink" Id="rId78" Target="https://doi.org/10.64861/SYCB6464" TargetMode="External" /></Relationships>
</file>

<file path=word/_rels/footnotes.xml.rels><?xml version="1.0" encoding="UTF-8"?><Relationships xmlns="http://schemas.openxmlformats.org/package/2006/relationships"><Relationship Type="http://schemas.openxmlformats.org/officeDocument/2006/relationships/hyperlink" Id="rId73" Target="https://doi.org/10.64861/BJII1274" TargetMode="External" /><Relationship Type="http://schemas.openxmlformats.org/officeDocument/2006/relationships/hyperlink" Id="rId75" Target="https://doi.org/10.64861/COAK4355" TargetMode="External" /><Relationship Type="http://schemas.openxmlformats.org/officeDocument/2006/relationships/hyperlink" Id="rId69" Target="https://doi.org/10.64861/FKER7625" TargetMode="External" /><Relationship Type="http://schemas.openxmlformats.org/officeDocument/2006/relationships/hyperlink" Id="rId78" Target="https://doi.org/10.64861/SYCB6464"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2026-06-29T09:43:45Z</dcterms:created>
  <dcterms:modified xsi:type="dcterms:W3CDTF">2026-06-29T09:43:45Z</dcterms:modified>
</cp:coreProperties>
</file>

<file path=docProps/custom.xml><?xml version="1.0" encoding="utf-8"?>
<Properties xmlns="http://schemas.openxmlformats.org/officeDocument/2006/custom-properties" xmlns:vt="http://schemas.openxmlformats.org/officeDocument/2006/docPropsVTypes"/>
</file>