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1.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9" w:name="X98619a574b0dd1a05940ce1b91408606054b29b"/>
    <w:p>
      <w:pPr>
        <w:pStyle w:val="Heading1"/>
      </w:pPr>
      <w:r>
        <w:t xml:space="preserve">Signal Intensity in Rating the Raters Do Space Sustainability Rating Disclosures Shift Operator Des: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Leila Saito (1B-SUS-222) and the dissertation project</w:t>
      </w:r>
      <w:r>
        <w:t xml:space="preserve"> </w:t>
      </w:r>
      <w:r>
        <w:rPr>
          <w:i/>
          <w:iCs/>
        </w:rPr>
        <w:t xml:space="preserve">Rating the Raters: Do Space Sustainability Rating Disclosures Shift Operator Des</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R2=0.08996407340487877, R2_adj=-0.015040071971481384, F=1.9171790733536138, F_p=0.15158007462127468. The exact term summary is: const coef=3.4389930798983346 p=0.24448887650627582; recency_index coef=0.10697617073030757 p=0.21217636740594104; cites_num coef=0.0015641671050730145 p=0.9781307321752699; venue_score coef=-0.701352302728385 p=0.32926056008683513.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9" w:name="references"/>
    <w:p>
      <w:pPr>
        <w:pStyle w:val="Heading2"/>
      </w:pPr>
      <w:r>
        <w:t xml:space="preserve">References</w:t>
      </w:r>
    </w:p>
    <w:p>
      <w:pPr>
        <w:pStyle w:val="FirstParagraph"/>
      </w:pPr>
      <w:bookmarkStart w:id="67" w:name="ref-1"/>
      <w:bookmarkEnd w:id="67"/>
      <w:r>
        <w:t xml:space="preserve">1.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 [AMOS]</w:t>
      </w:r>
      <w:r>
        <w:t xml:space="preserve"> </w:t>
      </w:r>
      <w:bookmarkStart w:id="68" w:name="ref-2"/>
      <w:bookmarkEnd w:id="68"/>
      <w:r>
        <w:t xml:space="preserve">2.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69">
        <w:r>
          <w:rPr>
            <w:rStyle w:val="Hyperlink"/>
          </w:rPr>
          <w:t xml:space="preserve">10.64861/FKER7625</w:t>
        </w:r>
      </w:hyperlink>
      <w:r>
        <w:t xml:space="preserve"> </w:t>
      </w:r>
      <w:bookmarkStart w:id="70" w:name="ref-3"/>
      <w:bookmarkEnd w:id="70"/>
      <w:r>
        <w:t xml:space="preserve">3. Peter N. Crabtree (AFRL), Phan D. Dao (AFRL), Richard H. Picard (AFRL). Experimental Investigation of the Performance of Image Registration and De-aliasing Algorithms (2009). [AMOS]</w:t>
      </w:r>
      <w:r>
        <w:t xml:space="preserve"> </w:t>
      </w:r>
      <w:bookmarkStart w:id="71" w:name="ref-4"/>
      <w:bookmarkEnd w:id="71"/>
      <w:r>
        <w:t xml:space="preserve">4. Andrea D’Ambrosio, Massachusetts Institute of Technology; Miles Lifson, Massachusetts Institute of Technology; Daniel Jang, Massachusetts Institute of Technology; Celina Pasiecznik, Massachusetts Institute of Technology; Richard Linares, Massachusetts Institute of Technology. Projected Orbital Demand and LEO Environmental Capacity (2022). [AMOS]</w:t>
      </w:r>
      <w:r>
        <w:t xml:space="preserve"> </w:t>
      </w:r>
      <w:bookmarkStart w:id="72" w:name="ref-5"/>
      <w:bookmarkEnd w:id="72"/>
      <w:r>
        <w:t xml:space="preserve">5. Sam Kirkwood, HEO; Jack Sines, HEO; James Allworth, HEO; Karla Vincent, HEO; Hannah Dawe, HEO; Francesco Scopelliti, HEO; Hiranya Jayakody, HEO; William Crowe, HEO. Advancing RSO Characterisation: Flyby Non-Earth Imaging for Attitude State and Tumble Rate Estimation (2025). doi:</w:t>
      </w:r>
      <w:r>
        <w:t xml:space="preserve"> </w:t>
      </w:r>
      <w:hyperlink r:id="rId73">
        <w:r>
          <w:rPr>
            <w:rStyle w:val="Hyperlink"/>
          </w:rPr>
          <w:t xml:space="preserve">10.64861/BJII1274</w:t>
        </w:r>
      </w:hyperlink>
      <w:r>
        <w:t xml:space="preserve"> </w:t>
      </w:r>
      <w:bookmarkStart w:id="74" w:name="ref-6"/>
      <w:bookmarkEnd w:id="74"/>
      <w:r>
        <w:t xml:space="preserve">6. Di Wu, Massachusetts Institute of Technology; Daniel Jang, Massachusetts Institute of Technology; Guillermo D Mendoza Contreras, Massachusetts Institute of Technology; Richard Linares, Massachusetts Institute of Technology. MOCAT on Temporal Analysis and Quantification for Policies in Space Sustainability (2024). doi:</w:t>
      </w:r>
      <w:r>
        <w:t xml:space="preserve"> </w:t>
      </w:r>
      <w:hyperlink r:id="rId75">
        <w:r>
          <w:rPr>
            <w:rStyle w:val="Hyperlink"/>
          </w:rPr>
          <w:t xml:space="preserve">10.64861/COAK4355</w:t>
        </w:r>
      </w:hyperlink>
      <w:r>
        <w:t xml:space="preserve"> </w:t>
      </w:r>
      <w:bookmarkStart w:id="76" w:name="ref-7"/>
      <w:bookmarkEnd w:id="76"/>
      <w:r>
        <w:t xml:space="preserve">7. Simon George, Defence Science and Technology Laboratory; Andrew Ash, Defence Science and Technology Laboratory; Travis Bessell, Defence Science and Technology Group; James Frith, AFRL/RVSW; Lauchie Scott, Defence R&amp;D Canada; Jovan Skuljan, Defence Technology Agency; Roberto Furfaro, University of Arizona; Vishnu Reddy, University of Arizona. PHANTOM ECHOES: A Five-Eyes SDA Experiment to Examine GEO Rendezvous and Proximity (2020). [AMOS]</w:t>
      </w:r>
      <w:r>
        <w:t xml:space="preserve"> </w:t>
      </w:r>
      <w:bookmarkStart w:id="77" w:name="ref-8"/>
      <w:bookmarkEnd w:id="77"/>
      <w:r>
        <w:t xml:space="preserve">8. James Blake, University of Warwick; Benjamin Cooke, University of Warwick; Grant Privett, Defence Science and Technology Laboratory; Toshifumi Yanagisawa, Japan Aerospace Exploration Agency; William Feline, Defence Science Technology Laboratory; Christopher Onken, Australian National University; Don Pollacco, University of Warwick; Paul Chote, University of Warwick; Tomoko Fujiwara, JAXA Bisei Space Guard Center; Daisuke Kuroda, JAXA Bisei Space Guard Center; Tokuhiro Nimura, JAXA Bisei Space Guard Center; Kota Nishiyama, JAXA Bisei Space Guard Center; Shin-ichiro Okumura, JAXA Bisei Space Guard Center; Seitaro Urakawa, JAXA Bisei Space Guard Center; Christian Wolf, Australian National University. Improved Astrometry and Sensitivity for a Survey of Faint Geosynchronous Debris (2025). doi:</w:t>
      </w:r>
      <w:r>
        <w:t xml:space="preserve"> </w:t>
      </w:r>
      <w:hyperlink r:id="rId78">
        <w:r>
          <w:rPr>
            <w:rStyle w:val="Hyperlink"/>
          </w:rPr>
          <w:t xml:space="preserve">10.64861/SYCB6464</w:t>
        </w:r>
      </w:hyperlink>
    </w:p>
    <w:bookmarkEnd w:id="79"/>
    <w:bookmarkStart w:id="80"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80"/>
    <w:bookmarkStart w:id="84"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3.439</w:t>
            </w:r>
          </w:p>
        </w:tc>
        <w:tc>
          <w:tcPr>
            <w:tcW w:w="0" w:type="auto"/>
          </w:tcPr>
          <w:p>
            <w:pPr>
              <w:spacing w:line="240" w:lineRule="auto" w:before="0" w:after="0"/>
              <w:pStyle w:val="Compact"/>
            </w:pPr>
            <w:r>
              <w:rPr>
                <w:sz w:val="20"/>
                <w:szCs w:val="20"/>
              </w:rPr>
              <w:t xml:space="preserve">2.9549</w:t>
            </w:r>
          </w:p>
        </w:tc>
        <w:tc>
          <w:tcPr>
            <w:tcW w:w="0" w:type="auto"/>
          </w:tcPr>
          <w:p>
            <w:pPr>
              <w:spacing w:line="240" w:lineRule="auto" w:before="0" w:after="0"/>
              <w:pStyle w:val="Compact"/>
            </w:pPr>
            <w:r>
              <w:rPr>
                <w:sz w:val="20"/>
                <w:szCs w:val="20"/>
              </w:rPr>
              <w:t xml:space="preserve">1.1638</w:t>
            </w:r>
          </w:p>
        </w:tc>
        <w:tc>
          <w:tcPr>
            <w:tcW w:w="0" w:type="auto"/>
          </w:tcPr>
          <w:p>
            <w:pPr>
              <w:spacing w:line="240" w:lineRule="auto" w:before="0" w:after="0"/>
              <w:pStyle w:val="Compact"/>
            </w:pPr>
            <w:r>
              <w:rPr>
                <w:sz w:val="20"/>
                <w:szCs w:val="20"/>
              </w:rPr>
              <w:t xml:space="preserve">0.2445</w:t>
            </w:r>
          </w:p>
        </w:tc>
        <w:tc>
          <w:tcPr>
            <w:tcW w:w="0" w:type="auto"/>
          </w:tcPr>
          <w:p>
            <w:pPr>
              <w:spacing w:line="240" w:lineRule="auto" w:before="0" w:after="0"/>
              <w:pStyle w:val="Compact"/>
            </w:pPr>
            <w:r>
              <w:rPr>
                <w:sz w:val="20"/>
                <w:szCs w:val="20"/>
              </w:rPr>
              <w:t xml:space="preserve">[-2.3524, 9.2304]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0.107</w:t>
            </w:r>
          </w:p>
        </w:tc>
        <w:tc>
          <w:tcPr>
            <w:tcW w:w="0" w:type="auto"/>
          </w:tcPr>
          <w:p>
            <w:pPr>
              <w:spacing w:line="240" w:lineRule="auto" w:before="0" w:after="0"/>
              <w:pStyle w:val="Compact"/>
            </w:pPr>
            <w:r>
              <w:rPr>
                <w:sz w:val="20"/>
                <w:szCs w:val="20"/>
              </w:rPr>
              <w:t xml:space="preserve">0.0857</w:t>
            </w:r>
          </w:p>
        </w:tc>
        <w:tc>
          <w:tcPr>
            <w:tcW w:w="0" w:type="auto"/>
          </w:tcPr>
          <w:p>
            <w:pPr>
              <w:spacing w:line="240" w:lineRule="auto" w:before="0" w:after="0"/>
              <w:pStyle w:val="Compact"/>
            </w:pPr>
            <w:r>
              <w:rPr>
                <w:sz w:val="20"/>
                <w:szCs w:val="20"/>
              </w:rPr>
              <w:t xml:space="preserve">1.2476</w:t>
            </w:r>
          </w:p>
        </w:tc>
        <w:tc>
          <w:tcPr>
            <w:tcW w:w="0" w:type="auto"/>
          </w:tcPr>
          <w:p>
            <w:pPr>
              <w:spacing w:line="240" w:lineRule="auto" w:before="0" w:after="0"/>
              <w:pStyle w:val="Compact"/>
            </w:pPr>
            <w:r>
              <w:rPr>
                <w:sz w:val="20"/>
                <w:szCs w:val="20"/>
              </w:rPr>
              <w:t xml:space="preserve">0.2122</w:t>
            </w:r>
          </w:p>
        </w:tc>
        <w:tc>
          <w:tcPr>
            <w:tcW w:w="0" w:type="auto"/>
          </w:tcPr>
          <w:p>
            <w:pPr>
              <w:spacing w:line="240" w:lineRule="auto" w:before="0" w:after="0"/>
              <w:pStyle w:val="Compact"/>
            </w:pPr>
            <w:r>
              <w:rPr>
                <w:sz w:val="20"/>
                <w:szCs w:val="20"/>
              </w:rPr>
              <w:t xml:space="preserve">[-0.0611, 0.275]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0.0571</w:t>
            </w:r>
          </w:p>
        </w:tc>
        <w:tc>
          <w:tcPr>
            <w:tcW w:w="0" w:type="auto"/>
          </w:tcPr>
          <w:p>
            <w:pPr>
              <w:spacing w:line="240" w:lineRule="auto" w:before="0" w:after="0"/>
              <w:pStyle w:val="Compact"/>
            </w:pPr>
            <w:r>
              <w:rPr>
                <w:sz w:val="20"/>
                <w:szCs w:val="20"/>
              </w:rPr>
              <w:t xml:space="preserve">0.0274</w:t>
            </w:r>
          </w:p>
        </w:tc>
        <w:tc>
          <w:tcPr>
            <w:tcW w:w="0" w:type="auto"/>
          </w:tcPr>
          <w:p>
            <w:pPr>
              <w:spacing w:line="240" w:lineRule="auto" w:before="0" w:after="0"/>
              <w:pStyle w:val="Compact"/>
            </w:pPr>
            <w:r>
              <w:rPr>
                <w:sz w:val="20"/>
                <w:szCs w:val="20"/>
              </w:rPr>
              <w:t xml:space="preserve">0.9781</w:t>
            </w:r>
          </w:p>
        </w:tc>
        <w:tc>
          <w:tcPr>
            <w:tcW w:w="0" w:type="auto"/>
          </w:tcPr>
          <w:p>
            <w:pPr>
              <w:spacing w:line="240" w:lineRule="auto" w:before="0" w:after="0"/>
              <w:pStyle w:val="Compact"/>
            </w:pPr>
            <w:r>
              <w:rPr>
                <w:sz w:val="20"/>
                <w:szCs w:val="20"/>
              </w:rPr>
              <w:t xml:space="preserve">[-0.1103, 0.1134]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-0.7014</w:t>
            </w:r>
          </w:p>
        </w:tc>
        <w:tc>
          <w:tcPr>
            <w:tcW w:w="0" w:type="auto"/>
          </w:tcPr>
          <w:p>
            <w:pPr>
              <w:spacing w:line="240" w:lineRule="auto" w:before="0" w:after="0"/>
              <w:pStyle w:val="Compact"/>
            </w:pPr>
            <w:r>
              <w:rPr>
                <w:sz w:val="20"/>
                <w:szCs w:val="20"/>
              </w:rPr>
              <w:t xml:space="preserve">0.7189</w:t>
            </w:r>
          </w:p>
        </w:tc>
        <w:tc>
          <w:tcPr>
            <w:tcW w:w="0" w:type="auto"/>
          </w:tcPr>
          <w:p>
            <w:pPr>
              <w:spacing w:line="240" w:lineRule="auto" w:before="0" w:after="0"/>
              <w:pStyle w:val="Compact"/>
            </w:pPr>
            <w:r>
              <w:rPr>
                <w:sz w:val="20"/>
                <w:szCs w:val="20"/>
              </w:rPr>
              <w:t xml:space="preserve">-0.9756</w:t>
            </w:r>
          </w:p>
        </w:tc>
        <w:tc>
          <w:tcPr>
            <w:tcW w:w="0" w:type="auto"/>
          </w:tcPr>
          <w:p>
            <w:pPr>
              <w:spacing w:line="240" w:lineRule="auto" w:before="0" w:after="0"/>
              <w:pStyle w:val="Compact"/>
            </w:pPr>
            <w:r>
              <w:rPr>
                <w:sz w:val="20"/>
                <w:szCs w:val="20"/>
              </w:rPr>
              <w:t xml:space="preserve">0.3293</w:t>
            </w:r>
          </w:p>
        </w:tc>
        <w:tc>
          <w:tcPr>
            <w:tcW w:w="0" w:type="auto"/>
          </w:tcPr>
          <w:p>
            <w:pPr>
              <w:spacing w:line="240" w:lineRule="auto" w:before="0" w:after="0"/>
              <w:pStyle w:val="Compact"/>
            </w:pPr>
            <w:r>
              <w:rPr>
                <w:sz w:val="20"/>
                <w:szCs w:val="20"/>
              </w:rPr>
              <w:t xml:space="preserve">[-2.1104, 0.7076]</w:t>
            </w:r>
          </w:p>
        </w:tc>
      </w:tr>
    </w:tbl>
    <w:p>
      <w:pPr>
        <w:pStyle w:val="BodyText"/>
      </w:pPr>
      <w:r>
        <w:t xml:space="preserve">Fit: N = 30 R2 = 0.09 R2_adj = -0.015 F = 1.9172 F_p = 0.1516</w:t>
      </w:r>
    </w:p>
    <w:p>
      <w:pPr>
        <w:pStyle w:val="CaptionedFigure"/>
      </w:pPr>
      <w:r>
        <w:drawing>
          <wp:inline>
            <wp:extent cx="5669280" cy="3657600"/>
            <wp:effectExtent b="0" l="0" r="0" t="0"/>
            <wp:docPr descr="Figure 1. Topic-signal score by publication recency, conditioning on citation attention and venue family." title="" id="82" name="Picture"/>
            <a:graphic>
              <a:graphicData uri="http://schemas.openxmlformats.org/drawingml/2006/picture">
                <pic:pic>
                  <pic:nvPicPr>
                    <pic:cNvPr descr="D:\Claude_Code\brain\collegium\candidates\dissertations\SUSTAINABILITY_INSTITUTIONS_09\research_papers\p1\paper_fig1.png" id="83" name="Picture"/>
                    <pic:cNvPicPr>
                      <a:picLocks noChangeArrowheads="1" noChangeAspect="1"/>
                    </pic:cNvPicPr>
                  </pic:nvPicPr>
                  <pic:blipFill>
                    <a:blip r:embed="rId81"/>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4"/>
    <w:bookmarkStart w:id="88"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5"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https://amostech.space/year/2020/contribution-from-ssa-data-to-the-definition-of-a-space-sustainability-rating/</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https://amostech.space/year/2009/experimental-investigation-of-the-performance-of-image-registration-and-de-aliasing-algorithms/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https://amostech.space/year/2022/projected-orbital-demand-and-leo-environmental-capacity/</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10.64861/BJII1274</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10.64861/COAK4355</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https://amostech.space/year/2020/phantom-echoes-a-five-eyes-sda-experiment-to-examine-geo-rendezvous-and-proximity/</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10.64861/SYCB6464</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10.64861/BUIN8954</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10.64861/XGPY2184</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10.64861/ZXJQ1584</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10.1016/j.actaastro.2025.06.029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10.1016/j.actaastro.2023.05.001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10.1016/j.actaastro.2026.05.065</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10.1016/j.actaastro.2022.11.005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10.1016/j.actaastro.2022.03.009</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10.1016/j.actaastro.2022.12.045</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McKinsey and World Economic Forum 2022 report synthesizing perspectives from nearly 100 leaders across 25 countries on the space sector’s inflection point, four future scenarios, and five priority actions needed to achieve a self-sustaining space economy, with particular emphasis on governance gaps, finite orbital resource competition, and the sustainability-security nexus.</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10.1016/j.actaastro.2025.06.015</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New Role for MSY in Stock Assessment and Management</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Reed and Dailey (MITRE, STM Conference 2023) propose a three-prong sociotechnical framework to enable a circular/lifecycle-oriented space economy: a standardized evolvable space ontology, a trusted symmetric information-sharing ecosystem (SISE), and actionable norms built on Minimal Viable Information (MVI) principles.</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10.1046/j.1467-2979.2001.00033.x</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The Role of Space in Driving Sustainability, Security, and Development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10.1016/j.actaastro.2025.03.034</w:t>
            </w:r>
          </w:p>
        </w:tc>
      </w:tr>
    </w:tbl>
    <w:bookmarkEnd w:id="85"/>
    <w:bookmarkStart w:id="86"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6"/>
    <w:bookmarkStart w:id="87"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3.439</w:t>
            </w:r>
          </w:p>
        </w:tc>
        <w:tc>
          <w:tcPr>
            <w:tcW w:w="0" w:type="auto"/>
          </w:tcPr>
          <w:p>
            <w:pPr>
              <w:spacing w:line="240" w:lineRule="auto" w:before="0" w:after="0"/>
              <w:pStyle w:val="Compact"/>
            </w:pPr>
            <w:r>
              <w:rPr>
                <w:sz w:val="20"/>
                <w:szCs w:val="20"/>
              </w:rPr>
              <w:t xml:space="preserve">2.9549</w:t>
            </w:r>
          </w:p>
        </w:tc>
        <w:tc>
          <w:tcPr>
            <w:tcW w:w="0" w:type="auto"/>
          </w:tcPr>
          <w:p>
            <w:pPr>
              <w:spacing w:line="240" w:lineRule="auto" w:before="0" w:after="0"/>
              <w:pStyle w:val="Compact"/>
            </w:pPr>
            <w:r>
              <w:rPr>
                <w:sz w:val="20"/>
                <w:szCs w:val="20"/>
              </w:rPr>
              <w:t xml:space="preserve">1.1638</w:t>
            </w:r>
          </w:p>
        </w:tc>
        <w:tc>
          <w:tcPr>
            <w:tcW w:w="0" w:type="auto"/>
          </w:tcPr>
          <w:p>
            <w:pPr>
              <w:spacing w:line="240" w:lineRule="auto" w:before="0" w:after="0"/>
              <w:pStyle w:val="Compact"/>
            </w:pPr>
            <w:r>
              <w:rPr>
                <w:sz w:val="20"/>
                <w:szCs w:val="20"/>
              </w:rPr>
              <w:t xml:space="preserve">0.2445</w:t>
            </w:r>
          </w:p>
        </w:tc>
        <w:tc>
          <w:tcPr>
            <w:tcW w:w="0" w:type="auto"/>
          </w:tcPr>
          <w:p>
            <w:pPr>
              <w:spacing w:line="240" w:lineRule="auto" w:before="0" w:after="0"/>
              <w:pStyle w:val="Compact"/>
            </w:pPr>
            <w:r>
              <w:rPr>
                <w:sz w:val="20"/>
                <w:szCs w:val="20"/>
              </w:rPr>
              <w:t xml:space="preserve">[-2.3524, 9.2304]</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0.107</w:t>
            </w:r>
          </w:p>
        </w:tc>
        <w:tc>
          <w:tcPr>
            <w:tcW w:w="0" w:type="auto"/>
          </w:tcPr>
          <w:p>
            <w:pPr>
              <w:spacing w:line="240" w:lineRule="auto" w:before="0" w:after="0"/>
              <w:pStyle w:val="Compact"/>
            </w:pPr>
            <w:r>
              <w:rPr>
                <w:sz w:val="20"/>
                <w:szCs w:val="20"/>
              </w:rPr>
              <w:t xml:space="preserve">0.0857</w:t>
            </w:r>
          </w:p>
        </w:tc>
        <w:tc>
          <w:tcPr>
            <w:tcW w:w="0" w:type="auto"/>
          </w:tcPr>
          <w:p>
            <w:pPr>
              <w:spacing w:line="240" w:lineRule="auto" w:before="0" w:after="0"/>
              <w:pStyle w:val="Compact"/>
            </w:pPr>
            <w:r>
              <w:rPr>
                <w:sz w:val="20"/>
                <w:szCs w:val="20"/>
              </w:rPr>
              <w:t xml:space="preserve">1.2476</w:t>
            </w:r>
          </w:p>
        </w:tc>
        <w:tc>
          <w:tcPr>
            <w:tcW w:w="0" w:type="auto"/>
          </w:tcPr>
          <w:p>
            <w:pPr>
              <w:spacing w:line="240" w:lineRule="auto" w:before="0" w:after="0"/>
              <w:pStyle w:val="Compact"/>
            </w:pPr>
            <w:r>
              <w:rPr>
                <w:sz w:val="20"/>
                <w:szCs w:val="20"/>
              </w:rPr>
              <w:t xml:space="preserve">0.2122</w:t>
            </w:r>
          </w:p>
        </w:tc>
        <w:tc>
          <w:tcPr>
            <w:tcW w:w="0" w:type="auto"/>
          </w:tcPr>
          <w:p>
            <w:pPr>
              <w:spacing w:line="240" w:lineRule="auto" w:before="0" w:after="0"/>
              <w:pStyle w:val="Compact"/>
            </w:pPr>
            <w:r>
              <w:rPr>
                <w:sz w:val="20"/>
                <w:szCs w:val="20"/>
              </w:rPr>
              <w:t xml:space="preserve">[-0.0611, 0.275]</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0.0016</w:t>
            </w:r>
          </w:p>
        </w:tc>
        <w:tc>
          <w:tcPr>
            <w:tcW w:w="0" w:type="auto"/>
          </w:tcPr>
          <w:p>
            <w:pPr>
              <w:spacing w:line="240" w:lineRule="auto" w:before="0" w:after="0"/>
              <w:pStyle w:val="Compact"/>
            </w:pPr>
            <w:r>
              <w:rPr>
                <w:sz w:val="20"/>
                <w:szCs w:val="20"/>
              </w:rPr>
              <w:t xml:space="preserve">0.0571</w:t>
            </w:r>
          </w:p>
        </w:tc>
        <w:tc>
          <w:tcPr>
            <w:tcW w:w="0" w:type="auto"/>
          </w:tcPr>
          <w:p>
            <w:pPr>
              <w:spacing w:line="240" w:lineRule="auto" w:before="0" w:after="0"/>
              <w:pStyle w:val="Compact"/>
            </w:pPr>
            <w:r>
              <w:rPr>
                <w:sz w:val="20"/>
                <w:szCs w:val="20"/>
              </w:rPr>
              <w:t xml:space="preserve">0.0274</w:t>
            </w:r>
          </w:p>
        </w:tc>
        <w:tc>
          <w:tcPr>
            <w:tcW w:w="0" w:type="auto"/>
          </w:tcPr>
          <w:p>
            <w:pPr>
              <w:spacing w:line="240" w:lineRule="auto" w:before="0" w:after="0"/>
              <w:pStyle w:val="Compact"/>
            </w:pPr>
            <w:r>
              <w:rPr>
                <w:sz w:val="20"/>
                <w:szCs w:val="20"/>
              </w:rPr>
              <w:t xml:space="preserve">0.9781</w:t>
            </w:r>
          </w:p>
        </w:tc>
        <w:tc>
          <w:tcPr>
            <w:tcW w:w="0" w:type="auto"/>
          </w:tcPr>
          <w:p>
            <w:pPr>
              <w:spacing w:line="240" w:lineRule="auto" w:before="0" w:after="0"/>
              <w:pStyle w:val="Compact"/>
            </w:pPr>
            <w:r>
              <w:rPr>
                <w:sz w:val="20"/>
                <w:szCs w:val="20"/>
              </w:rPr>
              <w:t xml:space="preserve">[-0.1103, 0.1134]</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-0.7014</w:t>
            </w:r>
          </w:p>
        </w:tc>
        <w:tc>
          <w:tcPr>
            <w:tcW w:w="0" w:type="auto"/>
          </w:tcPr>
          <w:p>
            <w:pPr>
              <w:spacing w:line="240" w:lineRule="auto" w:before="0" w:after="0"/>
              <w:pStyle w:val="Compact"/>
            </w:pPr>
            <w:r>
              <w:rPr>
                <w:sz w:val="20"/>
                <w:szCs w:val="20"/>
              </w:rPr>
              <w:t xml:space="preserve">0.7189</w:t>
            </w:r>
          </w:p>
        </w:tc>
        <w:tc>
          <w:tcPr>
            <w:tcW w:w="0" w:type="auto"/>
          </w:tcPr>
          <w:p>
            <w:pPr>
              <w:spacing w:line="240" w:lineRule="auto" w:before="0" w:after="0"/>
              <w:pStyle w:val="Compact"/>
            </w:pPr>
            <w:r>
              <w:rPr>
                <w:sz w:val="20"/>
                <w:szCs w:val="20"/>
              </w:rPr>
              <w:t xml:space="preserve">-0.9756</w:t>
            </w:r>
          </w:p>
        </w:tc>
        <w:tc>
          <w:tcPr>
            <w:tcW w:w="0" w:type="auto"/>
          </w:tcPr>
          <w:p>
            <w:pPr>
              <w:spacing w:line="240" w:lineRule="auto" w:before="0" w:after="0"/>
              <w:pStyle w:val="Compact"/>
            </w:pPr>
            <w:r>
              <w:rPr>
                <w:sz w:val="20"/>
                <w:szCs w:val="20"/>
              </w:rPr>
              <w:t xml:space="preserve">0.3293</w:t>
            </w:r>
          </w:p>
        </w:tc>
        <w:tc>
          <w:tcPr>
            <w:tcW w:w="0" w:type="auto"/>
          </w:tcPr>
          <w:p>
            <w:pPr>
              <w:spacing w:line="240" w:lineRule="auto" w:before="0" w:after="0"/>
              <w:pStyle w:val="Compact"/>
            </w:pPr>
            <w:r>
              <w:rPr>
                <w:sz w:val="20"/>
                <w:szCs w:val="20"/>
              </w:rPr>
              <w:t xml:space="preserve">[-2.1104, 0.7076]</w:t>
            </w:r>
          </w:p>
        </w:tc>
      </w:tr>
    </w:tbl>
    <w:p>
      <w:pPr>
        <w:pStyle w:val="BodyText"/>
      </w:pPr>
      <w:r>
        <w:t xml:space="preserve">Fit: N = 30 R2 = 0.09 R2_adj = -0.015 F = 1.9172 F_p = 0.1516</w:t>
      </w:r>
    </w:p>
    <w:bookmarkEnd w:id="87"/>
    <w:bookmarkEnd w:id="88"/>
    <w:bookmarkEnd w:id="89"/>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1" Target="media/rId81.png" /><Relationship Type="http://schemas.openxmlformats.org/officeDocument/2006/relationships/hyperlink" Id="rId73" Target="https://doi.org/10.64861/BJII1274" TargetMode="External" /><Relationship Type="http://schemas.openxmlformats.org/officeDocument/2006/relationships/hyperlink" Id="rId75" Target="https://doi.org/10.64861/COAK4355" TargetMode="External" /><Relationship Type="http://schemas.openxmlformats.org/officeDocument/2006/relationships/hyperlink" Id="rId69" Target="https://doi.org/10.64861/FKER7625" TargetMode="External" /><Relationship Type="http://schemas.openxmlformats.org/officeDocument/2006/relationships/hyperlink" Id="rId78" Target="https://doi.org/10.64861/SYCB6464" TargetMode="External" /></Relationships>
</file>

<file path=word/_rels/footnotes.xml.rels><?xml version="1.0" encoding="UTF-8"?><Relationships xmlns="http://schemas.openxmlformats.org/package/2006/relationships"><Relationship Type="http://schemas.openxmlformats.org/officeDocument/2006/relationships/hyperlink" Id="rId73" Target="https://doi.org/10.64861/BJII1274" TargetMode="External" /><Relationship Type="http://schemas.openxmlformats.org/officeDocument/2006/relationships/hyperlink" Id="rId75" Target="https://doi.org/10.64861/COAK4355" TargetMode="External" /><Relationship Type="http://schemas.openxmlformats.org/officeDocument/2006/relationships/hyperlink" Id="rId69" Target="https://doi.org/10.64861/FKER7625" TargetMode="External" /><Relationship Type="http://schemas.openxmlformats.org/officeDocument/2006/relationships/hyperlink" Id="rId78" Target="https://doi.org/10.64861/SYCB646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2026-06-29T09:43:43Z</dcterms:created>
  <dcterms:modified xsi:type="dcterms:W3CDTF">2026-06-29T09:43:43Z</dcterms:modified>
</cp:coreProperties>
</file>

<file path=docProps/custom.xml><?xml version="1.0" encoding="utf-8"?>
<Properties xmlns="http://schemas.openxmlformats.org/officeDocument/2006/custom-properties" xmlns:vt="http://schemas.openxmlformats.org/officeDocument/2006/docPropsVTypes"/>
</file>