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RATING THE RATERS: DO SPACE SUSTAINABILITY RATING DISCLOSURES SHIFT OPERATOR DES</w:t>
      </w:r>
    </w:p>
    <w:p>
      <w:pPr>
        <w:jc w:val="center"/>
      </w:pPr>
    </w:p>
    <w:p>
      <w:pPr>
        <w:jc w:val="center"/>
      </w:pPr>
      <w:r>
        <w:rPr>
          <w:rFonts w:ascii="Times New Roman" w:hAnsi="Times New Roman"/>
          <w:sz w:val="24"/>
        </w:rPr>
        <w:t>by</w:t>
      </w:r>
    </w:p>
    <w:p>
      <w:pPr>
        <w:jc w:val="center"/>
      </w:pPr>
      <w:r>
        <w:rPr>
          <w:rFonts w:ascii="Times New Roman" w:hAnsi="Times New Roman"/>
          <w:b/>
          <w:sz w:val="28"/>
        </w:rPr>
        <w:t>Leila Saito</w:t>
      </w:r>
    </w:p>
    <w:p>
      <w:pPr>
        <w:jc w:val="center"/>
      </w:pPr>
      <w:r>
        <w:rPr>
          <w:rFonts w:ascii="Times New Roman" w:hAnsi="Times New Roman"/>
          <w:sz w:val="24"/>
        </w:rPr>
        <w:t>1B-SUS-222</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1" w:name="chapter-1.-introduction"/>
    <w:p>
      <w:pPr>
        <w:pStyle w:val="Heading1"/>
        <w:spacing w:line="480" w:lineRule="auto"/>
      </w:pPr>
      <w:r>
        <w:t xml:space="preserve">Chapter 1. Introduction</w:t>
      </w:r>
    </w:p>
    <w:p>
      <w:pPr>
        <w:pStyle w:val="FirstParagraph"/>
        <w:spacing w:line="480" w:lineRule="auto"/>
      </w:pPr>
      <w:r>
        <w:t xml:space="preserve">Space sustainability now has a scoreboard. The Space Sustainability Rating, launched from a design effort involving the European Space Agency, the MIT Media Lab, and the World Economic Forum, offers satellite operators a graded assessment of how their behavior affects the shared orbital environment</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premise is straightforward. Score them. Disclose the scores. Some operators, the theory runs, will then change what they do to protect their standing. This dissertation asks whether that premise leaves a measurable trace, and it refuses to answer with intuition alone. Leila Saito’s project,</w:t>
      </w:r>
      <w:r>
        <w:t xml:space="preserve"> </w:t>
      </w:r>
      <w:r>
        <w:rPr>
          <w:i/>
          <w:iCs/>
        </w:rPr>
        <w:t xml:space="preserve">Rating the Raters: Do Space Sustainability Rating Disclosures Shift Operator Design</w:t>
      </w:r>
      <w:r>
        <w:t xml:space="preserve">, treats a policy question that is usually argued rhetorically and converts one slice of it into a falsifiable, source-traced test.</w:t>
      </w:r>
    </w:p>
    <w:p>
      <w:pPr>
        <w:pStyle w:val="BodyText"/>
        <w:spacing w:line="480" w:lineRule="auto"/>
        <w:ind w:firstLine="720"/>
      </w:pPr>
      <w:r>
        <w:t xml:space="preserve">The argument for treating this seriously is not abstract. Low Earth orbit is filling. Projected orbital demand studies show constellation deployment on a trajectory that presses against the physical carrying capacity of the most valuable altitude shells</w:t>
      </w:r>
      <w:r>
        <w:t xml:space="preserve"> </w:t>
      </w:r>
      <w:hyperlink w:anchor="ref-4">
        <w:r>
          <w:rPr>
            <w:rStyle w:val="Hyperlink"/>
          </w:rPr>
          <w:t xml:space="preserve">[4]</w:t>
        </w:r>
      </w:hyperlink>
      <w:r>
        <w:t xml:space="preserve">. Source-sink models of the orbital environment describe how debris-generating events cascade through populated regimes, and they make clear that individual operator choices aggregate into a collective outcome that no single actor fully controls</w:t>
      </w:r>
      <w:r>
        <w:t xml:space="preserve"> </w:t>
      </w:r>
      <w:hyperlink w:anchor="ref-2">
        <w:r>
          <w:rPr>
            <w:rStyle w:val="Hyperlink"/>
          </w:rPr>
          <w:t xml:space="preserve">[2]</w:t>
        </w:r>
      </w:hyperlink>
      <w:r>
        <w:t xml:space="preserve">. When a resource is shared, finite, and degradable, the governance question is whether soft incentives can move private behavior before hard limits force the issue. The clock is not generous. A rating is one such soft incentive. Whether it works is an empirical matter, not a matter of good intentions.</w:t>
      </w:r>
    </w:p>
    <w:bookmarkStart w:id="61" w:name="the-problem-and-why-it-is-hard"/>
    <w:p>
      <w:pPr>
        <w:pStyle w:val="Heading2"/>
        <w:spacing w:line="480" w:lineRule="auto"/>
      </w:pPr>
      <w:r>
        <w:t xml:space="preserve">The problem and why it is hard</w:t>
      </w:r>
    </w:p>
    <w:p>
      <w:pPr>
        <w:pStyle w:val="FirstParagraph"/>
        <w:spacing w:line="480" w:lineRule="auto"/>
      </w:pPr>
      <w:r>
        <w:t xml:space="preserve">Governance in orbit tends to arrive late. A hazard becomes visible in the technical literature, operators and agencies debate it, and only afterward does an operating rule harden into something enforceable. The Space Sustainability Rating is an attempt to shorten that lag by pricing reputation before regulation catches up</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It borrows the logic of terrestrial disclosure regimes: publish a comparable score, let customers and insurers and launch providers read it, and let market pressure do part of the work that treaties do slowly. The design literature is candid that the instrument is voluntary and that its causal force is unproven</w:t>
      </w:r>
      <w:r>
        <w:t xml:space="preserve"> </w:t>
      </w:r>
      <w:hyperlink w:anchor="ref-10">
        <w:r>
          <w:rPr>
            <w:rStyle w:val="Hyperlink"/>
          </w:rPr>
          <w:t xml:space="preserve">[10]</w:t>
        </w:r>
      </w:hyperlink>
      <w:r>
        <w:t xml:space="preserve">.</w:t>
      </w:r>
    </w:p>
    <w:p>
      <w:pPr>
        <w:pStyle w:val="BodyText"/>
        <w:spacing w:line="480" w:lineRule="auto"/>
        <w:ind w:firstLine="720"/>
      </w:pPr>
      <w:r>
        <w:t xml:space="preserve">That candor defines the hard part. Proving that a disclosure changed a design decision would require operator-level engineering records, counterfactual mission plans, and a clean before-and-after boundary at the moment of disclosure. Those records are proprietary, incomplete, or simply nonexistent for an instrument this young. A dissertation that claimed to measure the full behavioral effect of the rating would be overclaiming. The honest move is to narrow the question to what retrievable evidence can actually bear, and to state plainly where the evidence stops.</w:t>
      </w:r>
    </w:p>
    <w:p>
      <w:pPr>
        <w:pStyle w:val="BodyText"/>
        <w:spacing w:line="480" w:lineRule="auto"/>
        <w:ind w:firstLine="720"/>
      </w:pPr>
      <w:r>
        <w:t xml:space="preserve">The stakes, then, are concrete and near-term. They are not the stuff of distant speculation.</w:t>
      </w:r>
    </w:p>
    <w:bookmarkEnd w:id="61"/>
    <w:bookmarkStart w:id="62" w:name="the-single-falsifiable-contribution"/>
    <w:p>
      <w:pPr>
        <w:pStyle w:val="Heading2"/>
        <w:spacing w:line="480" w:lineRule="auto"/>
      </w:pPr>
      <w:r>
        <w:t xml:space="preserve">The single falsifiable contribution</w:t>
      </w:r>
    </w:p>
    <w:p>
      <w:pPr>
        <w:pStyle w:val="FirstParagraph"/>
        <w:spacing w:line="480" w:lineRule="auto"/>
      </w:pPr>
      <w:r>
        <w:t xml:space="preserve">This study makes one bounded, testable claim about the literature that surrounds the rating instrument. The claim is not that ratings change operator behavior. It is prior to that. Before a policy signal can move operators, the underlying topic must itself be structured in the documentary record: it must show up with some regularity across publication timing, citation attention, and venue family. If the space sustainability rating idea were merely a slogan, its footprint in the retrieved corpus would be flat, scattered, and unrelated to any observable metadata dimension. If it is a maturing research program, its footprint should carry detectable structure.</w:t>
      </w:r>
    </w:p>
    <w:p>
      <w:pPr>
        <w:pStyle w:val="BodyText"/>
        <w:spacing w:line="480" w:lineRule="auto"/>
        <w:ind w:firstLine="720"/>
      </w:pPr>
      <w:r>
        <w:t xml:space="preserve">The dissertation therefore tests a null and its alternative directly. H0 holds that the candidate topic signal is unrelated to publication recency, citation attention, and venue family in the retrieved source corpus. H1 holds that the candidate topic signal is systematically related to those dimensions. This is falsifiable in the strict sense: the estimators can and, as Chapter 6 will show, partly do return results that fail to reject the null. That is a feature. A design that can only confirm itself is not evidence; a design that can embarrass its own hypothesis is</w:t>
      </w:r>
      <w:r>
        <w:t xml:space="preserve"> </w:t>
      </w:r>
      <w:hyperlink w:anchor="ref-3">
        <w:r>
          <w:rPr>
            <w:rStyle w:val="Hyperlink"/>
          </w:rPr>
          <w:t xml:space="preserve">[3]</w:t>
        </w:r>
      </w:hyperlink>
      <w:r>
        <w:t xml:space="preserve">.</w:t>
      </w:r>
    </w:p>
    <w:bookmarkEnd w:id="62"/>
    <w:bookmarkStart w:id="63" w:name="two-empirical-screens"/>
    <w:p>
      <w:pPr>
        <w:pStyle w:val="Heading2"/>
        <w:spacing w:line="480" w:lineRule="auto"/>
      </w:pPr>
      <w:r>
        <w:t xml:space="preserve">Two empirical screens</w:t>
      </w:r>
    </w:p>
    <w:p>
      <w:pPr>
        <w:pStyle w:val="FirstParagraph"/>
        <w:spacing w:line="480" w:lineRule="auto"/>
      </w:pPr>
      <w:r>
        <w:t xml:space="preserve">The contribution rests on two small, fully auditable models estimated on the same thirty-record corpus. They are complementary, not redundant. One reads the corpus across its cross-section; the other reads it along the axis of time.</w:t>
      </w:r>
    </w:p>
    <w:p>
      <w:pPr>
        <w:pStyle w:val="BodyText"/>
        <w:spacing w:line="480" w:lineRule="auto"/>
        <w:ind w:firstLine="720"/>
      </w:pPr>
      <w:r>
        <w:t xml:space="preserve">The first screen is an ordinary least squares model of topic-signal intensity. It regresses a deterministic signal score, built from candidate-theme term hits in each source record, on three predictors: a recency index, a reported citation count, and an ordinal venue-family score that separates conference proceedings from journal articles from synthesis literature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The question is whether the strength of the topic signal in a given source is patterned by when the source appeared, how much attention it drew, and where it was published.</w:t>
      </w:r>
    </w:p>
    <w:p>
      <w:pPr>
        <w:pStyle w:val="BodyText"/>
        <w:spacing w:line="480" w:lineRule="auto"/>
        <w:ind w:firstLine="720"/>
      </w:pPr>
      <w:r>
        <w:t xml:space="preserve">The second screen is a log-log learning-curve model of citation accumulation. It asks whether attention, proxied by citation counts, accretes as a function of article age in the retrieved field</w:t>
      </w:r>
      <w:r>
        <w:t xml:space="preserve"> </w:t>
      </w:r>
      <w:hyperlink w:anchor="ref-2">
        <w:r>
          <w:rPr>
            <w:rStyle w:val="Hyperlink"/>
          </w:rPr>
          <w:t xml:space="preserve">[2]</w:t>
        </w:r>
      </w:hyperlink>
      <w:r>
        <w:t xml:space="preserve"> </w:t>
      </w:r>
      <w:hyperlink w:anchor="ref-6">
        <w:r>
          <w:rPr>
            <w:rStyle w:val="Hyperlink"/>
          </w:rPr>
          <w:t xml:space="preserve">[6]</w:t>
        </w:r>
      </w:hyperlink>
      <w:r>
        <w:t xml:space="preserve">. Learning-curve specifications are common in technology and cost analysis because they impose a disciplined functional form on growth. Here the form is used descriptively, to ask whether the citation footprint of this literature has any measurable temporal shape or whether it is age-agnostic noise.</w:t>
      </w:r>
    </w:p>
    <w:p>
      <w:pPr>
        <w:pStyle w:val="BodyText"/>
        <w:spacing w:line="480" w:lineRule="auto"/>
        <w:ind w:firstLine="720"/>
      </w:pPr>
      <w:r>
        <w:t xml:space="preserve">Neither screen settles the policy question. Both discipline it. Together they tell a reader which parts of the topic are legible in metadata and which parts would require the harder, document-level coding that a follow-on project would need to build</w:t>
      </w:r>
      <w:r>
        <w:t xml:space="preserve"> </w:t>
      </w:r>
      <w:hyperlink w:anchor="ref-5">
        <w:r>
          <w:rPr>
            <w:rStyle w:val="Hyperlink"/>
          </w:rPr>
          <w:t xml:space="preserve">[5]</w:t>
        </w:r>
      </w:hyperlink>
      <w:r>
        <w:t xml:space="preserve">.</w:t>
      </w:r>
    </w:p>
    <w:bookmarkEnd w:id="63"/>
    <w:bookmarkStart w:id="64" w:name="what-this-dissertation-is-not"/>
    <w:p>
      <w:pPr>
        <w:pStyle w:val="Heading2"/>
        <w:spacing w:line="480" w:lineRule="auto"/>
      </w:pPr>
      <w:r>
        <w:t xml:space="preserve">What this dissertation is not</w:t>
      </w:r>
    </w:p>
    <w:p>
      <w:pPr>
        <w:pStyle w:val="FirstParagraph"/>
        <w:spacing w:line="480" w:lineRule="auto"/>
      </w:pPr>
      <w:r>
        <w:t xml:space="preserve">It is worth marking the boundaries at the outset, because the value of the work depends on them. This is not a causal evaluation of the Space Sustainability Rating. It does not observe operators, missions, or design changes. It does not claim that a high or low score produced any specific engineering outcome. It does not use universal citation databases; it uses a local index whose citation counts are internal measures, not authoritative global tallies. It does not treat the ordinal venue score as an interval quantity, and it does not overread a three-level coding of publication venue</w:t>
      </w:r>
      <w:r>
        <w:t xml:space="preserve"> </w:t>
      </w:r>
      <w:hyperlink w:anchor="ref-3">
        <w:r>
          <w:rPr>
            <w:rStyle w:val="Hyperlink"/>
          </w:rPr>
          <w:t xml:space="preserve">[3]</w:t>
        </w:r>
      </w:hyperlink>
      <w:r>
        <w:t xml:space="preserve">.</w:t>
      </w:r>
    </w:p>
    <w:p>
      <w:pPr>
        <w:pStyle w:val="BodyText"/>
        <w:spacing w:line="480" w:lineRule="auto"/>
        <w:ind w:firstLine="720"/>
      </w:pPr>
      <w:r>
        <w:t xml:space="preserve">What it does is build a transparent evidentiary chain from source selection to variable construction to estimator output to interpretation, and then it reports the numbers exactly as the workbooks produced them, favorable or not. That posture is the point. A doctoral reader should be able to trace every claim back to a retained record and every number back to a deterministic calculation.</w:t>
      </w:r>
    </w:p>
    <w:bookmarkEnd w:id="64"/>
    <w:bookmarkStart w:id="65" w:name="X0b648b0d922893ef822174eb41e1eeb62256688"/>
    <w:p>
      <w:pPr>
        <w:pStyle w:val="Heading2"/>
        <w:spacing w:line="480" w:lineRule="auto"/>
      </w:pPr>
      <w:r>
        <w:t xml:space="preserve">Why the finding matters even when it is modest</w:t>
      </w:r>
    </w:p>
    <w:p>
      <w:pPr>
        <w:pStyle w:val="FirstParagraph"/>
        <w:spacing w:line="480" w:lineRule="auto"/>
      </w:pPr>
      <w:r>
        <w:t xml:space="preserve">The results, previewed here and detailed in Chapter 6, are mixed and mostly imprecise. The OLS model returns an R-squared of roughly 0.09 and an overall F-test that does not reach conventional significance, with an F p-value of 0.1516. None of its three predictors is individually significant at the five percent level. The learning-curve model returns an even smaller R-squared of about 0.011 and a negative, imprecise age elasticity. On a naive reading, this looks like a study that found nothing.</w:t>
      </w:r>
    </w:p>
    <w:p>
      <w:pPr>
        <w:pStyle w:val="BodyText"/>
        <w:spacing w:line="480" w:lineRule="auto"/>
        <w:ind w:firstLine="720"/>
      </w:pPr>
      <w:r>
        <w:t xml:space="preserve">A more careful reading is different. A null result on a small, deliberately noisy corpus is information about the limits of metadata as a proxy for policy salience. It tells the next researcher that recency, raw citation counts, and coarse venue codes do not, on their own, capture whether the rating idea is moving. That redirects effort toward the harder measurement that the question actually needs: operator disclosures, mission design records, and hand-coded document evidence</w:t>
      </w:r>
      <w:r>
        <w:t xml:space="preserve"> </w:t>
      </w:r>
      <w:hyperlink w:anchor="ref-5">
        <w:r>
          <w:rPr>
            <w:rStyle w:val="Hyperlink"/>
          </w:rPr>
          <w:t xml:space="preserve">[5]</w:t>
        </w:r>
      </w:hyperlink>
      <w:r>
        <w:t xml:space="preserve"> </w:t>
      </w:r>
      <w:hyperlink w:anchor="ref-6">
        <w:r>
          <w:rPr>
            <w:rStyle w:val="Hyperlink"/>
          </w:rPr>
          <w:t xml:space="preserve">[6]</w:t>
        </w:r>
      </w:hyperlink>
      <w:r>
        <w:t xml:space="preserve">. A dissertation that reports an inconvenient null honestly is more useful to a field than one that inflates a weak signal into a confident verdict.</w:t>
      </w:r>
    </w:p>
    <w:bookmarkEnd w:id="65"/>
    <w:bookmarkStart w:id="66" w:name="the-instrument-in-its-governance-context"/>
    <w:p>
      <w:pPr>
        <w:pStyle w:val="Heading2"/>
        <w:spacing w:line="480" w:lineRule="auto"/>
      </w:pPr>
      <w:r>
        <w:t xml:space="preserve">The instrument in its governance context</w:t>
      </w:r>
    </w:p>
    <w:p>
      <w:pPr>
        <w:pStyle w:val="FirstParagraph"/>
        <w:spacing w:line="480" w:lineRule="auto"/>
      </w:pPr>
      <w:r>
        <w:t xml:space="preserve">The Space Sustainability Rating sits inside a broader debate about how a young commercial sector should be steered. One strand of that debate stresses multi-stakeholder collaboration and incentive-based mechanisms as an alternative to top-down regulation that is slow to negotiate and hard to enforce across jurisdictions</w:t>
      </w:r>
      <w:r>
        <w:t xml:space="preserve"> </w:t>
      </w:r>
      <w:hyperlink w:anchor="ref-10">
        <w:r>
          <w:rPr>
            <w:rStyle w:val="Hyperlink"/>
          </w:rPr>
          <w:t xml:space="preserve">[10]</w:t>
        </w:r>
      </w:hyperlink>
      <w:r>
        <w:t xml:space="preserve">. Another strand insists that sustainability in orbit cannot be separated from questions of value, equity, and the perspectives of the communities and end-users the space economy claims to serve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A third, more technical strand supplies the environmental models that any credible rating must rest on, from source-sink dynamics to capacity projections</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rating is a hinge between these strands: it tries to translate technical risk models into a market-legible score that stakeholders can act on.</w:t>
      </w:r>
    </w:p>
    <w:p>
      <w:pPr>
        <w:pStyle w:val="BodyText"/>
        <w:spacing w:line="480" w:lineRule="auto"/>
        <w:ind w:firstLine="720"/>
      </w:pPr>
      <w:r>
        <w:t xml:space="preserve">Placing the instrument in that context clarifies what a documentary study can and cannot contribute. It cannot adjudicate the normative debate about whether ratings are the right tool. It can, however, ask whether the scholarly conversation around the tool has the structure of a maturing program, and it can do so without pretending to observe the operators themselves. That is the modest but genuine service this dissertation performs.</w:t>
      </w:r>
    </w:p>
    <w:bookmarkEnd w:id="66"/>
    <w:bookmarkStart w:id="67" w:name="roadmap"/>
    <w:p>
      <w:pPr>
        <w:pStyle w:val="Heading2"/>
        <w:spacing w:line="480" w:lineRule="auto"/>
      </w:pPr>
      <w:r>
        <w:t xml:space="preserve">Roadmap</w:t>
      </w:r>
    </w:p>
    <w:p>
      <w:pPr>
        <w:pStyle w:val="FirstParagraph"/>
        <w:spacing w:line="480" w:lineRule="auto"/>
      </w:pPr>
      <w:r>
        <w:t xml:space="preserve">The chapters proceed in a disciplined order. Chapter 2 situates the project against prior work, drawing on the rating-design literature, the environmental-modeling literature, and the value-and-equity literature that frames what sustainability in orbit is supposed to mean</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Chapter 3 states the mechanism and the testable predictions, explaining why documentary structure is a reasonable, if partial, proxy for topic maturation. Chapter 4 lays out the two estimators and argues what each can and cannot identify. Chapter 5 describes the thirty-record dataset, the construction of every variable, and the provenance rules that keep the corpus auditable. Chapter 6 reports the exact estimator output for both papers and interprets the signs and magnitudes. Chapter 7 confronts the threats to validity and states plainly what the data cannot show. Chapter 8 draws the bounded contribution together, connects it to governance and program relevance, and specifies the next data collection the question demands</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through-line across all eight chapters is a single commitment. Every substantive claim is conditional on the sources available to the candidate, every number is a workbook result, and the analysis is designed so that it can fail. That is what makes it evidence rather than advocacy, and it is why a study that reaches a mostly negative conclusion still earns its place in the literature on orbital sustainability governance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67"/>
    <w:bookmarkStart w:id="68" w:name="the-disclosure-logic-in-more-detail"/>
    <w:p>
      <w:pPr>
        <w:pStyle w:val="Heading2"/>
        <w:spacing w:line="480" w:lineRule="auto"/>
      </w:pPr>
      <w:r>
        <w:t xml:space="preserve">The disclosure logic in more detail</w:t>
      </w:r>
    </w:p>
    <w:p>
      <w:pPr>
        <w:pStyle w:val="FirstParagraph"/>
        <w:spacing w:line="480" w:lineRule="auto"/>
      </w:pPr>
      <w:r>
        <w:t xml:space="preserve">It is worth dwelling on why a rating is the chosen instrument at all, because the choice reveals both the promise and the fragility of the design. Binding regulation of orbital behavior is slow. It must be negotiated across sovereign jurisdictions, ratified by legislatures with competing priorities, and enforced against operators who can register their spacecraft in the most permissive available regime. A voluntary rating sidesteps all of that. It does not require a treaty. It requires only that enough parties, insurers, launch providers, financiers, and customers, treat the score as a reason to prefer one operator over another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rating thus tries to manufacture a private incentive where a public rule does not yet exist.</w:t>
      </w:r>
    </w:p>
    <w:p>
      <w:pPr>
        <w:pStyle w:val="BodyText"/>
        <w:spacing w:line="480" w:lineRule="auto"/>
        <w:ind w:firstLine="720"/>
      </w:pPr>
      <w:r>
        <w:t xml:space="preserve">The fragility is that the incentive works only if the score is read and trusted. A disclosure that no one prices is inert. This is where the maturation question the dissertation actually tests becomes relevant. For the score to be read and trusted, the concepts it aggregates must have consolidated into a recognizable body of knowledge that the reading parties recognize as authoritative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An insurer will not price a rating whose underlying environmental model it regards as speculative. The documentary structure of the topic is therefore not a detour from the behavioral question; it is a precondition for it, and that is precisely why measuring the structure is a defensible first move even when the behavioral chain lies out of reach.</w:t>
      </w:r>
    </w:p>
    <w:bookmarkEnd w:id="68"/>
    <w:bookmarkStart w:id="69" w:name="Xc58735a1cca1819e7fe8a1386adb85e0f3e1c25"/>
    <w:p>
      <w:pPr>
        <w:pStyle w:val="Heading2"/>
        <w:spacing w:line="480" w:lineRule="auto"/>
      </w:pPr>
      <w:r>
        <w:t xml:space="preserve">Positioning within the space economy debate</w:t>
      </w:r>
    </w:p>
    <w:p>
      <w:pPr>
        <w:pStyle w:val="FirstParagraph"/>
        <w:spacing w:line="480" w:lineRule="auto"/>
      </w:pPr>
      <w:r>
        <w:t xml:space="preserve">The dissertation also sits inside a larger argument about how much the space economy can govern itself. One camp holds that market mechanisms, disclosure, ratings, and reputational pressure, can substitute for a good deal of formal regulation in a sector moving faster than governments can legislate</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A skeptical camp holds that shared, degradable resources are exactly the case where voluntary mechanisms fail, because the incentive to defect is strongest when the commons is most stressed</w:t>
      </w:r>
      <w:r>
        <w:t xml:space="preserve"> </w:t>
      </w:r>
      <w:hyperlink w:anchor="ref-2">
        <w:r>
          <w:rPr>
            <w:rStyle w:val="Hyperlink"/>
          </w:rPr>
          <w:t xml:space="preserve">[2]</w:t>
        </w:r>
      </w:hyperlink>
      <w:r>
        <w:t xml:space="preserve"> </w:t>
      </w:r>
      <w:hyperlink w:anchor="ref-4">
        <w:r>
          <w:rPr>
            <w:rStyle w:val="Hyperlink"/>
          </w:rPr>
          <w:t xml:space="preserve">[4]</w:t>
        </w:r>
      </w:hyperlink>
      <w:r>
        <w:t xml:space="preserve">. The Space Sustainability Rating is a wager on the first view. Whether the wager is paying off is, ultimately, the question that motivates this project, even though the project can only illuminate one small and early facet of it.</w:t>
      </w:r>
    </w:p>
    <w:p>
      <w:pPr>
        <w:pStyle w:val="BodyText"/>
        <w:spacing w:line="480" w:lineRule="auto"/>
        <w:ind w:firstLine="720"/>
      </w:pPr>
      <w:r>
        <w:t xml:space="preserve">By framing the inquiry this way, the dissertation avoids two failure modes at once. It avoids the credulous framing that treats the rating as self-evidently effective simply because it is well-intentioned and well-designed. And it avoids the dismissive framing that treats any voluntary instrument as doomed. The bounded documentary test refuses both priors and asks instead what the retrievable evidence, honestly proxied, is willing to say. That refusal is the intellectual stance the whole dissertation is built to defend</w:t>
      </w:r>
      <w:r>
        <w:t xml:space="preserve"> </w:t>
      </w:r>
      <w:hyperlink w:anchor="ref-3">
        <w:r>
          <w:rPr>
            <w:rStyle w:val="Hyperlink"/>
          </w:rPr>
          <w:t xml:space="preserve">[3]</w:t>
        </w:r>
      </w:hyperlink>
      <w:r>
        <w:t xml:space="preserve"> </w:t>
      </w:r>
      <w:hyperlink w:anchor="ref-13">
        <w:r>
          <w:rPr>
            <w:rStyle w:val="Hyperlink"/>
          </w:rPr>
          <w:t xml:space="preserve">[13]</w:t>
        </w:r>
      </w:hyperlink>
      <w:r>
        <w:t xml:space="preserve">.</w:t>
      </w:r>
    </w:p>
    <w:bookmarkEnd w:id="69"/>
    <w:bookmarkStart w:id="70" w:name="a-note-on-reproducibility-as-method"/>
    <w:p>
      <w:pPr>
        <w:pStyle w:val="Heading2"/>
        <w:spacing w:line="480" w:lineRule="auto"/>
      </w:pPr>
      <w:r>
        <w:t xml:space="preserve">A note on reproducibility as method</w:t>
      </w:r>
    </w:p>
    <w:p>
      <w:pPr>
        <w:pStyle w:val="FirstParagraph"/>
        <w:spacing w:line="480" w:lineRule="auto"/>
      </w:pPr>
      <w:r>
        <w:t xml:space="preserve">One further commitment deserves statement at the outset, because it shapes every chapter that follows. The analysis is fully deterministic. There is no random seed, no simulation, no discretionary hand-coding that a second analyst could not replicate from the same set of retrieved records. Every variable is a fixed function of retrievable metadata, and every reported coefficient is the unique output of a standard regression routine applied to a fixed data file</w:t>
      </w:r>
      <w:r>
        <w:t xml:space="preserve"> </w:t>
      </w:r>
      <w:hyperlink w:anchor="ref-5">
        <w:r>
          <w:rPr>
            <w:rStyle w:val="Hyperlink"/>
          </w:rPr>
          <w:t xml:space="preserve">[5]</w:t>
        </w:r>
      </w:hyperlink>
      <w:r>
        <w:t xml:space="preserve"> </w:t>
      </w:r>
      <w:hyperlink w:anchor="ref-6">
        <w:r>
          <w:rPr>
            <w:rStyle w:val="Hyperlink"/>
          </w:rPr>
          <w:t xml:space="preserve">[6]</w:t>
        </w:r>
      </w:hyperlink>
      <w:r>
        <w:t xml:space="preserve">. A reader who obtains the estimation file and runs the specification will recover the identical numbers reported in Chapter 6, to the last decimal place.</w:t>
      </w:r>
    </w:p>
    <w:p>
      <w:pPr>
        <w:pStyle w:val="BodyText"/>
        <w:spacing w:line="480" w:lineRule="auto"/>
        <w:ind w:firstLine="720"/>
      </w:pPr>
      <w:r>
        <w:t xml:space="preserve">This determinism is not a stylistic preference. In a field where confident narrative can outrun thin evidence, reproducibility is the discipline that keeps interpretation tethered to what was actually measured. It also means the dissertation’s null results cannot be dismissed as an artifact of a particular run or a lucky draw. They are fixed properties of the data and the model, and they will remain so for any analyst who repeats the procedure. That is the standard the study holds itself to, and it is the standard against which its modest but genuine contribution should be judged</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brief word on scope and audience closes this framing. The dissertation is written to be legible to two readers at once: the space-governance scholar who cares about whether the rating instrument is maturing, and the methodologist who cares about whether the documentary design is sound. Those audiences want different things, and the chapters are structured to serve both without collapsing into either. The governance reader will find the instrument situated in its policy and environmental context and the findings translated into cautious directional implications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The methodological reader will find every estimator specified, every variable constructed by rule, and every coefficient reported to full precision with its inference regime stated</w:t>
      </w:r>
      <w:r>
        <w:t xml:space="preserve"> </w:t>
      </w:r>
      <w:hyperlink w:anchor="ref-2">
        <w:r>
          <w:rPr>
            <w:rStyle w:val="Hyperlink"/>
          </w:rPr>
          <w:t xml:space="preserve">[2]</w:t>
        </w:r>
      </w:hyperlink>
      <w:r>
        <w:t xml:space="preserve"> </w:t>
      </w:r>
      <w:hyperlink w:anchor="ref-6">
        <w:r>
          <w:rPr>
            <w:rStyle w:val="Hyperlink"/>
          </w:rPr>
          <w:t xml:space="preserve">[6]</w:t>
        </w:r>
      </w:hyperlink>
      <w:r>
        <w:t xml:space="preserve">. Holding both audiences in view is part of why the study insists so firmly on the line between what the data show and what they cannot, since that line is exactly where the governance question and the measurement question meet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reader should therefore approach the chapters that follow with a specific expectation. This is not a study that will announce a discovery. It is a study that will show its work, put a falsifiable claim at genuine risk, report what the risk returned, and mark precisely where the evidence stops and where the next study must begin. For a governance instrument as young and as consequential as the Space Sustainability Rating, that kind of disciplined, self-limiting inquiry is more useful than a confident verdict built on thin data, and the value of the whole enterprise rests on that judgment</w:t>
      </w:r>
      <w:r>
        <w:t xml:space="preserve"> </w:t>
      </w:r>
      <w:hyperlink w:anchor="ref-3">
        <w:r>
          <w:rPr>
            <w:rStyle w:val="Hyperlink"/>
          </w:rPr>
          <w:t xml:space="preserve">[3]</w:t>
        </w:r>
      </w:hyperlink>
      <w:r>
        <w:t xml:space="preserve"> </w:t>
      </w:r>
      <w:hyperlink w:anchor="ref-5">
        <w:r>
          <w:rPr>
            <w:rStyle w:val="Hyperlink"/>
          </w:rPr>
          <w:t xml:space="preserve">[5]</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title of the project carries a deliberate double meaning worth surfacing here. To rate the raters is, on the surface, to ask whether the sustainability-rating instrument does what its designers intend. At a deeper level it is to hold the study’s own evidentiary standards to the same scrutiny the rating asks operators to accept: to disclose the method, to expose the data, and to let the result be judged against a reproducible record</w:t>
      </w:r>
      <w:r>
        <w:t xml:space="preserve"> </w:t>
      </w:r>
      <w:hyperlink w:anchor="ref-9">
        <w:r>
          <w:rPr>
            <w:rStyle w:val="Hyperlink"/>
          </w:rPr>
          <w:t xml:space="preserve">[9]</w:t>
        </w:r>
      </w:hyperlink>
      <w:r>
        <w:t xml:space="preserve"> </w:t>
      </w:r>
      <w:hyperlink w:anchor="ref-13">
        <w:r>
          <w:rPr>
            <w:rStyle w:val="Hyperlink"/>
          </w:rPr>
          <w:t xml:space="preserve">[13]</w:t>
        </w:r>
      </w:hyperlink>
      <w:r>
        <w:t xml:space="preserve">. A study of a disclosure instrument that refused to disclose its own workings would be self-undermining. This one refuses that hypocrisy by making its every step auditable, so that the discipline it studies and the discipline it practices are one and the same. That symmetry is not decorative. It is the reason a reader can trust the null results that the following chapters report</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70"/>
    <w:bookmarkEnd w:id="71"/>
    <w:bookmarkStart w:id="82" w:name="chapter-2.-literature"/>
    <w:p>
      <w:pPr>
        <w:pStyle w:val="Heading1"/>
        <w:spacing w:line="480" w:lineRule="auto"/>
      </w:pPr>
      <w:r>
        <w:t xml:space="preserve">Chapter 2. Literature</w:t>
      </w:r>
    </w:p>
    <w:p>
      <w:pPr>
        <w:pStyle w:val="FirstParagraph"/>
        <w:spacing w:line="480" w:lineRule="auto"/>
      </w:pPr>
      <w:r>
        <w:t xml:space="preserve">The literature that this dissertation speaks to is unusually layered for so young a topic. Space sustainability rating did not emerge from a single discipline. It was assembled from environmental risk modeling, from disclosure-and-incentive theory borrowed from terrestrial finance, and from a normative conversation about what sustainability in orbit should even mean. The topic is young. Reviewing that literature is not a matter of listing precedents. It is a matter of showing how three separate scholarly conversations were fused into one instrument, and where the fusion left gaps that a documentary study can probe.</w:t>
      </w:r>
    </w:p>
    <w:bookmarkStart w:id="72" w:name="the-origin-of-the-rating-instrument"/>
    <w:p>
      <w:pPr>
        <w:pStyle w:val="Heading2"/>
        <w:spacing w:line="480" w:lineRule="auto"/>
      </w:pPr>
      <w:r>
        <w:t xml:space="preserve">The origin of the rating instrument</w:t>
      </w:r>
    </w:p>
    <w:p>
      <w:pPr>
        <w:pStyle w:val="FirstParagraph"/>
        <w:spacing w:line="480" w:lineRule="auto"/>
      </w:pPr>
      <w:r>
        <w:t xml:space="preserve">The direct ancestry of the rating is well documented. An early design contribution asked what space situational awareness data could contribute to defining a sustainability rating, and it framed the exercise as a translation problem: how to convert catalogs of orbital objects and conjunction risk into a comparable operator-level metric</w:t>
      </w:r>
      <w:r>
        <w:t xml:space="preserve"> </w:t>
      </w:r>
      <w:hyperlink w:anchor="ref-1">
        <w:r>
          <w:rPr>
            <w:rStyle w:val="Hyperlink"/>
          </w:rPr>
          <w:t xml:space="preserve">[1]</w:t>
        </w:r>
      </w:hyperlink>
      <w:r>
        <w:t xml:space="preserve">. That paper is the pivot on which the later work turns, because it moved the conversation from describing the environment to scoring the actors who use it. The framing carried an implicit theory of change. If risk-relevant behavior could be measured, disclosed, and compared, operators would have a reputational reason to improve, even absent binding regulation.</w:t>
      </w:r>
    </w:p>
    <w:p>
      <w:pPr>
        <w:pStyle w:val="BodyText"/>
        <w:spacing w:line="480" w:lineRule="auto"/>
        <w:ind w:firstLine="720"/>
      </w:pPr>
      <w:r>
        <w:t xml:space="preserve">The mature statement of the instrument arrives in the composite-indicator design work, which lays out how the rating aggregates multiple dimensions of operator behavior into a single incentive-bearing score</w:t>
      </w:r>
      <w:r>
        <w:t xml:space="preserve"> </w:t>
      </w:r>
      <w:hyperlink w:anchor="ref-9">
        <w:r>
          <w:rPr>
            <w:rStyle w:val="Hyperlink"/>
          </w:rPr>
          <w:t xml:space="preserve">[9]</w:t>
        </w:r>
      </w:hyperlink>
      <w:r>
        <w:t xml:space="preserve">. This is the document that most resembles a foundational text for the topic. It is explicit about the instrument’s purpose, its aggregation logic, and its voluntary character. It is also explicit about what it does not do: it designs an incentive, it does not demonstrate that the incentive changes behavior. That gap between design intent and demonstrated effect is precisely the space this dissertation occupies, and it is why the composite-indicator paper recurs throughout the empirical corpus rather than sitting quietly in a reference list.</w:t>
      </w:r>
    </w:p>
    <w:p>
      <w:pPr>
        <w:pStyle w:val="BodyText"/>
        <w:spacing w:line="480" w:lineRule="auto"/>
        <w:ind w:firstLine="720"/>
      </w:pPr>
      <w:r>
        <w:t xml:space="preserve">A companion strand extends the instrument outward, from a single score to a collaboration mechanism. The multi-stakeholder work argues that space sustainability requires an incentive-based mechanism that pulls agencies, operators, insurers, and financiers into a shared framework, rather than relying on any one actor to police the commons</w:t>
      </w:r>
      <w:r>
        <w:t xml:space="preserve"> </w:t>
      </w:r>
      <w:hyperlink w:anchor="ref-10">
        <w:r>
          <w:rPr>
            <w:rStyle w:val="Hyperlink"/>
          </w:rPr>
          <w:t xml:space="preserve">[10]</w:t>
        </w:r>
      </w:hyperlink>
      <w:r>
        <w:t xml:space="preserve">. This matters for the present study because it clarifies the causal pathway the rating is supposed to travel. The score is not meant to act on operators in isolation. It is meant to act through the ecosystem of parties who read scores and price them into contracts, coverage, and capital. A documentary study cannot observe that ecosystem directly, but it can ask whether the topic that underwrites it has consolidated into a recognizable body of work.</w:t>
      </w:r>
    </w:p>
    <w:bookmarkEnd w:id="72"/>
    <w:bookmarkStart w:id="73" w:name="the-environmental-modeling-substrate"/>
    <w:p>
      <w:pPr>
        <w:pStyle w:val="Heading2"/>
        <w:spacing w:line="480" w:lineRule="auto"/>
      </w:pPr>
      <w:r>
        <w:t xml:space="preserve">The environmental-modeling substrate</w:t>
      </w:r>
    </w:p>
    <w:p>
      <w:pPr>
        <w:pStyle w:val="FirstParagraph"/>
        <w:spacing w:line="480" w:lineRule="auto"/>
      </w:pPr>
      <w:r>
        <w:t xml:space="preserve">A rating needs a foundation. No rating is credible without a physical model underneath it, and the modeling literature supplies that substrate. Source-sink evolutionary environmental models treat the orbital environment as a system with inflows of new objects and outflows through decay and removal, and they support decision-making by projecting how policy choices propagate through populated regimes</w:t>
      </w:r>
      <w:r>
        <w:t xml:space="preserve"> </w:t>
      </w:r>
      <w:hyperlink w:anchor="ref-2">
        <w:r>
          <w:rPr>
            <w:rStyle w:val="Hyperlink"/>
          </w:rPr>
          <w:t xml:space="preserve">[2]</w:t>
        </w:r>
      </w:hyperlink>
      <w:r>
        <w:t xml:space="preserve">. The value of this strand to a rating is that it makes operator behavior consequential in a modelable way. A maneuver, a disposal choice, or a failure to deorbit is not just a local event; it is an input to a system whose dynamics can be simulated.</w:t>
      </w:r>
    </w:p>
    <w:p>
      <w:pPr>
        <w:pStyle w:val="BodyText"/>
        <w:spacing w:line="480" w:lineRule="auto"/>
        <w:ind w:firstLine="720"/>
      </w:pPr>
      <w:r>
        <w:t xml:space="preserve">The capacity literature sharpens the stakes. Work on projected orbital demand and LEO environmental capacity estimates how close the most valuable altitude bands are to their physical limits, and it frames sustainability not as a distant abstraction but as a near-term constraint on how many spacecraft the environment can absorb</w:t>
      </w:r>
      <w:r>
        <w:t xml:space="preserve"> </w:t>
      </w:r>
      <w:hyperlink w:anchor="ref-4">
        <w:r>
          <w:rPr>
            <w:rStyle w:val="Hyperlink"/>
          </w:rPr>
          <w:t xml:space="preserve">[4]</w:t>
        </w:r>
      </w:hyperlink>
      <w:r>
        <w:t xml:space="preserve">. If capacity were unbounded, a rating would be a luxury. Because capacity is bounded, the instrument addresses a real allocation problem. The demand studies thus supply the urgency that the rating’s incentive logic presupposes.</w:t>
      </w:r>
    </w:p>
    <w:p>
      <w:pPr>
        <w:pStyle w:val="BodyText"/>
        <w:spacing w:line="480" w:lineRule="auto"/>
        <w:ind w:firstLine="720"/>
      </w:pPr>
      <w:r>
        <w:t xml:space="preserve">Temporal and policy-quantification modeling completes the substrate. Recent work applies orbital-capacity analysis tools to the temporal analysis and quantification of sustainability policies, asking not only how bad the environment could get but how specific policy levers change its trajectory over time</w:t>
      </w:r>
      <w:r>
        <w:t xml:space="preserve"> </w:t>
      </w:r>
      <w:hyperlink w:anchor="ref-6">
        <w:r>
          <w:rPr>
            <w:rStyle w:val="Hyperlink"/>
          </w:rPr>
          <w:t xml:space="preserve">[6]</w:t>
        </w:r>
      </w:hyperlink>
      <w:r>
        <w:t xml:space="preserve">. This is directly relevant to the second empirical screen in this dissertation, which reads the corpus along a temporal axis. If the modeling community is itself increasingly organized around time-structured policy evaluation, one might expect the surrounding literature to show temporal structure as well. Whether it does is an empirical question the learning-curve model addresses.</w:t>
      </w:r>
    </w:p>
    <w:bookmarkEnd w:id="73"/>
    <w:bookmarkStart w:id="74" w:name="the-normative-and-value-conversation"/>
    <w:p>
      <w:pPr>
        <w:pStyle w:val="Heading2"/>
        <w:spacing w:line="480" w:lineRule="auto"/>
      </w:pPr>
      <w:r>
        <w:t xml:space="preserve">The normative and value conversation</w:t>
      </w:r>
    </w:p>
    <w:p>
      <w:pPr>
        <w:pStyle w:val="FirstParagraph"/>
        <w:spacing w:line="480" w:lineRule="auto"/>
      </w:pPr>
      <w:r>
        <w:t xml:space="preserve">Values are unavoidable here. The rating does not float free of them, and a mature literature insists that it should not. Work on the intersection of space and sustainability argues for a transdisciplinary and bi-cultural approach, warning that a purely technical scoring exercise risks encoding a narrow definition of sustainability that ignores whose interests and whose knowledge systems are served</w:t>
      </w:r>
      <w:r>
        <w:t xml:space="preserve"> </w:t>
      </w:r>
      <w:hyperlink w:anchor="ref-13">
        <w:r>
          <w:rPr>
            <w:rStyle w:val="Hyperlink"/>
          </w:rPr>
          <w:t xml:space="preserve">[13]</w:t>
        </w:r>
      </w:hyperlink>
      <w:r>
        <w:t xml:space="preserve">. This is a corrective to the instrument’s engineering origins. A score that measures only conjunction risk and disposal compliance may miss the equity and stewardship dimensions that give the word sustainability its moral force.</w:t>
      </w:r>
    </w:p>
    <w:p>
      <w:pPr>
        <w:pStyle w:val="BodyText"/>
        <w:spacing w:line="480" w:lineRule="auto"/>
        <w:ind w:firstLine="720"/>
      </w:pPr>
      <w:r>
        <w:t xml:space="preserve">A parallel strand asks what value means in the new space economy from the end-user’s perspective, examining how satellite data and services generate value for the people and institutions that consume them</w:t>
      </w:r>
      <w:r>
        <w:t xml:space="preserve"> </w:t>
      </w:r>
      <w:hyperlink w:anchor="ref-11">
        <w:r>
          <w:rPr>
            <w:rStyle w:val="Hyperlink"/>
          </w:rPr>
          <w:t xml:space="preserve">[11]</w:t>
        </w:r>
      </w:hyperlink>
      <w:r>
        <w:t xml:space="preserve">. This reframes the operator not as an isolated risk-generator but as a node in a value chain whose downstream users have stakes in orbital stability. A rating that ignores value creation would be measuring cost without benefit. The value literature thus pushes the sustainability conversation toward a fuller accounting, one that a single composite score can only partially capture.</w:t>
      </w:r>
    </w:p>
    <w:p>
      <w:pPr>
        <w:pStyle w:val="BodyText"/>
        <w:spacing w:line="480" w:lineRule="auto"/>
        <w:ind w:firstLine="720"/>
      </w:pPr>
      <w:r>
        <w:t xml:space="preserve">Taken together, the normative strand does two things for this dissertation. It explains why the topic attracts contributors from beyond aerospace engineering, which in turn shapes the venue-family structure that the OLS model tests. And it flags a limit: documentary metadata cannot see values. A study that reads recency, citation counts, and venue codes is measuring the topic’s institutional footprint, not its normative adequacy. Naming that boundary here keeps Chapter 6’s interpretation honest</w:t>
      </w:r>
      <w:r>
        <w:t xml:space="preserve"> </w:t>
      </w:r>
      <w:hyperlink w:anchor="ref-13">
        <w:r>
          <w:rPr>
            <w:rStyle w:val="Hyperlink"/>
          </w:rPr>
          <w:t xml:space="preserve">[13]</w:t>
        </w:r>
      </w:hyperlink>
      <w:r>
        <w:t xml:space="preserve"> </w:t>
      </w:r>
      <w:hyperlink w:anchor="ref-11">
        <w:r>
          <w:rPr>
            <w:rStyle w:val="Hyperlink"/>
          </w:rPr>
          <w:t xml:space="preserve">[11]</w:t>
        </w:r>
      </w:hyperlink>
      <w:r>
        <w:t xml:space="preserve">.</w:t>
      </w:r>
    </w:p>
    <w:bookmarkEnd w:id="74"/>
    <w:bookmarkStart w:id="75" w:name="X35a38a914e31fe90bd4c041281ee8049df39fe0"/>
    <w:p>
      <w:pPr>
        <w:pStyle w:val="Heading2"/>
        <w:spacing w:line="480" w:lineRule="auto"/>
      </w:pPr>
      <w:r>
        <w:t xml:space="preserve">Measurement, attention, and the bibliometric turn</w:t>
      </w:r>
    </w:p>
    <w:p>
      <w:pPr>
        <w:pStyle w:val="FirstParagraph"/>
        <w:spacing w:line="480" w:lineRule="auto"/>
      </w:pPr>
      <w:r>
        <w:t xml:space="preserve">The methodological literature relevant to this project is the literature on measuring attention and structure in a body of work. Citation attention is a proxy, and a contested one. It captures visibility and uptake but not quality, and its meaning shifts with database coverage, field norms, and time. This dissertation uses a local index rather than a universal citation database, which means its citation counts are internal measures. That choice is defensible for an auditable, reproducible design, but it imports the standard caveats of bibliometric proxying, and those caveats are inherited from the broader measurement conversation rather than invented here.</w:t>
      </w:r>
    </w:p>
    <w:p>
      <w:pPr>
        <w:pStyle w:val="BodyText"/>
        <w:spacing w:line="480" w:lineRule="auto"/>
        <w:ind w:firstLine="720"/>
      </w:pPr>
      <w:r>
        <w:t xml:space="preserve">Venue family carries its own signal. Conference proceedings, exemplified in this corpus by the AMOS technical community, tend to publish faster and closer to operational practice, while journal venues such as Acta Astronautica carry longer review cycles and broader disciplinary framing</w:t>
      </w:r>
      <w:r>
        <w:t xml:space="preserve"> </w:t>
      </w:r>
      <w:hyperlink w:anchor="ref-1">
        <w:r>
          <w:rPr>
            <w:rStyle w:val="Hyperlink"/>
          </w:rPr>
          <w:t xml:space="preserve">[1]</w:t>
        </w:r>
      </w:hyperlink>
      <w:r>
        <w:t xml:space="preserve"> </w:t>
      </w:r>
      <w:hyperlink w:anchor="ref-9">
        <w:r>
          <w:rPr>
            <w:rStyle w:val="Hyperlink"/>
          </w:rPr>
          <w:t xml:space="preserve">[9]</w:t>
        </w:r>
      </w:hyperlink>
      <w:r>
        <w:t xml:space="preserve">. A synthesis and policy tier, capturing reports and cross-cutting economic framing, sits at a third level of abstraction. Coding venue as an ordinal variable compresses these differences into a single axis. The literature on scholarly communication would caution against treating that axis as interval-scaled, and Chapter 4 honors that caution by keeping the interpretation ordinal.</w:t>
      </w:r>
    </w:p>
    <w:bookmarkEnd w:id="75"/>
    <w:bookmarkStart w:id="76" w:name="Xc8f82715ac4015d7a2c5a5ea6b316e9587f92ef"/>
    <w:p>
      <w:pPr>
        <w:pStyle w:val="Heading2"/>
        <w:spacing w:line="480" w:lineRule="auto"/>
      </w:pPr>
      <w:r>
        <w:t xml:space="preserve">Adjacent evidence and the risk of scope creep</w:t>
      </w:r>
    </w:p>
    <w:p>
      <w:pPr>
        <w:pStyle w:val="FirstParagraph"/>
        <w:spacing w:line="480" w:lineRule="auto"/>
      </w:pPr>
      <w:r>
        <w:t xml:space="preserve">The retrieved corpus, by design, reaches beyond the rating instrument into adjacent space-domain work, and the review must account for that reach honestly. Studies of resident space object characterization, geosynchronous debris surveys, and rendezvous-and-proximity experiments appear in the retrieved corpus because they share vocabulary and venues with the sustainability literature</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They are not about rating operators. Their presence is a reminder that keyword-driven retrieval pulls in technically adjacent work, and that a signal-scoring approach must distinguish topic-central sources from topic-adjacent ones.</w:t>
      </w:r>
    </w:p>
    <w:p>
      <w:pPr>
        <w:pStyle w:val="BodyText"/>
        <w:spacing w:line="480" w:lineRule="auto"/>
        <w:ind w:firstLine="720"/>
      </w:pPr>
      <w:r>
        <w:t xml:space="preserve">This adjacency is not a flaw to be hidden; it is a property to be modeled. The signal score exists precisely to grade how central each record is to the candidate theme, and the venue-family variable exists to capture where in the publication ecosystem a record sits. A survey of faint geosynchronous debris contributes almost nothing to the sustainability-rating signal even though it is a rigorous piece of observational astronomy</w:t>
      </w:r>
      <w:r>
        <w:t xml:space="preserve"> </w:t>
      </w:r>
      <w:hyperlink w:anchor="ref-8">
        <w:r>
          <w:rPr>
            <w:rStyle w:val="Hyperlink"/>
          </w:rPr>
          <w:t xml:space="preserve">[8]</w:t>
        </w:r>
      </w:hyperlink>
      <w:r>
        <w:t xml:space="preserve">. A five-eyes experiment on GEO proximity operations is likewise adjacent rather than central</w:t>
      </w:r>
      <w:r>
        <w:t xml:space="preserve"> </w:t>
      </w:r>
      <w:hyperlink w:anchor="ref-7">
        <w:r>
          <w:rPr>
            <w:rStyle w:val="Hyperlink"/>
          </w:rPr>
          <w:t xml:space="preserve">[7]</w:t>
        </w:r>
      </w:hyperlink>
      <w:r>
        <w:t xml:space="preserve">. Acknowledging this openly is part of the review’s job, because the empirical models in later chapters are in part a test of whether the retrieval succeeded in separating central from adjacent material.</w:t>
      </w:r>
    </w:p>
    <w:bookmarkEnd w:id="76"/>
    <w:bookmarkStart w:id="77" w:name="what-the-literature-leaves-open"/>
    <w:p>
      <w:pPr>
        <w:pStyle w:val="Heading2"/>
        <w:spacing w:line="480" w:lineRule="auto"/>
      </w:pPr>
      <w:r>
        <w:t xml:space="preserve">What the literature leaves open</w:t>
      </w:r>
    </w:p>
    <w:p>
      <w:pPr>
        <w:pStyle w:val="FirstParagraph"/>
        <w:spacing w:line="480" w:lineRule="auto"/>
      </w:pPr>
      <w:r>
        <w:t xml:space="preserve">Three gaps organize the rest of this dissertation. The first is the distance between technical description and institutional explanation. The modeling literature can say the environment is degrading and can quantify by how much, but it cannot on its own explain why governance language hardens in one venue and stays loose in another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second gap is between policy salience and measurement. Citation attention, recency, and venue family are visible in the corpus, but their relationship to genuine policy uptake is unproven, and it is exactly that relationship the OLS and learning-curve models probe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The third gap is between the rating’s design and its demonstrated effect, the gap the composite-indicator authors themselves acknowledge</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None of these gaps is closed by prior work, and none is fully closed here. What the review establishes is that the topic is real, multi-disciplinary, and young enough that its documentary structure is worth measuring before larger causal claims are attempted. The chapters that follow take up that measurement, beginning with the mechanism that connects documentary structure to the maturation of a governance idea</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77"/>
    <w:bookmarkStart w:id="78" w:name="X5fdd21c563d881e7185c3cd00b73311a6c13d9c"/>
    <w:p>
      <w:pPr>
        <w:pStyle w:val="Heading2"/>
        <w:spacing w:line="480" w:lineRule="auto"/>
      </w:pPr>
      <w:r>
        <w:t xml:space="preserve">Disclosure and rating as a transplanted logic</w:t>
      </w:r>
    </w:p>
    <w:p>
      <w:pPr>
        <w:pStyle w:val="FirstParagraph"/>
        <w:spacing w:line="480" w:lineRule="auto"/>
      </w:pPr>
      <w:r>
        <w:t xml:space="preserve">The intellectual debt the rating owes to terrestrial disclosure regimes deserves closer examination, because the transplant is not seamless. On Earth, sustainability and creditworthiness ratings work because a dense ecosystem of intermediaries, analysts, regulators, and standard-setters, has grown up around them over decades. The score is embedded in contracts, referenced in law, and trusted because its methodology is scrutinized. The orbital rating enters a far thinner ecosystem. There is no established analyst community that prices space sustainability scores, no regulator that mandates their disclosure, and no long track record against which to calibrate their predictive value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design literature is aware of this asymmetry and argues that the mechanism must therefore build its own trust infrastructure as it goes, recruiting stakeholders into the very ecosystem that would make the score consequential</w:t>
      </w:r>
      <w:r>
        <w:t xml:space="preserve"> </w:t>
      </w:r>
      <w:hyperlink w:anchor="ref-10">
        <w:r>
          <w:rPr>
            <w:rStyle w:val="Hyperlink"/>
          </w:rPr>
          <w:t xml:space="preserve">[10]</w:t>
        </w:r>
      </w:hyperlink>
      <w:r>
        <w:t xml:space="preserve">.</w:t>
      </w:r>
    </w:p>
    <w:p>
      <w:pPr>
        <w:pStyle w:val="BodyText"/>
        <w:spacing w:line="480" w:lineRule="auto"/>
        <w:ind w:firstLine="720"/>
      </w:pPr>
      <w:r>
        <w:t xml:space="preserve">This transplanted logic has a direct bearing on the maturation question. A terrestrial rating can assume its underlying concepts are settled; the orbital rating cannot. The concepts it aggregates, carrying capacity, source-sink dynamics, disposal reliability, are themselves live research problems whose parameters are still being estimated</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That is why the documentary consolidation of the topic is not a background condition but a load-bearing one. If the concepts remain contested in the literature, the rating cannot borrow the settled authority that makes its terrestrial cousins work. The review thus positions the rating as a logic in transit, powerful in principle but dependent on a scholarly consolidation that has not yet been demonstrated to have occurred.</w:t>
      </w:r>
    </w:p>
    <w:bookmarkEnd w:id="78"/>
    <w:bookmarkStart w:id="79" w:name="Xbff4b601c3139ccc0efbf81582baede97fceb19"/>
    <w:p>
      <w:pPr>
        <w:pStyle w:val="Heading2"/>
        <w:spacing w:line="480" w:lineRule="auto"/>
      </w:pPr>
      <w:r>
        <w:t xml:space="preserve">The observational and characterization literature</w:t>
      </w:r>
    </w:p>
    <w:p>
      <w:pPr>
        <w:pStyle w:val="FirstParagraph"/>
        <w:spacing w:line="480" w:lineRule="auto"/>
      </w:pPr>
      <w:r>
        <w:t xml:space="preserve">A substantial share of the retrieved corpus comes from the observational side of space domain awareness, and though this material is topic-adjacent, it belongs in the review because it defines the measurement floor on which any rating stands. Work on advancing resident space object characterization through flyby non-Earth imaging demonstrates how attitude state and tumble rate can be estimated for objects that ground sensors cannot resolve</w:t>
      </w:r>
      <w:r>
        <w:t xml:space="preserve"> </w:t>
      </w:r>
      <w:hyperlink w:anchor="ref-5">
        <w:r>
          <w:rPr>
            <w:rStyle w:val="Hyperlink"/>
          </w:rPr>
          <w:t xml:space="preserve">[5]</w:t>
        </w:r>
      </w:hyperlink>
      <w:r>
        <w:t xml:space="preserve">. Improved astrometry and sensitivity for surveys of faint geosynchronous debris pushes the detectable population outward, revealing objects that were previously invisible to catalogs</w:t>
      </w:r>
      <w:r>
        <w:t xml:space="preserve"> </w:t>
      </w:r>
      <w:hyperlink w:anchor="ref-8">
        <w:r>
          <w:rPr>
            <w:rStyle w:val="Hyperlink"/>
          </w:rPr>
          <w:t xml:space="preserve">[8]</w:t>
        </w:r>
      </w:hyperlink>
      <w:r>
        <w:t xml:space="preserve">. Earlier instrumentation work on image registration and de-aliasing algorithms addresses the signal-processing substrate that makes any of this observation possible</w:t>
      </w:r>
      <w:r>
        <w:t xml:space="preserve"> </w:t>
      </w:r>
      <w:hyperlink w:anchor="ref-3">
        <w:r>
          <w:rPr>
            <w:rStyle w:val="Hyperlink"/>
          </w:rPr>
          <w:t xml:space="preserve">[3]</w:t>
        </w:r>
      </w:hyperlink>
      <w:r>
        <w:t xml:space="preserve">.</w:t>
      </w:r>
    </w:p>
    <w:p>
      <w:pPr>
        <w:pStyle w:val="BodyText"/>
        <w:spacing w:line="480" w:lineRule="auto"/>
        <w:ind w:firstLine="720"/>
      </w:pPr>
      <w:r>
        <w:t xml:space="preserve">None of these papers scores an operator or proposes a governance rule. Their relevance is indirect but real: a sustainability rating can only assess behavior that can be observed, and the observational literature sets the limit of what is knowable about any given spacecraft. A rating that penalizes undisclosed maneuvers, for instance, depends on the ability to detect those maneuvers, which depends in turn on exactly the characterization and survey capabilities this literature advances</w:t>
      </w:r>
      <w:r>
        <w:t xml:space="preserve"> </w:t>
      </w:r>
      <w:hyperlink w:anchor="ref-5">
        <w:r>
          <w:rPr>
            <w:rStyle w:val="Hyperlink"/>
          </w:rPr>
          <w:t xml:space="preserve">[5]</w:t>
        </w:r>
      </w:hyperlink>
      <w:r>
        <w:t xml:space="preserve"> </w:t>
      </w:r>
      <w:hyperlink w:anchor="ref-8">
        <w:r>
          <w:rPr>
            <w:rStyle w:val="Hyperlink"/>
          </w:rPr>
          <w:t xml:space="preserve">[8]</w:t>
        </w:r>
      </w:hyperlink>
      <w:r>
        <w:t xml:space="preserve">. The review includes this strand not to inflate the corpus but to make explicit that the rating’s credibility is bounded below by observational capacity, and that this dependence is one reason the topic’s literature spans engineering and governance venues at once.</w:t>
      </w:r>
    </w:p>
    <w:bookmarkEnd w:id="79"/>
    <w:bookmarkStart w:id="80" w:name="X80c28a813adb934543d7da6af4be59713cb8dd9"/>
    <w:p>
      <w:pPr>
        <w:pStyle w:val="Heading2"/>
        <w:spacing w:line="480" w:lineRule="auto"/>
      </w:pPr>
      <w:r>
        <w:t xml:space="preserve">Governance-adjacent framing and the security nexus</w:t>
      </w:r>
    </w:p>
    <w:p>
      <w:pPr>
        <w:pStyle w:val="FirstParagraph"/>
        <w:spacing w:line="480" w:lineRule="auto"/>
      </w:pPr>
      <w:r>
        <w:t xml:space="preserve">A final strand in the retrieved material connects sustainability to security and to the geopolitics of resource competition. Synthesis reports on the space economy frame orbital sustainability as inseparable from questions of security, development, and strategic positioning, treating the shared environment as a domain where cooperative stewardship and competitive advantage pull in opposite directions</w:t>
      </w:r>
      <w:r>
        <w:t xml:space="preserve"> </w:t>
      </w:r>
      <w:hyperlink w:anchor="ref-11">
        <w:r>
          <w:rPr>
            <w:rStyle w:val="Hyperlink"/>
          </w:rPr>
          <w:t xml:space="preserve">[11]</w:t>
        </w:r>
      </w:hyperlink>
      <w:r>
        <w:t xml:space="preserve">. This framing matters because it complicates the rating’s incentive logic. If operators and their sponsoring states treat orbital position as a strategic asset, a voluntary sustainability score competes against powerful incentives to defect, and the rating’s reputational pressure may be weak against those countervailing forces</w:t>
      </w:r>
      <w:r>
        <w:t xml:space="preserve"> </w:t>
      </w:r>
      <w:hyperlink w:anchor="ref-10">
        <w:r>
          <w:rPr>
            <w:rStyle w:val="Hyperlink"/>
          </w:rPr>
          <w:t xml:space="preserve">[10]</w:t>
        </w:r>
      </w:hyperlink>
      <w:r>
        <w:t xml:space="preserve">.</w:t>
      </w:r>
    </w:p>
    <w:p>
      <w:pPr>
        <w:pStyle w:val="BodyText"/>
        <w:spacing w:line="480" w:lineRule="auto"/>
        <w:ind w:firstLine="720"/>
      </w:pPr>
      <w:r>
        <w:t xml:space="preserve">The review notes this tension without attempting to resolve it, because resolving it lies beyond a documentary design. What the security-nexus framing contributes is a reminder that the rating operates in a contested field, not a neutral one, and that the maturation of its supporting literature is happening against a backdrop of strategic competition that no citation count can capture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This is part of why the dissertation is careful to claim only structure in the documentary record, and never to leap from that structure to a confident account of how the instrument will fare against the harder pressures the security literature describes.</w:t>
      </w:r>
    </w:p>
    <w:bookmarkEnd w:id="80"/>
    <w:bookmarkStart w:id="81" w:name="synthesis-of-the-reviewed-strands"/>
    <w:p>
      <w:pPr>
        <w:pStyle w:val="Heading2"/>
        <w:spacing w:line="480" w:lineRule="auto"/>
      </w:pPr>
      <w:r>
        <w:t xml:space="preserve">Synthesis of the reviewed strands</w:t>
      </w:r>
    </w:p>
    <w:p>
      <w:pPr>
        <w:pStyle w:val="FirstParagraph"/>
        <w:spacing w:line="480" w:lineRule="auto"/>
      </w:pPr>
      <w:r>
        <w:t xml:space="preserve">Pulling the strands together, the reviewed literature describes an instrument assembled from three sources: an environmental-modeling substrate that makes operator behavior consequential and measurable</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a disclosure-and-incentive logic transplanted from terrestrial ratings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and a normative conversation that insists sustainability be defined broadly enough to include value and equity</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observational literature bounds what any rating can assess</w:t>
      </w:r>
      <w:r>
        <w:t xml:space="preserve"> </w:t>
      </w:r>
      <w:hyperlink w:anchor="ref-5">
        <w:r>
          <w:rPr>
            <w:rStyle w:val="Hyperlink"/>
          </w:rPr>
          <w:t xml:space="preserve">[5]</w:t>
        </w:r>
      </w:hyperlink>
      <w:r>
        <w:t xml:space="preserve"> </w:t>
      </w:r>
      <w:hyperlink w:anchor="ref-8">
        <w:r>
          <w:rPr>
            <w:rStyle w:val="Hyperlink"/>
          </w:rPr>
          <w:t xml:space="preserve">[8]</w:t>
        </w:r>
      </w:hyperlink>
      <w:r>
        <w:t xml:space="preserve">, and the security framing bounds how strong its voluntary pressure can be</w:t>
      </w:r>
      <w:r>
        <w:t xml:space="preserve"> </w:t>
      </w:r>
      <w:hyperlink w:anchor="ref-11">
        <w:r>
          <w:rPr>
            <w:rStyle w:val="Hyperlink"/>
          </w:rPr>
          <w:t xml:space="preserve">[11]</w:t>
        </w:r>
      </w:hyperlink>
      <w:r>
        <w:t xml:space="preserve">. The topic is genuinely multi-disciplinary, genuinely young, and genuinely contested, which is exactly the profile of a subject whose documentary maturation is worth measuring before any causal claim about operator behavior is attempted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This synthesis also explains why the reference pool that anchors the dissertation spans such varied venues, from fast conference proceedings to archival journals to synthesis reports. A topic drawing on environmental modeling, disclosure theory, and normative critique at once could not be captured by any single venue family, and its literature necessarily scatters across the publication ecosystem</w:t>
      </w:r>
      <w:r>
        <w:t xml:space="preserve"> </w:t>
      </w:r>
      <w:hyperlink w:anchor="ref-9">
        <w:r>
          <w:rPr>
            <w:rStyle w:val="Hyperlink"/>
          </w:rPr>
          <w:t xml:space="preserve">[9]</w:t>
        </w:r>
      </w:hyperlink>
      <w:r>
        <w:t xml:space="preserve"> </w:t>
      </w:r>
      <w:hyperlink w:anchor="ref-11">
        <w:r>
          <w:rPr>
            <w:rStyle w:val="Hyperlink"/>
          </w:rPr>
          <w:t xml:space="preserve">[11]</w:t>
        </w:r>
      </w:hyperlink>
      <w:r>
        <w:t xml:space="preserve">. That scatter is not incidental to the study; it is the very structure the venue-family variable is built to read. The review thus does more than summarize prior work. It establishes that the topic’s cross-venue distribution is itself an object of measurement, and it hands the theoretical chapter a field whose shape, recent, multi-disciplinary, and venue-spread, is precisely what the maturation mechanism proposes to test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What the reviewed literature conspicuously lacks is any prior attempt to measure this consolidation directly. The rating-design papers assert the instrument’s importance, the modeling papers supply its substrate, and the normative papers debate its scope, but none asks whether the topic has yet organized itself into the kind of settled field that a disclosure regime needs beneath it</w:t>
      </w:r>
      <w:r>
        <w:t xml:space="preserve"> </w:t>
      </w:r>
      <w:hyperlink w:anchor="ref-9">
        <w:r>
          <w:rPr>
            <w:rStyle w:val="Hyperlink"/>
          </w:rPr>
          <w:t xml:space="preserve">[9]</w:t>
        </w:r>
      </w:hyperlink>
      <w:r>
        <w:t xml:space="preserve"> </w:t>
      </w:r>
      <w:hyperlink w:anchor="ref-13">
        <w:r>
          <w:rPr>
            <w:rStyle w:val="Hyperlink"/>
          </w:rPr>
          <w:t xml:space="preserve">[13]</w:t>
        </w:r>
      </w:hyperlink>
      <w:r>
        <w:t xml:space="preserve">. That absence is the specific opening this dissertation occupies. It does not compete with the design or modeling literatures; it asks a prior, measurable question that those literatures have left unexamined, and it does so with a method transparent enough that the answer, whatever it turns out to be, can be trusted</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81"/>
    <w:bookmarkEnd w:id="82"/>
    <w:bookmarkStart w:id="93" w:name="chapter-3.-theory-and-hypotheses"/>
    <w:p>
      <w:pPr>
        <w:pStyle w:val="Heading1"/>
        <w:spacing w:line="480" w:lineRule="auto"/>
      </w:pPr>
      <w:r>
        <w:t xml:space="preserve">Chapter 3. Theory and Hypotheses</w:t>
      </w:r>
    </w:p>
    <w:p>
      <w:pPr>
        <w:pStyle w:val="FirstParagraph"/>
        <w:spacing w:line="480" w:lineRule="auto"/>
      </w:pPr>
      <w:r>
        <w:t xml:space="preserve">A theory of documentary structure has to answer one question before it earns any attention: why should the way a topic appears in a corpus of sources tell us anything about whether a governance instrument is maturing? This chapter builds that answer carefully, states the mechanism it implies, and derives the specific, testable predictions that the two empirical models put at risk. The theory is deliberately modest. It claims little and defends that little hard. It does not claim that documentary structure measures operator behavior. It claims something weaker and more defensible: that the maturation of a policy idea leaves a detectable imprint on how the surrounding literature is organized, and that imprint can be read.</w:t>
      </w:r>
    </w:p>
    <w:bookmarkStart w:id="83" w:name="from-behavior-to-text-and-back"/>
    <w:p>
      <w:pPr>
        <w:pStyle w:val="Heading2"/>
        <w:spacing w:line="480" w:lineRule="auto"/>
      </w:pPr>
      <w:r>
        <w:t xml:space="preserve">From behavior to text and back</w:t>
      </w:r>
    </w:p>
    <w:p>
      <w:pPr>
        <w:pStyle w:val="FirstParagraph"/>
        <w:spacing w:line="480" w:lineRule="auto"/>
      </w:pPr>
      <w:r>
        <w:t xml:space="preserve">The Space Sustainability Rating is supposed to work through a chain. An operator behaves in some way in orbit. The behavior is measured against the rating’s criteria. The resulting score is disclosed. Downstream parties, insurers, launch providers, customers, read the score and price it. The operator, anticipating that pricing, adjusts its future behavior</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This is the causal story the instrument’s designers tell, and it is a plausible one. It is also almost entirely unobservable to an outside researcher working with public documents, because every link after the first is proprietary or diffuse.</w:t>
      </w:r>
    </w:p>
    <w:p>
      <w:pPr>
        <w:pStyle w:val="BodyText"/>
        <w:spacing w:line="480" w:lineRule="auto"/>
        <w:ind w:firstLine="720"/>
      </w:pPr>
      <w:r>
        <w:t xml:space="preserve">The theoretical move this dissertation makes is to step back one level. Before any of that chain can operate at scale, the idea itself has to consolidate. A rating cannot price behavior if the concepts it rests on, orbital carrying capacity, source-sink dynamics, disposal compliance, remain contested slogans scattered across unrelated venues</w:t>
      </w:r>
      <w:r>
        <w:t xml:space="preserve"> </w:t>
      </w:r>
      <w:hyperlink w:anchor="ref-2">
        <w:r>
          <w:rPr>
            <w:rStyle w:val="Hyperlink"/>
          </w:rPr>
          <w:t xml:space="preserve">[2]</w:t>
        </w:r>
      </w:hyperlink>
      <w:r>
        <w:t xml:space="preserve"> </w:t>
      </w:r>
      <w:hyperlink w:anchor="ref-4">
        <w:r>
          <w:rPr>
            <w:rStyle w:val="Hyperlink"/>
          </w:rPr>
          <w:t xml:space="preserve">[4]</w:t>
        </w:r>
      </w:hyperlink>
      <w:r>
        <w:t xml:space="preserve">. A maturing governance idea, by contrast, accumulates a recognizable literature: a set of anchor documents that later work cites, a migration from fast conference venues toward slower archival journals, and a growing density of contributions clustered in time. The claim is that this consolidation is measurable in metadata even when the behavioral chain is not.</w:t>
      </w:r>
    </w:p>
    <w:p>
      <w:pPr>
        <w:pStyle w:val="BodyText"/>
        <w:spacing w:line="480" w:lineRule="auto"/>
        <w:ind w:firstLine="720"/>
      </w:pPr>
      <w:r>
        <w:t xml:space="preserve">The direction of inference runs from consolidation to plausibility, not from consolidation to proof. If the topic’s documentary footprint is structured, the rating idea is at least institutionally alive, which is a precondition for its causal chain to operate. If the footprint is flat and unstructured, the idea may still matter, but the corpus provides no positive evidence that it has begun to organize a field. This is why a null result is informative rather than empty</w:t>
      </w:r>
      <w:r>
        <w:t xml:space="preserve"> </w:t>
      </w:r>
      <w:hyperlink w:anchor="ref-3">
        <w:r>
          <w:rPr>
            <w:rStyle w:val="Hyperlink"/>
          </w:rPr>
          <w:t xml:space="preserve">[3]</w:t>
        </w:r>
      </w:hyperlink>
      <w:r>
        <w:t xml:space="preserve">.</w:t>
      </w:r>
    </w:p>
    <w:bookmarkEnd w:id="83"/>
    <w:bookmarkStart w:id="84" w:name="the-mechanism-stated-plainly"/>
    <w:p>
      <w:pPr>
        <w:pStyle w:val="Heading2"/>
        <w:spacing w:line="480" w:lineRule="auto"/>
      </w:pPr>
      <w:r>
        <w:t xml:space="preserve">The mechanism stated plainly</w:t>
      </w:r>
    </w:p>
    <w:p>
      <w:pPr>
        <w:pStyle w:val="FirstParagraph"/>
        <w:spacing w:line="480" w:lineRule="auto"/>
      </w:pPr>
      <w:r>
        <w:t xml:space="preserve">Three observable dimensions carry the mechanism. Each corresponds to a variable in the empirical design, and each embodies a distinct claim about how a maturing idea behaves.</w:t>
      </w:r>
    </w:p>
    <w:p>
      <w:pPr>
        <w:pStyle w:val="BodyText"/>
        <w:spacing w:line="480" w:lineRule="auto"/>
        <w:ind w:firstLine="720"/>
      </w:pPr>
      <w:r>
        <w:t xml:space="preserve">Recency is the first. A consolidating topic should show rising signal intensity in more recent work, because as the concepts stabilize, later authors engage them more directly and more densely</w:t>
      </w:r>
      <w:r>
        <w:t xml:space="preserve"> </w:t>
      </w:r>
      <w:hyperlink w:anchor="ref-6">
        <w:r>
          <w:rPr>
            <w:rStyle w:val="Hyperlink"/>
          </w:rPr>
          <w:t xml:space="preserve">[6]</w:t>
        </w:r>
      </w:hyperlink>
      <w:r>
        <w:t xml:space="preserve"> </w:t>
      </w:r>
      <w:hyperlink w:anchor="ref-9">
        <w:r>
          <w:rPr>
            <w:rStyle w:val="Hyperlink"/>
          </w:rPr>
          <w:t xml:space="preserve">[9]</w:t>
        </w:r>
      </w:hyperlink>
      <w:r>
        <w:t xml:space="preserve">. Newer contributions inherit a shared vocabulary and can therefore pack more topic-central content into a given record. The prediction is a positive association between recency and topic-signal intensity.</w:t>
      </w:r>
    </w:p>
    <w:p>
      <w:pPr>
        <w:pStyle w:val="BodyText"/>
        <w:spacing w:line="480" w:lineRule="auto"/>
        <w:ind w:firstLine="720"/>
      </w:pPr>
      <w:r>
        <w:t xml:space="preserve">Citation attention is the second. If the field is organizing around a small set of anchor ideas, the documents that state those ideas most centrally should attract more attention within the retrieved corpus</w:t>
      </w:r>
      <w:r>
        <w:t xml:space="preserve"> </w:t>
      </w:r>
      <w:hyperlink w:anchor="ref-1">
        <w:r>
          <w:rPr>
            <w:rStyle w:val="Hyperlink"/>
          </w:rPr>
          <w:t xml:space="preserve">[1]</w:t>
        </w:r>
      </w:hyperlink>
      <w:r>
        <w:t xml:space="preserve"> </w:t>
      </w:r>
      <w:hyperlink w:anchor="ref-2">
        <w:r>
          <w:rPr>
            <w:rStyle w:val="Hyperlink"/>
          </w:rPr>
          <w:t xml:space="preserve">[2]</w:t>
        </w:r>
      </w:hyperlink>
      <w:r>
        <w:t xml:space="preserve">. Attention is an imperfect proxy, but under the mechanism it should co-move with signal intensity: the sources that carry the strongest topic signal are the ones later work leans on. The prediction is a positive association between citation attention and signal intensity.</w:t>
      </w:r>
    </w:p>
    <w:p>
      <w:pPr>
        <w:pStyle w:val="BodyText"/>
        <w:spacing w:line="480" w:lineRule="auto"/>
        <w:ind w:firstLine="720"/>
      </w:pPr>
      <w:r>
        <w:t xml:space="preserve">Venue family is the third and most subtle. A young technical idea typically begins in fast, practitioner-facing conference venues and migrates, as it matures, toward archival journals and then into cross-cutting synthesis and policy literature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Where a source sits in that progression signals how far the idea has traveled from operational novelty toward institutional acceptance. The venue-family variable orders conference proceedings below journals below synthesis literature, and the mechanism predicts that signal intensity carries structure along this axis, though the direction is theoretically ambiguous because synthesis venues may dilute technical signal even as they broaden reach.</w:t>
      </w:r>
    </w:p>
    <w:bookmarkEnd w:id="84"/>
    <w:bookmarkStart w:id="85" w:name="hypotheses-for-the-cross-sectional-model"/>
    <w:p>
      <w:pPr>
        <w:pStyle w:val="Heading2"/>
        <w:spacing w:line="480" w:lineRule="auto"/>
      </w:pPr>
      <w:r>
        <w:t xml:space="preserve">Hypotheses for the cross-sectional model</w:t>
      </w:r>
    </w:p>
    <w:p>
      <w:pPr>
        <w:pStyle w:val="FirstParagraph"/>
        <w:spacing w:line="480" w:lineRule="auto"/>
      </w:pPr>
      <w:r>
        <w:t xml:space="preserve">The first empirical screen tests the mechanism across the cross-section of sources. It regresses topic-signal intensity on recency, citation attention, and venue family. The formal hypotheses restate the dissertation’s central null in the specific terms of this model.</w:t>
      </w:r>
    </w:p>
    <w:p>
      <w:pPr>
        <w:pStyle w:val="BodyText"/>
        <w:spacing w:line="480" w:lineRule="auto"/>
        <w:ind w:firstLine="720"/>
      </w:pPr>
      <w:r>
        <w:t xml:space="preserve">H0 for the cross-sectional screen: topic-signal intensity is unrelated to publication recency, citation attention, and venue family. Under this null, the joint F-test fails to reject, and no individual coefficient is reliably distinguishable from zero. The corpus, on this reading, would be metadata noise with respect to the candidate theme.</w:t>
      </w:r>
    </w:p>
    <w:p>
      <w:pPr>
        <w:pStyle w:val="BodyText"/>
        <w:spacing w:line="480" w:lineRule="auto"/>
        <w:ind w:firstLine="720"/>
      </w:pPr>
      <w:r>
        <w:t xml:space="preserve">H1 for the cross-sectional screen: topic-signal intensity increases with recency and with citation attention, and is structured by venue family. The directional content matters. The mechanism does not merely predict some relationship; it predicts a positive sign on recency and on citation attention. A significant coefficient with the wrong sign would count against the mechanism, not for it. This is what makes the prediction genuinely falsifiable rather than a bet that cannot lose.</w:t>
      </w:r>
    </w:p>
    <w:p>
      <w:pPr>
        <w:pStyle w:val="BodyText"/>
        <w:spacing w:line="480" w:lineRule="auto"/>
        <w:ind w:firstLine="720"/>
      </w:pPr>
      <w:r>
        <w:t xml:space="preserve">That is the cross-sectional face of the mechanism. The temporal face is next, and it asks a different question of the same corpus.</w:t>
      </w:r>
    </w:p>
    <w:bookmarkEnd w:id="85"/>
    <w:bookmarkStart w:id="86" w:name="hypotheses-for-the-temporal-model"/>
    <w:p>
      <w:pPr>
        <w:pStyle w:val="Heading2"/>
        <w:spacing w:line="480" w:lineRule="auto"/>
      </w:pPr>
      <w:r>
        <w:t xml:space="preserve">Hypotheses for the temporal model</w:t>
      </w:r>
    </w:p>
    <w:p>
      <w:pPr>
        <w:pStyle w:val="FirstParagraph"/>
        <w:spacing w:line="480" w:lineRule="auto"/>
      </w:pPr>
      <w:r>
        <w:t xml:space="preserve">The second empirical screen tests a different implication of the same mechanism: that attention accumulates with a measurable temporal shape. A learning-curve specification models the log of citation attention as a function of the log of article age</w:t>
      </w:r>
      <w:r>
        <w:t xml:space="preserve"> </w:t>
      </w:r>
      <w:hyperlink w:anchor="ref-6">
        <w:r>
          <w:rPr>
            <w:rStyle w:val="Hyperlink"/>
          </w:rPr>
          <w:t xml:space="preserve">[6]</w:t>
        </w:r>
      </w:hyperlink>
      <w:r>
        <w:t xml:space="preserve">. The functional form is borrowed from technology and cost analysis, where output or attention grows or declines at a constant elasticity with respect to a scaling variable. Here the scaling variable is age, and the elasticity captures how citation attention changes as documents get older.</w:t>
      </w:r>
    </w:p>
    <w:p>
      <w:pPr>
        <w:pStyle w:val="BodyText"/>
        <w:spacing w:line="480" w:lineRule="auto"/>
        <w:ind w:firstLine="720"/>
      </w:pPr>
      <w:r>
        <w:t xml:space="preserve">H0 for the temporal screen: citation accumulation is unrelated to article age in the retrieved topic literature. Under this null, the age elasticity is indistinguishable from zero, and the corpus carries no age-based attention structure.</w:t>
      </w:r>
    </w:p>
    <w:p>
      <w:pPr>
        <w:pStyle w:val="BodyText"/>
        <w:spacing w:line="480" w:lineRule="auto"/>
        <w:ind w:firstLine="720"/>
      </w:pPr>
      <w:r>
        <w:t xml:space="preserve">H1 for the temporal screen: citation accumulation follows a measurable age-based attention curve. The theoretically expected sign here is not obvious a priori. Older documents have had more time to accrue citations, which argues for a positive elasticity. But in a young, fast-moving field, the most recent contributions may attract disproportionate attention as the frontier moves, which would push the elasticity toward zero or even negative. The learning-curve model does not presuppose the answer; it measures which force dominates in this corpus. Chapter 6 reports that the estimated elasticity is negative and imprecise, and the theory here is what makes that result interpretable rather than merely reported.</w:t>
      </w:r>
    </w:p>
    <w:bookmarkEnd w:id="86"/>
    <w:bookmarkStart w:id="87" w:name="why-the-two-models-are-complementary"/>
    <w:p>
      <w:pPr>
        <w:pStyle w:val="Heading2"/>
        <w:spacing w:line="480" w:lineRule="auto"/>
      </w:pPr>
      <w:r>
        <w:t xml:space="preserve">Why the two models are complementary</w:t>
      </w:r>
    </w:p>
    <w:p>
      <w:pPr>
        <w:pStyle w:val="FirstParagraph"/>
        <w:spacing w:line="480" w:lineRule="auto"/>
      </w:pPr>
      <w:r>
        <w:t xml:space="preserve">The cross-sectional and temporal screens are not two tests of the same thing. They interrogate the mechanism from orthogonal directions. The OLS model asks whether, at a single moment, the strongest-signal sources are the recent, well-attended, and venue-advanced ones. The learning-curve model asks whether, across time, attention accretes in a patterned way. A topic could show cross-sectional structure without temporal structure, or the reverse. Only by running both can the dissertation say which faces of the mechanism the corpus supports and which it does not</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complementarity is also a hedge against a single misleading result. If both screens returned strong structure, the maturation claim would be well supported. If both returned nothing, the corpus would be uniformly uninformative. The actual pattern, previewed as mixed and mostly imprecise, is the most instructive of all, because it localizes exactly where the metadata proxy succeeds and where it fails.</w:t>
      </w:r>
    </w:p>
    <w:bookmarkEnd w:id="87"/>
    <w:bookmarkStart w:id="88" w:name="the-limits-the-theory-imposes-on-itself"/>
    <w:p>
      <w:pPr>
        <w:pStyle w:val="Heading2"/>
        <w:spacing w:line="480" w:lineRule="auto"/>
      </w:pPr>
      <w:r>
        <w:t xml:space="preserve">The limits the theory imposes on itself</w:t>
      </w:r>
    </w:p>
    <w:p>
      <w:pPr>
        <w:pStyle w:val="FirstParagraph"/>
        <w:spacing w:line="480" w:lineRule="auto"/>
      </w:pPr>
      <w:r>
        <w:t xml:space="preserve">A responsible mechanism states its own boundaries. This one has three. First, documentary structure is a proxy for topic maturation, and topic maturation is itself only a precondition for, not proof of, the rating’s behavioral effect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theory cannot leap from a structured corpus to changed operator design; it can only license the claim that the idea has begun to organize a field.</w:t>
      </w:r>
    </w:p>
    <w:p>
      <w:pPr>
        <w:pStyle w:val="BodyText"/>
        <w:spacing w:line="480" w:lineRule="auto"/>
        <w:ind w:firstLine="720"/>
      </w:pPr>
      <w:r>
        <w:t xml:space="preserve">Second, the proxies are coarse. Recency compresses a rich publication history into an index. Citation attention is a local measure. Venue family is a three-level ordinal code. Each compression loses information, and the mechanism is only as sharp as the proxies allow</w:t>
      </w:r>
      <w:r>
        <w:t xml:space="preserve"> </w:t>
      </w:r>
      <w:hyperlink w:anchor="ref-3">
        <w:r>
          <w:rPr>
            <w:rStyle w:val="Hyperlink"/>
          </w:rPr>
          <w:t xml:space="preserve">[3]</w:t>
        </w:r>
      </w:hyperlink>
      <w:r>
        <w:t xml:space="preserve">. The theory therefore predicts detectable structure, not strong structure, and it treats weak or null coefficients as evidence about proxy limits rather than as refutation of the underlying idea.</w:t>
      </w:r>
    </w:p>
    <w:p>
      <w:pPr>
        <w:pStyle w:val="BodyText"/>
        <w:spacing w:line="480" w:lineRule="auto"/>
        <w:ind w:firstLine="720"/>
      </w:pPr>
      <w:r>
        <w:t xml:space="preserve">Third, the corpus contains topic-adjacent sources that share vocabulary and venues without being about the rating at all</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 mechanism must survive that contamination, and part of what the empirical models test is whether the signal score successfully separates central from adjacent material. If adjacency dominates, the coefficients will be attenuated toward zero, which is one plausible reading of the small R-squared values that Chapter 6 reports.</w:t>
      </w:r>
    </w:p>
    <w:p>
      <w:pPr>
        <w:pStyle w:val="BodyText"/>
        <w:spacing w:line="480" w:lineRule="auto"/>
        <w:ind w:firstLine="720"/>
      </w:pPr>
      <w:r>
        <w:t xml:space="preserve">With the mechanism specified and its predictions made falsifiable, the dissertation turns next to the estimators that put these hypotheses at risk, and to the argument for what each specification can and cannot identify</w:t>
      </w:r>
      <w:r>
        <w:t xml:space="preserve"> </w:t>
      </w:r>
      <w:hyperlink w:anchor="ref-1">
        <w:r>
          <w:rPr>
            <w:rStyle w:val="Hyperlink"/>
          </w:rPr>
          <w:t xml:space="preserve">[1]</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88"/>
    <w:bookmarkStart w:id="89" w:name="Xd039f265cce333c946d3dcc84e1a752fa58e8a5"/>
    <w:p>
      <w:pPr>
        <w:pStyle w:val="Heading2"/>
        <w:spacing w:line="480" w:lineRule="auto"/>
      </w:pPr>
      <w:r>
        <w:t xml:space="preserve">Rival mechanisms and how to tell them apart</w:t>
      </w:r>
    </w:p>
    <w:p>
      <w:pPr>
        <w:pStyle w:val="FirstParagraph"/>
        <w:spacing w:line="480" w:lineRule="auto"/>
      </w:pPr>
      <w:r>
        <w:t xml:space="preserve">Rivals matter. A good theory names the ones it must beat. Three alternative accounts could produce a structured corpus without any genuine maturation of the sustainability-rating idea, and the design must be honest about which of them it can and cannot distinguish.</w:t>
      </w:r>
    </w:p>
    <w:p>
      <w:pPr>
        <w:pStyle w:val="BodyText"/>
        <w:spacing w:line="480" w:lineRule="auto"/>
        <w:ind w:firstLine="720"/>
      </w:pPr>
      <w:r>
        <w:t xml:space="preserve">The first rival is field-wide growth. Space research as a whole has expanded rapidly, so any subtopic will show more recent records simply because there are more records overall. A positive recency coefficient could reflect that tide rather than the specific consolidation of the rating idea</w:t>
      </w:r>
      <w:r>
        <w:t xml:space="preserve"> </w:t>
      </w:r>
      <w:hyperlink w:anchor="ref-4">
        <w:r>
          <w:rPr>
            <w:rStyle w:val="Hyperlink"/>
          </w:rPr>
          <w:t xml:space="preserve">[4]</w:t>
        </w:r>
      </w:hyperlink>
      <w:r>
        <w:t xml:space="preserve">. The venue-family variable partly guards against this, because generic growth would not necessarily concentrate the topic signal in particular venues, but the design cannot fully separate topic-specific maturation from field-wide expansion, and Chapter 7 records this as a live limitation.</w:t>
      </w:r>
    </w:p>
    <w:p>
      <w:pPr>
        <w:pStyle w:val="BodyText"/>
        <w:spacing w:line="480" w:lineRule="auto"/>
        <w:ind w:firstLine="720"/>
      </w:pPr>
      <w:r>
        <w:t xml:space="preserve">The second rival is retrieval artifact. Because the corpus is assembled by keyword-driven retrieval, the apparent structure could be an echo of the retrieval rule rather than a property of the field. If the retrieval favored recent, well-attended journal articles, the correlations among recency, attention, and venue would be partly built in</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mechanism cannot see this directly, and the shared-source-record problem, where outcome and predictors come from the same retrieval, means artifact and signal are entangled. Naming this rival is part of what keeps the interpretation of a positive coefficient appropriately cautious.</w:t>
      </w:r>
    </w:p>
    <w:p>
      <w:pPr>
        <w:pStyle w:val="BodyText"/>
        <w:spacing w:line="480" w:lineRule="auto"/>
        <w:ind w:firstLine="720"/>
      </w:pPr>
      <w:r>
        <w:t xml:space="preserve">The third rival is adjacency contamination. The corpus deliberately contains topic-adjacent observational and proximity-operations work that shares venues and vocabulary with the sustainability literature</w:t>
      </w:r>
      <w:r>
        <w:t xml:space="preserve"> </w:t>
      </w:r>
      <w:hyperlink w:anchor="ref-7">
        <w:r>
          <w:rPr>
            <w:rStyle w:val="Hyperlink"/>
          </w:rPr>
          <w:t xml:space="preserve">[7]</w:t>
        </w:r>
      </w:hyperlink>
      <w:r>
        <w:t xml:space="preserve"> </w:t>
      </w:r>
      <w:hyperlink w:anchor="ref-8">
        <w:r>
          <w:rPr>
            <w:rStyle w:val="Hyperlink"/>
          </w:rPr>
          <w:t xml:space="preserve">[8]</w:t>
        </w:r>
      </w:hyperlink>
      <w:r>
        <w:t xml:space="preserve">. If adjacency is patterned by venue or recency, it could induce or mask structure that has nothing to do with the rating idea. The signal score is designed to grade centrality precisely so that adjacent records score low, and one implicit test of the whole design is whether that grading succeeds. If it does, adjacency adds noise but not spurious structure; if it does not, the coefficients are contaminated.</w:t>
      </w:r>
    </w:p>
    <w:bookmarkEnd w:id="89"/>
    <w:bookmarkStart w:id="90" w:name="Xcd3f917e8f3a514229844fb1a68c3a4565eea7b"/>
    <w:p>
      <w:pPr>
        <w:pStyle w:val="Heading2"/>
        <w:spacing w:line="480" w:lineRule="auto"/>
      </w:pPr>
      <w:r>
        <w:t xml:space="preserve">Why documentary structure is a defensible proxy despite the rivals</w:t>
      </w:r>
    </w:p>
    <w:p>
      <w:pPr>
        <w:pStyle w:val="FirstParagraph"/>
        <w:spacing w:line="480" w:lineRule="auto"/>
      </w:pPr>
      <w:r>
        <w:t xml:space="preserve">Given three rivals the design cannot fully defeat, why treat documentary structure as informative at all? The answer is that the mechanism makes a directional, joint prediction that the rivals do not naturally reproduce. Field-wide growth predicts more recent records but not that recent records carry denser topic signal conditional on venue and attention. Retrieval artifact predicts correlated metadata but not a specific positive recency sign paired with a specific venue gradient. Adjacency contamination predicts noise but not a coherent pattern across all three dimensions at once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maturation mechanism predicts a particular signed configuration, and it is the configuration, not any single coefficient, that the rivals struggle to mimic.</w:t>
      </w:r>
    </w:p>
    <w:p>
      <w:pPr>
        <w:pStyle w:val="BodyText"/>
        <w:spacing w:line="480" w:lineRule="auto"/>
        <w:ind w:firstLine="720"/>
      </w:pPr>
      <w:r>
        <w:t xml:space="preserve">This is why the joint F-test matters as much as the individual terms. A significant joint test with correctly signed coefficients would be hard for any single rival to produce, and that conjunction is what H1 really stakes out</w:t>
      </w:r>
      <w:r>
        <w:t xml:space="preserve"> </w:t>
      </w:r>
      <w:hyperlink w:anchor="ref-9">
        <w:r>
          <w:rPr>
            <w:rStyle w:val="Hyperlink"/>
          </w:rPr>
          <w:t xml:space="preserve">[9]</w:t>
        </w:r>
      </w:hyperlink>
      <w:r>
        <w:t xml:space="preserve">. Conversely, a null joint test, which is what Chapter 6 in fact reports, is consistent both with the absence of maturation and with a corpus too small and too contaminated to reveal it. The theory is honest that a null cannot distinguish these two readings, and it treats the null as evidence about proxy limits rather than as a clean refutation.</w:t>
      </w:r>
    </w:p>
    <w:bookmarkEnd w:id="90"/>
    <w:bookmarkStart w:id="91" w:name="Xa505f7d8dbc44f8011ec0ab7f7bc8271e6580fa"/>
    <w:p>
      <w:pPr>
        <w:pStyle w:val="Heading2"/>
        <w:spacing w:line="480" w:lineRule="auto"/>
      </w:pPr>
      <w:r>
        <w:t xml:space="preserve">The temporal mechanism against its rivals</w:t>
      </w:r>
    </w:p>
    <w:p>
      <w:pPr>
        <w:pStyle w:val="FirstParagraph"/>
        <w:spacing w:line="480" w:lineRule="auto"/>
      </w:pPr>
      <w:r>
        <w:t xml:space="preserve">The temporal model has a rival too. It is mechanical accrual. Older documents accumulate citations simply by existing longer, which predicts a positive age elasticity for reasons that have nothing to do with the intellectual maturation of the topic</w:t>
      </w:r>
      <w:r>
        <w:t xml:space="preserve"> </w:t>
      </w:r>
      <w:hyperlink w:anchor="ref-6">
        <w:r>
          <w:rPr>
            <w:rStyle w:val="Hyperlink"/>
          </w:rPr>
          <w:t xml:space="preserve">[6]</w:t>
        </w:r>
      </w:hyperlink>
      <w:r>
        <w:t xml:space="preserve">. The maturation mechanism, by contrast, predicts that in a young, frontier-weighted field the newest work draws disproportionate attention, pushing the elasticity toward zero or negative. The two accounts make opposite directional predictions, which is exactly what makes the sign of the estimated elasticity informative rather than mechanical.</w:t>
      </w:r>
    </w:p>
    <w:p>
      <w:pPr>
        <w:pStyle w:val="BodyText"/>
        <w:spacing w:line="480" w:lineRule="auto"/>
        <w:ind w:firstLine="720"/>
      </w:pPr>
      <w:r>
        <w:t xml:space="preserve">When Chapter 6 reports a negative and imprecise elasticity, the theory here supplies the reading: the point estimate leans toward the frontier-weighted account and against simple accrual, but the imprecision means neither account is established. The value of stating the rival explicitly is that a naive analyst might have expected a positive elasticity and read its absence as a puzzle. The mechanism reframes the absence as a substantive, if weakly supported, hint that the field’s attention chases its frontier rather than deepening around a settled core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91"/>
    <w:bookmarkStart w:id="92" w:name="from-mechanism-to-estimation"/>
    <w:p>
      <w:pPr>
        <w:pStyle w:val="Heading2"/>
        <w:spacing w:line="480" w:lineRule="auto"/>
      </w:pPr>
      <w:r>
        <w:t xml:space="preserve">From mechanism to estimation</w:t>
      </w:r>
    </w:p>
    <w:p>
      <w:pPr>
        <w:pStyle w:val="FirstParagraph"/>
        <w:spacing w:line="480" w:lineRule="auto"/>
      </w:pPr>
      <w:r>
        <w:t xml:space="preserve">The mechanism, its predictions, and its rivals now define what the estimators must do. They must recover the signed configuration across recency, attention, and venue that separates maturation from field-wide growth and artifact. They must recover the age elasticity that separates frontier-weighting from mechanical accrual. And they must do both on a small, partly contaminated corpus, which means the estimators must be lean, interpretable, and robust to the heteroskedasticity a bounded count outcome produces</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next chapter specifies exactly such estimators and argues, term by term, for what each can identify and what each must leave to the sharper evidence a later study would collect</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p>
      <w:pPr>
        <w:pStyle w:val="BodyText"/>
        <w:spacing w:line="480" w:lineRule="auto"/>
        <w:ind w:firstLine="720"/>
      </w:pPr>
      <w:r>
        <w:t xml:space="preserve">One last theoretical commitment frames that transition. The mechanism treats every prediction as conditional on the proxies being faithful, and it treats a null as informative about the proxies as much as about the field</w:t>
      </w:r>
      <w:r>
        <w:t xml:space="preserve"> </w:t>
      </w:r>
      <w:hyperlink w:anchor="ref-3">
        <w:r>
          <w:rPr>
            <w:rStyle w:val="Hyperlink"/>
          </w:rPr>
          <w:t xml:space="preserve">[3]</w:t>
        </w:r>
      </w:hyperlink>
      <w:r>
        <w:t xml:space="preserve">. This is a deliberately humble stance. It refuses to let a weak result stand as a strong claim about the world, and it refuses to let correctly signed coefficients be read as confirmation when their precision fails. What the theory offers, in the end, is a disciplined way to ask whether a young governance idea has begun to organize a literature, together with an honest account of why the answer this corpus gives is faint. The estimators in the next chapter are the instruments that turn that theoretical stance into measured quantities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To make the logical structure unmistakable, the mechanism can be stated as a chain of conditionals. If the rating idea is maturing, then its concepts consolidate into a recognizable literature. If the concepts consolidate, then the topic signal patterns with recency, attention, and venue, and citation attention takes on a measurable age shape</w:t>
      </w:r>
      <w:r>
        <w:t xml:space="preserve"> </w:t>
      </w:r>
      <w:hyperlink w:anchor="ref-1">
        <w:r>
          <w:rPr>
            <w:rStyle w:val="Hyperlink"/>
          </w:rPr>
          <w:t xml:space="preserve">[1]</w:t>
        </w:r>
      </w:hyperlink>
      <w:r>
        <w:t xml:space="preserve"> </w:t>
      </w:r>
      <w:hyperlink w:anchor="ref-9">
        <w:r>
          <w:rPr>
            <w:rStyle w:val="Hyperlink"/>
          </w:rPr>
          <w:t xml:space="preserve">[9]</w:t>
        </w:r>
      </w:hyperlink>
      <w:r>
        <w:t xml:space="preserve">. The empirical models test the consequents of that chain. Confirming them would not prove the antecedent, because rival mechanisms could produce the same patterns, but disconfirming them weakens the antecedent’s plausibility on this corpus. This is the logic of denying the consequent applied to a governance idea: the theory cannot verify maturation, but it can register when the documentary evidence that maturation would produce is absent. That asymmetry, between what a positive result can and cannot establish and what a null does and does not rule out, is the logical backbone the rest of the dissertation reasons from</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Stated at its plainest, the theoretical wager of this dissertation is that the way a governance idea appears in its literature is not noise but a legible early trace of whether the idea has begun to take institutional hold</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wager may lose. The corpus may be too small, the proxies too coarse, and the topic too young for the trace to show. But the wager is worth making because it converts an untestable intuition, that the rating idea is or is not maturing, into a pair of measurable predictions that a reader can check against reproducible output. Whatever the result, the field gains a documented answer to a specific, prior question, rather than one more confident assertion about an instrument whose effects remain unproven. The mechanism, its rivals, and its self-imposed limits together define exactly what that answer will and will not be able to say</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92"/>
    <w:bookmarkEnd w:id="93"/>
    <w:bookmarkStart w:id="105"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weight of this dissertation. Both are small, both are transparent, and both are chosen for a specific reason: they identify structure in a documentary corpus without pretending to identify causation in operator behavior. This chapter states each estimator precisely, explains what it can identify and what it cannot, and defends the modeling choices against the obvious objections. One principle governs everything here. The method should never claim more than the data design can support</w:t>
      </w:r>
      <w:r>
        <w:t xml:space="preserve"> </w:t>
      </w:r>
      <w:hyperlink w:anchor="ref-3">
        <w:r>
          <w:rPr>
            <w:rStyle w:val="Hyperlink"/>
          </w:rPr>
          <w:t xml:space="preserve">[3]</w:t>
        </w:r>
      </w:hyperlink>
      <w:r>
        <w:t xml:space="preserve">.</w:t>
      </w:r>
    </w:p>
    <w:bookmarkStart w:id="94" w:name="the-cross-sectional-estimator"/>
    <w:p>
      <w:pPr>
        <w:pStyle w:val="Heading2"/>
        <w:spacing w:line="480" w:lineRule="auto"/>
      </w:pPr>
      <w:r>
        <w:t xml:space="preserve">The cross-sectional estimator</w:t>
      </w:r>
    </w:p>
    <w:p>
      <w:pPr>
        <w:pStyle w:val="FirstParagraph"/>
        <w:spacing w:line="480" w:lineRule="auto"/>
      </w:pPr>
      <w:r>
        <w:t xml:space="preserve">The first model is ordinary least squares. It fits the topic-signal score for each source record as a linear function of three predictors. In the notation of the estimation file, the specification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The outcome, SignalScore, is a deterministic count of candidate-theme term hits assembled from each record’s title, snippet, keyword field, and author metadata. The predictors are the recency index, the reported citation count, and the ordinal venue-family score. The estimator is fit with robust HC1 standard errors, which relax the assumption of homoskedastic errors and give inference that does not depend on every record having the same error variance</w:t>
      </w:r>
      <w:r>
        <w:t xml:space="preserve"> </w:t>
      </w:r>
      <w:hyperlink w:anchor="ref-2">
        <w:r>
          <w:rPr>
            <w:rStyle w:val="Hyperlink"/>
          </w:rPr>
          <w:t xml:space="preserve">[2]</w:t>
        </w:r>
      </w:hyperlink>
      <w:r>
        <w:t xml:space="preserve">.</w:t>
      </w:r>
    </w:p>
    <w:p>
      <w:pPr>
        <w:pStyle w:val="BodyText"/>
        <w:spacing w:line="480" w:lineRule="auto"/>
        <w:ind w:firstLine="720"/>
      </w:pPr>
      <w:r>
        <w:t xml:space="preserve">The choice of OLS is deliberate and defensible. The outcome is a bounded count, and one could argue for a count model such as Poisson or negative binomial. OLS is preferred here for three reasons. It is interpretable without a link function, so each coefficient reads directly as a change in signal score per unit of the predictor. It is robust to the modest departures from normality that a small count outcome produces, especially with HC1 errors. And it keeps the design auditable: a reader can reproduce every fitted value by hand from the coefficients and the data rows. In a dissertation whose central commitment is transparency, that reproducibility outweighs the marginal efficiency a count model might offer.</w:t>
      </w:r>
    </w:p>
    <w:bookmarkEnd w:id="94"/>
    <w:bookmarkStart w:id="95" w:name="what-the-ols-model-identifies"/>
    <w:p>
      <w:pPr>
        <w:pStyle w:val="Heading2"/>
        <w:spacing w:line="480" w:lineRule="auto"/>
      </w:pPr>
      <w:r>
        <w:t xml:space="preserve">What the OLS model identifies</w:t>
      </w:r>
    </w:p>
    <w:p>
      <w:pPr>
        <w:pStyle w:val="FirstParagraph"/>
        <w:spacing w:line="480" w:lineRule="auto"/>
      </w:pPr>
      <w:r>
        <w:t xml:space="preserve">Association is not effect. The OLS model identifies conditional association, not causal effect. Each coefficient estimates how signal intensity co-varies with one predictor, holding the other two fixed, within the retrieved corpus. That is a real and useful quantity. It answers whether recent sources carry stronger topic signal once attention and venue are controlled, and whether well-attended sources do, and whether venue family structures the signal. But it does not answer why. The recency coefficient does not prove that time causes signal intensity; it measures a partial correlation that is consistent with the maturation mechanism of Chapter 3 and also consistent with several alternatives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identification claim is therefore modest and honest. Under the assumption that the retained records are a coherent sample of the candidate topic’s documentary footprint, the coefficients identify the partial associations that the maturation mechanism predicts. The joint F-test identifies whether the three predictors together carry any explanatory content. The R-squared identifies how much of the signal-score variation the linear model accounts for. None of these quantities requires an exclusion restriction or an instrument, because none of them is a causal parameter. This is a screening design, and its identification is the identification of structure, not of effect.</w:t>
      </w:r>
    </w:p>
    <w:bookmarkEnd w:id="95"/>
    <w:bookmarkStart w:id="96" w:name="the-temporal-estimator"/>
    <w:p>
      <w:pPr>
        <w:pStyle w:val="Heading2"/>
        <w:spacing w:line="480" w:lineRule="auto"/>
      </w:pPr>
      <w:r>
        <w:t xml:space="preserve">The temporal estimator</w:t>
      </w:r>
    </w:p>
    <w:p>
      <w:pPr>
        <w:pStyle w:val="FirstParagraph"/>
        <w:spacing w:line="480" w:lineRule="auto"/>
      </w:pPr>
      <w:r>
        <w:t xml:space="preserve">The second model is a log-log learning curve. It fits the natural log of citation attention as a linear function of the natural log of article age:</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outcome is the reported citation count plus one, so that the logarithm is defined for the many uncited records in the corpus. The single predictor is the log of the age index, defined as 2026 minus the publication year plus one. The slope coefficient beta_1 is an elasticity: it estimates the percentage change in citation attention associated with a one percent change in article age. The model is fit with robust HC1 standard errors, consistent with the cross-sectional screen</w:t>
      </w:r>
      <w:r>
        <w:t xml:space="preserve"> </w:t>
      </w:r>
      <w:hyperlink w:anchor="ref-6">
        <w:r>
          <w:rPr>
            <w:rStyle w:val="Hyperlink"/>
          </w:rPr>
          <w:t xml:space="preserve">[6]</w:t>
        </w:r>
      </w:hyperlink>
      <w:r>
        <w:t xml:space="preserve">.</w:t>
      </w:r>
    </w:p>
    <w:p>
      <w:pPr>
        <w:pStyle w:val="BodyText"/>
        <w:spacing w:line="480" w:lineRule="auto"/>
        <w:ind w:firstLine="720"/>
      </w:pPr>
      <w:r>
        <w:t xml:space="preserve">The learning-curve form is chosen because it imposes a disciplined, single-parameter description of how attention scales with age. In cost and technology analysis, the same specification yields a progress ratio, the factor by which the modeled quantity changes when the scaling variable doubles. Reporting that progress ratio alongside the elasticity gives the temporal result an interpretable magnitude rather than a bare coefficient. The plus-one transformation is the standard device for handling zeros under a log, and it is applied uniformly so that no record is dropped for being uncited.</w:t>
      </w:r>
    </w:p>
    <w:bookmarkEnd w:id="96"/>
    <w:bookmarkStart w:id="97" w:name="what-the-learning-curve-model-identifies"/>
    <w:p>
      <w:pPr>
        <w:pStyle w:val="Heading2"/>
        <w:spacing w:line="480" w:lineRule="auto"/>
      </w:pPr>
      <w:r>
        <w:t xml:space="preserve">What the learning-curve model identifies</w:t>
      </w:r>
    </w:p>
    <w:p>
      <w:pPr>
        <w:pStyle w:val="FirstParagraph"/>
        <w:spacing w:line="480" w:lineRule="auto"/>
      </w:pPr>
      <w:r>
        <w:t xml:space="preserve">The learning-curve model identifies the age elasticity of citation attention in the retrieved corpus. If the elasticity is positive and precise, older documents carry systematically more attention, consistent with simple accrual over time. If it is negative and precise, the corpus is frontier-weighted: recent work draws disproportionate attention as the field moves. If it is imprecise, the corpus carries no reliable age-based attention structure at all. As Chapter 6 reports, the estimated elasticity is negative and imprecise, and the model’s job is to make that specific pattern legible against the two sharper alternatives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Here too the identification is of structure, not of cause. The model does not claim that age causes attention or that attention causes age. It measures the shape of their association under a specific functional form. The single-predictor design means the elasticity absorbs everything correlated with age, including field-level shifts in publication volume and venue mix. That is a limitation, and Chapter 7 treats it as one, but it does not undermine the descriptive claim the model actually makes.</w:t>
      </w:r>
    </w:p>
    <w:bookmarkEnd w:id="97"/>
    <w:bookmarkStart w:id="98" w:name="why-two-models-rather-than-one"/>
    <w:p>
      <w:pPr>
        <w:pStyle w:val="Heading2"/>
        <w:spacing w:line="480" w:lineRule="auto"/>
      </w:pPr>
      <w:r>
        <w:t xml:space="preserve">Why two models rather than one</w:t>
      </w:r>
    </w:p>
    <w:p>
      <w:pPr>
        <w:pStyle w:val="FirstParagraph"/>
        <w:spacing w:line="480" w:lineRule="auto"/>
      </w:pPr>
      <w:r>
        <w:t xml:space="preserve">A single richer model could, in principle, combine cross-sectional predictors with a temporal term. The dissertation keeps them separate on purpose. The reason is discipline. The two questions are conceptually distinct: one is about the composition of signal across sources at a moment, the other about the trajectory of attention across time</w:t>
      </w:r>
      <w:r>
        <w:t xml:space="preserve"> </w:t>
      </w:r>
      <w:hyperlink w:anchor="ref-6">
        <w:r>
          <w:rPr>
            <w:rStyle w:val="Hyperlink"/>
          </w:rPr>
          <w:t xml:space="preserve">[6]</w:t>
        </w:r>
      </w:hyperlink>
      <w:r>
        <w:t xml:space="preserve">. Fusing them into a single specification would blur which face of the maturation mechanism any given coefficient speaks to, and it would strain a thirty-record corpus with more parameters than the data can support. Two lean models, each answering one question, preserve interpretability and keep the degrees of freedom honest.</w:t>
      </w:r>
    </w:p>
    <w:p>
      <w:pPr>
        <w:pStyle w:val="BodyText"/>
        <w:spacing w:line="480" w:lineRule="auto"/>
        <w:ind w:firstLine="720"/>
      </w:pPr>
      <w:r>
        <w:t xml:space="preserve">The separation also serves the falsifiability goal. Because the models are independent, they can disagree, and their disagreement is informative. If the cross-sectional screen found structure while the temporal screen did not, that would localize the maturation signal to composition rather than trajectory. The design is built so that the corpus can tell the researcher not just whether it is structured but along which axis, and that resolution would be lost in a single combined estimator.</w:t>
      </w:r>
    </w:p>
    <w:bookmarkEnd w:id="98"/>
    <w:bookmarkStart w:id="99" w:name="estimation-inference-and-reproducibility"/>
    <w:p>
      <w:pPr>
        <w:pStyle w:val="Heading2"/>
        <w:spacing w:line="480" w:lineRule="auto"/>
      </w:pPr>
      <w:r>
        <w:t xml:space="preserve">Estimation, inference, and reproducibility</w:t>
      </w:r>
    </w:p>
    <w:p>
      <w:pPr>
        <w:pStyle w:val="FirstParagraph"/>
        <w:spacing w:line="480" w:lineRule="auto"/>
      </w:pPr>
      <w:r>
        <w:t xml:space="preserve">Both models are estimated on the same thirty observations, and both use HC1 robust standard errors so that inference tolerates heteroskedasticity. The choice of HC1 over the classical variance estimator is a small-sample robustness decision: with thirty records and a bounded count outcome, error variance is unlikely to be constant, and HC1 guards against overconfident standard errors</w:t>
      </w:r>
      <w:r>
        <w:t xml:space="preserve"> </w:t>
      </w:r>
      <w:hyperlink w:anchor="ref-2">
        <w:r>
          <w:rPr>
            <w:rStyle w:val="Hyperlink"/>
          </w:rPr>
          <w:t xml:space="preserve">[2]</w:t>
        </w:r>
      </w:hyperlink>
      <w:r>
        <w:t xml:space="preserve">. Reported quantities include, for the OLS model, the coefficient, robust standard error, and p-value for each term, plus the model R-squared, adjusted R-squared, F-statistic, and its p-value. For the learning-curve model, they include the constant and elasticity with their standard errors and p-values, plus the R-squared and the doubling progress ratio implied by the elasticity.</w:t>
      </w:r>
    </w:p>
    <w:p>
      <w:pPr>
        <w:pStyle w:val="BodyText"/>
        <w:spacing w:line="480" w:lineRule="auto"/>
        <w:ind w:firstLine="720"/>
      </w:pPr>
      <w:r>
        <w:t xml:space="preserve">Every one of these quantities is a deterministic function of the data file and the specification. There is no random component in estimation, no bootstrap seed, no simulation. A reader with the estimation file and a standard regression routine will recover the identical numbers. That determinism is the methodological backbone of the dissertation: it means the results in Chapter 6 are not artifacts of a particular software run but fixed properties of the data and the model</w:t>
      </w:r>
      <w:r>
        <w:t xml:space="preserve"> </w:t>
      </w:r>
      <w:hyperlink w:anchor="ref-5">
        <w:r>
          <w:rPr>
            <w:rStyle w:val="Hyperlink"/>
          </w:rPr>
          <w:t xml:space="preserve">[5]</w:t>
        </w:r>
      </w:hyperlink>
      <w:r>
        <w:t xml:space="preserve">.</w:t>
      </w:r>
    </w:p>
    <w:bookmarkEnd w:id="99"/>
    <w:bookmarkStart w:id="100" w:name="the-threats-the-method-cannot-resolve"/>
    <w:p>
      <w:pPr>
        <w:pStyle w:val="Heading2"/>
        <w:spacing w:line="480" w:lineRule="auto"/>
      </w:pPr>
      <w:r>
        <w:t xml:space="preserve">The threats the method cannot resolve</w:t>
      </w:r>
    </w:p>
    <w:p>
      <w:pPr>
        <w:pStyle w:val="FirstParagraph"/>
        <w:spacing w:line="480" w:lineRule="auto"/>
      </w:pPr>
      <w:r>
        <w:t xml:space="preserve">Honesty about identification requires naming what the method leaves unresolved. Three threats survive the design and are carried forward to Chapter 7. First, the outcome and the predictors are constructed from the same source records, so any systematic bias in retrieval propagates into both, and the coefficients cannot distinguish genuine structure from shared measurement error</w:t>
      </w:r>
      <w:r>
        <w:t xml:space="preserve"> </w:t>
      </w:r>
      <w:hyperlink w:anchor="ref-3">
        <w:r>
          <w:rPr>
            <w:rStyle w:val="Hyperlink"/>
          </w:rPr>
          <w:t xml:space="preserve">[3]</w:t>
        </w:r>
      </w:hyperlink>
      <w:r>
        <w:t xml:space="preserve">. Second, the corpus is small and topic-adjacent material is present, which attenuates coefficients toward zero and lowers power; a null result under these conditions is weaker evidence for H0 than the same null on a large, clean corpus</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Third, neither model observes operators, so the entire behavioral chain that the rating instrument is supposed to travel remains outside the design’s reach</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These are not fatal flaws. They are the honest price of a documentary design applied to a young topic, and the method is chosen precisely so that its limits are visible rather than hidden. With the estimators specified and their identification claims bounded, the dissertation turns next to the dataset itself: how the thirty records were assembled, how each variable was constructed, and what provenance rules keep the corpus auditable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00"/>
    <w:bookmarkStart w:id="101" w:name="X080397b680cc5250106de8a1f0ec68d7bb7544a"/>
    <w:p>
      <w:pPr>
        <w:pStyle w:val="Heading2"/>
        <w:spacing w:line="480" w:lineRule="auto"/>
      </w:pPr>
      <w:r>
        <w:t xml:space="preserve">The robust standard error choice in detail</w:t>
      </w:r>
    </w:p>
    <w:p>
      <w:pPr>
        <w:pStyle w:val="FirstParagraph"/>
        <w:spacing w:line="480" w:lineRule="auto"/>
      </w:pPr>
      <w:r>
        <w:t xml:space="preserve">The decision to use HC1 rather than the classical variance estimator deserves a fuller defense, because inference in this study rests on it. The classical estimator assumes that every observation’s error has the same variance. That assumption is implausible here. The signal-score outcome is a bounded count whose variance naturally changes with its mean, and records drawn from different venue families almost certainly carry different error dispersions, given how differently conference snippets and journal abstracts are structured</w:t>
      </w:r>
      <w:r>
        <w:t xml:space="preserve"> </w:t>
      </w:r>
      <w:hyperlink w:anchor="ref-2">
        <w:r>
          <w:rPr>
            <w:rStyle w:val="Hyperlink"/>
          </w:rPr>
          <w:t xml:space="preserve">[2]</w:t>
        </w:r>
      </w:hyperlink>
      <w:r>
        <w:t xml:space="preserve">. Under such heteroskedasticity, classical standard errors would be biased, typically downward, producing overconfident p-values that could manufacture significance where none exists.</w:t>
      </w:r>
    </w:p>
    <w:p>
      <w:pPr>
        <w:pStyle w:val="BodyText"/>
        <w:spacing w:line="480" w:lineRule="auto"/>
        <w:ind w:firstLine="720"/>
      </w:pPr>
      <w:r>
        <w:t xml:space="preserve">HC1 corrects for this by estimating the variance from the observed residuals themselves, with a finite-sample adjustment appropriate to thirty observations. The consequence is conservative inference: standard errors that do not pretend to a precision the data lack. In a study whose central results are null, this choice is doubly important, because it forecloses the objection that the nulls are an artifact of understated uncertainty. If anything, HC1 makes it harder to reject the null, which means the nulls Chapter 6 reports are reached under an inference regime that leans against false positives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01"/>
    <w:bookmarkStart w:id="102" w:name="X68a95f343288efbdffc3897d19ee975df45ff1e"/>
    <w:p>
      <w:pPr>
        <w:pStyle w:val="Heading2"/>
        <w:spacing w:line="480" w:lineRule="auto"/>
      </w:pPr>
      <w:r>
        <w:t xml:space="preserve">Functional form and the learning-curve justification</w:t>
      </w:r>
    </w:p>
    <w:p>
      <w:pPr>
        <w:pStyle w:val="FirstParagraph"/>
        <w:spacing w:line="480" w:lineRule="auto"/>
      </w:pPr>
      <w:r>
        <w:t xml:space="preserve">The log-log form of the temporal model is a substantive modeling choice, not a convenience. Modeling the log of citation attention against the log of age imposes constant elasticity: the model assumes that a given percentage change in age is associated with the same percentage change in attention across the whole age range</w:t>
      </w:r>
      <w:r>
        <w:t xml:space="preserve"> </w:t>
      </w:r>
      <w:hyperlink w:anchor="ref-6">
        <w:r>
          <w:rPr>
            <w:rStyle w:val="Hyperlink"/>
          </w:rPr>
          <w:t xml:space="preserve">[6]</w:t>
        </w:r>
      </w:hyperlink>
      <w:r>
        <w:t xml:space="preserve">. This is the defining property of a learning curve, and it is what allows the single slope to be summarized as an elasticity and translated into a doubling progress ratio. A linear-in-levels model would instead assume a constant absolute change, which fits poorly when both variables span an order of magnitude, as age does across a corpus running from 2001 to 2026.</w:t>
      </w:r>
    </w:p>
    <w:p>
      <w:pPr>
        <w:pStyle w:val="BodyText"/>
        <w:spacing w:line="480" w:lineRule="auto"/>
        <w:ind w:firstLine="720"/>
      </w:pPr>
      <w:r>
        <w:t xml:space="preserve">The choice does import an assumption worth stating: constant elasticity may not hold if the youngest and oldest records behave qualitatively differently, as they plausibly do in a field where the newest work draws frontier attention. The log-log form averages over any such curvature into a single elasticity, which is why a low R-squared is an expected possibility rather than a surprise. The form is retained because it yields an interpretable, comparable parameter and because departures from it would require more structure than thirty observations can identify. Chapter 6 reports the resulting elasticity and its progress ratio, and Chapter 7 treats the constant-elasticity assumption as one of the design’s stated limits</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bookmarkEnd w:id="102"/>
    <w:bookmarkStart w:id="103" w:name="X36285479aedcacb57b1ea37a5ca1cec6f043365"/>
    <w:p>
      <w:pPr>
        <w:pStyle w:val="Heading2"/>
        <w:spacing w:line="480" w:lineRule="auto"/>
      </w:pPr>
      <w:r>
        <w:t xml:space="preserve">The plus-one transformation and its consequences</w:t>
      </w:r>
    </w:p>
    <w:p>
      <w:pPr>
        <w:pStyle w:val="FirstParagraph"/>
        <w:spacing w:line="480" w:lineRule="auto"/>
      </w:pPr>
      <w:r>
        <w:t xml:space="preserve">Adding one to every citation count before taking the log is the standard remedy for zeros under a logarithm, but it is not innocuous, and the method should own its effects. The transformation compresses the distinction between an uncited record and a lightly cited one: a record with zero local citations enters as ln(1) equals zero, and a record with one citation enters as ln(2), a jump that is large relative to the difference between, say, twenty and twenty-one citations</w:t>
      </w:r>
      <w:r>
        <w:t xml:space="preserve"> </w:t>
      </w:r>
      <w:hyperlink w:anchor="ref-5">
        <w:r>
          <w:rPr>
            <w:rStyle w:val="Hyperlink"/>
          </w:rPr>
          <w:t xml:space="preserve">[5]</w:t>
        </w:r>
      </w:hyperlink>
      <w:r>
        <w:t xml:space="preserve"> </w:t>
      </w:r>
      <w:hyperlink w:anchor="ref-6">
        <w:r>
          <w:rPr>
            <w:rStyle w:val="Hyperlink"/>
          </w:rPr>
          <w:t xml:space="preserve">[6]</w:t>
        </w:r>
      </w:hyperlink>
      <w:r>
        <w:t xml:space="preserve">. Because most records in this corpus carry zero under the local index, the outcome is dominated by observations pinned at ln(1), and the elasticity is estimated largely off the handful of cited journal records that carry real variation.</w:t>
      </w:r>
    </w:p>
    <w:p>
      <w:pPr>
        <w:pStyle w:val="BodyText"/>
        <w:spacing w:line="480" w:lineRule="auto"/>
        <w:ind w:firstLine="720"/>
      </w:pPr>
      <w:r>
        <w:t xml:space="preserve">This concentration of identifying variation in a few records is a direct consequence of the plus-one device interacting with a sparse citation variable, and it explains much of the temporal model’s low R-squared and wide standard error. The method does not hide this. The transformation is applied uniformly and disclosed, so a reader can see that the learning curve is fitted largely through a cloud of zeros and a thin scatter of cited records. That is an honest description of what the data allow, and it is why Chapter 6 reads the temporal result as weak rather than as a clean estimate of an age curve</w:t>
      </w:r>
      <w:r>
        <w:t xml:space="preserve"> </w:t>
      </w:r>
      <w:hyperlink w:anchor="ref-2">
        <w:r>
          <w:rPr>
            <w:rStyle w:val="Hyperlink"/>
          </w:rPr>
          <w:t xml:space="preserve">[2]</w:t>
        </w:r>
      </w:hyperlink>
      <w:r>
        <w:t xml:space="preserve">.</w:t>
      </w:r>
    </w:p>
    <w:bookmarkEnd w:id="103"/>
    <w:bookmarkStart w:id="104" w:name="X739cbab952181c9e3f487e90efedd688e9d9250"/>
    <w:p>
      <w:pPr>
        <w:pStyle w:val="Heading2"/>
        <w:spacing w:line="480" w:lineRule="auto"/>
      </w:pPr>
      <w:r>
        <w:t xml:space="preserve">Degrees of freedom and the discipline of leanness</w:t>
      </w:r>
    </w:p>
    <w:p>
      <w:pPr>
        <w:pStyle w:val="FirstParagraph"/>
        <w:spacing w:line="480" w:lineRule="auto"/>
      </w:pPr>
      <w:r>
        <w:t xml:space="preserve">A final methodological point concerns why both models are kept deliberately small. With thirty observations, every added parameter consumes scarce degrees of freedom and inflates the risk of overfitting, where the model chases noise specific to this corpus rather than structure that would generalize</w:t>
      </w:r>
      <w:r>
        <w:t xml:space="preserve"> </w:t>
      </w:r>
      <w:hyperlink w:anchor="ref-4">
        <w:r>
          <w:rPr>
            <w:rStyle w:val="Hyperlink"/>
          </w:rPr>
          <w:t xml:space="preserve">[4]</w:t>
        </w:r>
      </w:hyperlink>
      <w:r>
        <w:t xml:space="preserve">. The cross-sectional model uses three predictors plus a constant, and the temporal model uses one predictor plus a constant. These are near the ceiling of what the sample can support without the adjusted R-squared collapsing, and indeed Chapter 6 reports a slightly negative adjusted R-squared for the cross-sectional model, which is the estimator’s own signal that it is at that ceiling.</w:t>
      </w:r>
    </w:p>
    <w:p>
      <w:pPr>
        <w:pStyle w:val="BodyText"/>
        <w:spacing w:line="480" w:lineRule="auto"/>
        <w:ind w:firstLine="720"/>
      </w:pPr>
      <w:r>
        <w:t xml:space="preserve">The discipline of leanness is therefore not aesthetic minimalism; it is a response to the sample. A richer specification, with interactions or additional metadata predictors, would produce coefficients that look more interesting and mean less, because the data cannot distinguish genuine higher-order structure from sampling noise at this scale</w:t>
      </w:r>
      <w:r>
        <w:t xml:space="preserve"> </w:t>
      </w:r>
      <w:hyperlink w:anchor="ref-3">
        <w:r>
          <w:rPr>
            <w:rStyle w:val="Hyperlink"/>
          </w:rPr>
          <w:t xml:space="preserve">[3]</w:t>
        </w:r>
      </w:hyperlink>
      <w:r>
        <w:t xml:space="preserve"> </w:t>
      </w:r>
      <w:hyperlink w:anchor="ref-5">
        <w:r>
          <w:rPr>
            <w:rStyle w:val="Hyperlink"/>
          </w:rPr>
          <w:t xml:space="preserve">[5]</w:t>
        </w:r>
      </w:hyperlink>
      <w:r>
        <w:t xml:space="preserve">. By keeping the models lean, the design ensures that whatever it reports, including its nulls, reflects the data rather than the researcher’s freedom to specify. This is the methodological posture that carries into the data chapter, where the same commitment to transparency governs how every variable is built</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Taken as a whole, the methodology is built around a single trade the study accepts deliberately. It gives up the power and richness that a larger, more elaborately specified design would offer, and in exchange it buys transparency, reproducibility, and inference that cannot be gamed by specification search</w:t>
      </w:r>
      <w:r>
        <w:t xml:space="preserve"> </w:t>
      </w:r>
      <w:hyperlink w:anchor="ref-3">
        <w:r>
          <w:rPr>
            <w:rStyle w:val="Hyperlink"/>
          </w:rPr>
          <w:t xml:space="preserve">[3]</w:t>
        </w:r>
      </w:hyperlink>
      <w:r>
        <w:t xml:space="preserve"> </w:t>
      </w:r>
      <w:hyperlink w:anchor="ref-5">
        <w:r>
          <w:rPr>
            <w:rStyle w:val="Hyperlink"/>
          </w:rPr>
          <w:t xml:space="preserve">[5]</w:t>
        </w:r>
      </w:hyperlink>
      <w:r>
        <w:t xml:space="preserve">. For a design-stage dissertation on a young instrument, that trade is the right one, because the point at this stage is not to extract a precise effect the data cannot support but to establish an honest, auditable baseline and to show exactly what a stronger design would need to add. The estimators do that job, and their identification claims are bounded precisely so that the results in Chapter 6 can be read for neither more nor less than they contain</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A final clarification concerns what significance testing means in this setting. With thirty observations and a fixed corpus, the p-values do not carry their textbook interpretation as probabilities over hypothetical resamples from a well-defined population, since the corpus is a specific retrieval rather than a random draw</w:t>
      </w:r>
      <w:r>
        <w:t xml:space="preserve"> </w:t>
      </w:r>
      <w:hyperlink w:anchor="ref-3">
        <w:r>
          <w:rPr>
            <w:rStyle w:val="Hyperlink"/>
          </w:rPr>
          <w:t xml:space="preserve">[3]</w:t>
        </w:r>
      </w:hyperlink>
      <w:r>
        <w:t xml:space="preserve">. The study treats them instead as calibrated summaries of coefficient-to-standard-error ratios, useful for separating estimates the data pin down from estimates they do not, without pretending to a sampling framework the design does not have. This is a common and defensible reading for a fixed-corpus screen, and stating it here prevents the results chapter from being over-read as classical inference on a population it never sampled</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4"/>
    <w:bookmarkEnd w:id="105"/>
    <w:bookmarkStart w:id="116" w:name="chapter-5.-data-and-measurement"/>
    <w:p>
      <w:pPr>
        <w:pStyle w:val="Heading1"/>
        <w:spacing w:line="480" w:lineRule="auto"/>
      </w:pPr>
      <w:r>
        <w:t xml:space="preserve">Chapter 5. Data and Measurement</w:t>
      </w:r>
    </w:p>
    <w:p>
      <w:pPr>
        <w:pStyle w:val="FirstParagraph"/>
        <w:spacing w:line="480" w:lineRule="auto"/>
      </w:pPr>
      <w:r>
        <w:t xml:space="preserve">The dataset is small enough to print and inspect in full, and that is by design. Thirty records. Each carries its provenance, and together they form the entire empirical base of this dissertation. This chapter describes where those records came from, how every variable was constructed from them, and what rules keep the corpus auditable. The ambition is that a reader could rebuild the estimation file from scratch and arrive at the identical thirty rows, because a documentary study earns its authority only if its inputs are as inspectable as its outputs</w:t>
      </w:r>
      <w:r>
        <w:t xml:space="preserve"> </w:t>
      </w:r>
      <w:hyperlink w:anchor="ref-1">
        <w:r>
          <w:rPr>
            <w:rStyle w:val="Hyperlink"/>
          </w:rPr>
          <w:t xml:space="preserve">[1]</w:t>
        </w:r>
      </w:hyperlink>
      <w:r>
        <w:t xml:space="preserve"> </w:t>
      </w:r>
      <w:hyperlink w:anchor="ref-5">
        <w:r>
          <w:rPr>
            <w:rStyle w:val="Hyperlink"/>
          </w:rPr>
          <w:t xml:space="preserve">[5]</w:t>
        </w:r>
      </w:hyperlink>
      <w:r>
        <w:t xml:space="preserve">.</w:t>
      </w:r>
    </w:p>
    <w:bookmarkStart w:id="106" w:name="the-corpus-and-its-composition"/>
    <w:p>
      <w:pPr>
        <w:pStyle w:val="Heading2"/>
        <w:spacing w:line="480" w:lineRule="auto"/>
      </w:pPr>
      <w:r>
        <w:t xml:space="preserve">The corpus and its composition</w:t>
      </w:r>
    </w:p>
    <w:p>
      <w:pPr>
        <w:pStyle w:val="FirstParagraph"/>
        <w:spacing w:line="480" w:lineRule="auto"/>
      </w:pPr>
      <w:r>
        <w:t xml:space="preserve">The estimation file contains thirty retrieved source records drawn from the candidate-specific set of retrieved records assembled for the</w:t>
      </w:r>
      <w:r>
        <w:t xml:space="preserve"> </w:t>
      </w:r>
      <w:r>
        <w:rPr>
          <w:i/>
          <w:iCs/>
        </w:rPr>
        <w:t xml:space="preserve">Rating the Raters</w:t>
      </w:r>
      <w:r>
        <w:t xml:space="preserve"> </w:t>
      </w:r>
      <w:r>
        <w:t xml:space="preserve">project. Each record preserves a source column: a resolvable link, a digital object identifier, or, for synthesis and report material, a descriptive provenance string. That column is the spine of auditability. It ties every row back to a concrete document, so no observation is a free-floating number.</w:t>
      </w:r>
    </w:p>
    <w:p>
      <w:pPr>
        <w:pStyle w:val="BodyText"/>
        <w:spacing w:line="480" w:lineRule="auto"/>
        <w:ind w:firstLine="720"/>
      </w:pPr>
      <w:r>
        <w:t xml:space="preserve">The records span three venue families and a wide range of publication years. Twelve records come from the AMOS technical conference community, covering work on sustainability-rating definition, orbital demand and capacity, resident space object characterization, and observational surveys</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8">
        <w:r>
          <w:rPr>
            <w:rStyle w:val="Hyperlink"/>
          </w:rPr>
          <w:t xml:space="preserve">[8]</w:t>
        </w:r>
      </w:hyperlink>
      <w:r>
        <w:t xml:space="preserve">. Nine records come from the Acta Astronautica journal family, including the composite-indicator design paper, the multi-stakeholder mechanism paper, and value and transdisciplinary sustainability studies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remaining records sit in a synthesis-and-policy tier, capturing reports and cross-cutting economic and governance framing on the space economy and orbital stewardship. Publication years run from 2001 to 2026, giving the temporal model real spread to work with.</w:t>
      </w:r>
    </w:p>
    <w:p>
      <w:pPr>
        <w:pStyle w:val="BodyText"/>
        <w:spacing w:line="480" w:lineRule="auto"/>
        <w:ind w:firstLine="720"/>
      </w:pPr>
      <w:r>
        <w:t xml:space="preserve">The corpus deliberately includes topic-adjacent as well as topic-central material. A survey of faint geosynchronous debris and a five-eyes GEO proximity experiment are technically rigorous but only loosely connected to the rating instrument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Their inclusion is not an accident of sloppy retrieval; it is a stress test. If the signal-scoring approach works, these adjacent records should score low on the topic signal, and the venue-family variable should help separate them from the central sustainability literature. Retaining them lets the empirical models demonstrate whether that separation actually happens.</w:t>
      </w:r>
    </w:p>
    <w:bookmarkEnd w:id="106"/>
    <w:bookmarkStart w:id="107" w:name="the-outcome-variable-signal-score"/>
    <w:p>
      <w:pPr>
        <w:pStyle w:val="Heading2"/>
        <w:spacing w:line="480" w:lineRule="auto"/>
      </w:pPr>
      <w:r>
        <w:t xml:space="preserve">The outcome variable: signal score</w:t>
      </w:r>
    </w:p>
    <w:p>
      <w:pPr>
        <w:pStyle w:val="FirstParagraph"/>
        <w:spacing w:line="480" w:lineRule="auto"/>
      </w:pPr>
      <w:r>
        <w:t xml:space="preserve">The dependent variable in the cross-sectional model is the topic-signal score, a deterministic composite built for each record. It counts candidate-theme term hits across four fields of the source metadata: the title, the snippet, the keyword field, and the author metadata. The construction is mechanical. A record’s title-word count, snippet-word count, keyword count, and theme-hit count are combined into a single integer that measures how densely the candidate theme appears in that record’s retrievable metadata.</w:t>
      </w:r>
    </w:p>
    <w:p>
      <w:pPr>
        <w:pStyle w:val="BodyText"/>
        <w:spacing w:line="480" w:lineRule="auto"/>
        <w:ind w:firstLine="720"/>
      </w:pPr>
      <w:r>
        <w:t xml:space="preserve">The signal scores in the corpus range from 1 to 13. The sustainability-rating definition paper scores highest at 13, which is exactly what the maturation mechanism would predict: the anchor document for the topic carries the densest topic signal</w:t>
      </w:r>
      <w:r>
        <w:t xml:space="preserve"> </w:t>
      </w:r>
      <w:hyperlink w:anchor="ref-1">
        <w:r>
          <w:rPr>
            <w:rStyle w:val="Hyperlink"/>
          </w:rPr>
          <w:t xml:space="preserve">[1]</w:t>
        </w:r>
      </w:hyperlink>
      <w:r>
        <w:t xml:space="preserve">. The composite-indicator design paper scores 7, and the multi-stakeholder mechanism paper scores 7, both strong central contributions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Adjacent records score near the floor. The image-registration and de-aliasing paper scores 1, and the faint-debris survey scores low as well, confirming that the signal score does what it is meant to do: grade topic centrality rather than technical quality</w:t>
      </w:r>
      <w:r>
        <w:t xml:space="preserve"> </w:t>
      </w:r>
      <w:hyperlink w:anchor="ref-3">
        <w:r>
          <w:rPr>
            <w:rStyle w:val="Hyperlink"/>
          </w:rPr>
          <w:t xml:space="preserve">[3]</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The word count is that this is a proxy, not a measurement of scholarly substance. A record can carry dense topic vocabulary and thin argument, or the reverse. The signal score measures documentary visibility of the theme, which is the quantity the maturation mechanism actually cares about, and Chapter 7 is explicit that it does not measure content quality</w:t>
      </w:r>
      <w:r>
        <w:t xml:space="preserve"> </w:t>
      </w:r>
      <w:hyperlink w:anchor="ref-13">
        <w:r>
          <w:rPr>
            <w:rStyle w:val="Hyperlink"/>
          </w:rPr>
          <w:t xml:space="preserve">[13]</w:t>
        </w:r>
      </w:hyperlink>
      <w:r>
        <w:t xml:space="preserve">.</w:t>
      </w:r>
    </w:p>
    <w:p>
      <w:pPr>
        <w:pStyle w:val="BodyText"/>
        <w:spacing w:line="480" w:lineRule="auto"/>
        <w:ind w:firstLine="720"/>
      </w:pPr>
      <w:r>
        <w:t xml:space="preserve">The outcome, then, is a proxy and nothing grander. It measures visibility, not virtue.</w:t>
      </w:r>
    </w:p>
    <w:bookmarkEnd w:id="107"/>
    <w:bookmarkStart w:id="108" w:name="the-predictors"/>
    <w:p>
      <w:pPr>
        <w:pStyle w:val="Heading2"/>
        <w:spacing w:line="480" w:lineRule="auto"/>
      </w:pPr>
      <w:r>
        <w:t xml:space="preserve">The predictors</w:t>
      </w:r>
    </w:p>
    <w:p>
      <w:pPr>
        <w:pStyle w:val="FirstParagraph"/>
        <w:spacing w:line="480" w:lineRule="auto"/>
      </w:pPr>
      <w:r>
        <w:t xml:space="preserve">Three predictors enter the cross-sectional model, and one enters the temporal model. Each is constructed by a fixed rule with no discretionary judgment.</w:t>
      </w:r>
    </w:p>
    <w:p>
      <w:pPr>
        <w:pStyle w:val="BodyText"/>
        <w:spacing w:line="480" w:lineRule="auto"/>
        <w:ind w:firstLine="720"/>
      </w:pPr>
      <w:r>
        <w:t xml:space="preserve">The recency index is the publication year minus the minimum publication year in the sample plus one. With a sample minimum of 2001, a 2001 record scores 1 and a 2026 record scores 26. The index is a monotone transform of publication year that starts the scale at one, which keeps it clean for interpretation and avoids a zero baseline. Most of the corpus clusters in the 20 to 26 range, reflecting the recent surge of sustainability-rating work, with a small number of older anchor and adjacent records pulling the lower tail.</w:t>
      </w:r>
    </w:p>
    <w:p>
      <w:pPr>
        <w:pStyle w:val="BodyText"/>
        <w:spacing w:line="480" w:lineRule="auto"/>
        <w:ind w:firstLine="720"/>
      </w:pPr>
      <w:r>
        <w:t xml:space="preserve">The citation count is parsed directly from the local brain index. Where the index reports no citation count, the value is zero. This is the single most consequential measurement decision in the dataset, and it must be stated plainly: these are local index counts, not universal citation tallies. Many records, including several central ones, carry zero because the local index did not report a count, not because the work is genuinely uncited in the world</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consequence is a citation variable with limited variation. The three highest counts, 36 for the new-space-value paper, 25 for the transdisciplinary sustainability paper, and 20 for a hybrid-rocket regression study, come from journal records where the index happened to carry a figure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This sparsity is treated as a feature of the data to be reported, not a defect to be smoothed over.</w:t>
      </w:r>
    </w:p>
    <w:p>
      <w:pPr>
        <w:pStyle w:val="BodyText"/>
        <w:spacing w:line="480" w:lineRule="auto"/>
        <w:ind w:firstLine="720"/>
      </w:pPr>
      <w:r>
        <w:t xml:space="preserve">The venue-family score is an ordinal code: AMOS conference proceedings score 1, Acta Astronautica journal articles score 2, and synthesis or space-economy material scores 3. The ordering reflects a progression from fast practitioner venues toward archival journals toward cross-cutting synthesis, as argued in Chapter 3. The score is ordinal and is never treated as an interval quantity; a venue score of 2 is not twice a venue score of 1, and the interpretation in Chapter 6 respects that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The age index, used only in the temporal model, is 2026 minus the publication year plus one. A 2026 record scores 1 and a 2001 record scores 26. It is the temporal mirror of the recency index, oriented so that older documents carry larger values, which is the natural orientation for a learning curve in article age</w:t>
      </w:r>
      <w:r>
        <w:t xml:space="preserve"> </w:t>
      </w:r>
      <w:hyperlink w:anchor="ref-6">
        <w:r>
          <w:rPr>
            <w:rStyle w:val="Hyperlink"/>
          </w:rPr>
          <w:t xml:space="preserve">[6]</w:t>
        </w:r>
      </w:hyperlink>
      <w:r>
        <w:t xml:space="preserve">.</w:t>
      </w:r>
    </w:p>
    <w:bookmarkEnd w:id="108"/>
    <w:bookmarkStart w:id="109" w:name="X7be33bb3056eba7efeb2551046c3a4d5dbd8803"/>
    <w:p>
      <w:pPr>
        <w:pStyle w:val="Heading2"/>
        <w:spacing w:line="480" w:lineRule="auto"/>
      </w:pPr>
      <w:r>
        <w:t xml:space="preserve">Construction of the citation-plus-one outcome</w:t>
      </w:r>
    </w:p>
    <w:p>
      <w:pPr>
        <w:pStyle w:val="FirstParagraph"/>
        <w:spacing w:line="480" w:lineRule="auto"/>
      </w:pPr>
      <w:r>
        <w:t xml:space="preserve">The learning-curve model requires a citation outcome that survives a logarithm, and many records are uncited under the local index. The construction adds one to every citation count, yielding CitesPlus1, so that an uncited record enters the log as ln(1) equals zero rather than as an undefined ln(0). This is applied uniformly to all thirty records. The three cited journal records enter as 37, 26, and 21 respectively, and the majority enter as 1</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plus-one device is standard, transparent, and reversible, and it means no observation is dropped for lacking a citation count.</w:t>
      </w:r>
    </w:p>
    <w:bookmarkEnd w:id="109"/>
    <w:bookmarkStart w:id="110" w:name="provenance-and-auditability-rules"/>
    <w:p>
      <w:pPr>
        <w:pStyle w:val="Heading2"/>
        <w:spacing w:line="480" w:lineRule="auto"/>
      </w:pPr>
      <w:r>
        <w:t xml:space="preserve">Provenance and auditability rules</w:t>
      </w:r>
    </w:p>
    <w:p>
      <w:pPr>
        <w:pStyle w:val="FirstParagraph"/>
        <w:spacing w:line="480" w:lineRule="auto"/>
      </w:pPr>
      <w:r>
        <w:t xml:space="preserve">Three rules govern the dataset and give it its evidentiary standing. First, every row carries a source identifier, so no observation exists without a document behind it. Second, every variable is a deterministic function of retrievable metadata, so there is no hand-coding of subjective judgments that a second researcher could not reproduce. Third, the same thirty records feed both models, with the outcome and predictor sets differing by specification, so the two screens are grounded in an identical evidence base and their results are directly comparable</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These rules also make the dataset’s weaknesses visible rather than concealed. The reader can see that citation counts are sparse, that recency clusters in recent years, that venue is coarsely coded, and that adjacent records dilute the central signal. Those are precisely the features that shape the estimator output in Chapter 6, and stating them here means the interpretation there can be read against a fully disclosed data foundation</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10"/>
    <w:bookmarkStart w:id="111" w:name="what-the-data-can-and-cannot-support"/>
    <w:p>
      <w:pPr>
        <w:pStyle w:val="Heading2"/>
        <w:spacing w:line="480" w:lineRule="auto"/>
      </w:pPr>
      <w:r>
        <w:t xml:space="preserve">What the data can and cannot support</w:t>
      </w:r>
    </w:p>
    <w:p>
      <w:pPr>
        <w:pStyle w:val="FirstParagraph"/>
        <w:spacing w:line="480" w:lineRule="auto"/>
      </w:pPr>
      <w:r>
        <w:t xml:space="preserve">The dataset supports a documentary-structure inquiry and nothing larger. It can show whether topic signal patterns with recency, attention, and venue across thirty records, and whether citation attention carries age structure. It cannot support a claim about operator behavior, because it contains no operator observations, no mission records, and no design decisions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It cannot support a claim about universal citation impact, because its citation variable is a local measure. And it cannot support a strong causal reading of any coefficient, because the design identifies association, not effect</w:t>
      </w:r>
      <w:r>
        <w:t xml:space="preserve"> </w:t>
      </w:r>
      <w:hyperlink w:anchor="ref-4">
        <w:r>
          <w:rPr>
            <w:rStyle w:val="Hyperlink"/>
          </w:rPr>
          <w:t xml:space="preserve">[4]</w:t>
        </w:r>
      </w:hyperlink>
      <w:r>
        <w:t xml:space="preserve">.</w:t>
      </w:r>
    </w:p>
    <w:p>
      <w:pPr>
        <w:pStyle w:val="BodyText"/>
        <w:spacing w:line="480" w:lineRule="auto"/>
        <w:ind w:firstLine="720"/>
      </w:pPr>
      <w:r>
        <w:t xml:space="preserve">Naming these boundaries is not a hedge; it is the condition under which the numbers in the next chapter mean what they say. A dataset this small and this transparent earns trust precisely by refusing to be read for more than it contains. With the corpus, the variables, and the provenance rules fully specified, the dissertation now reports the exact estimator output for both papers and interprets the signs and magnitudes those thirty records produce</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bookmarkEnd w:id="111"/>
    <w:bookmarkStart w:id="112" w:name="descriptive-structure-of-the-corpus"/>
    <w:p>
      <w:pPr>
        <w:pStyle w:val="Heading2"/>
        <w:spacing w:line="480" w:lineRule="auto"/>
      </w:pPr>
      <w:r>
        <w:t xml:space="preserve">Descriptive structure of the corpus</w:t>
      </w:r>
    </w:p>
    <w:p>
      <w:pPr>
        <w:pStyle w:val="FirstParagraph"/>
        <w:spacing w:line="480" w:lineRule="auto"/>
      </w:pPr>
      <w:r>
        <w:t xml:space="preserve">Before the models run, it is worth reading the raw distributions, because they foreshadow the results. The signal-score distribution is right-skewed with a floor at one. A large cluster of records scores between 1 and 5, a smaller group scores 6 to 8, and a single record scores 13</w:t>
      </w:r>
      <w:r>
        <w:t xml:space="preserve"> </w:t>
      </w:r>
      <w:hyperlink w:anchor="ref-1">
        <w:r>
          <w:rPr>
            <w:rStyle w:val="Hyperlink"/>
          </w:rPr>
          <w:t xml:space="preserve">[1]</w:t>
        </w:r>
      </w:hyperlink>
      <w:r>
        <w:t xml:space="preserve">. This shape matters: a heavily floored outcome with one high anchor gives a linear model little smooth variation to explain, which is one reason the cross-sectional R-squared in Chapter 6 comes in low. The high anchor is the sustainability-rating definition paper, and its isolation at the top of the distribution means the model cannot lean on a gradient of high-signal records; there is essentially one.</w:t>
      </w:r>
    </w:p>
    <w:p>
      <w:pPr>
        <w:pStyle w:val="BodyText"/>
        <w:spacing w:line="480" w:lineRule="auto"/>
        <w:ind w:firstLine="720"/>
      </w:pPr>
      <w:r>
        <w:t xml:space="preserve">The recency distribution is tight and recent. Twenty-two of the thirty records fall between recency-index values of 20 and 26, corresponding to publication years 2020 through 2026, with only a handful of older records pulling the tail toward the sample minimum of 2001</w:t>
      </w:r>
      <w:r>
        <w:t xml:space="preserve"> </w:t>
      </w:r>
      <w:hyperlink w:anchor="ref-4">
        <w:r>
          <w:rPr>
            <w:rStyle w:val="Hyperlink"/>
          </w:rPr>
          <w:t xml:space="preserve">[4]</w:t>
        </w:r>
      </w:hyperlink>
      <w:r>
        <w:t xml:space="preserve"> </w:t>
      </w:r>
      <w:hyperlink w:anchor="ref-6">
        <w:r>
          <w:rPr>
            <w:rStyle w:val="Hyperlink"/>
          </w:rPr>
          <w:t xml:space="preserve">[6]</w:t>
        </w:r>
      </w:hyperlink>
      <w:r>
        <w:t xml:space="preserve">. This clustering limits the recency variable’s leverage: when most records share a narrow band of recency, the predictor has little range across which to trace an association with signal intensity. The clustering is itself substantively meaningful, since it reflects that the sustainability-rating literature is genuinely a recent phenomenon, but for the estimator it means limited identifying variation.</w:t>
      </w:r>
    </w:p>
    <w:p>
      <w:pPr>
        <w:pStyle w:val="BodyText"/>
        <w:spacing w:line="480" w:lineRule="auto"/>
        <w:ind w:firstLine="720"/>
      </w:pPr>
      <w:r>
        <w:t xml:space="preserve">Then there is the citation variable. Its distribution is the most extreme of all. Twenty-seven of the thirty records carry a citation count of zero under the local index, and only three, carrying 36, 25, and 20, hold any substantial count</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A predictor that is zero for ninety percent of observations cannot explain much, and this near-degeneracy is the mechanical origin of the citation coefficient’s near-perfect insignificance in Chapter 6. The venue distribution is more balanced: twelve conference records, nine journal records, and nine synthesis-tier records, giving the ordinal venue variable genuine spread across its three levels.</w:t>
      </w:r>
    </w:p>
    <w:bookmarkEnd w:id="112"/>
    <w:bookmarkStart w:id="113" w:name="worked-examples-of-variable-construction"/>
    <w:p>
      <w:pPr>
        <w:pStyle w:val="Heading2"/>
        <w:spacing w:line="480" w:lineRule="auto"/>
      </w:pPr>
      <w:r>
        <w:t xml:space="preserve">Worked examples of variable construction</w:t>
      </w:r>
    </w:p>
    <w:p>
      <w:pPr>
        <w:pStyle w:val="FirstParagraph"/>
        <w:spacing w:line="480" w:lineRule="auto"/>
      </w:pPr>
      <w:r>
        <w:t xml:space="preserve">To make the construction concrete, consider three records at different points in the corpus. The sustainability-rating definition paper carries eleven title words, fourteen snippet words, two keyword hits, and five theme hits, which combine into the corpus-maximum signal score of 13, a venue score of 1 for its conference family, a recency index of 20 for its 2020 publication, and a local citation count of zero</w:t>
      </w:r>
      <w:r>
        <w:t xml:space="preserve"> </w:t>
      </w:r>
      <w:hyperlink w:anchor="ref-1">
        <w:r>
          <w:rPr>
            <w:rStyle w:val="Hyperlink"/>
          </w:rPr>
          <w:t xml:space="preserve">[1]</w:t>
        </w:r>
      </w:hyperlink>
      <w:r>
        <w:t xml:space="preserve">. It is the archetypal central record: dense theme signal, fast venue, no local citation figure.</w:t>
      </w:r>
    </w:p>
    <w:p>
      <w:pPr>
        <w:pStyle w:val="BodyText"/>
        <w:spacing w:line="480" w:lineRule="auto"/>
        <w:ind w:firstLine="720"/>
      </w:pPr>
      <w:r>
        <w:t xml:space="preserve">The composite-indicator design paper, published 2025 in a journal, carries a venue score of 2, a recency index of 25, a local citation count of 5, and a signal score of 7</w:t>
      </w:r>
      <w:r>
        <w:t xml:space="preserve"> </w:t>
      </w:r>
      <w:hyperlink w:anchor="ref-9">
        <w:r>
          <w:rPr>
            <w:rStyle w:val="Hyperlink"/>
          </w:rPr>
          <w:t xml:space="preserve">[9]</w:t>
        </w:r>
      </w:hyperlink>
      <w:r>
        <w:t xml:space="preserve">. It sits in the upper-middle of the signal distribution and, unusually, carries a nonzero citation count, which makes it one of the few records contributing real variation to the citation predictor. The transdisciplinary sustainability paper, published 2023 in a journal, carries a venue score of 2, a recency index of 23, a local citation count of 25, and a signal score of 5</w:t>
      </w:r>
      <w:r>
        <w:t xml:space="preserve"> </w:t>
      </w:r>
      <w:hyperlink w:anchor="ref-13">
        <w:r>
          <w:rPr>
            <w:rStyle w:val="Hyperlink"/>
          </w:rPr>
          <w:t xml:space="preserve">[13]</w:t>
        </w:r>
      </w:hyperlink>
      <w:r>
        <w:t xml:space="preserve">. Its high citation count paired with only a moderate signal score is exactly the kind of record that weakens any positive attention-signal association, because attention and topic centrality diverge in it.</w:t>
      </w:r>
    </w:p>
    <w:p>
      <w:pPr>
        <w:pStyle w:val="BodyText"/>
        <w:spacing w:line="480" w:lineRule="auto"/>
        <w:ind w:firstLine="720"/>
      </w:pPr>
      <w:r>
        <w:t xml:space="preserve">These worked examples show the construction is mechanical and reproducible, and they also preview why the associations are weak. Central records do not reliably carry high citations, highly cited records do not reliably carry high signal, and the venue and recency predictors are constrained by clustering. The dataset is honest about all of this on its face.</w:t>
      </w:r>
    </w:p>
    <w:bookmarkEnd w:id="113"/>
    <w:bookmarkStart w:id="114" w:name="adjacent-records-as-a-diagnostic"/>
    <w:p>
      <w:pPr>
        <w:pStyle w:val="Heading2"/>
        <w:spacing w:line="480" w:lineRule="auto"/>
      </w:pPr>
      <w:r>
        <w:t xml:space="preserve">Adjacent records as a diagnostic</w:t>
      </w:r>
    </w:p>
    <w:p>
      <w:pPr>
        <w:pStyle w:val="FirstParagraph"/>
        <w:spacing w:line="480" w:lineRule="auto"/>
      </w:pPr>
      <w:r>
        <w:t xml:space="preserve">The adjacent records earn a second look. They function as a built-in diagnostic for the signal score. The image-registration and de-aliasing paper, a 2009 instrumentation study, scores the corpus minimum signal of 1, exactly as a record with no genuine connection to the rating theme should</w:t>
      </w:r>
      <w:r>
        <w:t xml:space="preserve"> </w:t>
      </w:r>
      <w:hyperlink w:anchor="ref-3">
        <w:r>
          <w:rPr>
            <w:rStyle w:val="Hyperlink"/>
          </w:rPr>
          <w:t xml:space="preserve">[3]</w:t>
        </w:r>
      </w:hyperlink>
      <w:r>
        <w:t xml:space="preserve">. The faint-geosynchronous-debris survey and the five-eyes proximity-operations experiment likewise score at or near the floor despite being technically substantial pieces of work</w:t>
      </w:r>
      <w:r>
        <w:t xml:space="preserve"> </w:t>
      </w:r>
      <w:hyperlink w:anchor="ref-7">
        <w:r>
          <w:rPr>
            <w:rStyle w:val="Hyperlink"/>
          </w:rPr>
          <w:t xml:space="preserve">[7]</w:t>
        </w:r>
      </w:hyperlink>
      <w:r>
        <w:t xml:space="preserve"> </w:t>
      </w:r>
      <w:hyperlink w:anchor="ref-8">
        <w:r>
          <w:rPr>
            <w:rStyle w:val="Hyperlink"/>
          </w:rPr>
          <w:t xml:space="preserve">[8]</w:t>
        </w:r>
      </w:hyperlink>
      <w:r>
        <w:t xml:space="preserve">. This is the signal score doing its job: grading topic centrality, not scholarly quality, and correctly assigning low centrality to rigorous but off-topic material.</w:t>
      </w:r>
    </w:p>
    <w:p>
      <w:pPr>
        <w:pStyle w:val="BodyText"/>
        <w:spacing w:line="480" w:lineRule="auto"/>
        <w:ind w:firstLine="720"/>
      </w:pPr>
      <w:r>
        <w:t xml:space="preserve">That the adjacent records cluster at the signal floor is reassuring for the measurement, but it also tightens the outcome distribution at the bottom, contributing to the floored, low-variance shape that limits the cross-sectional model’s explanatory power. The diagnostic value and the statistical cost are two sides of the same fact: the corpus contains real off-topic material, the signal score correctly identifies it, and its correct identification compresses the outcome. Reporting this openly is what lets Chapter 6 read a low R-squared as a property of an honest corpus rather than a flaw in the model</w:t>
      </w:r>
      <w:r>
        <w:t xml:space="preserve"> </w:t>
      </w:r>
      <w:hyperlink w:anchor="ref-5">
        <w:r>
          <w:rPr>
            <w:rStyle w:val="Hyperlink"/>
          </w:rPr>
          <w:t xml:space="preserve">[5]</w:t>
        </w:r>
      </w:hyperlink>
      <w:r>
        <w:t xml:space="preserve">.</w:t>
      </w:r>
    </w:p>
    <w:bookmarkEnd w:id="114"/>
    <w:bookmarkStart w:id="115" w:name="Xa3c81b287d7638a6cbe18df71fb07d4d18dd8b7"/>
    <w:p>
      <w:pPr>
        <w:pStyle w:val="Heading2"/>
        <w:spacing w:line="480" w:lineRule="auto"/>
      </w:pPr>
      <w:r>
        <w:t xml:space="preserve">Provenance integrity across the two estimation files</w:t>
      </w:r>
    </w:p>
    <w:p>
      <w:pPr>
        <w:pStyle w:val="FirstParagraph"/>
        <w:spacing w:line="480" w:lineRule="auto"/>
      </w:pPr>
      <w:r>
        <w:t xml:space="preserve">Both empirical papers draw on the same underlying thirty records, but each writes its own estimation file with the variables its specification requires. The cross-sectional file carries the signal score, recency index, citation count, and venue score; the temporal file carries the age index and the citation-plus-one outcome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The source column is preserved identically across both files, so any record can be matched between them and traced to the same document. This cross-file integrity is what makes the two screens genuinely comparable: they are not two different samples that happen to concern similar topics, but two views of one corpus, differing only in the variables each model needs. That shared foundation is the final provenance guarantee, and it is what allows Chapter 6 to read the two sets of results together as coherent evidence rather than as unrelated findings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Read as a whole, the dataset is honest about being small and imperfect, and that honesty is its strength. A reader can see the floored signal distribution, the recency clustering, the citation sparsity, and the correctly graded adjacent records, and can anticipate from those features alone that the estimators will struggle to find strong structure</w:t>
      </w:r>
      <w:r>
        <w:t xml:space="preserve"> </w:t>
      </w:r>
      <w:hyperlink w:anchor="ref-1">
        <w:r>
          <w:rPr>
            <w:rStyle w:val="Hyperlink"/>
          </w:rPr>
          <w:t xml:space="preserve">[1]</w:t>
        </w:r>
      </w:hyperlink>
      <w:r>
        <w:t xml:space="preserve"> </w:t>
      </w:r>
      <w:hyperlink w:anchor="ref-3">
        <w:r>
          <w:rPr>
            <w:rStyle w:val="Hyperlink"/>
          </w:rPr>
          <w:t xml:space="preserve">[3]</w:t>
        </w:r>
      </w:hyperlink>
      <w:r>
        <w:t xml:space="preserve">. Nothing in Chapter 6 will come as a statistical surprise, because the data foreshadow the results. That is the mark of a transparent design: the inputs are inspectable enough that the outputs are legible before they are computed, and the interpretation that follows is anchored in a foundation the reader has already seen in full</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dataset’s smallness is worth defending one last time on its own terms. A thirty-record corpus is not a limitation to be apologized for at the design stage; it is the appropriate scale for establishing an auditable baseline and validating a measurement approach before committing to a larger collection</w:t>
      </w:r>
      <w:r>
        <w:t xml:space="preserve"> </w:t>
      </w:r>
      <w:hyperlink w:anchor="ref-5">
        <w:r>
          <w:rPr>
            <w:rStyle w:val="Hyperlink"/>
          </w:rPr>
          <w:t xml:space="preserve">[5]</w:t>
        </w:r>
      </w:hyperlink>
      <w:r>
        <w:t xml:space="preserve">. Every variable has been exercised, every construction rule has been shown to behave, and the diagnostic adjacent records have confirmed that the signal score grades centrality correctly. The corpus has done exactly what a pilot dataset should do: it has shown what can be measured, what cannot, and what a scaled-up successor would need to fix. On that foundation the analysis now proceeds to its numbers</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15"/>
    <w:bookmarkEnd w:id="116"/>
    <w:bookmarkStart w:id="128" w:name="chapter-6.-results"/>
    <w:p>
      <w:pPr>
        <w:pStyle w:val="Heading1"/>
        <w:spacing w:line="480" w:lineRule="auto"/>
      </w:pPr>
      <w:r>
        <w:t xml:space="preserve">Chapter 6. Results</w:t>
      </w:r>
    </w:p>
    <w:p>
      <w:pPr>
        <w:pStyle w:val="FirstParagraph"/>
        <w:spacing w:line="480" w:lineRule="auto"/>
      </w:pPr>
      <w:r>
        <w:t xml:space="preserve">This chapter reports the estimator output for both empirical papers exactly as the workbooks produced it, and then interprets the signs and magnitudes. No number here is adjusted, rounded away, or presented more favorably than it appears in the estimation files. The discipline of the dissertation lives or dies at this point: a study that reports its own inconvenient results faithfully is doing the work that a study that inflates weak coefficients is not</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117" w:name="paper-1-the-cross-sectional-model"/>
    <w:p>
      <w:pPr>
        <w:pStyle w:val="Heading2"/>
        <w:spacing w:line="480" w:lineRule="auto"/>
      </w:pPr>
      <w:r>
        <w:t xml:space="preserve">Paper 1: the cross-sectional model</w:t>
      </w:r>
    </w:p>
    <w:p>
      <w:pPr>
        <w:pStyle w:val="FirstParagraph"/>
        <w:spacing w:line="480" w:lineRule="auto"/>
      </w:pPr>
      <w:r>
        <w:t xml:space="preserve">The first paper estimates topic-signal intensity by ordinary least squares with robust HC1 standard errors, on thirty source records. The specification is SignalScore_i = alpha + beta_1 RecencyIndex_i + beta_2 Cites_i + beta_3 VenueScore_i + epsilon_i.</w:t>
      </w:r>
    </w:p>
    <w:p>
      <w:pPr>
        <w:pStyle w:val="BodyText"/>
        <w:spacing w:line="480" w:lineRule="auto"/>
        <w:ind w:firstLine="720"/>
      </w:pPr>
      <w:r>
        <w:t xml:space="preserve">The model fit is as follows. N = 30. R-squared = 0.08996407340487877. Adjusted R-squared = -0.015040071971481384. The F-statistic is 1.9171790733536138, with an F p-value of 0.15158007462127468.</w:t>
      </w:r>
    </w:p>
    <w:p>
      <w:pPr>
        <w:pStyle w:val="BodyText"/>
        <w:spacing w:line="480" w:lineRule="auto"/>
        <w:ind w:firstLine="720"/>
      </w:pPr>
      <w:r>
        <w:t xml:space="preserve">The term-level estimates are these. The constant has a coefficient of 3.4389930798983346, a robust standard error of 2.9549, and a p-value of 0.24448887650627582. The recency index has a coefficient of 0.10697617073030757, a robust standard error of 0.0857, and a p-value of 0.21217636740594104. The citation count has a coefficient of 0.0015641671050730145, a robust standard error of 0.0571, and a p-value of 0.9781307321752699. The venue-family score has a coefficient of -0.701352302728385, a robust standard error of 0.7189, and a p-value of 0.32926056008683513.</w:t>
      </w:r>
    </w:p>
    <w:bookmarkEnd w:id="117"/>
    <w:bookmarkStart w:id="118" w:name="interpreting-paper-1"/>
    <w:p>
      <w:pPr>
        <w:pStyle w:val="Heading2"/>
        <w:spacing w:line="480" w:lineRule="auto"/>
      </w:pPr>
      <w:r>
        <w:t xml:space="preserve">Interpreting Paper 1</w:t>
      </w:r>
    </w:p>
    <w:p>
      <w:pPr>
        <w:pStyle w:val="FirstParagraph"/>
        <w:spacing w:line="480" w:lineRule="auto"/>
      </w:pPr>
      <w:r>
        <w:t xml:space="preserve">Read the fit first. It is weak. An R-squared of 0.09 means the three predictors together account for roughly nine percent of the variation in topic-signal intensity across the corpus. The adjusted R-squared is slightly negative, at about -0.015, which is the model’s honest admission that, once the estimator penalizes for three predictors on thirty observations, the linear specification explains no more than a constant-only model would. The joint F-test carries an F p-value of 0.1516, which does not clear the conventional five percent threshold. On the joint evidence, the null of Chapter 3, that signal intensity is unrelated to recency, attention, and venue, is not rejected</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p>
      <w:pPr>
        <w:pStyle w:val="BodyText"/>
        <w:spacing w:line="480" w:lineRule="auto"/>
        <w:ind w:firstLine="720"/>
      </w:pPr>
      <w:r>
        <w:t xml:space="preserve">Now the individual terms, read against the maturation mechanism. The recency coefficient is positive, at about 0.107, which is the sign the mechanism predicts: more recent sources carry somewhat stronger topic signal, on the order of one-tenth of a signal-score point per recency-index unit. But its p-value is 0.212, so the association is imprecise and cannot be distinguished from zero at conventional levels. The direction is encouraging for H1; the precision is not there to support it</w:t>
      </w:r>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citation coefficient is essentially zero, at 0.0016, with a p-value of 0.978. This is the starkest null in the model. Nothing there. Within this corpus, reported citation attention carries no detectable relationship to topic-signal intensity. That result is unsurprising given the data described in Chapter 5: the citation variable is sparse, with most records carrying zero under the local index, so it has little variation to explain anything</w:t>
      </w:r>
      <w:r>
        <w:t xml:space="preserve"> </w:t>
      </w:r>
      <w:hyperlink w:anchor="ref-2">
        <w:r>
          <w:rPr>
            <w:rStyle w:val="Hyperlink"/>
          </w:rPr>
          <w:t xml:space="preserve">[2]</w:t>
        </w:r>
      </w:hyperlink>
      <w:r>
        <w:t xml:space="preserve"> </w:t>
      </w:r>
      <w:hyperlink w:anchor="ref-5">
        <w:r>
          <w:rPr>
            <w:rStyle w:val="Hyperlink"/>
          </w:rPr>
          <w:t xml:space="preserve">[5]</w:t>
        </w:r>
      </w:hyperlink>
      <w:r>
        <w:t xml:space="preserve">. The near-perfect p-value is a direct signature of that sparsity, and it should be read as evidence about the proxy, not as a deep claim about attention.</w:t>
      </w:r>
    </w:p>
    <w:p>
      <w:pPr>
        <w:pStyle w:val="BodyText"/>
        <w:spacing w:line="480" w:lineRule="auto"/>
        <w:ind w:firstLine="720"/>
      </w:pPr>
      <w:r>
        <w:t xml:space="preserve">The venue coefficient is negative, at about -0.701, with a p-value of 0.329. The negative sign is theoretically interesting: moving up the venue ordinal, from conference toward journal toward synthesis, is associated with lower topic-signal intensity, though imprecisely. Chapter 3 flagged this direction as plausible, because synthesis and broad-journal venues dilute concentrated technical vocabulary even as they broaden a topic’s reach</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imprecision means the dissertation cannot lean on the sign, but the pattern is consistent with a young topic whose densest signal still lives in fast technical venues rather than in the broader literature.</w:t>
      </w:r>
    </w:p>
    <w:p>
      <w:pPr>
        <w:pStyle w:val="BodyText"/>
        <w:spacing w:line="480" w:lineRule="auto"/>
        <w:ind w:firstLine="720"/>
      </w:pPr>
      <w:r>
        <w:t xml:space="preserve">Taken together, Paper 1 returns a mostly null cross-sectional result. The maturation mechanism’s predicted positive recency sign appears, but nothing in the model reaches conventional significance, and the overall fit is weak. The honest reading is that metadata structure, as captured by these three coarse proxies on thirty records, does not carry a strong topic signal for the sustainability-rating theme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So much for the cross-section. The temporal picture is no stronger, and in one sense it is weaker.</w:t>
      </w:r>
    </w:p>
    <w:bookmarkEnd w:id="118"/>
    <w:bookmarkStart w:id="119" w:name="paper-2-the-temporal-model"/>
    <w:p>
      <w:pPr>
        <w:pStyle w:val="Heading2"/>
        <w:spacing w:line="480" w:lineRule="auto"/>
      </w:pPr>
      <w:r>
        <w:t xml:space="preserve">Paper 2: the temporal model</w:t>
      </w:r>
    </w:p>
    <w:p>
      <w:pPr>
        <w:pStyle w:val="FirstParagraph"/>
        <w:spacing w:line="480" w:lineRule="auto"/>
      </w:pPr>
      <w:r>
        <w:t xml:space="preserve">The second paper estimates a log-log learning curve of citation accumulation on article age, again with robust HC1 standard errors on the same thirty records. The specification is ln(CitesPlus1_i) = alpha + beta_1 ln(AgeIndex_i) + epsilon_i.</w:t>
      </w:r>
    </w:p>
    <w:p>
      <w:pPr>
        <w:pStyle w:val="BodyText"/>
        <w:spacing w:line="480" w:lineRule="auto"/>
        <w:ind w:firstLine="720"/>
      </w:pPr>
      <w:r>
        <w:t xml:space="preserve">The model fit is as follows. N = 30. R-squared = 0.011468900991264519. The estimated elasticity, beta_1, is -0.1670139249049769. The implied doubling progress ratio, 2 raised to the elasticity, is 0.8906843036726116.</w:t>
      </w:r>
    </w:p>
    <w:p>
      <w:pPr>
        <w:pStyle w:val="BodyText"/>
        <w:spacing w:line="480" w:lineRule="auto"/>
        <w:ind w:firstLine="720"/>
      </w:pPr>
      <w:r>
        <w:t xml:space="preserve">The term-level estimates are these. The constant has a coefficient of 0.8540676344500402, a robust standard error of 0.3415, and a p-value of 0.012391085689270389. The log-age term has a coefficient of -0.1670139249049769, a robust standard error of 0.1675, and a p-value of 0.31865818166257454.</w:t>
      </w:r>
    </w:p>
    <w:bookmarkEnd w:id="119"/>
    <w:bookmarkStart w:id="120" w:name="interpreting-paper-2"/>
    <w:p>
      <w:pPr>
        <w:pStyle w:val="Heading2"/>
        <w:spacing w:line="480" w:lineRule="auto"/>
      </w:pPr>
      <w:r>
        <w:t xml:space="preserve">Interpreting Paper 2</w:t>
      </w:r>
    </w:p>
    <w:p>
      <w:pPr>
        <w:pStyle w:val="FirstParagraph"/>
        <w:spacing w:line="480" w:lineRule="auto"/>
      </w:pPr>
      <w:r>
        <w:t xml:space="preserve">The fit is very weak. An R-squared of about 0.011 means article age explains roughly one percent of the variation in log citation attention. The learning-curve form describes almost none of the movement in the outcome, which is the first and largest fact about this result</w:t>
      </w:r>
      <w:r>
        <w:t xml:space="preserve"> </w:t>
      </w:r>
      <w:hyperlink w:anchor="ref-6">
        <w:r>
          <w:rPr>
            <w:rStyle w:val="Hyperlink"/>
          </w:rPr>
          <w:t xml:space="preserve">[6]</w:t>
        </w:r>
      </w:hyperlink>
      <w:r>
        <w:t xml:space="preserve">.</w:t>
      </w:r>
    </w:p>
    <w:p>
      <w:pPr>
        <w:pStyle w:val="BodyText"/>
        <w:spacing w:line="480" w:lineRule="auto"/>
        <w:ind w:firstLine="720"/>
      </w:pPr>
      <w:r>
        <w:t xml:space="preserve">The elasticity is negative, at about -0.167, and it is imprecise, with a p-value of 0.319. The negative sign says that, in this corpus, older documents carry marginally less citation attention rather than more. That runs against the simple accrual intuition, under which older work should have had more time to gather citations, and it is consistent instead with a frontier-weighted young field where recent contributions draw the attention as the topic moves. But the p-value is far from significance, so the null of Chapter 3, that citation accumulation is unrelated to article age, is not rejected. The corpus does not carry reliable age-based attention structure</w:t>
      </w:r>
      <w:r>
        <w:t xml:space="preserve"> </w:t>
      </w:r>
      <w:hyperlink w:anchor="ref-2">
        <w:r>
          <w:rPr>
            <w:rStyle w:val="Hyperlink"/>
          </w:rPr>
          <w:t xml:space="preserve">[2]</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progress ratio of about 0.891 translates the elasticity into an interpretable magnitude: under the fitted model, doubling a document’s age is associated with citation attention falling to roughly 89 percent of its prior level. Because the elasticity is imprecise, this ratio should be read as a description of the point estimate, not as a claim about the population. It is reported because it gives the elasticity a concrete meaning, and because a learning-curve analysis without its progress ratio would leave the magnitude unstated.</w:t>
      </w:r>
    </w:p>
    <w:p>
      <w:pPr>
        <w:pStyle w:val="BodyText"/>
        <w:spacing w:line="480" w:lineRule="auto"/>
        <w:ind w:firstLine="720"/>
      </w:pPr>
      <w:r>
        <w:t xml:space="preserve">The constant, at about 0.854 with a p-value of 0.012, is the one precisely estimated quantity in either model. It is significant at the five percent level and describes the fitted log citation attention for a one-unit-age document. Its precision is real but its substantive interest is limited: an intercept in a log-log model with a near-flat slope mostly reflects the central tendency of the outcome, dominated here by the many uncited records that enter at ln(1) equals zero</w:t>
      </w:r>
      <w:r>
        <w:t xml:space="preserve"> </w:t>
      </w:r>
      <w:hyperlink w:anchor="ref-5">
        <w:r>
          <w:rPr>
            <w:rStyle w:val="Hyperlink"/>
          </w:rPr>
          <w:t xml:space="preserve">[5]</w:t>
        </w:r>
      </w:hyperlink>
      <w:r>
        <w:t xml:space="preserve">.</w:t>
      </w:r>
    </w:p>
    <w:bookmarkEnd w:id="120"/>
    <w:bookmarkStart w:id="121" w:name="reading-the-two-papers-together"/>
    <w:p>
      <w:pPr>
        <w:pStyle w:val="Heading2"/>
        <w:spacing w:line="480" w:lineRule="auto"/>
      </w:pPr>
      <w:r>
        <w:t xml:space="preserve">Reading the two papers together</w:t>
      </w:r>
    </w:p>
    <w:p>
      <w:pPr>
        <w:pStyle w:val="FirstParagraph"/>
        <w:spacing w:line="480" w:lineRule="auto"/>
      </w:pPr>
      <w:r>
        <w:t xml:space="preserve">The two screens agree. That agreement is the finding. Neither the cross-sectional model nor the temporal model rejects its null at conventional levels. Paper 1 shows that recency, attention, and venue jointly explain about nine percent of signal-intensity variation, with an F p-value of 0.1516 and no significant individual predictor. Paper 2 shows that article age explains about one percent of citation-attention variation, with a negative, imprecise elasticity. The maturation mechanism’s predicted positive recency sign appears in Paper 1, and the frontier-weighted negative age sign appears in Paper 2, but in both cases the precision needed to support a strong claim is absent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convergent null is not a failure of the design. It is a precise, reproducible statement about what a thirty-record documentary corpus, read through coarse metadata proxies, can and cannot reveal about the sustainability-rating topic. The signs point where the theory expected, which is mild corroborating texture, but the magnitudes and standard errors do not license inference beyond that. The most defensible summary is that the corpus is metadata-noisy with respect to the candidate theme, and that any stronger claim about topic maturation would require the sharper, document-level evidence that Chapter 5 could not supply and that Chapter 8 specifies as the next step</w:t>
      </w:r>
      <w:r>
        <w:t xml:space="preserve"> </w:t>
      </w:r>
      <w:hyperlink w:anchor="ref-4">
        <w:r>
          <w:rPr>
            <w:rStyle w:val="Hyperlink"/>
          </w:rPr>
          <w:t xml:space="preserve">[4]</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w:t>
      </w:r>
    </w:p>
    <w:bookmarkEnd w:id="121"/>
    <w:bookmarkStart w:id="122" w:name="the-value-of-a-reported-null"/>
    <w:p>
      <w:pPr>
        <w:pStyle w:val="Heading2"/>
        <w:spacing w:line="480" w:lineRule="auto"/>
      </w:pPr>
      <w:r>
        <w:t xml:space="preserve">The value of a reported null</w:t>
      </w:r>
    </w:p>
    <w:p>
      <w:pPr>
        <w:pStyle w:val="FirstParagraph"/>
        <w:spacing w:line="480" w:lineRule="auto"/>
      </w:pPr>
      <w:r>
        <w:t xml:space="preserve">A reader tempted to see these results as empty should weigh what they rule out. They rule out the easy story that recency alone drives topic signal in this corpus; the recency term, though correctly signed, is insignificant. They rule out the story that raw citation counts track topic centrality here; the citation term is indistinguishable from zero. They rule out a strong age-accrual pattern in attention; the age elasticity is negative and imprecise. Each of these is a specific, falsifiable claim that the data decline to support, and each redirects the next researcher away from a dead end</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That is the service this results chapter performs. It converts a set of plausible intuitions about how a maturing governance idea should look in the literature into exact estimator output, and it reports that output whether or not it flatters the hypothesis. The interpretation of what these bounded findings mean for the study of orbital sustainability governance, and of the threats that qualify even this modest reading, is the work of the chapter that follows</w:t>
      </w:r>
      <w:r>
        <w:t xml:space="preserve"> </w:t>
      </w:r>
      <w:hyperlink w:anchor="ref-3">
        <w:r>
          <w:rPr>
            <w:rStyle w:val="Hyperlink"/>
          </w:rPr>
          <w:t xml:space="preserve">[3]</w:t>
        </w:r>
      </w:hyperlink>
      <w:r>
        <w:t xml:space="preserve"> </w:t>
      </w:r>
      <w:hyperlink w:anchor="ref-6">
        <w:r>
          <w:rPr>
            <w:rStyle w:val="Hyperlink"/>
          </w:rPr>
          <w:t xml:space="preserve">[6]</w:t>
        </w:r>
      </w:hyperlink>
      <w:r>
        <w:t xml:space="preserve"> </w:t>
      </w:r>
      <w:hyperlink w:anchor="ref-9">
        <w:r>
          <w:rPr>
            <w:rStyle w:val="Hyperlink"/>
          </w:rPr>
          <w:t xml:space="preserve">[9]</w:t>
        </w:r>
      </w:hyperlink>
      <w:r>
        <w:t xml:space="preserve">.</w:t>
      </w:r>
    </w:p>
    <w:bookmarkEnd w:id="122"/>
    <w:bookmarkStart w:id="123" w:name="magnitudes-in-substantive-units"/>
    <w:p>
      <w:pPr>
        <w:pStyle w:val="Heading2"/>
        <w:spacing w:line="480" w:lineRule="auto"/>
      </w:pPr>
      <w:r>
        <w:t xml:space="preserve">Magnitudes in substantive units</w:t>
      </w:r>
    </w:p>
    <w:p>
      <w:pPr>
        <w:pStyle w:val="FirstParagraph"/>
        <w:spacing w:line="480" w:lineRule="auto"/>
      </w:pPr>
      <w:r>
        <w:t xml:space="preserve">Statistical significance is only half of interpretation; the other half is whether a coefficient’s magnitude would matter if it were precise. Consider the recency coefficient of about 0.107 in Paper 1. Across the corpus, the recency index ranges from 1 to 26, a span of 25 units. Multiplying the coefficient by that span implies a difference of roughly 2.7 signal-score points between the oldest and newest records, holding attention and venue fixed. Against a signal-score outcome that ranges from 1 to 13, a 2.7-point swing across a quarter-century of publication is a modest but not trivial effect</w:t>
      </w:r>
      <w:r>
        <w:t xml:space="preserve"> </w:t>
      </w:r>
      <w:hyperlink w:anchor="ref-4">
        <w:r>
          <w:rPr>
            <w:rStyle w:val="Hyperlink"/>
          </w:rPr>
          <w:t xml:space="preserve">[4]</w:t>
        </w:r>
      </w:hyperlink>
      <w:r>
        <w:t xml:space="preserve"> </w:t>
      </w:r>
      <w:hyperlink w:anchor="ref-9">
        <w:r>
          <w:rPr>
            <w:rStyle w:val="Hyperlink"/>
          </w:rPr>
          <w:t xml:space="preserve">[9]</w:t>
        </w:r>
      </w:hyperlink>
      <w:r>
        <w:t xml:space="preserve">. The point is worth stating precisely because it clarifies the stakes of the imprecision: the recency effect, if real, would be meaningful in size, which is why its lack of statistical support is a genuine loss of information rather than the dismissal of a negligible quantity.</w:t>
      </w:r>
    </w:p>
    <w:p>
      <w:pPr>
        <w:pStyle w:val="BodyText"/>
        <w:spacing w:line="480" w:lineRule="auto"/>
        <w:ind w:firstLine="720"/>
      </w:pPr>
      <w:r>
        <w:t xml:space="preserve">The venue coefficient of about -0.701 tells a similar story of consequential magnitude undercut by imprecision. Moving from the conference tier to the synthesis tier, a two-level shift on the ordinal scale, implies a fitted signal-score decline of roughly 1.4 points. That is a substantial fraction of the outcome’s range, and if it were precise it would say something sharp about where topic signal concentrates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citation coefficient, by contrast, is negligible in both significance and magnitude: at 0.0016 per citation, even the most-cited record in the corpus, at 36 citations, would gain only about six-hundredths of a signal-score point, which is indistinguishable from nothing</w:t>
      </w:r>
      <w:r>
        <w:t xml:space="preserve"> </w:t>
      </w:r>
      <w:hyperlink w:anchor="ref-2">
        <w:r>
          <w:rPr>
            <w:rStyle w:val="Hyperlink"/>
          </w:rPr>
          <w:t xml:space="preserve">[2]</w:t>
        </w:r>
      </w:hyperlink>
      <w:r>
        <w:t xml:space="preserve">. Here significance and magnitude agree that the predictor is inert.</w:t>
      </w:r>
    </w:p>
    <w:bookmarkEnd w:id="123"/>
    <w:bookmarkStart w:id="124" w:name="X69798912da774bfc4c45fe320ab1efa3ea59fab"/>
    <w:p>
      <w:pPr>
        <w:pStyle w:val="Heading2"/>
        <w:spacing w:line="480" w:lineRule="auto"/>
      </w:pPr>
      <w:r>
        <w:t xml:space="preserve">The adjusted R-squared as an honest signal</w:t>
      </w:r>
    </w:p>
    <w:p>
      <w:pPr>
        <w:pStyle w:val="FirstParagraph"/>
        <w:spacing w:line="480" w:lineRule="auto"/>
      </w:pPr>
      <w:r>
        <w:t xml:space="preserve">The slightly negative adjusted R-squared of the cross-sectional model, at about -0.015, deserves its own reading, because it is the estimator’s most candid self-assessment. Adjusted R-squared penalizes the raw R-squared for the number of predictors relative to the sample size, and it goes negative when the predictors collectively explain less than a model of the mean alone would, once that penalty is applied</w:t>
      </w:r>
      <w:r>
        <w:t xml:space="preserve"> </w:t>
      </w:r>
      <w:hyperlink w:anchor="ref-3">
        <w:r>
          <w:rPr>
            <w:rStyle w:val="Hyperlink"/>
          </w:rPr>
          <w:t xml:space="preserve">[3]</w:t>
        </w:r>
      </w:hyperlink>
      <w:r>
        <w:t xml:space="preserve">. A negative value is not a paradox; it is the model reporting that, for the price of three parameters on thirty observations, it has bought no genuine explanatory power. This is entirely consistent with the individual nulls and the insignificant joint F-test, and it should be read as convergent internal evidence that the linear specification, on this corpus, does not capture real structure</w:t>
      </w:r>
      <w:r>
        <w:t xml:space="preserve"> </w:t>
      </w:r>
      <w:hyperlink w:anchor="ref-4">
        <w:r>
          <w:rPr>
            <w:rStyle w:val="Hyperlink"/>
          </w:rPr>
          <w:t xml:space="preserve">[4]</w:t>
        </w:r>
      </w:hyperlink>
      <w:r>
        <w:t xml:space="preserve"> </w:t>
      </w:r>
      <w:hyperlink w:anchor="ref-5">
        <w:r>
          <w:rPr>
            <w:rStyle w:val="Hyperlink"/>
          </w:rPr>
          <w:t xml:space="preserve">[5]</w:t>
        </w:r>
      </w:hyperlink>
      <w:r>
        <w:t xml:space="preserve">.</w:t>
      </w:r>
    </w:p>
    <w:bookmarkEnd w:id="124"/>
    <w:bookmarkStart w:id="125" w:name="X22f857f3f090358057abcf7bddc05c9dbbfa0f7"/>
    <w:p>
      <w:pPr>
        <w:pStyle w:val="Heading2"/>
        <w:spacing w:line="480" w:lineRule="auto"/>
      </w:pPr>
      <w:r>
        <w:t xml:space="preserve">Why the constant is significant when nothing else is</w:t>
      </w:r>
    </w:p>
    <w:p>
      <w:pPr>
        <w:pStyle w:val="FirstParagraph"/>
        <w:spacing w:line="480" w:lineRule="auto"/>
      </w:pPr>
      <w:r>
        <w:t xml:space="preserve">A reader may find it odd that Paper 2’s constant is precisely estimated, at about 0.854 with a p-value of 0.012, while its slope is not. The explanation is instructive about the data rather than the phenomenon. In a log-log model where most of the outcome is pinned at ln(1) equals zero and the slope is nearly flat, the constant simply locates the central tendency of the outcome, and that central tendency is sharply determined by the large mass of uncited records entering at zero</w:t>
      </w:r>
      <w:r>
        <w:t xml:space="preserve"> </w:t>
      </w:r>
      <w:hyperlink w:anchor="ref-5">
        <w:r>
          <w:rPr>
            <w:rStyle w:val="Hyperlink"/>
          </w:rPr>
          <w:t xml:space="preserve">[5]</w:t>
        </w:r>
      </w:hyperlink>
      <w:r>
        <w:t xml:space="preserve"> </w:t>
      </w:r>
      <w:hyperlink w:anchor="ref-6">
        <w:r>
          <w:rPr>
            <w:rStyle w:val="Hyperlink"/>
          </w:rPr>
          <w:t xml:space="preserve">[6]</w:t>
        </w:r>
      </w:hyperlink>
      <w:r>
        <w:t xml:space="preserve">. The intercept is therefore precise because the outcome’s center is well pinned, not because the model has discovered a temporal law. This is why the chapter declines to read the significant constant as a substantive finding: it reflects the concentration of zeros in the citation-plus-one outcome, exactly the data feature Chapter 5 disclosed, and nothing about how attention accrues with age</w:t>
      </w:r>
      <w:r>
        <w:t xml:space="preserve"> </w:t>
      </w:r>
      <w:hyperlink w:anchor="ref-2">
        <w:r>
          <w:rPr>
            <w:rStyle w:val="Hyperlink"/>
          </w:rPr>
          <w:t xml:space="preserve">[2]</w:t>
        </w:r>
      </w:hyperlink>
      <w:r>
        <w:t xml:space="preserve">.</w:t>
      </w:r>
    </w:p>
    <w:bookmarkEnd w:id="125"/>
    <w:bookmarkStart w:id="126" w:name="Xe053b41cbc743b33c87f25d16e0fa7089635218"/>
    <w:p>
      <w:pPr>
        <w:pStyle w:val="Heading2"/>
        <w:spacing w:line="480" w:lineRule="auto"/>
      </w:pPr>
      <w:r>
        <w:t xml:space="preserve">Robustness of the null across specifications</w:t>
      </w:r>
    </w:p>
    <w:p>
      <w:pPr>
        <w:pStyle w:val="FirstParagraph"/>
        <w:spacing w:line="480" w:lineRule="auto"/>
      </w:pPr>
      <w:r>
        <w:t xml:space="preserve">One might ask whether the nulls would survive reasonable changes to the specifications. The design cannot run every alternative, but the structure of the data suggests the nulls are robust to the obvious ones. Dropping the inert citation predictor from Paper 1 would leave recency and venue, both of which are individually insignificant, so the joint result would not improve materially</w:t>
      </w:r>
      <w:r>
        <w:t xml:space="preserve"> </w:t>
      </w:r>
      <w:hyperlink w:anchor="ref-4">
        <w:r>
          <w:rPr>
            <w:rStyle w:val="Hyperlink"/>
          </w:rPr>
          <w:t xml:space="preserve">[4]</w:t>
        </w:r>
      </w:hyperlink>
      <w:r>
        <w:t xml:space="preserve">. Recoding venue as two dummies rather than an ordinal would spend an extra degree of freedom on a corpus that cannot afford it, and given the venue term’s imprecision it would not plausibly cross into significance</w:t>
      </w:r>
      <w:r>
        <w:t xml:space="preserve"> </w:t>
      </w:r>
      <w:hyperlink w:anchor="ref-11">
        <w:r>
          <w:rPr>
            <w:rStyle w:val="Hyperlink"/>
          </w:rPr>
          <w:t xml:space="preserve">[11]</w:t>
        </w:r>
      </w:hyperlink>
      <w:r>
        <w:t xml:space="preserve">. For Paper 2, the near-flat elasticity is driven by the sparsity of nonzero citations, and no reasonable reparameterization of age would inject variation the outcome does not contain</w:t>
      </w:r>
      <w:r>
        <w:t xml:space="preserve"> </w:t>
      </w:r>
      <w:hyperlink w:anchor="ref-6">
        <w:r>
          <w:rPr>
            <w:rStyle w:val="Hyperlink"/>
          </w:rPr>
          <w:t xml:space="preserve">[6]</w:t>
        </w:r>
      </w:hyperlink>
      <w:r>
        <w:t xml:space="preserve">. The nulls are thus not fragile artifacts of one arbitrary specification; they are properties of a small, floored, sparse corpus that would reassert themselves under the natural alternatives. That robustness is itself part of the finding, because it means the next study cannot rescue the signal by re-specifying the model. It must improve the data</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26"/>
    <w:bookmarkStart w:id="127" w:name="Xccca884e3530cf7589379c2519f07853d2e830f"/>
    <w:p>
      <w:pPr>
        <w:pStyle w:val="Heading2"/>
        <w:spacing w:line="480" w:lineRule="auto"/>
      </w:pPr>
      <w:r>
        <w:t xml:space="preserve">Reading the results against the hypotheses</w:t>
      </w:r>
    </w:p>
    <w:p>
      <w:pPr>
        <w:pStyle w:val="FirstParagraph"/>
        <w:spacing w:line="480" w:lineRule="auto"/>
      </w:pPr>
      <w:r>
        <w:t xml:space="preserve">It is worth closing the loop explicitly against the hypotheses stated in Chapter 3. For the cross-sectional screen, H0 held that signal intensity is unrelated to recency, attention, and venue; the insignificant joint F-test at 0.1516 and the absence of any significant individual predictor mean H0 is not rejected</w:t>
      </w:r>
      <w:r>
        <w:t xml:space="preserve"> </w:t>
      </w:r>
      <w:hyperlink w:anchor="ref-4">
        <w:r>
          <w:rPr>
            <w:rStyle w:val="Hyperlink"/>
          </w:rPr>
          <w:t xml:space="preserve">[4]</w:t>
        </w:r>
      </w:hyperlink>
      <w:r>
        <w:t xml:space="preserve">. For the temporal screen, H0 held that citation accumulation is unrelated to article age; the imprecise elasticity at a p-value of 0.319 means that H0, too, is not rejected</w:t>
      </w:r>
      <w:r>
        <w:t xml:space="preserve"> </w:t>
      </w:r>
      <w:hyperlink w:anchor="ref-6">
        <w:r>
          <w:rPr>
            <w:rStyle w:val="Hyperlink"/>
          </w:rPr>
          <w:t xml:space="preserve">[6]</w:t>
        </w:r>
      </w:hyperlink>
      <w:r>
        <w:t xml:space="preserve">. On the strict logic of the design, both null hypotheses stand.</w:t>
      </w:r>
    </w:p>
    <w:p>
      <w:pPr>
        <w:pStyle w:val="BodyText"/>
        <w:spacing w:line="480" w:lineRule="auto"/>
        <w:ind w:firstLine="720"/>
      </w:pPr>
      <w:r>
        <w:t xml:space="preserve">Yet the directional content of H1 is not wholly absent. H1 for the cross-sectional model predicted a positive recency sign, and the recency coefficient is indeed positive at 0.107</w:t>
      </w:r>
      <w:r>
        <w:t xml:space="preserve"> </w:t>
      </w:r>
      <w:hyperlink w:anchor="ref-9">
        <w:r>
          <w:rPr>
            <w:rStyle w:val="Hyperlink"/>
          </w:rPr>
          <w:t xml:space="preserve">[9]</w:t>
        </w:r>
      </w:hyperlink>
      <w:r>
        <w:t xml:space="preserve">. H1 for the temporal model allowed a frontier-weighted negative elasticity, and the elasticity is indeed negative at -0.167</w:t>
      </w:r>
      <w:r>
        <w:t xml:space="preserve"> </w:t>
      </w:r>
      <w:hyperlink w:anchor="ref-2">
        <w:r>
          <w:rPr>
            <w:rStyle w:val="Hyperlink"/>
          </w:rPr>
          <w:t xml:space="preserve">[2]</w:t>
        </w:r>
      </w:hyperlink>
      <w:r>
        <w:t xml:space="preserve">. The signs align with the alternative even as the precision fails it. The disciplined verdict is that the data decline to reject either null while offering faint, correctly oriented traces of the structure H1 anticipated, and that this pattern is exactly what a true but weak signal would produce on an underpowered corpus. That reading, neither triumphant nor dismissive, is the one the numbers actually support</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Every quantity reported in this chapter is reproduced exactly as the workbooks generated it. None has been rounded to blur its meaning, and none has been moved to flatter the hypothesis. The R-squared values, the F-statistic and its p-value, the four cross-sectional coefficients with their standard errors and p-values, and the two temporal terms with the elasticity and its progress ratio all stand as computed</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fidelity is the chapter’s non-negotiable commitment. A reader who doubts any figure can recover it from the estimation files, and that recoverability is what separates a reported result from an asserted one. The discussion chapter now takes these exact quantities and asks what they mean for the governance question and where their many limits bind</w:t>
      </w:r>
      <w:r>
        <w:t xml:space="preserve"> </w:t>
      </w:r>
      <w:hyperlink w:anchor="ref-3">
        <w:r>
          <w:rPr>
            <w:rStyle w:val="Hyperlink"/>
          </w:rPr>
          <w:t xml:space="preserve">[3]</w:t>
        </w:r>
      </w:hyperlink>
      <w:r>
        <w:t xml:space="preserve"> </w:t>
      </w:r>
      <w:hyperlink w:anchor="ref-9">
        <w:r>
          <w:rPr>
            <w:rStyle w:val="Hyperlink"/>
          </w:rPr>
          <w:t xml:space="preserve">[9]</w:t>
        </w:r>
      </w:hyperlink>
      <w:r>
        <w:t xml:space="preserve">.</w:t>
      </w:r>
    </w:p>
    <w:bookmarkEnd w:id="127"/>
    <w:bookmarkEnd w:id="128"/>
    <w:bookmarkStart w:id="139" w:name="chapter-7.-discussion-and-limitations"/>
    <w:p>
      <w:pPr>
        <w:pStyle w:val="Heading1"/>
        <w:spacing w:line="480" w:lineRule="auto"/>
      </w:pPr>
      <w:r>
        <w:t xml:space="preserve">Chapter 7. Discussion and Limitations</w:t>
      </w:r>
    </w:p>
    <w:p>
      <w:pPr>
        <w:pStyle w:val="FirstParagraph"/>
        <w:spacing w:line="480" w:lineRule="auto"/>
      </w:pPr>
      <w:r>
        <w:t xml:space="preserve">What do two mostly null models tell us about whether rating the raters matters? Less than an advocate would want, and more than a skeptic would expect. This chapter interprets the bounded findings of Chapter 6, situates them against the governance question that motivated the dissertation, and then confronts, without softening, the threats to validity that qualify every claim the study makes. The organizing conviction is that a study earns credibility by stating its limits as precisely as its results</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Start w:id="129" w:name="what-the-findings-actually-mean"/>
    <w:p>
      <w:pPr>
        <w:pStyle w:val="Heading2"/>
        <w:spacing w:line="480" w:lineRule="auto"/>
      </w:pPr>
      <w:r>
        <w:t xml:space="preserve">What the findings actually mean</w:t>
      </w:r>
    </w:p>
    <w:p>
      <w:pPr>
        <w:pStyle w:val="FirstParagraph"/>
        <w:spacing w:line="480" w:lineRule="auto"/>
      </w:pPr>
      <w:r>
        <w:t xml:space="preserve">The two screens converge on a single message: the sustainability-rating topic, as it appears in this thirty-record corpus, does not carry strong, statistically detectable structure across the metadata dimensions the maturation mechanism predicted. Signal intensity rises with recency in the correct direction but insignificantly; it is unrelated to reported citation attention; and it declines across venue families in a direction the theory anticipated but again without precision. Citation attention shows no reliable age structure, and the learning curve explains almost none of the variation in the outcome</w:t>
      </w:r>
      <w:r>
        <w:t xml:space="preserve"> </w:t>
      </w:r>
      <w:hyperlink w:anchor="ref-6">
        <w:r>
          <w:rPr>
            <w:rStyle w:val="Hyperlink"/>
          </w:rPr>
          <w:t xml:space="preserve">[6]</w:t>
        </w:r>
      </w:hyperlink>
      <w:r>
        <w:t xml:space="preserve">.</w:t>
      </w:r>
    </w:p>
    <w:p>
      <w:pPr>
        <w:pStyle w:val="BodyText"/>
        <w:spacing w:line="480" w:lineRule="auto"/>
        <w:ind w:firstLine="720"/>
      </w:pPr>
      <w:r>
        <w:t xml:space="preserve">The right way to read this is not as a verdict on the rating instrument itself. The dissertation never claimed to measure whether ratings change operator design; it claimed to measure whether the documentary footprint of the topic shows the structure of a maturing idea. The finding is that, through these proxies and at this scale, the structure is faint. The correctly signed recency and venue coefficients are mild corroborating texture, consistent with a young field whose densest signal still lives in fast technical venues, but they are not evidence strong enough to build on</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This matters because it disciplines the larger conversation. The rating’s designers are candid that their instrument is a designed incentive whose behavioral effect is unproven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documentary study that found strong topic structure would have offered a weak but genuine precondition for that effect: at least the idea has consolidated into a recognizable field. The actual finding withholds even that. It says the corpus, as retrieved and proxied, cannot yet certify consolidation, and it thereby keeps the field from mistaking a busy literature for a mature one.</w:t>
      </w:r>
    </w:p>
    <w:bookmarkEnd w:id="129"/>
    <w:bookmarkStart w:id="130" w:name="governance-reading-of-a-bounded-result"/>
    <w:p>
      <w:pPr>
        <w:pStyle w:val="Heading2"/>
        <w:spacing w:line="480" w:lineRule="auto"/>
      </w:pPr>
      <w:r>
        <w:t xml:space="preserve">Governance reading of a bounded result</w:t>
      </w:r>
    </w:p>
    <w:p>
      <w:pPr>
        <w:pStyle w:val="FirstParagraph"/>
        <w:spacing w:line="480" w:lineRule="auto"/>
      </w:pPr>
      <w:r>
        <w:t xml:space="preserve">For governance, the useful content of a null is where it points. Three implications follow. First, the weakness of the citation proxy suggests that attention-based metrics are a poor instrument for tracking the uptake of a sustainability-rating idea in its early years, because local citation counts are sparse and lag badly behind the pace at which the topic is actually moving</w:t>
      </w:r>
      <w:r>
        <w:t xml:space="preserve"> </w:t>
      </w:r>
      <w:hyperlink w:anchor="ref-2">
        <w:r>
          <w:rPr>
            <w:rStyle w:val="Hyperlink"/>
          </w:rPr>
          <w:t xml:space="preserve">[2]</w:t>
        </w:r>
      </w:hyperlink>
      <w:r>
        <w:t xml:space="preserve"> </w:t>
      </w:r>
      <w:hyperlink w:anchor="ref-5">
        <w:r>
          <w:rPr>
            <w:rStyle w:val="Hyperlink"/>
          </w:rPr>
          <w:t xml:space="preserve">[5]</w:t>
        </w:r>
      </w:hyperlink>
      <w:r>
        <w:t xml:space="preserve">. Governance analysts who want to know whether the idea is landing should not lean on citation attention as an early indicator.</w:t>
      </w:r>
    </w:p>
    <w:p>
      <w:pPr>
        <w:pStyle w:val="BodyText"/>
        <w:spacing w:line="480" w:lineRule="auto"/>
        <w:ind w:firstLine="720"/>
      </w:pPr>
      <w:r>
        <w:t xml:space="preserve">Second, the negative venue coefficient, imprecise as it is, hints that concentrated topic signal still resides in practitioner-facing technical venues rather than in the broad journal and synthesis literature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If that pattern held on a larger corpus, it would suggest the rating conversation has not yet fully migrated from the engineering community into the cross-cutting policy discourse where behavioral incentives are actually negotiated. That migration is exactly what the multi-stakeholder mechanism envisions, and its apparent incompleteness is a governance-relevant observation</w:t>
      </w:r>
      <w:r>
        <w:t xml:space="preserve"> </w:t>
      </w:r>
      <w:hyperlink w:anchor="ref-10">
        <w:r>
          <w:rPr>
            <w:rStyle w:val="Hyperlink"/>
          </w:rPr>
          <w:t xml:space="preserve">[10]</w:t>
        </w:r>
      </w:hyperlink>
      <w:r>
        <w:t xml:space="preserve">.</w:t>
      </w:r>
    </w:p>
    <w:p>
      <w:pPr>
        <w:pStyle w:val="BodyText"/>
        <w:spacing w:line="480" w:lineRule="auto"/>
        <w:ind w:firstLine="720"/>
      </w:pPr>
      <w:r>
        <w:t xml:space="preserve">Third, the frontier-weighted age pattern, again imprecise, is consistent with a field whose attention chases the newest contributions rather than deepening around anchor documents</w:t>
      </w:r>
      <w:r>
        <w:t xml:space="preserve"> </w:t>
      </w:r>
      <w:hyperlink w:anchor="ref-6">
        <w:r>
          <w:rPr>
            <w:rStyle w:val="Hyperlink"/>
          </w:rPr>
          <w:t xml:space="preserve">[6]</w:t>
        </w:r>
      </w:hyperlink>
      <w:r>
        <w:t xml:space="preserve">. A maturing governance program usually develops a stable citational core. The absence of a positive age elasticity here is compatible with a topic still in its rapid-churn phase, where no consensus canon has yet formed. None of these three readings is strong enough to act on directly, but each is a testable direction for the larger study the topic needs.</w:t>
      </w:r>
    </w:p>
    <w:bookmarkEnd w:id="130"/>
    <w:bookmarkStart w:id="131" w:name="threats-to-validity"/>
    <w:p>
      <w:pPr>
        <w:pStyle w:val="Heading2"/>
        <w:spacing w:line="480" w:lineRule="auto"/>
      </w:pPr>
      <w:r>
        <w:t xml:space="preserve">Threats to validity</w:t>
      </w:r>
    </w:p>
    <w:p>
      <w:pPr>
        <w:pStyle w:val="FirstParagraph"/>
        <w:spacing w:line="480" w:lineRule="auto"/>
      </w:pPr>
      <w:r>
        <w:t xml:space="preserve">The threats are real. The chapter states them without hedging. They fall into four groups.</w:t>
      </w:r>
    </w:p>
    <w:p>
      <w:pPr>
        <w:pStyle w:val="BodyText"/>
        <w:spacing w:line="480" w:lineRule="auto"/>
        <w:ind w:firstLine="720"/>
      </w:pPr>
      <w:r>
        <w:t xml:space="preserve">Measurement threats come first. The outcome, topic-signal intensity, is a deterministic count of theme-term hits in metadata. It measures documentary visibility of the theme, not the quality or the argumentative substance of the source</w:t>
      </w:r>
      <w:r>
        <w:t xml:space="preserve"> </w:t>
      </w:r>
      <w:hyperlink w:anchor="ref-13">
        <w:r>
          <w:rPr>
            <w:rStyle w:val="Hyperlink"/>
          </w:rPr>
          <w:t xml:space="preserve">[13]</w:t>
        </w:r>
      </w:hyperlink>
      <w:r>
        <w:t xml:space="preserve">. A record can score high on signal while contributing little of intellectual weight, or score low while advancing the field through work that happens to use spare vocabulary. The signal score is a defensible proxy for what the maturation mechanism cares about, but it is a proxy, and the gap between vocabulary density and scholarly contribution is unmeasured</w:t>
      </w:r>
      <w:r>
        <w:t xml:space="preserve"> </w:t>
      </w:r>
      <w:hyperlink w:anchor="ref-3">
        <w:r>
          <w:rPr>
            <w:rStyle w:val="Hyperlink"/>
          </w:rPr>
          <w:t xml:space="preserve">[3]</w:t>
        </w:r>
      </w:hyperlink>
      <w:r>
        <w:t xml:space="preserve">.</w:t>
      </w:r>
    </w:p>
    <w:p>
      <w:pPr>
        <w:pStyle w:val="BodyText"/>
        <w:spacing w:line="480" w:lineRule="auto"/>
        <w:ind w:firstLine="720"/>
      </w:pPr>
      <w:r>
        <w:t xml:space="preserve">Citation-measurement threats are the sharpest. The citation counts are local index measures, not universal citation tallies, and most records carry zero because the index reported no count rather than because the work is genuinely uncited</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sparsity is the direct cause of the near-zero, near-perfectly-insignificant citation coefficient in Paper 1 and of the flat, imprecise learning curve in Paper 2. A universal citation database would very likely assign nonzero counts to many central records and could change both results. The dissertation cannot claim that its citation findings would survive a switch to a global index, and it does not.</w:t>
      </w:r>
    </w:p>
    <w:p>
      <w:pPr>
        <w:pStyle w:val="BodyText"/>
        <w:spacing w:line="480" w:lineRule="auto"/>
        <w:ind w:firstLine="720"/>
      </w:pPr>
      <w:r>
        <w:t xml:space="preserve">Coding threats affect the venue variable. Venue family is an ordinal, three-level code, and it is never treated as interval-scaled, but even as an ordinal it compresses a rich publication ecosystem into three bins</w:t>
      </w:r>
      <w:r>
        <w:t xml:space="preserve"> </w:t>
      </w:r>
      <w:hyperlink w:anchor="ref-11">
        <w:r>
          <w:rPr>
            <w:rStyle w:val="Hyperlink"/>
          </w:rPr>
          <w:t xml:space="preserve">[11]</w:t>
        </w:r>
      </w:hyperlink>
      <w:r>
        <w:t xml:space="preserve">. Sources that straddle categories, or reports whose venue is ambiguous, are assigned by rule rather than by fine judgment, and a different but equally reasonable coding could shift the venue coefficient. The negative sign is suggestive precisely because it is not robust enough to be load-bearing.</w:t>
      </w:r>
    </w:p>
    <w:p>
      <w:pPr>
        <w:pStyle w:val="BodyText"/>
        <w:spacing w:line="480" w:lineRule="auto"/>
        <w:ind w:firstLine="720"/>
      </w:pPr>
      <w:r>
        <w:t xml:space="preserve">Design threats are the deepest. The corpus is thirty records, which is small, and it deliberately mixes topic-central with topic-adjacent material</w:t>
      </w:r>
      <w:r>
        <w:t xml:space="preserve"> </w:t>
      </w:r>
      <w:hyperlink w:anchor="ref-7">
        <w:r>
          <w:rPr>
            <w:rStyle w:val="Hyperlink"/>
          </w:rPr>
          <w:t xml:space="preserve">[7]</w:t>
        </w:r>
      </w:hyperlink>
      <w:r>
        <w:t xml:space="preserve"> </w:t>
      </w:r>
      <w:hyperlink w:anchor="ref-8">
        <w:r>
          <w:rPr>
            <w:rStyle w:val="Hyperlink"/>
          </w:rPr>
          <w:t xml:space="preserve">[8]</w:t>
        </w:r>
      </w:hyperlink>
      <w:r>
        <w:t xml:space="preserve">. Small samples have low power, so a null result is weaker evidence for the null than the same result on a large corpus would be. Adjacent records attenuate coefficients toward zero, which means part of the observed weakness could be dilution rather than genuine absence of structure. And because the outcome and predictors are all built from the same source records, any systematic bias in retrieval contaminates both sides of every equation, so the models cannot separate real structure from shared measurement error</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Some limits are specific to variables. Others are categorical, ruling out whole classes of claim.</w:t>
      </w:r>
    </w:p>
    <w:bookmarkEnd w:id="131"/>
    <w:bookmarkStart w:id="132" w:name="what-the-data-cannot-show"/>
    <w:p>
      <w:pPr>
        <w:pStyle w:val="Heading2"/>
        <w:spacing w:line="480" w:lineRule="auto"/>
      </w:pPr>
      <w:r>
        <w:t xml:space="preserve">What the data cannot show</w:t>
      </w:r>
    </w:p>
    <w:p>
      <w:pPr>
        <w:pStyle w:val="FirstParagraph"/>
        <w:spacing w:line="480" w:lineRule="auto"/>
      </w:pPr>
      <w:r>
        <w:t xml:space="preserve">Beyond specific threats, whole categories of claim lie outside the design’s reach, and honesty requires listing them. The data cannot show that the Space Sustainability Rating changed any operator’s behavior, because they contain no operator observations, no mission design records, and no before-and-after boundary at disclosure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They cannot show causal direction among recency, attention, and venue, because the estimators identify association, not effect</w:t>
      </w:r>
      <w:r>
        <w:t xml:space="preserve"> </w:t>
      </w:r>
      <w:hyperlink w:anchor="ref-4">
        <w:r>
          <w:rPr>
            <w:rStyle w:val="Hyperlink"/>
          </w:rPr>
          <w:t xml:space="preserve">[4]</w:t>
        </w:r>
      </w:hyperlink>
      <w:r>
        <w:t xml:space="preserve">. They cannot show universal citation impact, because the citation variable is local. And they cannot show the normative adequacy of the rating, whether it measures the right things, weights them fairly, or serves the communities that sustainability is meant to protect, because metadata is blind to values</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Stating this is not a retreat. It is the boundary that gives the reported results their meaning. A study that refuses to claim what it cannot support is one whose smaller claims can be trusted.</w:t>
      </w:r>
    </w:p>
    <w:bookmarkEnd w:id="132"/>
    <w:bookmarkStart w:id="133" w:name="why-the-null-is-still-a-contribution"/>
    <w:p>
      <w:pPr>
        <w:pStyle w:val="Heading2"/>
        <w:spacing w:line="480" w:lineRule="auto"/>
      </w:pPr>
      <w:r>
        <w:t xml:space="preserve">Why the null is still a contribution</w:t>
      </w:r>
    </w:p>
    <w:p>
      <w:pPr>
        <w:pStyle w:val="FirstParagraph"/>
        <w:spacing w:line="480" w:lineRule="auto"/>
      </w:pPr>
      <w:r>
        <w:t xml:space="preserve">What does a dissertation of convergent nulls contribute to a field? A reader is entitled to ask. The answer is a cleared path. The study establishes, with reproducible numbers, that coarse metadata proxies on a small mixed corpus do not detect strong maturation structure for the sustainability-rating topic, and it identifies exactly which proxies fail and why. That saves the next researcher from repeating the same underpowered design and points toward the sharper evidence the question actually requires: a larger, topic-filtered corpus, a universal citation source, and, ultimately, the operator-level document coding that alone could speak to the behavioral question the rating instrument raises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findings also model a research posture worth defending. They show that a governance question can be approached with a falsifiable test, that the test can return an inconvenient answer, and that the inconvenient answer can be reported in full without collapsing the project. That posture, more than any single coefficient, is what a documentary study of a young and contested instrument can offer the literature on orbital sustainability. The concluding chapter draws these threads into a statement of the contribution and specifies the empirical program that should follow</w:t>
      </w:r>
      <w:r>
        <w:t xml:space="preserve"> </w:t>
      </w:r>
      <w:hyperlink w:anchor="ref-1">
        <w:r>
          <w:rPr>
            <w:rStyle w:val="Hyperlink"/>
          </w:rPr>
          <w:t xml:space="preserve">[1]</w:t>
        </w:r>
      </w:hyperlink>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33"/>
    <w:bookmarkStart w:id="134" w:name="X75064659bc599a0ee1ac70a63b7860da78818f9"/>
    <w:p>
      <w:pPr>
        <w:pStyle w:val="Heading2"/>
        <w:spacing w:line="480" w:lineRule="auto"/>
      </w:pPr>
      <w:r>
        <w:t xml:space="preserve">The interpretation of nulls under low power</w:t>
      </w:r>
    </w:p>
    <w:p>
      <w:pPr>
        <w:pStyle w:val="FirstParagraph"/>
        <w:spacing w:line="480" w:lineRule="auto"/>
      </w:pPr>
      <w:r>
        <w:t xml:space="preserve">A methodological subtlety governs how much the nulls should move a reader’s beliefs, and it must be stated carefully. A failure to reject the null is not the same as evidence for the null, and this distinction is especially sharp under low statistical power. With thirty records, a floored outcome, and a near-degenerate citation predictor, the models have limited ability to detect a true association even if one exists</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correct inference from the nulls is therefore not that recency, attention, and venue are definitely unrelated to topic signal, but that this design lacks the power to demonstrate a relationship if there is one. These are different claims, and conflating them would overstate what the study establishes.</w:t>
      </w:r>
    </w:p>
    <w:p>
      <w:pPr>
        <w:pStyle w:val="BodyText"/>
        <w:spacing w:line="480" w:lineRule="auto"/>
        <w:ind w:firstLine="720"/>
      </w:pPr>
      <w:r>
        <w:t xml:space="preserve">This asymmetry cuts against any triumphant reading of the nulls as proof that the rating topic is immature. It also cuts against dismissing the correctly signed coefficients, since under low power a true effect would appear exactly as the study found it: right sign, wrong precision. The honest position sits between these: the corpus offers faint, correctly oriented hints of maturation structure that it lacks the power to confirm, and the appropriate response is a larger, cleaner study rather than a verdict in either direction</w:t>
      </w:r>
      <w:r>
        <w:t xml:space="preserve"> </w:t>
      </w:r>
      <w:hyperlink w:anchor="ref-4">
        <w:r>
          <w:rPr>
            <w:rStyle w:val="Hyperlink"/>
          </w:rPr>
          <w:t xml:space="preserve">[4]</w:t>
        </w:r>
      </w:hyperlink>
      <w:r>
        <w:t xml:space="preserve"> </w:t>
      </w:r>
      <w:hyperlink w:anchor="ref-6">
        <w:r>
          <w:rPr>
            <w:rStyle w:val="Hyperlink"/>
          </w:rPr>
          <w:t xml:space="preserve">[6]</w:t>
        </w:r>
      </w:hyperlink>
      <w:r>
        <w:t xml:space="preserve">. Chapter 8 builds its recommendations on precisely this reading.</w:t>
      </w:r>
    </w:p>
    <w:bookmarkEnd w:id="134"/>
    <w:bookmarkStart w:id="135" w:name="X668cfddea63f1f7029c83d64bd66170b53f2f36"/>
    <w:p>
      <w:pPr>
        <w:pStyle w:val="Heading2"/>
        <w:spacing w:line="480" w:lineRule="auto"/>
      </w:pPr>
      <w:r>
        <w:t xml:space="preserve">What a hostile reviewer would press, and the reply</w:t>
      </w:r>
    </w:p>
    <w:p>
      <w:pPr>
        <w:pStyle w:val="FirstParagraph"/>
        <w:spacing w:line="480" w:lineRule="auto"/>
      </w:pPr>
      <w:r>
        <w:t xml:space="preserve">Anticipate the hardest critic. A hostile reviewer would press three objections, and each deserves a direct reply.</w:t>
      </w:r>
    </w:p>
    <w:p>
      <w:pPr>
        <w:pStyle w:val="BodyText"/>
        <w:spacing w:line="480" w:lineRule="auto"/>
        <w:ind w:firstLine="720"/>
      </w:pPr>
      <w:r>
        <w:t xml:space="preserve">The first objection is that the study measures nothing that matters, since documentary structure is far removed from operator behavior. The reply concedes the distance but denies the irrelevance. Documentary consolidation is a stated precondition for the rating’s disclosure logic to function, because the reading parties must trust the underlying concepts, and measuring whether that consolidation has occurred is a legitimate, if partial, contribution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The study never claims to measure behavior; it measures a precondition for behavior and says so.</w:t>
      </w:r>
    </w:p>
    <w:p>
      <w:pPr>
        <w:pStyle w:val="BodyText"/>
        <w:spacing w:line="480" w:lineRule="auto"/>
        <w:ind w:firstLine="720"/>
      </w:pPr>
      <w:r>
        <w:t xml:space="preserve">The second objection is that the corpus is too small and too contaminated to support any inference, null or otherwise. The reply accepts the premise and turns it into the finding. The study’s contribution is precisely to demonstrate, with reproducible numbers, that a cheap metadata design on a small mixed corpus cannot resolve the maturation question, and to specify what a design that could resolve it would require</w:t>
      </w:r>
      <w:r>
        <w:t xml:space="preserve"> </w:t>
      </w:r>
      <w:hyperlink w:anchor="ref-5">
        <w:r>
          <w:rPr>
            <w:rStyle w:val="Hyperlink"/>
          </w:rPr>
          <w:t xml:space="preserve">[5]</w:t>
        </w:r>
      </w:hyperlink>
      <w:r>
        <w:t xml:space="preserve"> </w:t>
      </w:r>
      <w:hyperlink w:anchor="ref-7">
        <w:r>
          <w:rPr>
            <w:rStyle w:val="Hyperlink"/>
          </w:rPr>
          <w:t xml:space="preserve">[7]</w:t>
        </w:r>
      </w:hyperlink>
      <w:r>
        <w:t xml:space="preserve">. A null that maps the limits of an approach is a service, not a failure.</w:t>
      </w:r>
    </w:p>
    <w:p>
      <w:pPr>
        <w:pStyle w:val="BodyText"/>
        <w:spacing w:line="480" w:lineRule="auto"/>
        <w:ind w:firstLine="720"/>
      </w:pPr>
      <w:r>
        <w:t xml:space="preserve">The third objection is that the citation variable is so degenerate that Paper 2 is uninformative. The reply agrees that the local citation sparsity drives the flat learning curve and states openly that a universal citation source could change the result</w:t>
      </w:r>
      <w:r>
        <w:t xml:space="preserve"> </w:t>
      </w:r>
      <w:hyperlink w:anchor="ref-2">
        <w:r>
          <w:rPr>
            <w:rStyle w:val="Hyperlink"/>
          </w:rPr>
          <w:t xml:space="preserve">[2]</w:t>
        </w:r>
      </w:hyperlink>
      <w:r>
        <w:t xml:space="preserve"> </w:t>
      </w:r>
      <w:hyperlink w:anchor="ref-6">
        <w:r>
          <w:rPr>
            <w:rStyle w:val="Hyperlink"/>
          </w:rPr>
          <w:t xml:space="preserve">[6]</w:t>
        </w:r>
      </w:hyperlink>
      <w:r>
        <w:t xml:space="preserve">. Rather than hiding this, the study foregrounds it as the single most important upgrade for future work. Naming the weakness that most limits a result is stronger scholarship than papering over it.</w:t>
      </w:r>
    </w:p>
    <w:bookmarkEnd w:id="135"/>
    <w:bookmarkStart w:id="136" w:name="limits-on-generalization"/>
    <w:p>
      <w:pPr>
        <w:pStyle w:val="Heading2"/>
        <w:spacing w:line="480" w:lineRule="auto"/>
      </w:pPr>
      <w:r>
        <w:t xml:space="preserve">Limits on generalization</w:t>
      </w:r>
    </w:p>
    <w:p>
      <w:pPr>
        <w:pStyle w:val="FirstParagraph"/>
        <w:spacing w:line="480" w:lineRule="auto"/>
      </w:pPr>
      <w:r>
        <w:t xml:space="preserve">Even setting aside the internal threats, the study’s reach beyond its own corpus is limited, and this bounds any governance lesson drawn from it. The thirty records are a candidate-specific retrieval, not a census of the sustainability-rating literature, so the distributions of signal, recency, attention, and venue reflect the retrieval as much as the field</w:t>
      </w:r>
      <w:r>
        <w:t xml:space="preserve"> </w:t>
      </w:r>
      <w:hyperlink w:anchor="ref-3">
        <w:r>
          <w:rPr>
            <w:rStyle w:val="Hyperlink"/>
          </w:rPr>
          <w:t xml:space="preserve">[3]</w:t>
        </w:r>
      </w:hyperlink>
      <w:r>
        <w:t xml:space="preserve"> </w:t>
      </w:r>
      <w:hyperlink w:anchor="ref-5">
        <w:r>
          <w:rPr>
            <w:rStyle w:val="Hyperlink"/>
          </w:rPr>
          <w:t xml:space="preserve">[5]</w:t>
        </w:r>
      </w:hyperlink>
      <w:r>
        <w:t xml:space="preserve">. A different retrieval rule, a different index, or a different date of collection would yield a different corpus and could yield different coefficients. The findings therefore describe this corpus with certainty and the broader field only by inference, and that inference is weak given the sample.</w:t>
      </w:r>
    </w:p>
    <w:p>
      <w:pPr>
        <w:pStyle w:val="BodyText"/>
        <w:spacing w:line="480" w:lineRule="auto"/>
        <w:ind w:firstLine="720"/>
      </w:pPr>
      <w:r>
        <w:t xml:space="preserve">This is why the governance readings in this chapter are offered as directions rather than directives. The suggestion that citation attention is a poor early indicator, that topic signal still concentrates in technical venues, and that the field appears frontier-weighted are all hypotheses the corpus is consistent with, not conclusions it establishes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Treating them as testable directions for a larger study is the appropriate epistemic weight, and it is the weight Chapter 8 assigns them when it lays out the empirical program the question genuinely requires</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bookmarkEnd w:id="136"/>
    <w:bookmarkStart w:id="137" w:name="X1270499fbdf42519074165afd5f2be776ba483d"/>
    <w:p>
      <w:pPr>
        <w:pStyle w:val="Heading2"/>
        <w:spacing w:line="480" w:lineRule="auto"/>
      </w:pPr>
      <w:r>
        <w:t xml:space="preserve">Comparing the two screens as a validity check</w:t>
      </w:r>
    </w:p>
    <w:p>
      <w:pPr>
        <w:pStyle w:val="FirstParagraph"/>
        <w:spacing w:line="480" w:lineRule="auto"/>
      </w:pPr>
      <w:r>
        <w:t xml:space="preserve">The convergence of the two models is itself a kind of internal validity check, and reading it that way strengthens the interpretation. The cross-sectional and temporal screens draw on the same thirty records but ask orthogonal questions through different variables and different functional forms</w:t>
      </w:r>
      <w:r>
        <w:t xml:space="preserve"> </w:t>
      </w:r>
      <w:hyperlink w:anchor="ref-6">
        <w:r>
          <w:rPr>
            <w:rStyle w:val="Hyperlink"/>
          </w:rPr>
          <w:t xml:space="preserve">[6]</w:t>
        </w:r>
      </w:hyperlink>
      <w:r>
        <w:t xml:space="preserve">. If one had returned strong structure and the other nothing, the discrepancy would have demanded explanation and might have signaled that one specification was capitalizing on a quirk of the data. Instead both return weak, insignificant results, and that agreement is reassuring: it suggests the weakness is a property of the corpus rather than of either particular model.</w:t>
      </w:r>
    </w:p>
    <w:p>
      <w:pPr>
        <w:pStyle w:val="BodyText"/>
        <w:spacing w:line="480" w:lineRule="auto"/>
        <w:ind w:firstLine="720"/>
      </w:pPr>
      <w:r>
        <w:t xml:space="preserve">The agreement also constrains the rival explanations from Chapter 3. A retrieval artifact that inflated cross-sectional correlations would not necessarily flatten the temporal elasticity, and a temporal accrual pattern that survived would not necessarily leave the cross-section null</w:t>
      </w:r>
      <w:r>
        <w:t xml:space="preserve"> </w:t>
      </w:r>
      <w:hyperlink w:anchor="ref-3">
        <w:r>
          <w:rPr>
            <w:rStyle w:val="Hyperlink"/>
          </w:rPr>
          <w:t xml:space="preserve">[3]</w:t>
        </w:r>
      </w:hyperlink>
      <w:r>
        <w:t xml:space="preserve"> </w:t>
      </w:r>
      <w:hyperlink w:anchor="ref-4">
        <w:r>
          <w:rPr>
            <w:rStyle w:val="Hyperlink"/>
          </w:rPr>
          <w:t xml:space="preserve">[4]</w:t>
        </w:r>
      </w:hyperlink>
      <w:r>
        <w:t xml:space="preserve">. The fact that both faces of the maturation mechanism come back faint points toward a simple, unified account: the corpus is small, floored, and sparse in citations, and those features suppress detectable structure regardless of which question is asked. That unified account is more parsimonious than any story requiring the two screens to fail for different reasons, and parsimony is a modest point in its favor</w:t>
      </w:r>
      <w:r>
        <w:t xml:space="preserve"> </w:t>
      </w:r>
      <w:hyperlink w:anchor="ref-5">
        <w:r>
          <w:rPr>
            <w:rStyle w:val="Hyperlink"/>
          </w:rPr>
          <w:t xml:space="preserve">[5]</w:t>
        </w:r>
      </w:hyperlink>
      <w:r>
        <w:t xml:space="preserve">.</w:t>
      </w:r>
    </w:p>
    <w:bookmarkEnd w:id="137"/>
    <w:bookmarkStart w:id="138" w:name="Xf7b6019d3242013549432f7f6dc8bb37c212f2f"/>
    <w:p>
      <w:pPr>
        <w:pStyle w:val="Heading2"/>
        <w:spacing w:line="480" w:lineRule="auto"/>
      </w:pPr>
      <w:r>
        <w:t xml:space="preserve">The cost of the adjacent-record decision revisited</w:t>
      </w:r>
    </w:p>
    <w:p>
      <w:pPr>
        <w:pStyle w:val="FirstParagraph"/>
        <w:spacing w:line="480" w:lineRule="auto"/>
      </w:pPr>
      <w:r>
        <w:t xml:space="preserve">The choice to retain topic-adjacent records rather than filter them out was defensible as a stress test, but Chapter 7 should weigh its cost honestly. Including the observational and proximity-operations records demonstrated that the signal score correctly grades them low, which validated the measurement</w:t>
      </w:r>
      <w:r>
        <w:t xml:space="preserve"> </w:t>
      </w:r>
      <w:hyperlink w:anchor="ref-7">
        <w:r>
          <w:rPr>
            <w:rStyle w:val="Hyperlink"/>
          </w:rPr>
          <w:t xml:space="preserve">[7]</w:t>
        </w:r>
      </w:hyperlink>
      <w:r>
        <w:t xml:space="preserve"> </w:t>
      </w:r>
      <w:hyperlink w:anchor="ref-8">
        <w:r>
          <w:rPr>
            <w:rStyle w:val="Hyperlink"/>
          </w:rPr>
          <w:t xml:space="preserve">[8]</w:t>
        </w:r>
      </w:hyperlink>
      <w:r>
        <w:t xml:space="preserve">. It also, though, compressed the outcome distribution at the floor and diluted whatever structure the central records carried, attenuating the coefficients toward zero and lowering power</w:t>
      </w:r>
      <w:r>
        <w:t xml:space="preserve"> </w:t>
      </w:r>
      <w:hyperlink w:anchor="ref-3">
        <w:r>
          <w:rPr>
            <w:rStyle w:val="Hyperlink"/>
          </w:rPr>
          <w:t xml:space="preserve">[3]</w:t>
        </w:r>
      </w:hyperlink>
      <w:r>
        <w:t xml:space="preserve">. In retrospect this was a trade: measurement validation purchased at the price of statistical sensitivity.</w:t>
      </w:r>
    </w:p>
    <w:p>
      <w:pPr>
        <w:pStyle w:val="BodyText"/>
        <w:spacing w:line="480" w:lineRule="auto"/>
        <w:ind w:firstLine="720"/>
      </w:pPr>
      <w:r>
        <w:t xml:space="preserve">For the present design the trade was reasonable, because validating the signal score on a young instrument’s literature is itself worth something, and because a thirty-record corpus was never going to yield strong inference regardless</w:t>
      </w:r>
      <w:r>
        <w:t xml:space="preserve"> </w:t>
      </w:r>
      <w:hyperlink w:anchor="ref-5">
        <w:r>
          <w:rPr>
            <w:rStyle w:val="Hyperlink"/>
          </w:rPr>
          <w:t xml:space="preserve">[5]</w:t>
        </w:r>
      </w:hyperlink>
      <w:r>
        <w:t xml:space="preserve">. For any successor study the calculus flips. Once the signal score is validated, retaining known-adjacent material only costs power, so the successor should filter at collection time, as Chapter 8 recommends. Recognizing this openly is part of learning from the design rather than merely defending it, and it converts a limitation into a concrete lesson for the work that follows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Standing back from the individual threats, the discussion arrives at a single balanced judgment. The study asked a legitimate, prior question, put it at genuine risk with two independent screens, and received a convergent, honestly reported null that its own low power prevents it from reading as strong evidence for the null</w:t>
      </w:r>
      <w:r>
        <w:t xml:space="preserve"> </w:t>
      </w:r>
      <w:hyperlink w:anchor="ref-3">
        <w:r>
          <w:rPr>
            <w:rStyle w:val="Hyperlink"/>
          </w:rPr>
          <w:t xml:space="preserve">[3]</w:t>
        </w:r>
      </w:hyperlink>
      <w:r>
        <w:t xml:space="preserve"> </w:t>
      </w:r>
      <w:hyperlink w:anchor="ref-5">
        <w:r>
          <w:rPr>
            <w:rStyle w:val="Hyperlink"/>
          </w:rPr>
          <w:t xml:space="preserve">[5]</w:t>
        </w:r>
      </w:hyperlink>
      <w:r>
        <w:t xml:space="preserve">. The correctly signed but imprecise coefficients are a faint trace of the maturation the theory predicted, no more. What the findings mean, in the end, is that the sustainability-rating topic cannot be certified as consolidated on this evidence, and that the behavioral question the instrument raises remains entirely out of documentary reach</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Those two statements, one about the corpus and one about the design’s limits, are the whole of what this dissertation is entitled to conclude, and the final chapter builds only on them</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bookmarkEnd w:id="138"/>
    <w:bookmarkEnd w:id="139"/>
    <w:bookmarkStart w:id="179"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set out to convert a rhetorical policy question, whether space sustainability rating disclosures shift operator design, into a bounded, falsifiable, source-traced test, and to report the result whether or not it flattered the hypothesis. It did that. This closing chapter states the contribution precisely, draws out its relevance for governance and for program practice, and specifies the empirical program that should follow from a study whose honest verdict is a convergent null</w:t>
      </w:r>
      <w:r>
        <w:t xml:space="preserve"> </w:t>
      </w:r>
      <w:hyperlink w:anchor="ref-1">
        <w:r>
          <w:rPr>
            <w:rStyle w:val="Hyperlink"/>
          </w:rPr>
          <w:t xml:space="preserve">[1]</w:t>
        </w:r>
      </w:hyperlink>
      <w:r>
        <w:t xml:space="preserve"> </w:t>
      </w:r>
      <w:hyperlink w:anchor="ref-9">
        <w:r>
          <w:rPr>
            <w:rStyle w:val="Hyperlink"/>
          </w:rPr>
          <w:t xml:space="preserve">[9]</w:t>
        </w:r>
      </w:hyperlink>
      <w:r>
        <w:t xml:space="preserve">.</w:t>
      </w:r>
    </w:p>
    <w:bookmarkStart w:id="140" w:name="the-contribution-stated-exactly"/>
    <w:p>
      <w:pPr>
        <w:pStyle w:val="Heading2"/>
        <w:spacing w:line="480" w:lineRule="auto"/>
      </w:pPr>
      <w:r>
        <w:t xml:space="preserve">The contribution, stated exactly</w:t>
      </w:r>
    </w:p>
    <w:p>
      <w:pPr>
        <w:pStyle w:val="FirstParagraph"/>
        <w:spacing w:line="480" w:lineRule="auto"/>
      </w:pPr>
      <w:r>
        <w:t xml:space="preserve">Start with the contribution. It is a single, reproducible finding with a clearly marked boundary. On a thirty-record documentary corpus, read through three coarse metadata proxies, the sustainability-rating topic does not display strong, statistically detectable structure of the kind that a maturing governance idea would be expected to leave. The cross-sectional model explains about nine percent of signal-intensity variation with a joint F p-value of 0.1516 and no significant individual predictor; the temporal model explains about one percent of citation-attention variation with a negative, imprecise age elasticity</w:t>
      </w:r>
      <w:r>
        <w:t xml:space="preserve"> </w:t>
      </w:r>
      <w:hyperlink w:anchor="ref-6">
        <w:r>
          <w:rPr>
            <w:rStyle w:val="Hyperlink"/>
          </w:rPr>
          <w:t xml:space="preserve">[6]</w:t>
        </w:r>
      </w:hyperlink>
      <w:r>
        <w:t xml:space="preserve">. The maturation mechanism’s predicted positive recency sign and its anticipated negative venue and age signs all appear, which is mild corroborating texture, but none reaches the precision that inference requires.</w:t>
      </w:r>
    </w:p>
    <w:p>
      <w:pPr>
        <w:pStyle w:val="BodyText"/>
        <w:spacing w:line="480" w:lineRule="auto"/>
        <w:ind w:firstLine="720"/>
      </w:pPr>
      <w:r>
        <w:t xml:space="preserve">That is a smaller claim than the dissertation’s title might promise, and the modesty is the point. The study never observed operators, so it never pretended to measure whether ratings change design. It measured whether the documentary footprint of the topic looks like a consolidated field, and it found that, at this scale and through these proxies, it does not yet. The falsifiable null of Chapter 3 was put at genuine risk by two independent estimators, and it was not rejected by either. A design that could have embarrassed its own hypothesis, and did, is the kind of design that produces evidence rather than advocacy</w:t>
      </w:r>
      <w:r>
        <w:t xml:space="preserve"> </w:t>
      </w:r>
      <w:hyperlink w:anchor="ref-3">
        <w:r>
          <w:rPr>
            <w:rStyle w:val="Hyperlink"/>
          </w:rPr>
          <w:t xml:space="preserve">[3]</w:t>
        </w:r>
      </w:hyperlink>
      <w:r>
        <w:t xml:space="preserve"> </w:t>
      </w:r>
      <w:hyperlink w:anchor="ref-4">
        <w:r>
          <w:rPr>
            <w:rStyle w:val="Hyperlink"/>
          </w:rPr>
          <w:t xml:space="preserve">[4]</w:t>
        </w:r>
      </w:hyperlink>
      <w:r>
        <w:t xml:space="preserve">.</w:t>
      </w:r>
    </w:p>
    <w:bookmarkEnd w:id="140"/>
    <w:bookmarkStart w:id="141" w:name="why-a-bounded-null-advances-the-field"/>
    <w:p>
      <w:pPr>
        <w:pStyle w:val="Heading2"/>
        <w:spacing w:line="480" w:lineRule="auto"/>
      </w:pPr>
      <w:r>
        <w:t xml:space="preserve">Why a bounded null advances the field</w:t>
      </w:r>
    </w:p>
    <w:p>
      <w:pPr>
        <w:pStyle w:val="FirstParagraph"/>
        <w:spacing w:line="480" w:lineRule="auto"/>
      </w:pPr>
      <w:r>
        <w:t xml:space="preserve">Dead ends matter. Fields advance not only by confirmations but by well-documented dead ends, and this study documents three. Recency alone does not carry topic signal in this corpus once attention and venue are controlled. Local citation counts are too sparse to track topic centrality or to reveal age-based attention structure. And a small, mixed corpus of central and adjacent records lacks the power to certify maturation even when the signs point the right way</w:t>
      </w:r>
      <w:r>
        <w:t xml:space="preserve"> </w:t>
      </w:r>
      <w:hyperlink w:anchor="ref-2">
        <w:r>
          <w:rPr>
            <w:rStyle w:val="Hyperlink"/>
          </w:rPr>
          <w:t xml:space="preserve">[2]</w:t>
        </w:r>
      </w:hyperlink>
      <w:r>
        <w:t xml:space="preserve"> </w:t>
      </w:r>
      <w:hyperlink w:anchor="ref-5">
        <w:r>
          <w:rPr>
            <w:rStyle w:val="Hyperlink"/>
          </w:rPr>
          <w:t xml:space="preserve">[5]</w:t>
        </w:r>
      </w:hyperlink>
      <w:r>
        <w:t xml:space="preserve">. Each of these is a specific, reproducible result that steers the next researcher away from an underpowered path and toward the sharper evidence the question demands.</w:t>
      </w:r>
    </w:p>
    <w:p>
      <w:pPr>
        <w:pStyle w:val="BodyText"/>
        <w:spacing w:line="480" w:lineRule="auto"/>
        <w:ind w:firstLine="720"/>
      </w:pPr>
      <w:r>
        <w:t xml:space="preserve">The study also contributes a posture and a template. It shows that a contested governance instrument can be approached with a transparent evidentiary chain, that every number can be a deterministic workbook result traceable to a retained source, and that the resulting analysis can fail in public without collapsing. For a topic as young and as normatively loaded as space sustainability rating, that methodological discipline is itself worth transmitting, because the temptation to inflate a busy literature into a mature one is strong and the corpus here shows why it should be resisted</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41"/>
    <w:bookmarkStart w:id="142" w:name="governance-and-program-relevance"/>
    <w:p>
      <w:pPr>
        <w:pStyle w:val="Heading2"/>
        <w:spacing w:line="480" w:lineRule="auto"/>
      </w:pPr>
      <w:r>
        <w:t xml:space="preserve">Governance and program relevance</w:t>
      </w:r>
    </w:p>
    <w:p>
      <w:pPr>
        <w:pStyle w:val="FirstParagraph"/>
        <w:spacing w:line="480" w:lineRule="auto"/>
      </w:pPr>
      <w:r>
        <w:t xml:space="preserve">The bounded findings carry three implications for how the sustainability-rating agenda might be steered, each offered as a direction rather than a directive.</w:t>
      </w:r>
    </w:p>
    <w:p>
      <w:pPr>
        <w:pStyle w:val="BodyText"/>
        <w:spacing w:line="480" w:lineRule="auto"/>
        <w:ind w:firstLine="720"/>
      </w:pPr>
      <w:r>
        <w:t xml:space="preserve">The first concerns measurement strategy. If citation attention is too sparse and too lagged to serve as an early indicator of whether the rating idea is landing, then governance analysts and program offices tracking the instrument’s uptake should not rely on bibliometric attention as a leading signal</w:t>
      </w:r>
      <w:r>
        <w:t xml:space="preserve"> </w:t>
      </w:r>
      <w:hyperlink w:anchor="ref-2">
        <w:r>
          <w:rPr>
            <w:rStyle w:val="Hyperlink"/>
          </w:rPr>
          <w:t xml:space="preserve">[2]</w:t>
        </w:r>
      </w:hyperlink>
      <w:r>
        <w:t xml:space="preserve">. They should instead look to direct indicators: operator adoption counts, disclosure filings, and the incorporation of rating criteria into insurance and launch contracts, which are the actual transmission channels the multi-stakeholder mechanism describes</w:t>
      </w:r>
      <w:r>
        <w:t xml:space="preserve"> </w:t>
      </w:r>
      <w:hyperlink w:anchor="ref-10">
        <w:r>
          <w:rPr>
            <w:rStyle w:val="Hyperlink"/>
          </w:rPr>
          <w:t xml:space="preserve">[10]</w:t>
        </w:r>
      </w:hyperlink>
      <w:r>
        <w:t xml:space="preserve">.</w:t>
      </w:r>
    </w:p>
    <w:p>
      <w:pPr>
        <w:pStyle w:val="BodyText"/>
        <w:spacing w:line="480" w:lineRule="auto"/>
        <w:ind w:firstLine="720"/>
      </w:pPr>
      <w:r>
        <w:t xml:space="preserve">The second concerns where the conversation lives. The faint negative venue coefficient, if it held on a larger corpus, would suggest that the densest topic signal still sits in practitioner technical venues rather than in the cross-cutting policy and journal literature where behavioral incentives get negotiated</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A program that wants the rating to shape operator design would have an interest in accelerating that migration, seeding the synthesis and journal discourse where insurers, financiers, and regulators actually read, so that the incentive travels the full chain the instrument’s designers envisioned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The third concerns the environmental case that underwrites the whole enterprise. The rating is only worth building because orbital capacity is bounded and degradable, as the demand and source-sink literatures establish</w:t>
      </w:r>
      <w:r>
        <w:t xml:space="preserve"> </w:t>
      </w:r>
      <w:hyperlink w:anchor="ref-2">
        <w:r>
          <w:rPr>
            <w:rStyle w:val="Hyperlink"/>
          </w:rPr>
          <w:t xml:space="preserve">[2]</w:t>
        </w:r>
      </w:hyperlink>
      <w:r>
        <w:t xml:space="preserve"> </w:t>
      </w:r>
      <w:hyperlink w:anchor="ref-4">
        <w:r>
          <w:rPr>
            <w:rStyle w:val="Hyperlink"/>
          </w:rPr>
          <w:t xml:space="preserve">[4]</w:t>
        </w:r>
      </w:hyperlink>
      <w:r>
        <w:t xml:space="preserve">. Nothing in this dissertation’s null weakens that case; the physical urgency is independent of whether the topic’s documentary footprint is yet mature. If anything, a young and still-consolidating literature around an instrument that addresses a near-term physical constraint is an argument for accelerating the research program, not for doubting its premise.</w:t>
      </w:r>
    </w:p>
    <w:p>
      <w:pPr>
        <w:pStyle w:val="BodyText"/>
        <w:spacing w:line="480" w:lineRule="auto"/>
        <w:ind w:firstLine="720"/>
      </w:pPr>
      <w:r>
        <w:t xml:space="preserve">The path forward is not vague. It has three concrete stages, and they should be run in order.</w:t>
      </w:r>
    </w:p>
    <w:bookmarkEnd w:id="142"/>
    <w:bookmarkStart w:id="143" w:name="the-next-empirical-step"/>
    <w:p>
      <w:pPr>
        <w:pStyle w:val="Heading2"/>
        <w:spacing w:line="480" w:lineRule="auto"/>
      </w:pPr>
      <w:r>
        <w:t xml:space="preserve">The next empirical step</w:t>
      </w:r>
    </w:p>
    <w:p>
      <w:pPr>
        <w:pStyle w:val="FirstParagraph"/>
        <w:spacing w:line="480" w:lineRule="auto"/>
      </w:pPr>
      <w:r>
        <w:t xml:space="preserve">The findings define, almost by subtraction, the study that should come next. Three upgrades are required, and they follow directly from the threats of Chapter 7.</w:t>
      </w:r>
    </w:p>
    <w:p>
      <w:pPr>
        <w:pStyle w:val="BodyText"/>
        <w:spacing w:line="480" w:lineRule="auto"/>
        <w:ind w:firstLine="720"/>
      </w:pPr>
      <w:r>
        <w:t xml:space="preserve">A larger, topic-filtered corpus is the first. Thirty records mixing central and adjacent material lacks power and attenuates coefficients toward zero. A corpus of several hundred records, filtered so that topic-adjacent astronomy and proximity-operations work is excluded rather than retained as ballast, would give the signal-scoring approach room to show structure if structure exists</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The retrieval should be built to separate central from adjacent material at the point of collection, not to rely on the signal score to do all of that separation after the fact.</w:t>
      </w:r>
    </w:p>
    <w:p>
      <w:pPr>
        <w:pStyle w:val="BodyText"/>
        <w:spacing w:line="480" w:lineRule="auto"/>
        <w:ind w:firstLine="720"/>
      </w:pPr>
      <w:r>
        <w:t xml:space="preserve">A universal citation source is the second. The single most consequential weakness in this study is that its citation counts are local and sparse, which drives the near-perfect insignificance of the citation coefficient and the flat learning curve. Re-estimating both models against a global citation database would very likely restore variation to the citation variable and could change both results materially</w:t>
      </w:r>
      <w:r>
        <w:t xml:space="preserve"> </w:t>
      </w:r>
      <w:hyperlink w:anchor="ref-2">
        <w:r>
          <w:rPr>
            <w:rStyle w:val="Hyperlink"/>
          </w:rPr>
          <w:t xml:space="preserve">[2]</w:t>
        </w:r>
      </w:hyperlink>
      <w:r>
        <w:t xml:space="preserve"> </w:t>
      </w:r>
      <w:hyperlink w:anchor="ref-6">
        <w:r>
          <w:rPr>
            <w:rStyle w:val="Hyperlink"/>
          </w:rPr>
          <w:t xml:space="preserve">[6]</w:t>
        </w:r>
      </w:hyperlink>
      <w:r>
        <w:t xml:space="preserve">. Until that is done, the citation findings here should be read strictly as properties of the local index, not as claims about attention in the world.</w:t>
      </w:r>
    </w:p>
    <w:p>
      <w:pPr>
        <w:pStyle w:val="BodyText"/>
        <w:spacing w:line="480" w:lineRule="auto"/>
        <w:ind w:firstLine="720"/>
      </w:pPr>
      <w:r>
        <w:t xml:space="preserve">Operator-level document coding is the third and most ambitious. The behavioral question the rating raises, whether disclosure shifts design, cannot be answered by any documentary study of the literature; it requires hand-coded evidence from operator disclosures, mission plans, and design decisions arranged around the disclosure event</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That is a substantial data-collection undertaking, and this dissertation’s clearest service is to show why it is necessary: the cheaper metadata approach, executed transparently, does not reach the behavioral chain, and no amount of proxy refinement will make it reach.</w:t>
      </w:r>
    </w:p>
    <w:bookmarkEnd w:id="143"/>
    <w:bookmarkStart w:id="144" w:name="closing-statement"/>
    <w:p>
      <w:pPr>
        <w:pStyle w:val="Heading2"/>
        <w:spacing w:line="480" w:lineRule="auto"/>
      </w:pPr>
      <w:r>
        <w:t xml:space="preserve">Closing statement</w:t>
      </w:r>
    </w:p>
    <w:bookmarkEnd w:id="144"/>
    <w:bookmarkStart w:id="145" w:name="a-staged-research-agenda"/>
    <w:p>
      <w:pPr>
        <w:pStyle w:val="Heading2"/>
        <w:spacing w:line="480" w:lineRule="auto"/>
      </w:pPr>
      <w:r>
        <w:t xml:space="preserve">A staged research agenda</w:t>
      </w:r>
    </w:p>
    <w:p>
      <w:pPr>
        <w:pStyle w:val="FirstParagraph"/>
        <w:spacing w:line="480" w:lineRule="auto"/>
      </w:pPr>
      <w:r>
        <w:t xml:space="preserve">The three upgrades are not equally urgent, and sequencing them into a staged agenda is part of the contribution. The first stage is the cheapest and should come first: swap the local citation index for a universal citation source and re-estimate both models on the existing corpus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This isolates the effect of the single most degenerate variable and would tell the field quickly whether the citation nulls survive better data or dissolve. If they dissolve, the maturation signal may have been there all along, masked by index sparsity, and the priority shifts to explaining it. If they survive, the field learns that citation attention genuinely does not track topic centrality for this instrument in its early years.</w:t>
      </w:r>
    </w:p>
    <w:p>
      <w:pPr>
        <w:pStyle w:val="BodyText"/>
        <w:spacing w:line="480" w:lineRule="auto"/>
        <w:ind w:firstLine="720"/>
      </w:pPr>
      <w:r>
        <w:t xml:space="preserve">The second stage expands and filters the corpus. Retrieval should target several hundred records with a rule tuned to exclude topic-adjacent observational and proximity-operations work at collection time rather than retaining it as ballast</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 A larger, cleaner corpus restores the statistical power the present design lacks, so that a null becomes genuine evidence for the null rather than a symptom of low power. This stage would also let the venue variable be recoded more finely and the recency variable exercise real range, both of which the current clustering prevents.</w:t>
      </w:r>
    </w:p>
    <w:p>
      <w:pPr>
        <w:pStyle w:val="BodyText"/>
        <w:spacing w:line="480" w:lineRule="auto"/>
        <w:ind w:firstLine="720"/>
      </w:pPr>
      <w:r>
        <w:t xml:space="preserve">The third stage is the ambitious one and the only one that reaches the behavioral question. It requires assembling operator-level evidence, disclosures, mission design records, and public filings, arranged around the moment each operator’s rating was published, and hand-coding whether design choices changed after disclosure</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This is expensive, slow, and partly dependent on proprietary access, which is exactly why the cheaper stages should precede it and why this dissertation’s clearest service is to show that the behavioral chain cannot be reached by any shortcut through the literature. The staging ensures that effort is spent in order of cost and information gain, and that the hardest data collection is undertaken only once the cheaper diagnostics have done their work.</w:t>
      </w:r>
    </w:p>
    <w:p>
      <w:pPr>
        <w:pStyle w:val="BodyText"/>
        <w:spacing w:line="480" w:lineRule="auto"/>
        <w:ind w:firstLine="720"/>
      </w:pPr>
      <w:r>
        <w:t xml:space="preserve">Each stage also sharpens a distinct question, which is why the sequence is more than a budgeting convenience. The first stage asks whether the citation nulls are real or an index artifact. The second asks whether the maturation signal exists once power and cleanliness are restored. The third asks the behavioral question the whole enterprise ultimately cares about: whether disclosure moves design</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researcher who ran the third stage first, before knowing the answers to the first two, would risk spending scarce effort measuring behavior for an instrument whose supporting concepts had not yet been shown to consolidate. The ordering protects against that waste, and it is a direct product of what this dissertation’s nulls revealed about where the evidence is weakest</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45"/>
    <w:bookmarkStart w:id="146" w:name="Xacab6cb2ec19a3b028adbd4e98d497e3ab951e4"/>
    <w:p>
      <w:pPr>
        <w:pStyle w:val="Heading2"/>
        <w:spacing w:line="480" w:lineRule="auto"/>
      </w:pPr>
      <w:r>
        <w:t xml:space="preserve">The contribution restated against the field’s needs</w:t>
      </w:r>
    </w:p>
    <w:p>
      <w:pPr>
        <w:pStyle w:val="FirstParagraph"/>
        <w:spacing w:line="480" w:lineRule="auto"/>
      </w:pPr>
      <w:r>
        <w:t xml:space="preserve">It helps to name what the field of orbital sustainability governance actually needs, and to place this dissertation against that list. The field needs credible environmental models, which the modeling literature is steadily supplying</w:t>
      </w:r>
      <w:r>
        <w:t xml:space="preserve"> </w:t>
      </w:r>
      <w:hyperlink w:anchor="ref-2">
        <w:r>
          <w:rPr>
            <w:rStyle w:val="Hyperlink"/>
          </w:rPr>
          <w:t xml:space="preserve">[2]</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 It needs instruments that translate those models into levers on behavior, which the rating-design literature is attempting</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And it needs honest evaluation of whether those instruments work, which is the newest and thinnest part of the enterprise. This dissertation contributes to the third need, and it does so by clearing ground rather than by claiming territory. It shows that the evaluation cannot be shortcut through cheap bibliometric proxies, and it specifies what a real evaluation would demand.</w:t>
      </w:r>
    </w:p>
    <w:p>
      <w:pPr>
        <w:pStyle w:val="BodyText"/>
        <w:spacing w:line="480" w:lineRule="auto"/>
        <w:ind w:firstLine="720"/>
      </w:pPr>
      <w:r>
        <w:t xml:space="preserve">That is a genuine addition to a young field, because premature confidence is a real hazard here. A busy literature can be mistaken for a mature one, a well-designed incentive can be assumed to work simply because it is well-designed, and a voluntary instrument can be credited with effects it has never been shown to produce. Each of these errors would misdirect scarce research and program resources. By demonstrating, with reproducible nulls, that the easy evidence does not certify maturation, the study inoculates the field against the first error and points, by its own limits, toward the harder work that would guard against the second and third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146"/>
    <w:bookmarkStart w:id="147" w:name="on-the-ethics-of-reporting-a-null"/>
    <w:p>
      <w:pPr>
        <w:pStyle w:val="Heading2"/>
        <w:spacing w:line="480" w:lineRule="auto"/>
      </w:pPr>
      <w:r>
        <w:t xml:space="preserve">On the ethics of reporting a null</w:t>
      </w:r>
    </w:p>
    <w:p>
      <w:pPr>
        <w:pStyle w:val="FirstParagraph"/>
        <w:spacing w:line="480" w:lineRule="auto"/>
      </w:pPr>
      <w:r>
        <w:t xml:space="preserve">There is an ethical dimension to how this study concludes, and it is worth making explicit in a doctoral document. A candidate under pressure to produce a positive result could have selected a specification, a subsample, or a proxy that manufactured significance, and the small corpus would have made such manufacturing easy</w:t>
      </w:r>
      <w:r>
        <w:t xml:space="preserve"> </w:t>
      </w:r>
      <w:hyperlink w:anchor="ref-3">
        <w:r>
          <w:rPr>
            <w:rStyle w:val="Hyperlink"/>
          </w:rPr>
          <w:t xml:space="preserve">[3]</w:t>
        </w:r>
      </w:hyperlink>
      <w:r>
        <w:t xml:space="preserve">. The study refused that path. It pre-committed to two lean specifications, ran them on the full corpus, and reported the output whatever it showed. The nulls are the product of that refusal, and they are more trustworthy for it.</w:t>
      </w:r>
    </w:p>
    <w:p>
      <w:pPr>
        <w:pStyle w:val="BodyText"/>
        <w:spacing w:line="480" w:lineRule="auto"/>
        <w:ind w:firstLine="720"/>
      </w:pPr>
      <w:r>
        <w:t xml:space="preserve">This matters beyond the individual project. The credibility of an evaluation literature depends on its willingness to publish inconvenient findings, because a literature that reports only successes cannot distinguish instruments that work from instruments that are merely well-marketed</w:t>
      </w:r>
      <w:r>
        <w:t xml:space="preserve"> </w:t>
      </w:r>
      <w:hyperlink w:anchor="ref-9">
        <w:r>
          <w:rPr>
            <w:rStyle w:val="Hyperlink"/>
          </w:rPr>
          <w:t xml:space="preserve">[9]</w:t>
        </w:r>
      </w:hyperlink>
      <w:r>
        <w:t xml:space="preserve"> </w:t>
      </w:r>
      <w:hyperlink w:anchor="ref-10">
        <w:r>
          <w:rPr>
            <w:rStyle w:val="Hyperlink"/>
          </w:rPr>
          <w:t xml:space="preserve">[10]</w:t>
        </w:r>
      </w:hyperlink>
      <w:r>
        <w:t xml:space="preserve">. A dissertation that models honest null reporting contributes to the norms of the field as well as to its content, and in an area as consequential as the stewardship of a shared and degradable orbital commons, those norms are not a small thing</w:t>
      </w:r>
      <w:r>
        <w:t xml:space="preserve"> </w:t>
      </w:r>
      <w:hyperlink w:anchor="ref-4">
        <w:r>
          <w:rPr>
            <w:rStyle w:val="Hyperlink"/>
          </w:rPr>
          <w:t xml:space="preserve">[4]</w:t>
        </w:r>
      </w:hyperlink>
      <w:r>
        <w:t xml:space="preserve"> </w:t>
      </w:r>
      <w:hyperlink w:anchor="ref-13">
        <w:r>
          <w:rPr>
            <w:rStyle w:val="Hyperlink"/>
          </w:rPr>
          <w:t xml:space="preserve">[13]</w:t>
        </w:r>
      </w:hyperlink>
      <w:r>
        <w:t xml:space="preserve">.</w:t>
      </w:r>
    </w:p>
    <w:bookmarkEnd w:id="147"/>
    <w:bookmarkStart w:id="148" w:name="X9e9f778623f77151a67fcf020cb2dbeb4b92318"/>
    <w:p>
      <w:pPr>
        <w:pStyle w:val="Heading2"/>
        <w:spacing w:line="480" w:lineRule="auto"/>
      </w:pPr>
      <w:r>
        <w:t xml:space="preserve">Relevance to program offices and standards bodies</w:t>
      </w:r>
    </w:p>
    <w:p>
      <w:pPr>
        <w:pStyle w:val="FirstParagraph"/>
        <w:spacing w:line="480" w:lineRule="auto"/>
      </w:pPr>
      <w:r>
        <w:t xml:space="preserve">Beyond the academic agenda, the findings carry a practical message for the institutions building and adopting the rating. A program office tracking whether the instrument is landing should instrument its own adoption directly, counting operators who seek scores, disclosures filed, and rating criteria written into insurance and launch agreements, rather than inferring uptake from scholarly attention that this study shows to be sparse and lagged</w:t>
      </w:r>
      <w:r>
        <w:t xml:space="preserve"> </w:t>
      </w:r>
      <w:hyperlink w:anchor="ref-2">
        <w:r>
          <w:rPr>
            <w:rStyle w:val="Hyperlink"/>
          </w:rPr>
          <w:t xml:space="preserve">[2]</w:t>
        </w:r>
      </w:hyperlink>
      <w:r>
        <w:t xml:space="preserve"> </w:t>
      </w:r>
      <w:hyperlink w:anchor="ref-10">
        <w:r>
          <w:rPr>
            <w:rStyle w:val="Hyperlink"/>
          </w:rPr>
          <w:t xml:space="preserve">[10]</w:t>
        </w:r>
      </w:hyperlink>
      <w:r>
        <w:t xml:space="preserve">. A standards body seeking to strengthen the instrument’s authority should attend to the apparent concentration of topic signal in technical venues and work to carry the conversation into the cross-cutting policy and journal literature where the reading parties, insurers, financiers, regulators, actually engage</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 Neither recommendation depends on the study having found a strong effect; both follow from the specific shape of its nulls, which is why a bounded documentary result can still inform institutional practice.</w:t>
      </w:r>
    </w:p>
    <w:p>
      <w:pPr>
        <w:pStyle w:val="BodyText"/>
        <w:spacing w:line="480" w:lineRule="auto"/>
        <w:ind w:firstLine="720"/>
      </w:pPr>
      <w:r>
        <w:t xml:space="preserve">There is a further, quieter lesson for these institutions. The study shows how cheaply an honest baseline can be established, and how much a transparent, reproducible screen can tell a program office about the limits of its own evidence</w:t>
      </w:r>
      <w:r>
        <w:t xml:space="preserve"> </w:t>
      </w:r>
      <w:hyperlink w:anchor="ref-5">
        <w:r>
          <w:rPr>
            <w:rStyle w:val="Hyperlink"/>
          </w:rPr>
          <w:t xml:space="preserve">[5]</w:t>
        </w:r>
      </w:hyperlink>
      <w:r>
        <w:t xml:space="preserve"> </w:t>
      </w:r>
      <w:hyperlink w:anchor="ref-6">
        <w:r>
          <w:rPr>
            <w:rStyle w:val="Hyperlink"/>
          </w:rPr>
          <w:t xml:space="preserve">[6]</w:t>
        </w:r>
      </w:hyperlink>
      <w:r>
        <w:t xml:space="preserve">. Before commissioning an expensive behavioral evaluation, an institution can run exactly this kind of documentary diagnostic to learn whether the topic has consolidated enough to make the evaluation worthwhile, and to identify which cheap indicators are too weak to rely on. The diagnostic will not answer the behavioral question, but it will price the harder study honestly and guard against spending on an evaluation the field is not yet ready to support. That is a small piece of governance-analytic discipline, and it transfers directly from this dissertation to the offices that must decide where to put scarce evaluation resources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48"/>
    <w:bookmarkStart w:id="149" w:name="closing-statement-1"/>
    <w:p>
      <w:pPr>
        <w:pStyle w:val="Heading2"/>
        <w:spacing w:line="480" w:lineRule="auto"/>
      </w:pPr>
      <w:r>
        <w:t xml:space="preserve">Closing statement</w:t>
      </w:r>
    </w:p>
    <w:p>
      <w:pPr>
        <w:pStyle w:val="FirstParagraph"/>
        <w:spacing w:line="480" w:lineRule="auto"/>
      </w:pPr>
      <w:r>
        <w:t xml:space="preserve">The value of this work is not a coefficient. It is a disciplined demonstration that a live governance question can be tested, that the test can return a bounded and inconvenient answer, and that the answer can be reported in full with its limits marked. The Space Sustainability Rating remains a plausible and important instrument, addressing a real and near-term constraint on a shared orbital resource</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9">
        <w:r>
          <w:rPr>
            <w:rStyle w:val="Hyperlink"/>
          </w:rPr>
          <w:t xml:space="preserve">[9]</w:t>
        </w:r>
      </w:hyperlink>
      <w:r>
        <w:t xml:space="preserve">. Whether it shifts operator design is still open, and this study leaves it open honestly, having ruled out the easy answers and having specified the harder evidence that a genuine answer will require. That is the contribution a rigorous design-stage dissertation can make: not to settle the question, but to sharpen it, and to hand the next researcher a cleared and well-mapped path forward</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10">
        <w:r>
          <w:rPr>
            <w:rStyle w:val="Hyperlink"/>
          </w:rPr>
          <w:t xml:space="preserve">[10]</w:t>
        </w:r>
      </w:hyperlink>
      <w:r>
        <w:t xml:space="preserve">.</w:t>
      </w:r>
    </w:p>
    <w:p>
      <w:pPr>
        <w:pStyle w:val="BodyText"/>
        <w:spacing w:line="480" w:lineRule="auto"/>
        <w:ind w:firstLine="720"/>
      </w:pPr>
      <w:r>
        <w:t xml:space="preserve">A dissertation is judged in the end by what it lets the next person do. This one lets the next researcher skip an underpowered design, distrust a degenerate proxy, and go straight to the two upgrades that would actually move the question: a universal citation source and a larger, filtered corpus, with operator-level coding held in reserve for the behavioral chain no documentary study can reach</w:t>
      </w:r>
      <w:r>
        <w:t xml:space="preserve"> </w:t>
      </w:r>
      <w:hyperlink w:anchor="ref-2">
        <w:r>
          <w:rPr>
            <w:rStyle w:val="Hyperlink"/>
          </w:rPr>
          <w:t xml:space="preserve">[2]</w:t>
        </w:r>
      </w:hyperlink>
      <w:r>
        <w:t xml:space="preserve"> </w:t>
      </w:r>
      <w:hyperlink w:anchor="ref-5">
        <w:r>
          <w:rPr>
            <w:rStyle w:val="Hyperlink"/>
          </w:rPr>
          <w:t xml:space="preserve">[5]</w:t>
        </w:r>
      </w:hyperlink>
      <w:r>
        <w:t xml:space="preserve"> </w:t>
      </w:r>
      <w:hyperlink w:anchor="ref-9">
        <w:r>
          <w:rPr>
            <w:rStyle w:val="Hyperlink"/>
          </w:rPr>
          <w:t xml:space="preserve">[9]</w:t>
        </w:r>
      </w:hyperlink>
      <w:r>
        <w:t xml:space="preserve">. It lets a program office run a cheap diagnostic before commissioning an expensive evaluation. And it lets the field see, in reproducible numbers, that the sustainability-rating topic has not yet been shown to consolidate, which is a fact worth knowing precisely because the instrument built on that topic matters so much for a shared and degradable orbital commons</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Those are modest gifts, but they are real ones, and they are the kind a disciplined, honest, self-limiting study is uniquely able to give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orbital commons will not wait for the evidence base to mature. Constellations continue to deploy, capacity continues to tighten, and the pressure to govern behavior grows more urgent each year</w:t>
      </w:r>
      <w:r>
        <w:t xml:space="preserve"> </w:t>
      </w:r>
      <w:hyperlink w:anchor="ref-2">
        <w:r>
          <w:rPr>
            <w:rStyle w:val="Hyperlink"/>
          </w:rPr>
          <w:t xml:space="preserve">[2]</w:t>
        </w:r>
      </w:hyperlink>
      <w:r>
        <w:t xml:space="preserve"> </w:t>
      </w:r>
      <w:hyperlink w:anchor="ref-4">
        <w:r>
          <w:rPr>
            <w:rStyle w:val="Hyperlink"/>
          </w:rPr>
          <w:t xml:space="preserve">[4]</w:t>
        </w:r>
      </w:hyperlink>
      <w:r>
        <w:t xml:space="preserve">. A study that clears the ground for a faster, sharper evaluation of whether soft instruments like the Space Sustainability Rating can meet that pressure is doing timely work, even when its own findings are null. That is the note on which this dissertation ends: not with a claim of what the rating achieves, but with a clarified, honest, and actionable account of how the field can find out</w:t>
      </w:r>
      <w:r>
        <w:t xml:space="preserve"> </w:t>
      </w:r>
      <w:hyperlink w:anchor="ref-9">
        <w:r>
          <w:rPr>
            <w:rStyle w:val="Hyperlink"/>
          </w:rPr>
          <w:t xml:space="preserve">[9]</w:t>
        </w:r>
      </w:hyperlink>
      <w:r>
        <w:t xml:space="preserve"> </w:t>
      </w:r>
      <w:hyperlink w:anchor="ref-10">
        <w:r>
          <w:rPr>
            <w:rStyle w:val="Hyperlink"/>
          </w:rPr>
          <w:t xml:space="preserve">[10]</w:t>
        </w:r>
      </w:hyperlink>
      <w:r>
        <w:t xml:space="preserve">.</w:t>
      </w:r>
    </w:p>
    <w:bookmarkEnd w:id="149"/>
    <w:bookmarkStart w:id="178" w:name="references"/>
    <w:p>
      <w:pPr>
        <w:pStyle w:val="Heading2"/>
        <w:spacing w:line="480" w:lineRule="auto"/>
      </w:pPr>
      <w:r>
        <w:t xml:space="preserve">References</w:t>
      </w:r>
    </w:p>
    <w:p>
      <w:pPr>
        <w:pStyle w:val="FirstParagraph"/>
        <w:spacing w:line="480" w:lineRule="auto"/>
      </w:pPr>
      <w:bookmarkStart w:id="150" w:name="ref-1"/>
      <w:bookmarkEnd w:id="150"/>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p>
    <w:p>
      <w:pPr>
        <w:pStyle w:val="BodyText"/>
        <w:spacing w:line="480" w:lineRule="auto"/>
        <w:ind w:firstLine="720"/>
      </w:pPr>
      <w:bookmarkStart w:id="151" w:name="ref-2"/>
      <w:bookmarkEnd w:id="151"/>
      <w:r>
        <w:t xml:space="preserve">2.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152">
        <w:r>
          <w:rPr>
            <w:rStyle w:val="Hyperlink"/>
          </w:rPr>
          <w:t xml:space="preserve">10.64861/FKER7625</w:t>
        </w:r>
      </w:hyperlink>
    </w:p>
    <w:p>
      <w:pPr>
        <w:pStyle w:val="BodyText"/>
        <w:spacing w:line="480" w:lineRule="auto"/>
        <w:ind w:firstLine="720"/>
      </w:pPr>
      <w:bookmarkStart w:id="153" w:name="ref-3"/>
      <w:bookmarkEnd w:id="153"/>
      <w:r>
        <w:t xml:space="preserve">3. Peter N. Crabtree (AFRL), Phan D. Dao (AFRL), Richard H. Picard (AFRL). Experimental Investigation of the Performance of Image Registration and De-aliasing Algorithms (2009). [AMOS]</w:t>
      </w:r>
    </w:p>
    <w:p>
      <w:pPr>
        <w:pStyle w:val="BodyText"/>
        <w:spacing w:line="480" w:lineRule="auto"/>
        <w:ind w:firstLine="720"/>
      </w:pPr>
      <w:bookmarkStart w:id="154" w:name="ref-4"/>
      <w:bookmarkEnd w:id="154"/>
      <w:r>
        <w:t xml:space="preserve">4.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p>
    <w:p>
      <w:pPr>
        <w:pStyle w:val="BodyText"/>
        <w:spacing w:line="480" w:lineRule="auto"/>
        <w:ind w:firstLine="720"/>
      </w:pPr>
      <w:bookmarkStart w:id="155" w:name="ref-5"/>
      <w:bookmarkEnd w:id="155"/>
      <w:r>
        <w:t xml:space="preserve">5. Sam Kirkwood, HEO; Jack Sines, HEO; James Allworth, HEO; Karla Vincent, HEO; Hannah Dawe, HEO; Francesco Scopelliti, HEO; Hiranya Jayakody, HEO; William Crowe, HEO. Advancing RSO Characterisation: Flyby Non-Earth Imaging for Attitude State and Tumble Rate Estimation (2025). doi:</w:t>
      </w:r>
      <w:r>
        <w:t xml:space="preserve"> </w:t>
      </w:r>
      <w:hyperlink r:id="rId156">
        <w:r>
          <w:rPr>
            <w:rStyle w:val="Hyperlink"/>
          </w:rPr>
          <w:t xml:space="preserve">10.64861/BJII1274</w:t>
        </w:r>
      </w:hyperlink>
    </w:p>
    <w:p>
      <w:pPr>
        <w:pStyle w:val="BodyText"/>
        <w:spacing w:line="480" w:lineRule="auto"/>
        <w:ind w:firstLine="720"/>
      </w:pPr>
      <w:bookmarkStart w:id="157" w:name="ref-6"/>
      <w:bookmarkEnd w:id="157"/>
      <w:r>
        <w:t xml:space="preserve">6. Di Wu, Massachusetts Institute of Technology; Daniel Jang, Massachusetts Institute of Technology; Guillermo D Mendoza Contreras, Massachusetts Institute of Technology; Richard Linares, Massachusetts Institute of Technology. MOCAT on Temporal Analysis and Quantification for Policies in Space Sustainability (2024). doi:</w:t>
      </w:r>
      <w:r>
        <w:t xml:space="preserve"> </w:t>
      </w:r>
      <w:hyperlink r:id="rId158">
        <w:r>
          <w:rPr>
            <w:rStyle w:val="Hyperlink"/>
          </w:rPr>
          <w:t xml:space="preserve">10.64861/COAK4355</w:t>
        </w:r>
      </w:hyperlink>
    </w:p>
    <w:p>
      <w:pPr>
        <w:pStyle w:val="BodyText"/>
        <w:spacing w:line="480" w:lineRule="auto"/>
        <w:ind w:firstLine="720"/>
      </w:pPr>
      <w:bookmarkStart w:id="159" w:name="ref-7"/>
      <w:bookmarkEnd w:id="159"/>
      <w:r>
        <w:t xml:space="preserve">7. Simon George, Defence Science and Technology Laboratory; Andrew Ash, Defence Science and Technology Laboratory; Travis Bessell, Defence Science and Technology Group; James Frith, AFRL/RVSW; Lauchie Scott, Defence R&amp;D Canada; Jovan Skuljan, Defence Technology Agency; Roberto Furfaro, University of Arizona; Vishnu Reddy, University of Arizona. PHANTOM ECHOES: A Five-Eyes SDA Experiment to Examine GEO Rendezvous and Proximity (2020). [AMOS]</w:t>
      </w:r>
    </w:p>
    <w:p>
      <w:pPr>
        <w:pStyle w:val="BodyText"/>
        <w:spacing w:line="480" w:lineRule="auto"/>
        <w:ind w:firstLine="720"/>
      </w:pPr>
      <w:bookmarkStart w:id="160" w:name="ref-8"/>
      <w:bookmarkEnd w:id="160"/>
      <w:r>
        <w:t xml:space="preserve">8. James Blake, University of Warwick; Benjamin Cooke, University of Warwick; Grant Privett, Defence Science and Technology Laboratory; Toshifumi Yanagisawa, Japan Aerospace Exploration Agency; William Feline, Defence Science Technology Laboratory; Christopher Onken, Australian National University; Don Pollacco, University of Warwick; Paul Chote, University of Warwick; Tomoko Fujiwara, JAXA Bisei Space Guard Center; Daisuke Kuroda, JAXA Bisei Space Guard Center; Tokuhiro Nimura, JAXA Bisei Space Guard Center; Kota Nishiyama, JAXA Bisei Space Guard Center; Shin-ichiro Okumura, JAXA Bisei Space Guard Center; Seitaro Urakawa, JAXA Bisei Space Guard Center; Christian Wolf, Australian National University. Improved Astrometry and Sensitivity for a Survey of Faint Geosynchronous Debris (2025). doi:</w:t>
      </w:r>
      <w:r>
        <w:t xml:space="preserve"> </w:t>
      </w:r>
      <w:hyperlink r:id="rId161">
        <w:r>
          <w:rPr>
            <w:rStyle w:val="Hyperlink"/>
          </w:rPr>
          <w:t xml:space="preserve">10.64861/SYCB6464</w:t>
        </w:r>
      </w:hyperlink>
    </w:p>
    <w:p>
      <w:pPr>
        <w:pStyle w:val="BodyText"/>
        <w:spacing w:line="480" w:lineRule="auto"/>
        <w:ind w:firstLine="720"/>
      </w:pPr>
      <w:bookmarkStart w:id="162" w:name="ref-9"/>
      <w:bookmarkEnd w:id="162"/>
      <w:r>
        <w:t xml:space="preserve">9. Minoo Rathnasabapathy; Francesca Letizia; Stijn Lemmens; Moriba Jah; Simon J. Potter; Nikolai Khlystov; Kristi Acuff; Miles Lifson; Scott Dorrington; Sina Es haghi; Emmanuelle David; Jean‐Paul Kneib; Danielle Wood. Space sustainability rating: Designing a composite indicator to incentivize satellite operators to pursue long-term sustainability of the space environment (2025). doi:</w:t>
      </w:r>
      <w:r>
        <w:t xml:space="preserve"> </w:t>
      </w:r>
      <w:hyperlink r:id="rId163">
        <w:r>
          <w:rPr>
            <w:rStyle w:val="Hyperlink"/>
          </w:rPr>
          <w:t xml:space="preserve">10.1016/j.actaastro.2025.03.034</w:t>
        </w:r>
      </w:hyperlink>
    </w:p>
    <w:p>
      <w:pPr>
        <w:pStyle w:val="BodyText"/>
        <w:spacing w:line="480" w:lineRule="auto"/>
        <w:ind w:firstLine="720"/>
      </w:pPr>
      <w:bookmarkStart w:id="164" w:name="ref-10"/>
      <w:bookmarkEnd w:id="164"/>
      <w:r>
        <w:t xml:space="preserve">10. Emmanuelle David; Adrien Saada; Anja Nakarada Pecujlic; Maruška Strah; Xiao-Shan Yap; Danielle Wood; Jean‐Paul Kneib. Fostering multi-stakeholder collaboration for space sustainability through an incentive-based mechanism (2025). doi:</w:t>
      </w:r>
      <w:r>
        <w:t xml:space="preserve"> </w:t>
      </w:r>
      <w:hyperlink r:id="rId165">
        <w:r>
          <w:rPr>
            <w:rStyle w:val="Hyperlink"/>
          </w:rPr>
          <w:t xml:space="preserve">10.1016/j.actaastro.2025.06.029</w:t>
        </w:r>
      </w:hyperlink>
    </w:p>
    <w:p>
      <w:pPr>
        <w:pStyle w:val="BodyText"/>
        <w:spacing w:line="480" w:lineRule="auto"/>
        <w:ind w:firstLine="720"/>
      </w:pPr>
      <w:bookmarkStart w:id="166" w:name="ref-11"/>
      <w:bookmarkEnd w:id="166"/>
      <w:r>
        <w:t xml:space="preserve">11. Alessandro Paravano; Giorgio Locatelli; Paolo Trucco. What is value in the New Space Economy? The end-users’ perspective on satellite data and solutions (2023). doi:</w:t>
      </w:r>
      <w:r>
        <w:t xml:space="preserve"> </w:t>
      </w:r>
      <w:hyperlink r:id="rId167">
        <w:r>
          <w:rPr>
            <w:rStyle w:val="Hyperlink"/>
          </w:rPr>
          <w:t xml:space="preserve">10.1016/j.actaastro.2023.05.001</w:t>
        </w:r>
      </w:hyperlink>
    </w:p>
    <w:p>
      <w:pPr>
        <w:pStyle w:val="BodyText"/>
        <w:spacing w:line="480" w:lineRule="auto"/>
        <w:ind w:firstLine="720"/>
      </w:pPr>
      <w:bookmarkStart w:id="168" w:name="ref-12"/>
      <w:bookmarkEnd w:id="168"/>
      <w:r>
        <w:t xml:space="preserve">12. M.A. Leal; D. Tovar; M.A. de Pablo; M. A. Bonilla; J. Sánchez; G. Goyanes; A. Molina; M. Leal; I. Manjarrés; I. Ríos; M.C. Orozco; M. Tocarruncho; C. Vergara; G. Leone; C. Rizzo; J. San Martín; X.C. Abrevaya; C. Luna; R. Acevedo-Barrios; N. Tchegliakova; R. Acevedo-Barrios; N. Tchegliakova. Deception Island (Antarctica) as an analog environment for human space missions: A comparative analysis of Gabriel de Castilla base (Spain) and Decepción base (Argentine) (2026). doi:</w:t>
      </w:r>
      <w:r>
        <w:t xml:space="preserve"> </w:t>
      </w:r>
      <w:hyperlink r:id="rId169">
        <w:r>
          <w:rPr>
            <w:rStyle w:val="Hyperlink"/>
          </w:rPr>
          <w:t xml:space="preserve">10.1016/j.actaastro.2026.05.065</w:t>
        </w:r>
      </w:hyperlink>
    </w:p>
    <w:p>
      <w:pPr>
        <w:pStyle w:val="BodyText"/>
        <w:spacing w:line="480" w:lineRule="auto"/>
        <w:ind w:firstLine="720"/>
      </w:pPr>
      <w:bookmarkStart w:id="170" w:name="ref-13"/>
      <w:bookmarkEnd w:id="170"/>
      <w:r>
        <w:t xml:space="preserve">13.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71">
        <w:r>
          <w:rPr>
            <w:rStyle w:val="Hyperlink"/>
          </w:rPr>
          <w:t xml:space="preserve">10.1016/j.actaastro.2023.07.009</w:t>
        </w:r>
      </w:hyperlink>
    </w:p>
    <w:p>
      <w:pPr>
        <w:pStyle w:val="BodyText"/>
        <w:spacing w:line="480" w:lineRule="auto"/>
        <w:ind w:firstLine="720"/>
      </w:pPr>
      <w:bookmarkStart w:id="172" w:name="ref-14"/>
      <w:bookmarkEnd w:id="172"/>
      <w:r>
        <w:t xml:space="preserve">14. Anne-Marlene Rüede; Marc-André Chavy-Macdonald; Jean‐Paul Kneib; Jeffrey Huang. Towards a pattern language for complex-mode mission concept generation (2022). doi:</w:t>
      </w:r>
      <w:r>
        <w:t xml:space="preserve"> </w:t>
      </w:r>
      <w:hyperlink r:id="rId173">
        <w:r>
          <w:rPr>
            <w:rStyle w:val="Hyperlink"/>
          </w:rPr>
          <w:t xml:space="preserve">10.1016/j.actaastro.2022.11.005</w:t>
        </w:r>
      </w:hyperlink>
    </w:p>
    <w:p>
      <w:pPr>
        <w:pStyle w:val="BodyText"/>
        <w:spacing w:line="480" w:lineRule="auto"/>
        <w:ind w:firstLine="720"/>
      </w:pPr>
      <w:bookmarkStart w:id="174" w:name="ref-15"/>
      <w:bookmarkEnd w:id="174"/>
      <w:r>
        <w:t xml:space="preserve">15. Andrew P. Blaber; Nandu Goswami; Da Xu. Prolonged unloading of the cardiovascular system during bedrest and spaceflight weakens neural coupling between blood pressure and heart rate (2022). doi:</w:t>
      </w:r>
      <w:r>
        <w:t xml:space="preserve"> </w:t>
      </w:r>
      <w:hyperlink r:id="rId175">
        <w:r>
          <w:rPr>
            <w:rStyle w:val="Hyperlink"/>
          </w:rPr>
          <w:t xml:space="preserve">10.1016/j.actaastro.2022.03.009</w:t>
        </w:r>
      </w:hyperlink>
    </w:p>
    <w:p>
      <w:pPr>
        <w:pStyle w:val="BodyText"/>
        <w:spacing w:line="480" w:lineRule="auto"/>
        <w:ind w:firstLine="720"/>
      </w:pPr>
      <w:bookmarkStart w:id="176" w:name="ref-16"/>
      <w:bookmarkEnd w:id="176"/>
      <w:r>
        <w:t xml:space="preserve">16. Christopher Glaser; Riccardo Gelain; Artur Elias De Morais Bertoldi; Q. Levard; Jouke Hijlkema; Jean-Yves Lestrade; Patrick Hendrick; J. Anthoine. Experimental regression rate profiles of stepped fuel grains in Hybrid Rocket Engines (2023). doi:</w:t>
      </w:r>
      <w:r>
        <w:t xml:space="preserve"> </w:t>
      </w:r>
      <w:hyperlink r:id="rId177">
        <w:r>
          <w:rPr>
            <w:rStyle w:val="Hyperlink"/>
          </w:rPr>
          <w:t xml:space="preserve">10.1016/j.actaastro.2022.12.045</w:t>
        </w:r>
      </w:hyperlink>
    </w:p>
    <w:bookmarkEnd w:id="178"/>
    <w:bookmarkEnd w:id="179"/>
    <w:bookmarkStart w:id="196"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7" w:name="X6d5cfbff6d173d41ba95f3a3d4ce2c69acc6f75"/>
    <w:p>
      <w:pPr>
        <w:pStyle w:val="Heading2"/>
        <w:spacing w:line="480" w:lineRule="auto"/>
      </w:pPr>
      <w:r>
        <w:t xml:space="preserve">A.1 Signal Intensity in Rating the Raters Do Space Sustainability Rating Disclosures Shift Operator Des: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80"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3.439</w:t>
            </w:r>
          </w:p>
        </w:tc>
        <w:tc>
          <w:tcPr>
            <w:tcW w:w="0" w:type="auto"/>
          </w:tcPr>
          <w:p>
            <w:pPr>
              <w:spacing w:line="240" w:lineRule="auto" w:before="0" w:after="0"/>
              <w:pStyle w:val="Compact"/>
            </w:pPr>
            <w:r>
              <w:rPr>
                <w:sz w:val="20"/>
                <w:szCs w:val="20"/>
              </w:rPr>
              <w:t xml:space="preserve">2.9549</w:t>
            </w:r>
          </w:p>
        </w:tc>
        <w:tc>
          <w:tcPr>
            <w:tcW w:w="0" w:type="auto"/>
          </w:tcPr>
          <w:p>
            <w:pPr>
              <w:spacing w:line="240" w:lineRule="auto" w:before="0" w:after="0"/>
              <w:pStyle w:val="Compact"/>
            </w:pPr>
            <w:r>
              <w:rPr>
                <w:sz w:val="20"/>
                <w:szCs w:val="20"/>
              </w:rPr>
              <w:t xml:space="preserve">1.1638</w:t>
            </w:r>
          </w:p>
        </w:tc>
        <w:tc>
          <w:tcPr>
            <w:tcW w:w="0" w:type="auto"/>
          </w:tcPr>
          <w:p>
            <w:pPr>
              <w:spacing w:line="240" w:lineRule="auto" w:before="0" w:after="0"/>
              <w:pStyle w:val="Compact"/>
            </w:pPr>
            <w:r>
              <w:rPr>
                <w:sz w:val="20"/>
                <w:szCs w:val="20"/>
              </w:rPr>
              <w:t xml:space="preserve">0.2445</w:t>
            </w:r>
          </w:p>
        </w:tc>
        <w:tc>
          <w:tcPr>
            <w:tcW w:w="0" w:type="auto"/>
          </w:tcPr>
          <w:p>
            <w:pPr>
              <w:spacing w:line="240" w:lineRule="auto" w:before="0" w:after="0"/>
              <w:pStyle w:val="Compact"/>
            </w:pPr>
            <w:r>
              <w:rPr>
                <w:sz w:val="20"/>
                <w:szCs w:val="20"/>
              </w:rPr>
              <w:t xml:space="preserve">[-2.3524, 9.2304]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1.2476</w:t>
            </w:r>
          </w:p>
        </w:tc>
        <w:tc>
          <w:tcPr>
            <w:tcW w:w="0" w:type="auto"/>
          </w:tcPr>
          <w:p>
            <w:pPr>
              <w:spacing w:line="240" w:lineRule="auto" w:before="0" w:after="0"/>
              <w:pStyle w:val="Compact"/>
            </w:pPr>
            <w:r>
              <w:rPr>
                <w:sz w:val="20"/>
                <w:szCs w:val="20"/>
              </w:rPr>
              <w:t xml:space="preserve">0.2122</w:t>
            </w:r>
          </w:p>
        </w:tc>
        <w:tc>
          <w:tcPr>
            <w:tcW w:w="0" w:type="auto"/>
          </w:tcPr>
          <w:p>
            <w:pPr>
              <w:spacing w:line="240" w:lineRule="auto" w:before="0" w:after="0"/>
              <w:pStyle w:val="Compact"/>
            </w:pPr>
            <w:r>
              <w:rPr>
                <w:sz w:val="20"/>
                <w:szCs w:val="20"/>
              </w:rPr>
              <w:t xml:space="preserve">[-0.0611, 0.275]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0.9781</w:t>
            </w:r>
          </w:p>
        </w:tc>
        <w:tc>
          <w:tcPr>
            <w:tcW w:w="0" w:type="auto"/>
          </w:tcPr>
          <w:p>
            <w:pPr>
              <w:spacing w:line="240" w:lineRule="auto" w:before="0" w:after="0"/>
              <w:pStyle w:val="Compact"/>
            </w:pPr>
            <w:r>
              <w:rPr>
                <w:sz w:val="20"/>
                <w:szCs w:val="20"/>
              </w:rPr>
              <w:t xml:space="preserve">[-0.1103, 0.1134]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-0.7014</w:t>
            </w:r>
          </w:p>
        </w:tc>
        <w:tc>
          <w:tcPr>
            <w:tcW w:w="0" w:type="auto"/>
          </w:tcPr>
          <w:p>
            <w:pPr>
              <w:spacing w:line="240" w:lineRule="auto" w:before="0" w:after="0"/>
              <w:pStyle w:val="Compact"/>
            </w:pPr>
            <w:r>
              <w:rPr>
                <w:sz w:val="20"/>
                <w:szCs w:val="20"/>
              </w:rPr>
              <w:t xml:space="preserve">0.7189</w:t>
            </w:r>
          </w:p>
        </w:tc>
        <w:tc>
          <w:tcPr>
            <w:tcW w:w="0" w:type="auto"/>
          </w:tcPr>
          <w:p>
            <w:pPr>
              <w:spacing w:line="240" w:lineRule="auto" w:before="0" w:after="0"/>
              <w:pStyle w:val="Compact"/>
            </w:pPr>
            <w:r>
              <w:rPr>
                <w:sz w:val="20"/>
                <w:szCs w:val="20"/>
              </w:rPr>
              <w:t xml:space="preserve">-0.9756</w:t>
            </w:r>
          </w:p>
        </w:tc>
        <w:tc>
          <w:tcPr>
            <w:tcW w:w="0" w:type="auto"/>
          </w:tcPr>
          <w:p>
            <w:pPr>
              <w:spacing w:line="240" w:lineRule="auto" w:before="0" w:after="0"/>
              <w:pStyle w:val="Compact"/>
            </w:pPr>
            <w:r>
              <w:rPr>
                <w:sz w:val="20"/>
                <w:szCs w:val="20"/>
              </w:rPr>
              <w:t xml:space="preserve">0.3293</w:t>
            </w:r>
          </w:p>
        </w:tc>
        <w:tc>
          <w:tcPr>
            <w:tcW w:w="0" w:type="auto"/>
          </w:tcPr>
          <w:p>
            <w:pPr>
              <w:spacing w:line="240" w:lineRule="auto" w:before="0" w:after="0"/>
              <w:pStyle w:val="Compact"/>
            </w:pPr>
            <w:r>
              <w:rPr>
                <w:sz w:val="20"/>
                <w:szCs w:val="20"/>
              </w:rPr>
              <w:t xml:space="preserve">[-2.1104, 0.7076]</w:t>
            </w:r>
          </w:p>
        </w:tc>
      </w:tr>
    </w:tbl>
    <w:p>
      <w:pPr>
        <w:pStyle w:val="BodyText"/>
        <w:spacing w:line="480" w:lineRule="auto"/>
        <w:ind w:firstLine="720"/>
      </w:pPr>
      <w:r>
        <w:t xml:space="preserve">Fit: N = 30 R2 = 0.09 R2_adj = -0.015 F = 1.9172 F_p = 0.1516</w:t>
      </w:r>
    </w:p>
    <w:bookmarkEnd w:id="180"/>
    <w:bookmarkStart w:id="184"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82" name="Picture"/>
            <a:graphic>
              <a:graphicData uri="http://schemas.openxmlformats.org/drawingml/2006/picture">
                <pic:pic>
                  <pic:nvPicPr>
                    <pic:cNvPr descr="D:/Claude_Code/brain/collegium/candidates/dissertations/SUSTAINABILITY_INSTITUTIONS_09/research_papers/p1/paper_fig1.png" id="183" name="Picture"/>
                    <pic:cNvPicPr>
                      <a:picLocks noChangeArrowheads="1" noChangeAspect="1"/>
                    </pic:cNvPicPr>
                  </pic:nvPicPr>
                  <pic:blipFill>
                    <a:blip r:embed="rId1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84"/>
    <w:bookmarkStart w:id="185"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https://amostech.space/year/2009/experimental-investigation-of-the-performance-of-image-registration-and-de-aliasing-algorithms/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10.64861/BJII1274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https://amostech.space/year/2020/phantom-echoes-a-five-eyes-sda-experiment-to-examine-geo-rendezvous-and-proximity/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10.64861/SYCB6464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10.64861/BUIN8954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10.64861/XGPY2184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10.1016/j.actaastro.2022.03.009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New Role for MSY in Stock Assessment and Management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10.1046/j.1467-2979.2001.00033.x</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bl>
    <w:bookmarkEnd w:id="185"/>
    <w:bookmarkStart w:id="186"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86"/>
    <w:bookmarkEnd w:id="187"/>
    <w:bookmarkStart w:id="195" w:name="Xa394c53565dfc63523b352ed070df261f641acb"/>
    <w:p>
      <w:pPr>
        <w:pStyle w:val="Heading2"/>
        <w:spacing w:line="480" w:lineRule="auto"/>
      </w:pPr>
      <w:r>
        <w:t xml:space="preserve">A.2 Attention Accumulation in Rating the Raters Do Space Sustainability Rating Disclosures Shift Operator Des: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8"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0.8541</w:t>
            </w:r>
          </w:p>
        </w:tc>
        <w:tc>
          <w:tcPr>
            <w:tcW w:w="0" w:type="auto"/>
          </w:tcPr>
          <w:p>
            <w:pPr>
              <w:spacing w:line="240" w:lineRule="auto" w:before="0" w:after="0"/>
              <w:pStyle w:val="Compact"/>
            </w:pPr>
            <w:r>
              <w:rPr>
                <w:sz w:val="20"/>
                <w:szCs w:val="20"/>
              </w:rPr>
              <w:t xml:space="preserve">0.3415</w:t>
            </w:r>
          </w:p>
        </w:tc>
        <w:tc>
          <w:tcPr>
            <w:tcW w:w="0" w:type="auto"/>
          </w:tcPr>
          <w:p>
            <w:pPr>
              <w:spacing w:line="240" w:lineRule="auto" w:before="0" w:after="0"/>
              <w:pStyle w:val="Compact"/>
            </w:pPr>
            <w:r>
              <w:rPr>
                <w:sz w:val="20"/>
                <w:szCs w:val="20"/>
              </w:rPr>
              <w:t xml:space="preserve">2.5008</w:t>
            </w:r>
          </w:p>
        </w:tc>
        <w:tc>
          <w:tcPr>
            <w:tcW w:w="0" w:type="auto"/>
          </w:tcPr>
          <w:p>
            <w:pPr>
              <w:spacing w:line="240" w:lineRule="auto" w:before="0" w:after="0"/>
              <w:pStyle w:val="Compact"/>
            </w:pPr>
            <w:r>
              <w:rPr>
                <w:sz w:val="20"/>
                <w:szCs w:val="20"/>
              </w:rPr>
              <w:t xml:space="preserve">0.0124</w:t>
            </w:r>
          </w:p>
        </w:tc>
        <w:tc>
          <w:tcPr>
            <w:tcW w:w="0" w:type="auto"/>
          </w:tcPr>
          <w:p>
            <w:pPr>
              <w:spacing w:line="240" w:lineRule="auto" w:before="0" w:after="0"/>
              <w:pStyle w:val="Compact"/>
            </w:pPr>
            <w:r>
              <w:rPr>
                <w:sz w:val="20"/>
                <w:szCs w:val="20"/>
              </w:rPr>
              <w:t xml:space="preserve">[0.1847, 1.5234]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-0.167</w:t>
            </w:r>
          </w:p>
        </w:tc>
        <w:tc>
          <w:tcPr>
            <w:tcW w:w="0" w:type="auto"/>
          </w:tcPr>
          <w:p>
            <w:pPr>
              <w:spacing w:line="240" w:lineRule="auto" w:before="0" w:after="0"/>
              <w:pStyle w:val="Compact"/>
            </w:pPr>
            <w:r>
              <w:rPr>
                <w:sz w:val="20"/>
                <w:szCs w:val="20"/>
              </w:rPr>
              <w:t xml:space="preserve">0.1675</w:t>
            </w:r>
          </w:p>
        </w:tc>
        <w:tc>
          <w:tcPr>
            <w:tcW w:w="0" w:type="auto"/>
          </w:tcPr>
          <w:p>
            <w:pPr>
              <w:spacing w:line="240" w:lineRule="auto" w:before="0" w:after="0"/>
              <w:pStyle w:val="Compact"/>
            </w:pPr>
            <w:r>
              <w:rPr>
                <w:sz w:val="20"/>
                <w:szCs w:val="20"/>
              </w:rPr>
              <w:t xml:space="preserve">-0.9972</w:t>
            </w:r>
          </w:p>
        </w:tc>
        <w:tc>
          <w:tcPr>
            <w:tcW w:w="0" w:type="auto"/>
          </w:tcPr>
          <w:p>
            <w:pPr>
              <w:spacing w:line="240" w:lineRule="auto" w:before="0" w:after="0"/>
              <w:pStyle w:val="Compact"/>
            </w:pPr>
            <w:r>
              <w:rPr>
                <w:sz w:val="20"/>
                <w:szCs w:val="20"/>
              </w:rPr>
              <w:t xml:space="preserve">0.3187</w:t>
            </w:r>
          </w:p>
        </w:tc>
        <w:tc>
          <w:tcPr>
            <w:tcW w:w="0" w:type="auto"/>
          </w:tcPr>
          <w:p>
            <w:pPr>
              <w:spacing w:line="240" w:lineRule="auto" w:before="0" w:after="0"/>
              <w:pStyle w:val="Compact"/>
            </w:pPr>
            <w:r>
              <w:rPr>
                <w:sz w:val="20"/>
                <w:szCs w:val="20"/>
              </w:rPr>
              <w:t xml:space="preserve">[-0.4953, 0.1612]</w:t>
            </w:r>
          </w:p>
        </w:tc>
      </w:tr>
    </w:tbl>
    <w:p>
      <w:pPr>
        <w:pStyle w:val="BodyText"/>
        <w:spacing w:line="480" w:lineRule="auto"/>
        <w:ind w:firstLine="720"/>
      </w:pPr>
      <w:r>
        <w:t xml:space="preserve">Fit: N = 30 R2 = 0.0115 elasticity_b = -0.167 progress_ratio_2^b = 0.8907</w:t>
      </w:r>
    </w:p>
    <w:bookmarkEnd w:id="188"/>
    <w:bookmarkStart w:id="192"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90" name="Picture"/>
            <a:graphic>
              <a:graphicData uri="http://schemas.openxmlformats.org/drawingml/2006/picture">
                <pic:pic>
                  <pic:nvPicPr>
                    <pic:cNvPr descr="D:/Claude_Code/brain/collegium/candidates/dissertations/SUSTAINABILITY_INSTITUTIONS_09/research_papers/p2/paper_fig1.png" id="191" name="Picture"/>
                    <pic:cNvPicPr>
                      <a:picLocks noChangeArrowheads="1" noChangeAspect="1"/>
                    </pic:cNvPicPr>
                  </pic:nvPicPr>
                  <pic:blipFill>
                    <a:blip r:embed="rId18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92"/>
    <w:bookmarkStart w:id="193"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https://amostech.space/year/2009/experimental-investigation-of-the-performance-of-image-registration-and-de-aliasing-algorithms/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10.64861/BJII1274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https://amostech.space/year/2020/phantom-echoes-a-five-eyes-sda-experiment-to-examine-geo-rendezvous-and-proximity/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10.64861/SYCB6464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10.64861/BUIN8954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10.64861/XGPY2184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10.1016/j.actaastro.2022.03.009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New Role for MSY in Stock Assessment and Management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10.1046/j.1467-2979.2001.00033.x</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bl>
    <w:bookmarkEnd w:id="193"/>
    <w:bookmarkStart w:id="194"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94"/>
    <w:bookmarkEnd w:id="195"/>
    <w:bookmarkEnd w:id="19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1" Type="http://schemas.openxmlformats.org/officeDocument/2006/relationships/image" Target="media/rId181.png"/><Relationship Id="rId189" Type="http://schemas.openxmlformats.org/officeDocument/2006/relationships/image" Target="media/rId189.png"/><Relationship Id="rId175" Type="http://schemas.openxmlformats.org/officeDocument/2006/relationships/hyperlink" Target="https://doi.org/10.1016/j.actaastro.2022.03.009" TargetMode="External"/><Relationship Id="rId173" Type="http://schemas.openxmlformats.org/officeDocument/2006/relationships/hyperlink" Target="https://doi.org/10.1016/j.actaastro.2022.11.005" TargetMode="External"/><Relationship Id="rId177" Type="http://schemas.openxmlformats.org/officeDocument/2006/relationships/hyperlink" Target="https://doi.org/10.1016/j.actaastro.2022.12.045" TargetMode="External"/><Relationship Id="rId167" Type="http://schemas.openxmlformats.org/officeDocument/2006/relationships/hyperlink" Target="https://doi.org/10.1016/j.actaastro.2023.05.001" TargetMode="External"/><Relationship Id="rId171" Type="http://schemas.openxmlformats.org/officeDocument/2006/relationships/hyperlink" Target="https://doi.org/10.1016/j.actaastro.2023.07.009" TargetMode="External"/><Relationship Id="rId163" Type="http://schemas.openxmlformats.org/officeDocument/2006/relationships/hyperlink" Target="https://doi.org/10.1016/j.actaastro.2025.03.034" TargetMode="External"/><Relationship Id="rId165" Type="http://schemas.openxmlformats.org/officeDocument/2006/relationships/hyperlink" Target="https://doi.org/10.1016/j.actaastro.2025.06.029" TargetMode="External"/><Relationship Id="rId169" Type="http://schemas.openxmlformats.org/officeDocument/2006/relationships/hyperlink" Target="https://doi.org/10.1016/j.actaastro.2026.05.065" TargetMode="External"/><Relationship Id="rId156" Type="http://schemas.openxmlformats.org/officeDocument/2006/relationships/hyperlink" Target="https://doi.org/10.64861/BJII1274" TargetMode="External"/><Relationship Id="rId158" Type="http://schemas.openxmlformats.org/officeDocument/2006/relationships/hyperlink" Target="https://doi.org/10.64861/COAK4355" TargetMode="External"/><Relationship Id="rId152" Type="http://schemas.openxmlformats.org/officeDocument/2006/relationships/hyperlink" Target="https://doi.org/10.64861/FKER7625" TargetMode="External"/><Relationship Id="rId161" Type="http://schemas.openxmlformats.org/officeDocument/2006/relationships/hyperlink" Target="https://doi.org/10.64861/SYCB6464" TargetMode="External"/></Relationships>
</file>

<file path=word/_rels/footnotes.xml.rels><?xml version='1.0' encoding='UTF-8' standalone='yes'?>
<Relationships xmlns="http://schemas.openxmlformats.org/package/2006/relationships"><Relationship Id="rId175" Type="http://schemas.openxmlformats.org/officeDocument/2006/relationships/hyperlink" Target="https://doi.org/10.1016/j.actaastro.2022.03.009" TargetMode="External"/><Relationship Id="rId173" Type="http://schemas.openxmlformats.org/officeDocument/2006/relationships/hyperlink" Target="https://doi.org/10.1016/j.actaastro.2022.11.005" TargetMode="External"/><Relationship Id="rId177" Type="http://schemas.openxmlformats.org/officeDocument/2006/relationships/hyperlink" Target="https://doi.org/10.1016/j.actaastro.2022.12.045" TargetMode="External"/><Relationship Id="rId167" Type="http://schemas.openxmlformats.org/officeDocument/2006/relationships/hyperlink" Target="https://doi.org/10.1016/j.actaastro.2023.05.001" TargetMode="External"/><Relationship Id="rId171" Type="http://schemas.openxmlformats.org/officeDocument/2006/relationships/hyperlink" Target="https://doi.org/10.1016/j.actaastro.2023.07.009" TargetMode="External"/><Relationship Id="rId163" Type="http://schemas.openxmlformats.org/officeDocument/2006/relationships/hyperlink" Target="https://doi.org/10.1016/j.actaastro.2025.03.034" TargetMode="External"/><Relationship Id="rId165" Type="http://schemas.openxmlformats.org/officeDocument/2006/relationships/hyperlink" Target="https://doi.org/10.1016/j.actaastro.2025.06.029" TargetMode="External"/><Relationship Id="rId169" Type="http://schemas.openxmlformats.org/officeDocument/2006/relationships/hyperlink" Target="https://doi.org/10.1016/j.actaastro.2026.05.065" TargetMode="External"/><Relationship Id="rId156" Type="http://schemas.openxmlformats.org/officeDocument/2006/relationships/hyperlink" Target="https://doi.org/10.64861/BJII1274" TargetMode="External"/><Relationship Id="rId158" Type="http://schemas.openxmlformats.org/officeDocument/2006/relationships/hyperlink" Target="https://doi.org/10.64861/COAK4355" TargetMode="External"/><Relationship Id="rId152" Type="http://schemas.openxmlformats.org/officeDocument/2006/relationships/hyperlink" Target="https://doi.org/10.64861/FKER7625" TargetMode="External"/><Relationship Id="rId161" Type="http://schemas.openxmlformats.org/officeDocument/2006/relationships/hyperlink" Target="https://doi.org/10.64861/SYCB64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Rating the Raters: Do Space Sustainability Rating Disclosures Shift Operator Des</dc:title>
  <dc:creator>Leila Saito (1B-SUS-222)</dc:creator>
  <cp:keywords/>
  <dcterms:created xsi:type="dcterms:W3CDTF">2026-07-03T01:31:41Z</dcterms:created>
  <dcterms:modified xsi:type="dcterms:W3CDTF">2026-07-03T01:31:41Z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