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3a7ba6136970af4fb76d3272468f936995e5d8a"/>
    <w:p>
      <w:pPr>
        <w:pStyle w:val="Heading1"/>
      </w:pPr>
      <w:r>
        <w:t xml:space="preserve">Signal Intensity in Availability and Alarm Do Salient Collision and Fragmentation Events Drive Regu: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Margot Dorsey (1B-SUS-179) and the dissertation project</w:t>
      </w:r>
      <w:r>
        <w:t xml:space="preserve"> </w:t>
      </w:r>
      <w:r>
        <w:rPr>
          <w:i/>
          <w:iCs/>
        </w:rPr>
        <w:t xml:space="preserve">Availability and Alarm: Do Salient Collision and Fragmentation Events Drive Regu</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R2=0.4021056057979949, R2_adj=0.33311779108237893, F=9.421229548544034, F_p=0.0002186159896952205. The exact term summary is: const coef=8.191261562313388 p=0.0005775453452896443; recency_index coef=0.19300623991237786 p=0.15290567587230658; cites_num coef=0.08580803019250725 p=0.00022787724467089138; venue_score coef=-2.697326065463136 p=0.00011621627977365185.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Matthew Stevenson, LeoLabs; Darren McKnight, LeoLabs; Hugh Lewis, University of Southampton; Chris Kunstadter, AXA XL; Rachit Bhatia, LeoLabs. Identifying the Statistically-Most-Concerning Conjunctions in LEO (2021). [AMOS]</w:t>
      </w:r>
      <w:r>
        <w:t xml:space="preserve"> </w:t>
      </w:r>
      <w:bookmarkStart w:id="68" w:name="ref-2"/>
      <w:bookmarkEnd w:id="68"/>
      <w:r>
        <w:t xml:space="preserve">2. Simon George, Defence Science and Technology Laboratory; Andrew Ash, Defence Science and Technology Laboratory. Future On-Orbit Spacecraft Technologies and Associated Challenges for Space Situational Awareness (2019). [AMOS]</w:t>
      </w:r>
      <w:r>
        <w:t xml:space="preserve"> </w:t>
      </w:r>
      <w:bookmarkStart w:id="69" w:name="ref-3"/>
      <w:bookmarkEnd w:id="69"/>
      <w:r>
        <w:t xml:space="preserve">3. Alejandro Pastor, GMV; Guillermo Escribano-Blázquez, Universidad Carlos III de Madrid; Manuel Sanjurjo-Rivo, Universidad Carlos III de Madrid; Diego Escobar, GMV. Fragmentation Detection via Track-to-Track Association of Optical Observations (2021). [AMOS]</w:t>
      </w:r>
      <w:r>
        <w:t xml:space="preserve"> </w:t>
      </w:r>
      <w:bookmarkStart w:id="70" w:name="ref-4"/>
      <w:bookmarkEnd w:id="70"/>
      <w:r>
        <w:t xml:space="preserve">4. Mark Sturza, Viasat; Mark Dankberg, Viasat; William Blount, Viasat. Resilience of LEO Constellations to Accidental and Intentional Fragmentation Events (2024). doi:</w:t>
      </w:r>
      <w:r>
        <w:t xml:space="preserve"> </w:t>
      </w:r>
      <w:hyperlink r:id="rId71">
        <w:r>
          <w:rPr>
            <w:rStyle w:val="Hyperlink"/>
          </w:rPr>
          <w:t xml:space="preserve">10.64861/ZFDQ4641</w:t>
        </w:r>
      </w:hyperlink>
      <w:r>
        <w:t xml:space="preserve"> </w:t>
      </w:r>
      <w:bookmarkStart w:id="72" w:name="ref-5"/>
      <w:bookmarkEnd w:id="72"/>
      <w:r>
        <w:t xml:space="preserve">5. Bhargav Joshi, Digantara; Subramanian Arumugam, Digantara; Siri L., Digantara; Thamim Ansari, Digantara; Tanveer Ahmed, Digantara. Satellite Debris Classification Framework: Using Graph Neural Networks for Explosion and Collision Event Characterization (2025). doi:</w:t>
      </w:r>
      <w:r>
        <w:t xml:space="preserve"> </w:t>
      </w:r>
      <w:hyperlink r:id="rId73">
        <w:r>
          <w:rPr>
            <w:rStyle w:val="Hyperlink"/>
          </w:rPr>
          <w:t xml:space="preserve">10.64861/PHBD6598</w:t>
        </w:r>
      </w:hyperlink>
      <w:r>
        <w:t xml:space="preserve"> </w:t>
      </w:r>
      <w:bookmarkStart w:id="74" w:name="ref-6"/>
      <w:bookmarkEnd w:id="74"/>
      <w:r>
        <w:t xml:space="preserve">6. Alejandro Pastor, GMV; Jan Siminski, ESA/ESOC Space Debris Office; Guillermo Escribano, University Carlos III of Madrid; Manuel Sanjurjo-Rivo, University Carlos III of Madrid; Diego Escobar, GMV. Early Identification and Tracking of Fragments from Break-up Events (2022). [AMOS]</w:t>
      </w:r>
      <w:r>
        <w:t xml:space="preserve"> </w:t>
      </w:r>
      <w:bookmarkStart w:id="75" w:name="ref-7"/>
      <w:bookmarkEnd w:id="75"/>
      <w:r>
        <w:t xml:space="preserve">7. Gene Stansbery (NASA Johnson Space Center), Mark Matney (NASA Johnson Space Center), J.C. Liou (NASA Johnson Space Center), Dave Whitlock (ESCG/Hamilton Sundstrand). A Comparison of Catastrophic On-Orbit Collisions (2008). [AMOS]</w:t>
      </w:r>
      <w:r>
        <w:t xml:space="preserve"> </w:t>
      </w:r>
      <w:bookmarkStart w:id="76" w:name="ref-8"/>
      <w:bookmarkEnd w:id="76"/>
      <w:r>
        <w:t xml:space="preserve">8. James Jones (Northrop Grumman). Automated Recognition of Type III Solar Radio Bursts using Mathematical Morphology (2014). [AMOS]</w:t>
      </w:r>
    </w:p>
    <w:bookmarkEnd w:id="77"/>
    <w:bookmarkStart w:id="78"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8.1913</w:t>
            </w:r>
          </w:p>
        </w:tc>
        <w:tc>
          <w:tcPr>
            <w:tcW w:w="0" w:type="auto"/>
          </w:tcPr>
          <w:p>
            <w:pPr>
              <w:spacing w:line="240" w:lineRule="auto" w:before="0" w:after="0"/>
              <w:pStyle w:val="Compact"/>
            </w:pPr>
            <w:r>
              <w:rPr>
                <w:sz w:val="20"/>
                <w:szCs w:val="20"/>
              </w:rPr>
              <w:t xml:space="preserve">2.3798</w:t>
            </w:r>
          </w:p>
        </w:tc>
        <w:tc>
          <w:tcPr>
            <w:tcW w:w="0" w:type="auto"/>
          </w:tcPr>
          <w:p>
            <w:pPr>
              <w:spacing w:line="240" w:lineRule="auto" w:before="0" w:after="0"/>
              <w:pStyle w:val="Compact"/>
            </w:pPr>
            <w:r>
              <w:rPr>
                <w:sz w:val="20"/>
                <w:szCs w:val="20"/>
              </w:rPr>
              <w:t xml:space="preserve">3.4419</w:t>
            </w:r>
          </w:p>
        </w:tc>
        <w:tc>
          <w:tcPr>
            <w:tcW w:w="0" w:type="auto"/>
          </w:tcPr>
          <w:p>
            <w:pPr>
              <w:spacing w:line="240" w:lineRule="auto" w:before="0" w:after="0"/>
              <w:pStyle w:val="Compact"/>
            </w:pPr>
            <w:r>
              <w:rPr>
                <w:sz w:val="20"/>
                <w:szCs w:val="20"/>
              </w:rPr>
              <w:t xml:space="preserve">0.0005775</w:t>
            </w:r>
          </w:p>
        </w:tc>
        <w:tc>
          <w:tcPr>
            <w:tcW w:w="0" w:type="auto"/>
          </w:tcPr>
          <w:p>
            <w:pPr>
              <w:spacing w:line="240" w:lineRule="auto" w:before="0" w:after="0"/>
              <w:pStyle w:val="Compact"/>
            </w:pPr>
            <w:r>
              <w:rPr>
                <w:sz w:val="20"/>
                <w:szCs w:val="20"/>
              </w:rPr>
              <w:t xml:space="preserve">[3.5269, 12.8557]</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0.193</w:t>
            </w:r>
          </w:p>
        </w:tc>
        <w:tc>
          <w:tcPr>
            <w:tcW w:w="0" w:type="auto"/>
          </w:tcPr>
          <w:p>
            <w:pPr>
              <w:spacing w:line="240" w:lineRule="auto" w:before="0" w:after="0"/>
              <w:pStyle w:val="Compact"/>
            </w:pPr>
            <w:r>
              <w:rPr>
                <w:sz w:val="20"/>
                <w:szCs w:val="20"/>
              </w:rPr>
              <w:t xml:space="preserve">0.135</w:t>
            </w:r>
          </w:p>
        </w:tc>
        <w:tc>
          <w:tcPr>
            <w:tcW w:w="0" w:type="auto"/>
          </w:tcPr>
          <w:p>
            <w:pPr>
              <w:spacing w:line="240" w:lineRule="auto" w:before="0" w:after="0"/>
              <w:pStyle w:val="Compact"/>
            </w:pPr>
            <w:r>
              <w:rPr>
                <w:sz w:val="20"/>
                <w:szCs w:val="20"/>
              </w:rPr>
              <w:t xml:space="preserve">1.4293</w:t>
            </w:r>
          </w:p>
        </w:tc>
        <w:tc>
          <w:tcPr>
            <w:tcW w:w="0" w:type="auto"/>
          </w:tcPr>
          <w:p>
            <w:pPr>
              <w:spacing w:line="240" w:lineRule="auto" w:before="0" w:after="0"/>
              <w:pStyle w:val="Compact"/>
            </w:pPr>
            <w:r>
              <w:rPr>
                <w:sz w:val="20"/>
                <w:szCs w:val="20"/>
              </w:rPr>
              <w:t xml:space="preserve">0.1529</w:t>
            </w:r>
          </w:p>
        </w:tc>
        <w:tc>
          <w:tcPr>
            <w:tcW w:w="0" w:type="auto"/>
          </w:tcPr>
          <w:p>
            <w:pPr>
              <w:spacing w:line="240" w:lineRule="auto" w:before="0" w:after="0"/>
              <w:pStyle w:val="Compact"/>
            </w:pPr>
            <w:r>
              <w:rPr>
                <w:sz w:val="20"/>
                <w:szCs w:val="20"/>
              </w:rPr>
              <w:t xml:space="preserve">[-0.0717, 0.4577]</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0.0858</w:t>
            </w:r>
          </w:p>
        </w:tc>
        <w:tc>
          <w:tcPr>
            <w:tcW w:w="0" w:type="auto"/>
          </w:tcPr>
          <w:p>
            <w:pPr>
              <w:spacing w:line="240" w:lineRule="auto" w:before="0" w:after="0"/>
              <w:pStyle w:val="Compact"/>
            </w:pPr>
            <w:r>
              <w:rPr>
                <w:sz w:val="20"/>
                <w:szCs w:val="20"/>
              </w:rPr>
              <w:t xml:space="preserve">0.0233</w:t>
            </w:r>
          </w:p>
        </w:tc>
        <w:tc>
          <w:tcPr>
            <w:tcW w:w="0" w:type="auto"/>
          </w:tcPr>
          <w:p>
            <w:pPr>
              <w:spacing w:line="240" w:lineRule="auto" w:before="0" w:after="0"/>
              <w:pStyle w:val="Compact"/>
            </w:pPr>
            <w:r>
              <w:rPr>
                <w:sz w:val="20"/>
                <w:szCs w:val="20"/>
              </w:rPr>
              <w:t xml:space="preserve">3.6859</w:t>
            </w:r>
          </w:p>
        </w:tc>
        <w:tc>
          <w:tcPr>
            <w:tcW w:w="0" w:type="auto"/>
          </w:tcPr>
          <w:p>
            <w:pPr>
              <w:spacing w:line="240" w:lineRule="auto" w:before="0" w:after="0"/>
              <w:pStyle w:val="Compact"/>
            </w:pPr>
            <w:r>
              <w:rPr>
                <w:sz w:val="20"/>
                <w:szCs w:val="20"/>
              </w:rPr>
              <w:t xml:space="preserve">0.0002279</w:t>
            </w:r>
          </w:p>
        </w:tc>
        <w:tc>
          <w:tcPr>
            <w:tcW w:w="0" w:type="auto"/>
          </w:tcPr>
          <w:p>
            <w:pPr>
              <w:spacing w:line="240" w:lineRule="auto" w:before="0" w:after="0"/>
              <w:pStyle w:val="Compact"/>
            </w:pPr>
            <w:r>
              <w:rPr>
                <w:sz w:val="20"/>
                <w:szCs w:val="20"/>
              </w:rPr>
              <w:t xml:space="preserve">[0.0402, 0.1314]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-2.6973</w:t>
            </w:r>
          </w:p>
        </w:tc>
        <w:tc>
          <w:tcPr>
            <w:tcW w:w="0" w:type="auto"/>
          </w:tcPr>
          <w:p>
            <w:pPr>
              <w:spacing w:line="240" w:lineRule="auto" w:before="0" w:after="0"/>
              <w:pStyle w:val="Compact"/>
            </w:pPr>
            <w:r>
              <w:rPr>
                <w:sz w:val="20"/>
                <w:szCs w:val="20"/>
              </w:rPr>
              <w:t xml:space="preserve">0.6999</w:t>
            </w:r>
          </w:p>
        </w:tc>
        <w:tc>
          <w:tcPr>
            <w:tcW w:w="0" w:type="auto"/>
          </w:tcPr>
          <w:p>
            <w:pPr>
              <w:spacing w:line="240" w:lineRule="auto" w:before="0" w:after="0"/>
              <w:pStyle w:val="Compact"/>
            </w:pPr>
            <w:r>
              <w:rPr>
                <w:sz w:val="20"/>
                <w:szCs w:val="20"/>
              </w:rPr>
              <w:t xml:space="preserve">-3.854</w:t>
            </w:r>
          </w:p>
        </w:tc>
        <w:tc>
          <w:tcPr>
            <w:tcW w:w="0" w:type="auto"/>
          </w:tcPr>
          <w:p>
            <w:pPr>
              <w:spacing w:line="240" w:lineRule="auto" w:before="0" w:after="0"/>
              <w:pStyle w:val="Compact"/>
            </w:pPr>
            <w:r>
              <w:rPr>
                <w:sz w:val="20"/>
                <w:szCs w:val="20"/>
              </w:rPr>
              <w:t xml:space="preserve">0.0001162</w:t>
            </w:r>
          </w:p>
        </w:tc>
        <w:tc>
          <w:tcPr>
            <w:tcW w:w="0" w:type="auto"/>
          </w:tcPr>
          <w:p>
            <w:pPr>
              <w:spacing w:line="240" w:lineRule="auto" w:before="0" w:after="0"/>
              <w:pStyle w:val="Compact"/>
            </w:pPr>
            <w:r>
              <w:rPr>
                <w:sz w:val="20"/>
                <w:szCs w:val="20"/>
              </w:rPr>
              <w:t xml:space="preserve">[-4.0691, -1.3256]</w:t>
            </w:r>
          </w:p>
        </w:tc>
      </w:tr>
    </w:tbl>
    <w:p>
      <w:pPr>
        <w:pStyle w:val="BodyText"/>
      </w:pPr>
      <w:r>
        <w:t xml:space="preserve">Fit: N = 30 R2 = 0.4021 R2_adj = 0.3331 F = 9.4212 F_p = 0.0002186</w:t>
      </w:r>
    </w:p>
    <w:p>
      <w:pPr>
        <w:pStyle w:val="CaptionedFigure"/>
      </w:pPr>
      <w:r>
        <w:drawing>
          <wp:inline>
            <wp:extent cx="5669280" cy="3657600"/>
            <wp:effectExtent b="0" l="0" r="0" t="0"/>
            <wp:docPr descr="Figure 1. Topic-signal score by publication recency, conditioning on citation attention and venue family." title="" id="80" name="Picture"/>
            <a:graphic>
              <a:graphicData uri="http://schemas.openxmlformats.org/drawingml/2006/picture">
                <pic:pic>
                  <pic:nvPicPr>
                    <pic:cNvPr descr="D:\Claude_Code\brain\collegium\candidates\dissertations\SUSTAINABILITY_INSTITUTIONS_08\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https://amostech.space/year/2021/identifying-the-statistically-most-concerning-conjunctions-in-leo/</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https://amostech.space/year/2019/future-on-orbit-spacecraft-technologies-and-associated-challenges-for-space-situational-awareness/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https://amostech.space/year/2021/fragmentation-detection-via-track-to-track-association-of-optical-observations/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10.64861/PHBD6598</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https://amostech.space/year/2022/early-identification-and-tracking-of-fragments-from-break-up-events/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https://amostech.space/year/2008/a-comparison-of-catastrophic-on-orbit-collisions/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https://amostech.space/year/2014/automated-recognition-of-type-iii-solar-radio-bursts-using-mathematical-morphology/</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10.64861/DZFF7826</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https://amostech.space/year/2018/fragmentation-event-identification-using-back-propagation-with-variable-ballistic-coefficient-calculation/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10.64861/LCET1122</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10.64861/UQYR6894</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10.1016/j.actaastro.2025.05.059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10.1016/j.actaastro.2026.01.061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10.1016/j.actaastro.2018.03.017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10.1016/j.actaastro.2025.09.078</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10.1016/j.actaastro.2026.01.027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10.1016/j.actaastro.2021.04.009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10.1016/j.actaastro.2023.04.032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10.1016/j.actaastro.2020.02.050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10.1016/j.actaastro.2023.01.020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10.1016/j.actaastro.2023.02.036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Operators’ Requirements for SSA Services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10.1007/s40295-022-00346-8</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10.1016/j.jsse.2024.08.001</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 Martin-Lawson, S. Paladini, K. Saha, and E. Yerushalmi, �The cost of (un)regu</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8.1913</w:t>
            </w:r>
          </w:p>
        </w:tc>
        <w:tc>
          <w:tcPr>
            <w:tcW w:w="0" w:type="auto"/>
          </w:tcPr>
          <w:p>
            <w:pPr>
              <w:spacing w:line="240" w:lineRule="auto" w:before="0" w:after="0"/>
              <w:pStyle w:val="Compact"/>
            </w:pPr>
            <w:r>
              <w:rPr>
                <w:sz w:val="20"/>
                <w:szCs w:val="20"/>
              </w:rPr>
              <w:t xml:space="preserve">2.3798</w:t>
            </w:r>
          </w:p>
        </w:tc>
        <w:tc>
          <w:tcPr>
            <w:tcW w:w="0" w:type="auto"/>
          </w:tcPr>
          <w:p>
            <w:pPr>
              <w:spacing w:line="240" w:lineRule="auto" w:before="0" w:after="0"/>
              <w:pStyle w:val="Compact"/>
            </w:pPr>
            <w:r>
              <w:rPr>
                <w:sz w:val="20"/>
                <w:szCs w:val="20"/>
              </w:rPr>
              <w:t xml:space="preserve">3.4419</w:t>
            </w:r>
          </w:p>
        </w:tc>
        <w:tc>
          <w:tcPr>
            <w:tcW w:w="0" w:type="auto"/>
          </w:tcPr>
          <w:p>
            <w:pPr>
              <w:spacing w:line="240" w:lineRule="auto" w:before="0" w:after="0"/>
              <w:pStyle w:val="Compact"/>
            </w:pPr>
            <w:r>
              <w:rPr>
                <w:sz w:val="20"/>
                <w:szCs w:val="20"/>
              </w:rPr>
              <w:t xml:space="preserve">0.0005775</w:t>
            </w:r>
          </w:p>
        </w:tc>
        <w:tc>
          <w:tcPr>
            <w:tcW w:w="0" w:type="auto"/>
          </w:tcPr>
          <w:p>
            <w:pPr>
              <w:spacing w:line="240" w:lineRule="auto" w:before="0" w:after="0"/>
              <w:pStyle w:val="Compact"/>
            </w:pPr>
            <w:r>
              <w:rPr>
                <w:sz w:val="20"/>
                <w:szCs w:val="20"/>
              </w:rPr>
              <w:t xml:space="preserve">[3.5269, 12.8557]</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0.193</w:t>
            </w:r>
          </w:p>
        </w:tc>
        <w:tc>
          <w:tcPr>
            <w:tcW w:w="0" w:type="auto"/>
          </w:tcPr>
          <w:p>
            <w:pPr>
              <w:spacing w:line="240" w:lineRule="auto" w:before="0" w:after="0"/>
              <w:pStyle w:val="Compact"/>
            </w:pPr>
            <w:r>
              <w:rPr>
                <w:sz w:val="20"/>
                <w:szCs w:val="20"/>
              </w:rPr>
              <w:t xml:space="preserve">0.135</w:t>
            </w:r>
          </w:p>
        </w:tc>
        <w:tc>
          <w:tcPr>
            <w:tcW w:w="0" w:type="auto"/>
          </w:tcPr>
          <w:p>
            <w:pPr>
              <w:spacing w:line="240" w:lineRule="auto" w:before="0" w:after="0"/>
              <w:pStyle w:val="Compact"/>
            </w:pPr>
            <w:r>
              <w:rPr>
                <w:sz w:val="20"/>
                <w:szCs w:val="20"/>
              </w:rPr>
              <w:t xml:space="preserve">1.4293</w:t>
            </w:r>
          </w:p>
        </w:tc>
        <w:tc>
          <w:tcPr>
            <w:tcW w:w="0" w:type="auto"/>
          </w:tcPr>
          <w:p>
            <w:pPr>
              <w:spacing w:line="240" w:lineRule="auto" w:before="0" w:after="0"/>
              <w:pStyle w:val="Compact"/>
            </w:pPr>
            <w:r>
              <w:rPr>
                <w:sz w:val="20"/>
                <w:szCs w:val="20"/>
              </w:rPr>
              <w:t xml:space="preserve">0.1529</w:t>
            </w:r>
          </w:p>
        </w:tc>
        <w:tc>
          <w:tcPr>
            <w:tcW w:w="0" w:type="auto"/>
          </w:tcPr>
          <w:p>
            <w:pPr>
              <w:spacing w:line="240" w:lineRule="auto" w:before="0" w:after="0"/>
              <w:pStyle w:val="Compact"/>
            </w:pPr>
            <w:r>
              <w:rPr>
                <w:sz w:val="20"/>
                <w:szCs w:val="20"/>
              </w:rPr>
              <w:t xml:space="preserve">[-0.0717, 0.4577]</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0.0858</w:t>
            </w:r>
          </w:p>
        </w:tc>
        <w:tc>
          <w:tcPr>
            <w:tcW w:w="0" w:type="auto"/>
          </w:tcPr>
          <w:p>
            <w:pPr>
              <w:spacing w:line="240" w:lineRule="auto" w:before="0" w:after="0"/>
              <w:pStyle w:val="Compact"/>
            </w:pPr>
            <w:r>
              <w:rPr>
                <w:sz w:val="20"/>
                <w:szCs w:val="20"/>
              </w:rPr>
              <w:t xml:space="preserve">0.0233</w:t>
            </w:r>
          </w:p>
        </w:tc>
        <w:tc>
          <w:tcPr>
            <w:tcW w:w="0" w:type="auto"/>
          </w:tcPr>
          <w:p>
            <w:pPr>
              <w:spacing w:line="240" w:lineRule="auto" w:before="0" w:after="0"/>
              <w:pStyle w:val="Compact"/>
            </w:pPr>
            <w:r>
              <w:rPr>
                <w:sz w:val="20"/>
                <w:szCs w:val="20"/>
              </w:rPr>
              <w:t xml:space="preserve">3.6859</w:t>
            </w:r>
          </w:p>
        </w:tc>
        <w:tc>
          <w:tcPr>
            <w:tcW w:w="0" w:type="auto"/>
          </w:tcPr>
          <w:p>
            <w:pPr>
              <w:spacing w:line="240" w:lineRule="auto" w:before="0" w:after="0"/>
              <w:pStyle w:val="Compact"/>
            </w:pPr>
            <w:r>
              <w:rPr>
                <w:sz w:val="20"/>
                <w:szCs w:val="20"/>
              </w:rPr>
              <w:t xml:space="preserve">0.0002279</w:t>
            </w:r>
          </w:p>
        </w:tc>
        <w:tc>
          <w:tcPr>
            <w:tcW w:w="0" w:type="auto"/>
          </w:tcPr>
          <w:p>
            <w:pPr>
              <w:spacing w:line="240" w:lineRule="auto" w:before="0" w:after="0"/>
              <w:pStyle w:val="Compact"/>
            </w:pPr>
            <w:r>
              <w:rPr>
                <w:sz w:val="20"/>
                <w:szCs w:val="20"/>
              </w:rPr>
              <w:t xml:space="preserve">[0.0402, 0.1314]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-2.6973</w:t>
            </w:r>
          </w:p>
        </w:tc>
        <w:tc>
          <w:tcPr>
            <w:tcW w:w="0" w:type="auto"/>
          </w:tcPr>
          <w:p>
            <w:pPr>
              <w:spacing w:line="240" w:lineRule="auto" w:before="0" w:after="0"/>
              <w:pStyle w:val="Compact"/>
            </w:pPr>
            <w:r>
              <w:rPr>
                <w:sz w:val="20"/>
                <w:szCs w:val="20"/>
              </w:rPr>
              <w:t xml:space="preserve">0.6999</w:t>
            </w:r>
          </w:p>
        </w:tc>
        <w:tc>
          <w:tcPr>
            <w:tcW w:w="0" w:type="auto"/>
          </w:tcPr>
          <w:p>
            <w:pPr>
              <w:spacing w:line="240" w:lineRule="auto" w:before="0" w:after="0"/>
              <w:pStyle w:val="Compact"/>
            </w:pPr>
            <w:r>
              <w:rPr>
                <w:sz w:val="20"/>
                <w:szCs w:val="20"/>
              </w:rPr>
              <w:t xml:space="preserve">-3.854</w:t>
            </w:r>
          </w:p>
        </w:tc>
        <w:tc>
          <w:tcPr>
            <w:tcW w:w="0" w:type="auto"/>
          </w:tcPr>
          <w:p>
            <w:pPr>
              <w:spacing w:line="240" w:lineRule="auto" w:before="0" w:after="0"/>
              <w:pStyle w:val="Compact"/>
            </w:pPr>
            <w:r>
              <w:rPr>
                <w:sz w:val="20"/>
                <w:szCs w:val="20"/>
              </w:rPr>
              <w:t xml:space="preserve">0.0001162</w:t>
            </w:r>
          </w:p>
        </w:tc>
        <w:tc>
          <w:tcPr>
            <w:tcW w:w="0" w:type="auto"/>
          </w:tcPr>
          <w:p>
            <w:pPr>
              <w:spacing w:line="240" w:lineRule="auto" w:before="0" w:after="0"/>
              <w:pStyle w:val="Compact"/>
            </w:pPr>
            <w:r>
              <w:rPr>
                <w:sz w:val="20"/>
                <w:szCs w:val="20"/>
              </w:rPr>
              <w:t xml:space="preserve">[-4.0691, -1.3256]</w:t>
            </w:r>
          </w:p>
        </w:tc>
      </w:tr>
    </w:tbl>
    <w:p>
      <w:pPr>
        <w:pStyle w:val="BodyText"/>
      </w:pPr>
      <w:r>
        <w:t xml:space="preserve">Fit: N = 30 R2 = 0.4021 R2_adj = 0.3331 F = 9.4212 F_p = 0.0002186</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3" Target="https://doi.org/10.64861/PHBD6598" TargetMode="External" /><Relationship Type="http://schemas.openxmlformats.org/officeDocument/2006/relationships/hyperlink" Id="rId71" Target="https://doi.org/10.64861/ZFDQ4641"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64861/PHBD6598" TargetMode="External" /><Relationship Type="http://schemas.openxmlformats.org/officeDocument/2006/relationships/hyperlink" Id="rId71" Target="https://doi.org/10.64861/ZFDQ464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2026-06-28T19:51:03Z</dcterms:created>
  <dcterms:modified xsi:type="dcterms:W3CDTF">2026-06-28T19:51:03Z</dcterms:modified>
</cp:coreProperties>
</file>

<file path=docProps/custom.xml><?xml version="1.0" encoding="utf-8"?>
<Properties xmlns="http://schemas.openxmlformats.org/officeDocument/2006/custom-properties" xmlns:vt="http://schemas.openxmlformats.org/officeDocument/2006/docPropsVTypes"/>
</file>