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AVAILABILITY AND ALARM: DO SALIENT COLLISION AND FRAGMENTATION EVENTS DRIVE REGU</w:t>
      </w:r>
    </w:p>
    <w:p>
      <w:pPr>
        <w:jc w:val="center"/>
      </w:pPr>
    </w:p>
    <w:p>
      <w:pPr>
        <w:jc w:val="center"/>
      </w:pPr>
      <w:r>
        <w:rPr>
          <w:rFonts w:ascii="Times New Roman" w:hAnsi="Times New Roman"/>
          <w:sz w:val="24"/>
        </w:rPr>
        <w:t>by</w:t>
      </w:r>
    </w:p>
    <w:p>
      <w:pPr>
        <w:jc w:val="center"/>
      </w:pPr>
      <w:r>
        <w:rPr>
          <w:rFonts w:ascii="Times New Roman" w:hAnsi="Times New Roman"/>
          <w:b/>
          <w:sz w:val="28"/>
        </w:rPr>
        <w:t>Margot Dorsey</w:t>
      </w:r>
    </w:p>
    <w:p>
      <w:pPr>
        <w:jc w:val="center"/>
      </w:pPr>
      <w:r>
        <w:rPr>
          <w:rFonts w:ascii="Times New Roman" w:hAnsi="Times New Roman"/>
          <w:sz w:val="24"/>
        </w:rPr>
        <w:t>1B-SUS-179</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p>
      <w:pPr>
        <w:pStyle w:val="FirstParagraph"/>
        <w:spacing w:line="480" w:lineRule="auto"/>
      </w:pPr>
      <w:r>
        <w:t xml:space="preserve">A satellite breaks apart. Within hours the fragment cloud spreads across a shell of low Earth orbit, and within days the operators who share that shell recompute their conjunction risk. What happens next inside the institutions that govern orbital activity is far less predictable than the physics of the debris cloud itself. Sometimes a fragmentation event hardens governance language, prompts a new coordination requirement, or accelerates a rule that had been drifting for years. Sometimes nothing measurable changes. This dissertation is about that gap between the visibility of orbital risk and the response of the institutions charged with managing it, and it asks whether the salience of collision and fragmentation events can be detected in the documentary and bibliometric traces those events leave behind.</w:t>
      </w:r>
    </w:p>
    <w:p>
      <w:pPr>
        <w:pStyle w:val="BodyText"/>
        <w:spacing w:line="480" w:lineRule="auto"/>
        <w:ind w:firstLine="720"/>
      </w:pPr>
      <w:r>
        <w:t xml:space="preserve">The question sounds intuitive. It is not easy to test. Space governance operates through a diffuse network of technical conferences, peer-reviewed journals, national licensing regimes, and international coordination bodies, and the causal path from a single on-orbit event to a hardened operating rule runs through all of them. A researcher who wants to claim that salient events drive regulatory attention must first show that the events are visible in the record at all, and must show it without smuggling in the conclusion. That is the discipline this project imposes on itself. Rather than assert a broad policy intuition about availability and alarm, it builds a bounded, falsifiable, document-level test and reports only what the deterministic evidence supports. Margot Dorsey’s dissertation, titled</w:t>
      </w:r>
      <w:r>
        <w:t xml:space="preserve"> </w:t>
      </w:r>
      <w:r>
        <w:rPr>
          <w:i/>
          <w:iCs/>
        </w:rPr>
        <w:t xml:space="preserve">Availability and Alarm: Do Salient Collision and Fragmentation Events Drive Regu</w:t>
      </w:r>
      <w:r>
        <w:t xml:space="preserve">, takes that restraint as its organizing principle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Orbital debris is the canonical example of a commons problem in space. Every operator who launches into a congested shell imposes a small collision risk on every other operator, and the catastrophic collisions that do occur, such as the events cataloged in the early debris-modeling literature</w:t>
      </w:r>
      <w:r>
        <w:t xml:space="preserve"> </w:t>
      </w:r>
      <w:hyperlink w:anchor="ref-7">
        <w:r>
          <w:rPr>
            <w:rStyle w:val="Hyperlink"/>
          </w:rPr>
          <w:t xml:space="preserve">[7]</w:t>
        </w:r>
      </w:hyperlink>
      <w:r>
        <w:t xml:space="preserve">, generate fragment populations that persist for decades. The technical community has understood this for a long time. The several deliberate and accidental fragmentations of recent years have been characterized in detail, tracked, and modeled</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 What the technical community has not resolved is the institutional half of the problem: when and why the governance response to these events tightens.</w:t>
      </w:r>
    </w:p>
    <w:p>
      <w:pPr>
        <w:pStyle w:val="BodyText"/>
        <w:spacing w:line="480" w:lineRule="auto"/>
        <w:ind w:firstLine="720"/>
      </w:pPr>
      <w:r>
        <w:t xml:space="preserve">Stakes here are practical, and they are growing. Constellation deployment has moved the debris problem from a slow-accumulation regime into a regime where a single fragmentation inside a dense shell can cascade through a constellation’s own membership</w:t>
      </w:r>
      <w:r>
        <w:t xml:space="preserve"> </w:t>
      </w:r>
      <w:hyperlink w:anchor="ref-4">
        <w:r>
          <w:rPr>
            <w:rStyle w:val="Hyperlink"/>
          </w:rPr>
          <w:t xml:space="preserve">[4]</w:t>
        </w:r>
      </w:hyperlink>
      <w:r>
        <w:t xml:space="preserve">. Cislunar activity is extending the domain of concern past the shells that current surveillance networks were built to watch</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Detection and characterization tools are improving quickly</w:t>
      </w:r>
      <w:r>
        <w:t xml:space="preserve"> </w:t>
      </w:r>
      <w:hyperlink w:anchor="ref-5">
        <w:r>
          <w:rPr>
            <w:rStyle w:val="Hyperlink"/>
          </w:rPr>
          <w:t xml:space="preserve">[5]</w:t>
        </w:r>
      </w:hyperlink>
      <w:r>
        <w:t xml:space="preserve"> </w:t>
      </w:r>
      <w:hyperlink w:anchor="ref-13">
        <w:r>
          <w:rPr>
            <w:rStyle w:val="Hyperlink"/>
          </w:rPr>
          <w:t xml:space="preserve">[13]</w:t>
        </w:r>
      </w:hyperlink>
      <w:r>
        <w:t xml:space="preserve">, which means the raw supply of information about orbital events is rising faster than the institutions can absorb it. If governance attention responds to salient events, then the accelerating cadence of events should be visible somewhere in the documentary record. If it does not respond, that null finding is itself worth establishing, because it tells policymakers that better detection alone will not close the governance gap.</w:t>
      </w:r>
    </w:p>
    <w:p>
      <w:pPr>
        <w:pStyle w:val="BodyText"/>
        <w:spacing w:line="480" w:lineRule="auto"/>
        <w:ind w:firstLine="720"/>
      </w:pPr>
      <w:r>
        <w:t xml:space="preserve">Behind the practical stakes sits a theoretical claim borrowed from behavioral decision research. People, and the institutions people build, weight vivid and recent events more heavily than statistical base rates. A single dramatic fragmentation is available to memory and to the news cycle; a slow rise in aggregate collision probability is not. If institutions share this bias, then the timing of governance attention should track the timing of salient events rather than the underlying risk trend. This dissertation does not test the behavioral mechanism directly. It tests a necessary precondition: that the topic signal associated with salient collision and fragmentation events is structured, and detectable, in the corpus of sources that surrounds the problem.</w:t>
      </w:r>
    </w:p>
    <w:p>
      <w:pPr>
        <w:pStyle w:val="BodyText"/>
        <w:spacing w:line="480" w:lineRule="auto"/>
        <w:ind w:firstLine="720"/>
      </w:pPr>
      <w:r>
        <w:t xml:space="preserve">Between the technical and the institutional literature lies the intellectual opening. Source records identify operational risk. They do not always explain why governance language hardens in one year and stays loose in the next</w:t>
      </w:r>
      <w:r>
        <w:t xml:space="preserve"> </w:t>
      </w:r>
      <w:hyperlink w:anchor="ref-1">
        <w:r>
          <w:rPr>
            <w:rStyle w:val="Hyperlink"/>
          </w:rPr>
          <w:t xml:space="preserve">[1]</w:t>
        </w:r>
      </w:hyperlink>
      <w:r>
        <w:t xml:space="preserve"> </w:t>
      </w:r>
      <w:hyperlink w:anchor="ref-3">
        <w:r>
          <w:rPr>
            <w:rStyle w:val="Hyperlink"/>
          </w:rPr>
          <w:t xml:space="preserve">[3]</w:t>
        </w:r>
      </w:hyperlink>
      <w:r>
        <w:t xml:space="preserve">. A comprehensive conjunction study can tell a reader which pairs of objects in geosynchronous orbit are most likely to collide</w:t>
      </w:r>
      <w:r>
        <w:t xml:space="preserve"> </w:t>
      </w:r>
      <w:hyperlink w:anchor="ref-11">
        <w:r>
          <w:rPr>
            <w:rStyle w:val="Hyperlink"/>
          </w:rPr>
          <w:t xml:space="preserve">[11]</w:t>
        </w:r>
      </w:hyperlink>
      <w:r>
        <w:t xml:space="preserve">, and a resilience study can tell a reader how a constellation would absorb an intentional fragmentation</w:t>
      </w:r>
      <w:r>
        <w:t xml:space="preserve"> </w:t>
      </w:r>
      <w:hyperlink w:anchor="ref-4">
        <w:r>
          <w:rPr>
            <w:rStyle w:val="Hyperlink"/>
          </w:rPr>
          <w:t xml:space="preserve">[4]</w:t>
        </w:r>
      </w:hyperlink>
      <w:r>
        <w:t xml:space="preserve">, yet neither document explains the institutional uptake of its own warning. This project treats that unexplained uptake as the thing to measure, and it begins by asking whether the uptake is even visible in the metadata of the sources themselves.</w:t>
      </w:r>
    </w:p>
    <w:bookmarkEnd w:id="61"/>
    <w:bookmarkStart w:id="62" w:name="the-single-falsifiable-contribution"/>
    <w:p>
      <w:pPr>
        <w:pStyle w:val="Heading2"/>
        <w:spacing w:line="480" w:lineRule="auto"/>
      </w:pPr>
      <w:r>
        <w:t xml:space="preserve">1.2 The single falsifiable contribution</w:t>
      </w:r>
    </w:p>
    <w:p>
      <w:pPr>
        <w:pStyle w:val="FirstParagraph"/>
        <w:spacing w:line="480" w:lineRule="auto"/>
      </w:pPr>
      <w:r>
        <w:t xml:space="preserve">The contribution of this dissertation is deliberately narrow, and its narrowness is the point. A doctoral project in a young empirical pipeline earns credibility not by making the largest possible claim but by making one claim that a skeptic could overturn with the same data. The falsifiable proposition is this.</w:t>
      </w:r>
    </w:p>
    <w:p>
      <w:pPr>
        <w:pStyle w:val="BodyText"/>
        <w:spacing w:line="480" w:lineRule="auto"/>
        <w:ind w:firstLine="720"/>
      </w:pPr>
      <w:r>
        <w:t xml:space="preserve">The null hypothesis holds that the candidate topic signal is unrelated to publication recency, citation attention, and venue family across the retrieved source corpus. The alternative holds that the topic signal is systematically related to those three features. If the null survives, the reader learns that the salience of orbital events does not leave a clean structural imprint on the literature that surrounds them, and that any stronger causal story about events driving regulation must rest on a more direct coding of governance documents than metadata can supply. If the null falls, the reader learns that the imprint exists and can be measured, which licenses the next design in the research program.</w:t>
      </w:r>
    </w:p>
    <w:p>
      <w:pPr>
        <w:pStyle w:val="BodyText"/>
        <w:spacing w:line="480" w:lineRule="auto"/>
        <w:ind w:firstLine="720"/>
      </w:pPr>
      <w:r>
        <w:t xml:space="preserve">Two empirical screens carry the test. The first is an ordinary least squares model of topic-signal intensity as a function of recency, citation count, and venue family. The second is a log-log learning-curve model of citation accumulation as a function of article age. Neither model settles the full policy question, and this dissertation is explicit that they do not. They discipline the evidence. They convert a vague claim about salience into a set of signed and precisely estimated coefficients that either hold up or do not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62"/>
    <w:bookmarkStart w:id="63" w:name="X123bc3c1f1fb2b9108a1eb2e8bc30fadf6cd54f"/>
    <w:p>
      <w:pPr>
        <w:pStyle w:val="Heading2"/>
        <w:spacing w:line="480" w:lineRule="auto"/>
      </w:pPr>
      <w:r>
        <w:t xml:space="preserve">1.3 What the design deliberately does not claim</w:t>
      </w:r>
    </w:p>
    <w:p>
      <w:pPr>
        <w:pStyle w:val="FirstParagraph"/>
        <w:spacing w:line="480" w:lineRule="auto"/>
      </w:pPr>
      <w:r>
        <w:t xml:space="preserve">Honesty about scope is a load-bearing feature of this project rather than a disclaimer. The design tests the structure of a retrieved corpus. It does not measure the universe of space-governance documents, it does not observe the internal deliberations of licensing authorities, and it does not trace any individual rule back to any individual event. The citation counts it uses are local index measures, not universal citation totals, and the venue-family coding is ordinal and should not be read as a cardinal quality scale</w:t>
      </w:r>
      <w:r>
        <w:t xml:space="preserve"> </w:t>
      </w:r>
      <w:hyperlink w:anchor="ref-2">
        <w:r>
          <w:rPr>
            <w:rStyle w:val="Hyperlink"/>
          </w:rPr>
          <w:t xml:space="preserve">[2]</w:t>
        </w:r>
      </w:hyperlink>
      <w:r>
        <w:t xml:space="preserve">. A reader who wants a causal estimate of how a specific fragmentation changed a specific regulation will not find it here. What the reader will find is a transparent chain from source selection to variable construction to estimator output to interpretation, with every row of the underlying data preserving its provenance so the chain can be audited end to end</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This restraint reflects a view about how evidence should accumulate in a governance field that has often run ahead of its data. The technical literature on orbital risk is rich and quantitative</w:t>
      </w:r>
      <w:r>
        <w:t xml:space="preserve"> </w:t>
      </w:r>
      <w:hyperlink w:anchor="ref-7">
        <w:r>
          <w:rPr>
            <w:rStyle w:val="Hyperlink"/>
          </w:rPr>
          <w:t xml:space="preserve">[7]</w:t>
        </w:r>
      </w:hyperlink>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institutional literature is frequently qualitative and, at times, driven more by the alarm of the moment than by measured evidence. A design-stage dissertation cannot fix that imbalance on its own. It can model one honest brick and lay it where the next researcher can find it. The value of the exercise is not the size of the estimated effect but the reproducibility of the path that produced it.</w:t>
      </w:r>
    </w:p>
    <w:p>
      <w:pPr>
        <w:pStyle w:val="BodyText"/>
        <w:spacing w:line="480" w:lineRule="auto"/>
        <w:ind w:firstLine="720"/>
      </w:pPr>
      <w:r>
        <w:t xml:space="preserve">There is a second reason for the restraint, and it concerns the credibility of the wider research program this dissertation belongs to. Claims about space governance carry weight with real audiences: operators deciding how much coordination overhead to accept, agencies deciding where to spend surveillance budgets, and international bodies deciding whether a coordination norm has enough support to advance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A field that overstates what its evidence shows spends down that credibility quickly. By reporting only deterministic workbook results, and by marking the boundary between a signed precise coefficient and a noisy imprecise one, the design keeps its claims inside the envelope the data can defend.</w:t>
      </w:r>
    </w:p>
    <w:bookmarkEnd w:id="63"/>
    <w:bookmarkStart w:id="64" w:name="Xba77f2dd30fdaa9819a8ee139162cf02a0f3fa7"/>
    <w:p>
      <w:pPr>
        <w:pStyle w:val="Heading2"/>
        <w:spacing w:line="480" w:lineRule="auto"/>
      </w:pPr>
      <w:r>
        <w:t xml:space="preserve">1.4 The setting: an orbital commons under acceleration</w:t>
      </w:r>
    </w:p>
    <w:p>
      <w:pPr>
        <w:pStyle w:val="FirstParagraph"/>
        <w:spacing w:line="480" w:lineRule="auto"/>
      </w:pPr>
      <w:r>
        <w:t xml:space="preserve">To see why the question is timely rather than perennial, consider how the orbital environment has changed in the span the corpus covers. The earliest source in the dataset dates to 2008, a period when the resident-space-object population grew slowly and the debris budget was dominated by a handful of historic events</w:t>
      </w:r>
      <w:r>
        <w:t xml:space="preserve"> </w:t>
      </w:r>
      <w:hyperlink w:anchor="ref-7">
        <w:r>
          <w:rPr>
            <w:rStyle w:val="Hyperlink"/>
          </w:rPr>
          <w:t xml:space="preserve">[7]</w:t>
        </w:r>
      </w:hyperlink>
      <w:r>
        <w:t xml:space="preserve">. The most recent sources date to 2026, a period in which constellation deployment has added thousands of active spacecraft to a few congested shells and in which a single fragmentation inside such a shell can threaten a constellation’s own membership rather than only the shared commons</w:t>
      </w:r>
      <w:r>
        <w:t xml:space="preserve"> </w:t>
      </w:r>
      <w:hyperlink w:anchor="ref-4">
        <w:r>
          <w:rPr>
            <w:rStyle w:val="Hyperlink"/>
          </w:rPr>
          <w:t xml:space="preserve">[4]</w:t>
        </w:r>
      </w:hyperlink>
      <w:r>
        <w:t xml:space="preserve">. In less than two decades the problem has changed character. It has moved from a slow-accumulation regime, where the governance clock could tick leisurely, into a regime where the tempo of events and the tempo of deployment have both accelerated past the pace at which institutions historically move.</w:t>
      </w:r>
    </w:p>
    <w:p>
      <w:pPr>
        <w:pStyle w:val="BodyText"/>
        <w:spacing w:line="480" w:lineRule="auto"/>
        <w:ind w:firstLine="720"/>
      </w:pPr>
      <w:r>
        <w:t xml:space="preserve">This acceleration sharpens the behavioral question. When events were rare, the difference between an availability-biased institution and a rational one was hard to observe, because there were too few salient events to reveal a pattern. As the cadence of characterizable events rises with the sensing envelope</w:t>
      </w:r>
      <w:r>
        <w:t xml:space="preserve"> </w:t>
      </w:r>
      <w:hyperlink w:anchor="ref-5">
        <w:r>
          <w:rPr>
            <w:rStyle w:val="Hyperlink"/>
          </w:rPr>
          <w:t xml:space="preserve">[5]</w:t>
        </w:r>
      </w:hyperlink>
      <w:r>
        <w:t xml:space="preserve"> </w:t>
      </w:r>
      <w:hyperlink w:anchor="ref-13">
        <w:r>
          <w:rPr>
            <w:rStyle w:val="Hyperlink"/>
          </w:rPr>
          <w:t xml:space="preserve">[13]</w:t>
        </w:r>
      </w:hyperlink>
      <w:r>
        <w:t xml:space="preserve">, the two kinds of institution should diverge in observable ways. A rational institution would smooth its attention across the rising risk trend. An availability-biased institution would lurch from vivid event to vivid event. The corpus that surrounds the problem is where that divergence, if it exists, should first become visible, which is why a bibliometric screen is a sensible first instrument even though it cannot settle the causal question.</w:t>
      </w:r>
    </w:p>
    <w:p>
      <w:pPr>
        <w:pStyle w:val="BodyText"/>
        <w:spacing w:line="480" w:lineRule="auto"/>
        <w:ind w:firstLine="720"/>
      </w:pPr>
      <w:r>
        <w:t xml:space="preserve">The setting also raises the cost of getting the governance answer wrong. A congested shell that suffers a cascading fragmentation does not recover on a policy-relevant timescale; the fragments persist for decades and impose collision risk on every operator who shares the volume</w:t>
      </w:r>
      <w:r>
        <w:t xml:space="preserve"> </w:t>
      </w:r>
      <w:hyperlink w:anchor="ref-7">
        <w:r>
          <w:rPr>
            <w:rStyle w:val="Hyperlink"/>
          </w:rPr>
          <w:t xml:space="preserve">[7]</w:t>
        </w:r>
      </w:hyperlink>
      <w:r>
        <w:t xml:space="preserve"> </w:t>
      </w:r>
      <w:hyperlink w:anchor="ref-11">
        <w:r>
          <w:rPr>
            <w:rStyle w:val="Hyperlink"/>
          </w:rPr>
          <w:t xml:space="preserve">[11]</w:t>
        </w:r>
      </w:hyperlink>
      <w:r>
        <w:t xml:space="preserve">. If institutions wait for a vivid event before acting, and if the vivid event is precisely the cascading collision they should have prevented, then availability bias is not a harmless quirk of attention but a mechanism that delays action until after the irreversible harm. The stakes of the behavioral question are therefore not academic. They bear on whether the governance system can act before, rather than after, the events that would justify action in hindsight.</w:t>
      </w:r>
    </w:p>
    <w:bookmarkEnd w:id="64"/>
    <w:bookmarkStart w:id="65" w:name="a-worked-illustration-of-the-problem"/>
    <w:p>
      <w:pPr>
        <w:pStyle w:val="Heading2"/>
        <w:spacing w:line="480" w:lineRule="auto"/>
      </w:pPr>
      <w:r>
        <w:t xml:space="preserve">1.5 A worked illustration of the problem</w:t>
      </w:r>
    </w:p>
    <w:p>
      <w:pPr>
        <w:pStyle w:val="FirstParagraph"/>
        <w:spacing w:line="480" w:lineRule="auto"/>
      </w:pPr>
      <w:r>
        <w:t xml:space="preserve">Consider a stylized sequence that makes the abstract question concrete. A rocket body in a mid-inclination low-Earth-orbit shell explodes, generating several hundred trackable fragments. Within weeks, surveillance networks catalog the cloud, and characterization studies reconstruct the break-up geometry and estimate the fragment population</w:t>
      </w:r>
      <w:r>
        <w:t xml:space="preserve"> </w:t>
      </w:r>
      <w:hyperlink w:anchor="ref-9">
        <w:r>
          <w:rPr>
            <w:rStyle w:val="Hyperlink"/>
          </w:rPr>
          <w:t xml:space="preserve">[9]</w:t>
        </w:r>
      </w:hyperlink>
      <w:r>
        <w:t xml:space="preserve"> </w:t>
      </w:r>
      <w:hyperlink w:anchor="ref-10">
        <w:r>
          <w:rPr>
            <w:rStyle w:val="Hyperlink"/>
          </w:rPr>
          <w:t xml:space="preserve">[10]</w:t>
        </w:r>
      </w:hyperlink>
      <w:r>
        <w:t xml:space="preserve">. Operators sharing the shell recompute their conjunction risk and, in the near term, maneuver more often. The technical response is fast, quantitative, and well documented. The institutional response is where the uncertainty lives. Does the event push a national licensing authority to tighten a passivation requirement? Does a coordination body accelerate a debris-mitigation guideline that had been stalled? Or does the alarm fade as the fragment cloud spreads and the maneuvering settles into a new baseline?</w:t>
      </w:r>
    </w:p>
    <w:p>
      <w:pPr>
        <w:pStyle w:val="BodyText"/>
        <w:spacing w:line="480" w:lineRule="auto"/>
        <w:ind w:firstLine="720"/>
      </w:pPr>
      <w:r>
        <w:t xml:space="preserve">This stylized sequence exposes exactly what is observable and what is not. The technical characterization is observable, and it leaves a documentary trace in the conference and journal literature that this dissertation can measure</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institutional response is far less observable, because it unfolds inside authorities whose deliberations are not public in an estimable form. This asymmetry is the reason the dissertation begins with the documentary trace. If the salience of such events is going to be studied empirically at all, the first tractable question is whether the events leave a measurable structural imprint on the literature, before any harder question about institutional response can be posed with evidence rather than intuition</w:t>
      </w:r>
      <w:r>
        <w:t xml:space="preserve"> </w:t>
      </w:r>
      <w:hyperlink w:anchor="ref-4">
        <w:r>
          <w:rPr>
            <w:rStyle w:val="Hyperlink"/>
          </w:rPr>
          <w:t xml:space="preserve">[4]</w:t>
        </w:r>
      </w:hyperlink>
      <w:r>
        <w:t xml:space="preserve">.</w:t>
      </w:r>
    </w:p>
    <w:p>
      <w:pPr>
        <w:pStyle w:val="BodyText"/>
        <w:spacing w:line="480" w:lineRule="auto"/>
        <w:ind w:firstLine="720"/>
      </w:pPr>
      <w:r>
        <w:t xml:space="preserve">The illustration also shows why a single case cannot answer the question. Any one event is confounded by everything else happening in its year: other events, budget cycles, geopolitical shifts, and the slow drift of standing agendas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Isolating the salience of events from that background requires looking across many records at once and asking whether, in aggregate, the topic signal is patterned by the features salience should shape. That aggregate, cross-record view is what the two estimators provide, and it is why the design works on a corpus of thirty records rather than a narrative of one dramatic break-up.</w:t>
      </w:r>
    </w:p>
    <w:bookmarkEnd w:id="65"/>
    <w:bookmarkStart w:id="66" w:name="method-in-brief"/>
    <w:p>
      <w:pPr>
        <w:pStyle w:val="Heading2"/>
        <w:spacing w:line="480" w:lineRule="auto"/>
      </w:pPr>
      <w:r>
        <w:t xml:space="preserve">1.6 Method in brief</w:t>
      </w:r>
    </w:p>
    <w:p>
      <w:pPr>
        <w:pStyle w:val="FirstParagraph"/>
        <w:spacing w:line="480" w:lineRule="auto"/>
      </w:pPr>
      <w:r>
        <w:t xml:space="preserve">The empirical strategy compresses into two sentences that the later chapters unpack. First, an ordinary least squares model asks whether the topic signal in each source record is structured by the record’s recency, its citation attention, and its venue family, using deterministic variables and robust standard errors on thirty auditable records</w:t>
      </w:r>
      <w:r>
        <w:t xml:space="preserve"> </w:t>
      </w:r>
      <w:hyperlink w:anchor="ref-3">
        <w:r>
          <w:rPr>
            <w:rStyle w:val="Hyperlink"/>
          </w:rPr>
          <w:t xml:space="preserve">[3]</w:t>
        </w:r>
      </w:hyperlink>
      <w:r>
        <w:t xml:space="preserve"> </w:t>
      </w:r>
      <w:hyperlink w:anchor="ref-6">
        <w:r>
          <w:rPr>
            <w:rStyle w:val="Hyperlink"/>
          </w:rPr>
          <w:t xml:space="preserve">[6]</w:t>
        </w:r>
      </w:hyperlink>
      <w:r>
        <w:t xml:space="preserve">. Second, a log-log learning-curve model asks how citation accumulation is shaped by article age, isolating the mechanical age effect so that any claim about salience-driven citation attention can be read against a proper baseline</w:t>
      </w:r>
      <w:r>
        <w:t xml:space="preserve"> </w:t>
      </w:r>
      <w:hyperlink w:anchor="ref-2">
        <w:r>
          <w:rPr>
            <w:rStyle w:val="Hyperlink"/>
          </w:rPr>
          <w:t xml:space="preserve">[2]</w:t>
        </w:r>
      </w:hyperlink>
      <w:r>
        <w:t xml:space="preserve">. Both models run on a single data file in which every row names its source, so that a later analyst can reconstruct the estimation inputs without trusting any step that cannot be checked.</w:t>
      </w:r>
    </w:p>
    <w:p>
      <w:pPr>
        <w:pStyle w:val="BodyText"/>
        <w:spacing w:line="480" w:lineRule="auto"/>
        <w:ind w:firstLine="720"/>
      </w:pPr>
      <w:r>
        <w:t xml:space="preserve">Choosing two small models rather than one large one is itself a methodological commitment, and it follows from the sample size. Thirty records cannot support an interaction-heavy specification without exhausting their degrees of freedom, so the design uses two compact, well-posed estimators, each answering a single question the data can actually bear</w:t>
      </w:r>
      <w:r>
        <w:t xml:space="preserve"> </w:t>
      </w:r>
      <w:hyperlink w:anchor="ref-5">
        <w:r>
          <w:rPr>
            <w:rStyle w:val="Hyperlink"/>
          </w:rPr>
          <w:t xml:space="preserve">[5]</w:t>
        </w:r>
      </w:hyperlink>
      <w:r>
        <w:t xml:space="preserve">. This is a deliberate trade of ambition for reliability. The models will not deliver a grand causal estimate, but the estimates they do deliver will mean exactly what their formulas say, which is the property a design-stage dissertation most needs.</w:t>
      </w:r>
    </w:p>
    <w:bookmarkEnd w:id="66"/>
    <w:bookmarkStart w:id="67" w:name="roadmap"/>
    <w:p>
      <w:pPr>
        <w:pStyle w:val="Heading2"/>
        <w:spacing w:line="480" w:lineRule="auto"/>
      </w:pPr>
      <w:r>
        <w:t xml:space="preserve">1.7 Roadmap</w:t>
      </w:r>
    </w:p>
    <w:p>
      <w:pPr>
        <w:pStyle w:val="FirstParagraph"/>
        <w:spacing w:line="480" w:lineRule="auto"/>
      </w:pPr>
      <w:r>
        <w:t xml:space="preserve">The chapters that follow build the argument in order. Chapter 2 situates the project against the prior technical and institutional literature, drawing the distinction between work that identifies orbital risk and work that explains governance response. Chapter 3 develops the theory: the availability-and-alarm mechanism, the reasons it might imprint on a document corpus, and the testable predictions it generates. Chapter 4 lays out the two estimators and explains what each one can and cannot identify. Chapter 5 describes the dataset, the construction of every variable, the sources, and the sample size. Chapter 6 reports the estimator output exactly as the empirical workbooks produced it and interprets the signs and magnitudes. Chapter 7 turns to discussion and limitations, naming the threats to validity and the questions the data cannot answer. Chapter 8 states the contribution, draws the governance and program implications, and sets out the next design in the research program.</w:t>
      </w:r>
    </w:p>
    <w:p>
      <w:pPr>
        <w:pStyle w:val="BodyText"/>
        <w:spacing w:line="480" w:lineRule="auto"/>
        <w:ind w:firstLine="720"/>
      </w:pPr>
      <w:r>
        <w:t xml:space="preserve">The through-line is a single commitment. Say only what the evidence licenses, and make it easy for a reader to check. That commitment shapes every choice that follows, from the ordinal coding of venue family to the decision to report a statistically weak recency coefficient rather than bury it. A dissertation can clarify its evidentiary chain or it can hide weak inference behind confident prose. This one chooses the first path, and the price of that choice is a set of conclusions narrower than a reader hoping for a grand causal claim might want. The compensating benefit is that the narrow conclusions are ones a skeptic can trust.</w:t>
      </w:r>
    </w:p>
    <w:p>
      <w:pPr>
        <w:pStyle w:val="BodyText"/>
        <w:spacing w:line="480" w:lineRule="auto"/>
        <w:ind w:firstLine="720"/>
      </w:pPr>
      <w:r>
        <w:t xml:space="preserve">A brief word on terms will help the reader who is new to the domain. A conjunction is a close approach between two orbiting objects, and the assessment of which conjunctions are most concerning is a research program in its own right</w:t>
      </w:r>
      <w:r>
        <w:t xml:space="preserve"> </w:t>
      </w:r>
      <w:hyperlink w:anchor="ref-1">
        <w:r>
          <w:rPr>
            <w:rStyle w:val="Hyperlink"/>
          </w:rPr>
          <w:t xml:space="preserve">[1]</w:t>
        </w:r>
      </w:hyperlink>
      <w:r>
        <w:t xml:space="preserve"> </w:t>
      </w:r>
      <w:hyperlink w:anchor="ref-16">
        <w:r>
          <w:rPr>
            <w:rStyle w:val="Hyperlink"/>
          </w:rPr>
          <w:t xml:space="preserve">[16]</w:t>
        </w:r>
      </w:hyperlink>
      <w:r>
        <w:t xml:space="preserve">. A fragmentation is the break-up of an object into many tracked pieces, whether from collision, explosion, or deliberate action, and its early characterization has become a specialized craft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Space situational awareness is the sensing and cataloging enterprise that makes both observable</w:t>
      </w:r>
      <w:r>
        <w:t xml:space="preserve"> </w:t>
      </w:r>
      <w:hyperlink w:anchor="ref-2">
        <w:r>
          <w:rPr>
            <w:rStyle w:val="Hyperlink"/>
          </w:rPr>
          <w:t xml:space="preserve">[2]</w:t>
        </w:r>
      </w:hyperlink>
      <w:r>
        <w:t xml:space="preserve">. These are the raw phenomena from which salience is built. When this dissertation speaks of a salient event, it means a conjunction or fragmentation vivid enough to draw the attention of the community that publishes about it, and the topic signal is the measurable trace that attention leaves in the source record. The chapters that follow move from these phenomena, through the literature and theory that frame them, to the two estimators that measure their imprint, and finally to what that imprint does and does not license the field to conclude.</w:t>
      </w:r>
    </w:p>
    <w:bookmarkEnd w:id="67"/>
    <w:bookmarkEnd w:id="68"/>
    <w:bookmarkStart w:id="77" w:name="chapter-2.-literature-and-positioning"/>
    <w:p>
      <w:pPr>
        <w:pStyle w:val="Heading1"/>
        <w:spacing w:line="480" w:lineRule="auto"/>
      </w:pPr>
      <w:r>
        <w:t xml:space="preserve">Chapter 2. Literature and Positioning</w:t>
      </w:r>
    </w:p>
    <w:p>
      <w:pPr>
        <w:pStyle w:val="FirstParagraph"/>
        <w:spacing w:line="480" w:lineRule="auto"/>
      </w:pPr>
      <w:r>
        <w:t xml:space="preserve">The literature that surrounds orbital collision and fragmentation splits along a seam that this dissertation makes central. On one side sits a large, technically mature body of work that detects, tracks, characterizes, and models on-orbit events. On the other side sits a smaller, less settled body of work that asks how governance responds to those events. The first body of work is the raw material of salience: it produces the warnings, the risk assessments, and the event characterizations that could, in principle, drive institutional attention. The second body of work is where the causal claim of interest lives. This chapter walks both sides of the seam, shows why neither side alone answers the dissertation’s question, and positions the two empirical screens as a bridge across it.</w:t>
      </w:r>
    </w:p>
    <w:bookmarkStart w:id="69" w:name="X8996823acb403ce33c90546dc714bbcc55c4a90"/>
    <w:p>
      <w:pPr>
        <w:pStyle w:val="Heading2"/>
        <w:spacing w:line="480" w:lineRule="auto"/>
      </w:pPr>
      <w:r>
        <w:t xml:space="preserve">2.1 How the literature is organized in this review</w:t>
      </w:r>
    </w:p>
    <w:p>
      <w:pPr>
        <w:pStyle w:val="FirstParagraph"/>
        <w:spacing w:line="480" w:lineRule="auto"/>
      </w:pPr>
      <w:r>
        <w:t xml:space="preserve">This review sorts the prior work into four bands, and naming the bands up front helps the reader see why the empirical design touches each. The first band is detection and characterization: the technical work that observes and reconstructs orbital events</w:t>
      </w:r>
      <w:r>
        <w:t xml:space="preserve"> </w:t>
      </w:r>
      <w:hyperlink w:anchor="ref-3">
        <w:r>
          <w:rPr>
            <w:rStyle w:val="Hyperlink"/>
          </w:rPr>
          <w:t xml:space="preserve">[3]</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 The second is risk assessment: the work that translates observations into operator-facing probabilities and warnings</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third is domain expansion: the work extending surveillance and governance past the traditional geocentric shells</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fourth is institutional and strategic response: the work that frames how governance and security should adapt</w:t>
      </w:r>
      <w:r>
        <w:t xml:space="preserve"> </w:t>
      </w:r>
      <w:hyperlink w:anchor="ref-15">
        <w:r>
          <w:rPr>
            <w:rStyle w:val="Hyperlink"/>
          </w:rPr>
          <w:t xml:space="preserve">[15]</w:t>
        </w:r>
      </w:hyperlink>
      <w:r>
        <w:t xml:space="preserve">. The dissertation’s corpus draws records from all four bands, and the venue predictor in the primary model roughly tracks the movement from the first band toward the fourth, which is why the review is organized this way rather than chronologically.</w:t>
      </w:r>
    </w:p>
    <w:p>
      <w:pPr>
        <w:pStyle w:val="BodyText"/>
        <w:spacing w:line="480" w:lineRule="auto"/>
        <w:ind w:firstLine="720"/>
      </w:pPr>
      <w:r>
        <w:t xml:space="preserve">Sorting the literature into bands also exposes where the field is strong and where it is thin. The detection and risk-assessment bands are mature, quantitative, and fast-moving</w:t>
      </w:r>
      <w:r>
        <w:t xml:space="preserve"> </w:t>
      </w:r>
      <w:hyperlink w:anchor="ref-5">
        <w:r>
          <w:rPr>
            <w:rStyle w:val="Hyperlink"/>
          </w:rPr>
          <w:t xml:space="preserve">[5]</w:t>
        </w:r>
      </w:hyperlink>
      <w:r>
        <w:t xml:space="preserve"> </w:t>
      </w:r>
      <w:hyperlink w:anchor="ref-13">
        <w:r>
          <w:rPr>
            <w:rStyle w:val="Hyperlink"/>
          </w:rPr>
          <w:t xml:space="preserve">[13]</w:t>
        </w:r>
      </w:hyperlink>
      <w:r>
        <w:t xml:space="preserve">. The institutional-response band is younger, more normative, and rarely tied to measured evidence of how governance actually moves</w:t>
      </w:r>
      <w:r>
        <w:t xml:space="preserve"> </w:t>
      </w:r>
      <w:hyperlink w:anchor="ref-14">
        <w:r>
          <w:rPr>
            <w:rStyle w:val="Hyperlink"/>
          </w:rPr>
          <w:t xml:space="preserve">[14]</w:t>
        </w:r>
      </w:hyperlink>
      <w:r>
        <w:t xml:space="preserve">. The dissertation’s contribution sits precisely at the seam between the mature technical bands and the thin institutional one, and the review is built to make that seam visible rather than to catalog every paper in the field.</w:t>
      </w:r>
    </w:p>
    <w:bookmarkEnd w:id="69"/>
    <w:bookmarkStart w:id="70" w:name="X32ef698ab3c53a148953ec0831f84f9aa619238"/>
    <w:p>
      <w:pPr>
        <w:pStyle w:val="Heading2"/>
        <w:spacing w:line="480" w:lineRule="auto"/>
      </w:pPr>
      <w:r>
        <w:t xml:space="preserve">2.2 Detecting and characterizing orbital events</w:t>
      </w:r>
    </w:p>
    <w:p>
      <w:pPr>
        <w:pStyle w:val="FirstParagraph"/>
        <w:spacing w:line="480" w:lineRule="auto"/>
      </w:pPr>
      <w:r>
        <w:t xml:space="preserve">The technical foundation begins with the recognition that catastrophic collisions are qualitatively different from the routine attrition of the orbital environment. Early comparative work on catastrophic on-orbit collisions established that a small number of high-energy events dominate the debris budget and that their fragment populations behave in characteristic ways</w:t>
      </w:r>
      <w:r>
        <w:t xml:space="preserve"> </w:t>
      </w:r>
      <w:hyperlink w:anchor="ref-7">
        <w:r>
          <w:rPr>
            <w:rStyle w:val="Hyperlink"/>
          </w:rPr>
          <w:t xml:space="preserve">[7]</w:t>
        </w:r>
      </w:hyperlink>
      <w:r>
        <w:t xml:space="preserve">. That framing matters for a study of salience because it identifies the class of events most likely to be vivid: the rare, high-energy break-up rather than the slow decay of an aging spacecraft.</w:t>
      </w:r>
    </w:p>
    <w:p>
      <w:pPr>
        <w:pStyle w:val="BodyText"/>
        <w:spacing w:line="480" w:lineRule="auto"/>
        <w:ind w:firstLine="720"/>
      </w:pPr>
      <w:r>
        <w:t xml:space="preserve">Detection and characterization methods have advanced substantially since that early work. Track-to-track association of optical observations now supports fragmentation detection with a rigor that earlier catalogs could not achieve</w:t>
      </w:r>
      <w:r>
        <w:t xml:space="preserve"> </w:t>
      </w:r>
      <w:hyperlink w:anchor="ref-3">
        <w:r>
          <w:rPr>
            <w:rStyle w:val="Hyperlink"/>
          </w:rPr>
          <w:t xml:space="preserve">[3]</w:t>
        </w:r>
      </w:hyperlink>
      <w:r>
        <w:t xml:space="preserve">. Early identification and tracking of fragments from break-up events has become a research program in its own right</w:t>
      </w:r>
      <w:r>
        <w:t xml:space="preserve"> </w:t>
      </w:r>
      <w:hyperlink w:anchor="ref-6">
        <w:r>
          <w:rPr>
            <w:rStyle w:val="Hyperlink"/>
          </w:rPr>
          <w:t xml:space="preserve">[6]</w:t>
        </w:r>
      </w:hyperlink>
      <w:r>
        <w:t xml:space="preserve">, and the short-term reconstruction of in-orbit break-ups is now treated as a tractable estimation problem</w:t>
      </w:r>
      <w:r>
        <w:t xml:space="preserve"> </w:t>
      </w:r>
      <w:hyperlink w:anchor="ref-10">
        <w:r>
          <w:rPr>
            <w:rStyle w:val="Hyperlink"/>
          </w:rPr>
          <w:t xml:space="preserve">[10]</w:t>
        </w:r>
      </w:hyperlink>
      <w:r>
        <w:t xml:space="preserve">. The characterization of fragmentation events at their earliest stages has drawn sustained attention</w:t>
      </w:r>
      <w:r>
        <w:t xml:space="preserve"> </w:t>
      </w:r>
      <w:hyperlink w:anchor="ref-9">
        <w:r>
          <w:rPr>
            <w:rStyle w:val="Hyperlink"/>
          </w:rPr>
          <w:t xml:space="preserve">[9]</w:t>
        </w:r>
      </w:hyperlink>
      <w:r>
        <w:t xml:space="preserve">, and machine-learning approaches, including graph neural networks for explosion and collision event characterization, have entered the toolkit</w:t>
      </w:r>
      <w:r>
        <w:t xml:space="preserve"> </w:t>
      </w:r>
      <w:hyperlink w:anchor="ref-5">
        <w:r>
          <w:rPr>
            <w:rStyle w:val="Hyperlink"/>
          </w:rPr>
          <w:t xml:space="preserve">[5]</w:t>
        </w:r>
      </w:hyperlink>
      <w:r>
        <w:t xml:space="preserve">. Recent work on enhanced spatiotemporal representation for space-target detection and tracking pushes the sensing frontier further</w:t>
      </w:r>
      <w:r>
        <w:t xml:space="preserve"> </w:t>
      </w:r>
      <w:hyperlink w:anchor="ref-13">
        <w:r>
          <w:rPr>
            <w:rStyle w:val="Hyperlink"/>
          </w:rPr>
          <w:t xml:space="preserve">[13]</w:t>
        </w:r>
      </w:hyperlink>
      <w:r>
        <w:t xml:space="preserve">. Taken together, this line of work means the raw supply of information about orbital events, the very thing that could make an event salient to an institution, is richer and faster than it was a decade ago.</w:t>
      </w:r>
    </w:p>
    <w:p>
      <w:pPr>
        <w:pStyle w:val="BodyText"/>
        <w:spacing w:line="480" w:lineRule="auto"/>
        <w:ind w:firstLine="720"/>
      </w:pPr>
      <w:r>
        <w:t xml:space="preserve">Risk assessment is the natural companion to detection. Comprehensive assessments of collision likelihood in geosynchronous orbit have quantified the probability structure of the most congested high-value regime</w:t>
      </w:r>
      <w:r>
        <w:t xml:space="preserve"> </w:t>
      </w:r>
      <w:hyperlink w:anchor="ref-11">
        <w:r>
          <w:rPr>
            <w:rStyle w:val="Hyperlink"/>
          </w:rPr>
          <w:t xml:space="preserve">[11]</w:t>
        </w:r>
      </w:hyperlink>
      <w:r>
        <w:t xml:space="preserve">, and focused risk assessments of recent high-interest conjunctions have translated raw catalog data into operator-facing warnings</w:t>
      </w:r>
      <w:r>
        <w:t xml:space="preserve"> </w:t>
      </w:r>
      <w:hyperlink w:anchor="ref-16">
        <w:r>
          <w:rPr>
            <w:rStyle w:val="Hyperlink"/>
          </w:rPr>
          <w:t xml:space="preserve">[16]</w:t>
        </w:r>
      </w:hyperlink>
      <w:r>
        <w:t xml:space="preserve">. The resilience of large constellations to accidental and intentional fragmentation has been modeled explicitly, which is significant because it reframes debris not only as a shared-commons hazard but as a threat to the internal integrity of a single operator’s fleet</w:t>
      </w:r>
      <w:r>
        <w:t xml:space="preserve"> </w:t>
      </w:r>
      <w:hyperlink w:anchor="ref-4">
        <w:r>
          <w:rPr>
            <w:rStyle w:val="Hyperlink"/>
          </w:rPr>
          <w:t xml:space="preserve">[4]</w:t>
        </w:r>
      </w:hyperlink>
      <w:r>
        <w:t xml:space="preserve">. These assessments are the documents most likely to travel from the technical community toward the institutional community, because they carry an actionable warning rather than a purely descriptive result.</w:t>
      </w:r>
    </w:p>
    <w:bookmarkEnd w:id="70"/>
    <w:bookmarkStart w:id="71" w:name="the-widening-operational-domain"/>
    <w:p>
      <w:pPr>
        <w:pStyle w:val="Heading2"/>
        <w:spacing w:line="480" w:lineRule="auto"/>
      </w:pPr>
      <w:r>
        <w:t xml:space="preserve">2.3 The widening operational domain</w:t>
      </w:r>
    </w:p>
    <w:p>
      <w:pPr>
        <w:pStyle w:val="FirstParagraph"/>
        <w:spacing w:line="480" w:lineRule="auto"/>
      </w:pPr>
      <w:r>
        <w:t xml:space="preserve">A second strand of the technical literature matters because it shows the domain of concern expanding faster than governance can follow. On-orbit spacecraft technologies are evolving in ways that complicate space situational awareness, from maneuverable platforms to servicing missions, and the associated challenges have been laid out as a forward-looking agenda</w:t>
      </w:r>
      <w:r>
        <w:t xml:space="preserve"> </w:t>
      </w:r>
      <w:hyperlink w:anchor="ref-2">
        <w:r>
          <w:rPr>
            <w:rStyle w:val="Hyperlink"/>
          </w:rPr>
          <w:t xml:space="preserve">[2]</w:t>
        </w:r>
      </w:hyperlink>
      <w:r>
        <w:t xml:space="preserve">. Cislunar space, once a niche, is now a monitored environment: work on monitoring cislunar fragmentation events using a constellation of space-based observers demonstrates that the surveillance problem is being extended past the geocentric shells for which existing institutions were designed</w:t>
      </w:r>
      <w:r>
        <w:t xml:space="preserve"> </w:t>
      </w:r>
      <w:hyperlink w:anchor="ref-12">
        <w:r>
          <w:rPr>
            <w:rStyle w:val="Hyperlink"/>
          </w:rPr>
          <w:t xml:space="preserve">[12]</w:t>
        </w:r>
      </w:hyperlink>
      <w:r>
        <w:t xml:space="preserve">. The strategic framing of traffic management across cislunar and cismartian environments makes explicit that the governance problem is scaling with the domain</w:t>
      </w:r>
      <w:r>
        <w:t xml:space="preserve"> </w:t>
      </w:r>
      <w:hyperlink w:anchor="ref-14">
        <w:r>
          <w:rPr>
            <w:rStyle w:val="Hyperlink"/>
          </w:rPr>
          <w:t xml:space="preserve">[14]</w:t>
        </w:r>
      </w:hyperlink>
      <w:r>
        <w:t xml:space="preserve">.</w:t>
      </w:r>
    </w:p>
    <w:p>
      <w:pPr>
        <w:pStyle w:val="BodyText"/>
        <w:spacing w:line="480" w:lineRule="auto"/>
        <w:ind w:firstLine="720"/>
      </w:pPr>
      <w:r>
        <w:t xml:space="preserve">This expansion is relevant to a study of salience for a specific reason. Institutions respond to what they can see. As the sensing envelope grows, more events become observable, which raises the number of potential salience triggers even if the underlying rate of dangerous events per unit of activity holds constant. A governance system biased toward vivid recent events will face a rising stream of such events precisely because detection is improving. The literature on detection and domain expansion therefore sets up the empirical question: does the growing supply of observable events leave a measurable imprint on the structure of the corpus that surrounds them?</w:t>
      </w:r>
    </w:p>
    <w:bookmarkEnd w:id="71"/>
    <w:bookmarkStart w:id="72" w:name="X6ed6c90c11e519dd0b475900b1a48e381c1d04f"/>
    <w:p>
      <w:pPr>
        <w:pStyle w:val="Heading2"/>
        <w:spacing w:line="480" w:lineRule="auto"/>
      </w:pPr>
      <w:r>
        <w:t xml:space="preserve">2.4 From technical warning to institutional response</w:t>
      </w:r>
    </w:p>
    <w:p>
      <w:pPr>
        <w:pStyle w:val="FirstParagraph"/>
        <w:spacing w:line="480" w:lineRule="auto"/>
      </w:pPr>
      <w:r>
        <w:t xml:space="preserve">Here the literature thins. The seam is real. The security and strategy literature acknowledges that space systems now sit inside contested policy environments, and work on defense and security strategy for space and ground-based systems against hybrid threats shows that governance concerns extend well past debris into deliberate interference</w:t>
      </w:r>
      <w:r>
        <w:t xml:space="preserve"> </w:t>
      </w:r>
      <w:hyperlink w:anchor="ref-15">
        <w:r>
          <w:rPr>
            <w:rStyle w:val="Hyperlink"/>
          </w:rPr>
          <w:t xml:space="preserve">[15]</w:t>
        </w:r>
      </w:hyperlink>
      <w:r>
        <w:t xml:space="preserve">. Strategic frameworks for traffic management propose the institutional architectures that a maturing domain will need</w:t>
      </w:r>
      <w:r>
        <w:t xml:space="preserve"> </w:t>
      </w:r>
      <w:hyperlink w:anchor="ref-14">
        <w:r>
          <w:rPr>
            <w:rStyle w:val="Hyperlink"/>
          </w:rPr>
          <w:t xml:space="preserve">[14]</w:t>
        </w:r>
      </w:hyperlink>
      <w:r>
        <w:t xml:space="preserve">. What this strand generally does not do is establish, with measured evidence, the timing and magnitude of institutional response to specific salient events. The frameworks are often normative or prospective. They describe what governance should look like rather than measuring how governance has moved.</w:t>
      </w:r>
    </w:p>
    <w:p>
      <w:pPr>
        <w:pStyle w:val="BodyText"/>
        <w:spacing w:line="480" w:lineRule="auto"/>
        <w:ind w:firstLine="720"/>
      </w:pPr>
      <w:r>
        <w:t xml:space="preserve">This gap is not a failure of the field so much as a consequence of its youth and its data environment. Governance response is hard to observe directly. The internal deliberations of licensing authorities are not public in a form that supports clean estimation, and the mapping from a single fragmentation to a single rule change is confounded by the many other pressures acting on any institution at once. Faced with this, a researcher has two honest options. One is to code governance documents directly, a labor-intensive design that this dissertation defers to future work. The other is to ask whether the precondition for any such causal story holds: whether the salience signal is even structured in the literature that both the technical and institutional communities read. This dissertation takes the second option first, treating it as the necessary groundwork before the more expensive design is worth mounting.</w:t>
      </w:r>
    </w:p>
    <w:bookmarkEnd w:id="72"/>
    <w:bookmarkStart w:id="73" w:name="Xe6313bac465653e24d5f2f8ddb821418d4d4c2f"/>
    <w:p>
      <w:pPr>
        <w:pStyle w:val="Heading2"/>
        <w:spacing w:line="480" w:lineRule="auto"/>
      </w:pPr>
      <w:r>
        <w:t xml:space="preserve">2.5 Methods for reconstructing events as a model for corpus screening</w:t>
      </w:r>
    </w:p>
    <w:p>
      <w:pPr>
        <w:pStyle w:val="FirstParagraph"/>
        <w:spacing w:line="480" w:lineRule="auto"/>
      </w:pPr>
      <w:r>
        <w:t xml:space="preserve">The methodological literature on fragmentation reconstruction offers more than domain content; it offers a way of thinking about inference under noise that this dissertation borrows directly. Reconstructing an in-orbit break-up over the short term means recovering the structure of an event from partial, noisy observations, and the field has developed disciplined estimators for exactly that task</w:t>
      </w:r>
      <w:r>
        <w:t xml:space="preserve"> </w:t>
      </w:r>
      <w:hyperlink w:anchor="ref-10">
        <w:r>
          <w:rPr>
            <w:rStyle w:val="Hyperlink"/>
          </w:rPr>
          <w:t xml:space="preserve">[10]</w:t>
        </w:r>
      </w:hyperlink>
      <w:r>
        <w:t xml:space="preserve">. Early-stage characterization of fragmentation events faces the same challenge: the analyst has incomplete tracks and must decide what the data support before the fragment population is fully cataloged</w:t>
      </w:r>
      <w:r>
        <w:t xml:space="preserve"> </w:t>
      </w:r>
      <w:hyperlink w:anchor="ref-9">
        <w:r>
          <w:rPr>
            <w:rStyle w:val="Hyperlink"/>
          </w:rPr>
          <w:t xml:space="preserve">[9]</w:t>
        </w:r>
      </w:hyperlink>
      <w:r>
        <w:t xml:space="preserve">. Track-to-track association, in which observations from separate sensors are matched to infer a common origin, is a paradigm case of recovering real structure from imperfect inputs without overfitting to any single noisy track</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methodological posture maps onto the dissertation’s own inference problem. A retrieved corpus is a set of noisy observations of a latent quantity, the salience of the candidate topic, and the task is to recover whatever structure the corpus supports without inventing structure it does not. The estimators in Chapter 4 are, in this sense, the bibliometric analogue of a track-to-track association: they take deterministic features from many source records and ask whether those features cohere into a pattern, while refusing to read a pattern into records whose metadata is too thin to support one. Graph-based classification of collision and explosion events makes the analogy sharper still, because it shows the field already treating event characterization as a structured-data problem to be solved with transparent, reproducible models rather than expert intuition</w:t>
      </w:r>
      <w:r>
        <w:t xml:space="preserve"> </w:t>
      </w:r>
      <w:hyperlink w:anchor="ref-5">
        <w:r>
          <w:rPr>
            <w:rStyle w:val="Hyperlink"/>
          </w:rPr>
          <w:t xml:space="preserve">[5]</w:t>
        </w:r>
      </w:hyperlink>
      <w:r>
        <w:t xml:space="preserve">.</w:t>
      </w:r>
    </w:p>
    <w:p>
      <w:pPr>
        <w:pStyle w:val="BodyText"/>
        <w:spacing w:line="480" w:lineRule="auto"/>
        <w:ind w:firstLine="720"/>
      </w:pPr>
      <w:r>
        <w:t xml:space="preserve">What the dissertation takes from this is a lesson about calibration of confidence. The reconstruction literature does not claim to recover every fragment from a sparse observation set; it recovers what the observations bear and reports the rest as uncertainty</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The bibliometric screens adopt the same discipline. Where a coefficient is precise, they read structure; where a coefficient is imprecise, they read the corpus as unable to support the claim, rather than forcing the sparse data to yield a conclusion. This is not a borrowed metaphor for its own sake. It is a genuine transfer of inferential temperament from a mature technical field to a young institutional one.</w:t>
      </w:r>
    </w:p>
    <w:bookmarkEnd w:id="73"/>
    <w:bookmarkStart w:id="74" w:name="the-behavioral-and-bibliometric-frame"/>
    <w:p>
      <w:pPr>
        <w:pStyle w:val="Heading2"/>
        <w:spacing w:line="480" w:lineRule="auto"/>
      </w:pPr>
      <w:r>
        <w:t xml:space="preserve">2.6 The behavioral and bibliometric frame</w:t>
      </w:r>
    </w:p>
    <w:p>
      <w:pPr>
        <w:pStyle w:val="FirstParagraph"/>
        <w:spacing w:line="480" w:lineRule="auto"/>
      </w:pPr>
      <w:r>
        <w:t xml:space="preserve">The theoretical vocabulary of availability and alarm comes from behavioral decision research, and its application to a corpus is bibliometric rather than psychological. The claim is not that any individual scientist misjudges probabilities. The claim is that attention, as expressed through publication timing, citation accumulation, and venue choice, distributes across a topic in ways that reflect the salience of the underlying events. A vivid event should draw publications toward it in time, should accumulate citations in a structured way as its literature ages, and should distribute across venue families in a pattern that reflects where the alarmed community gathers.</w:t>
      </w:r>
    </w:p>
    <w:p>
      <w:pPr>
        <w:pStyle w:val="BodyText"/>
        <w:spacing w:line="480" w:lineRule="auto"/>
        <w:ind w:firstLine="720"/>
      </w:pPr>
      <w:r>
        <w:t xml:space="preserve">Bibliometric signals are imperfect proxies, and the literature that uses them is candid about the limits. Citation counts drawn from a local index are not universal citation totals, and they undercount recent work whose citations have not yet accrued</w:t>
      </w:r>
      <w:r>
        <w:t xml:space="preserve"> </w:t>
      </w:r>
      <w:hyperlink w:anchor="ref-2">
        <w:r>
          <w:rPr>
            <w:rStyle w:val="Hyperlink"/>
          </w:rPr>
          <w:t xml:space="preserve">[2]</w:t>
        </w:r>
      </w:hyperlink>
      <w:r>
        <w:t xml:space="preserve">. Venue family is a coarse ordinal signal that captures the difference between a conference proceeding and an archival journal but not the fine gradations of influence within either. These limits do not defeat the approach; they bound it. The relevant question is whether, inside those bounds, the salience signal is detectable at all. The methods literature on fragmentation detection offers a useful analogy: a track-to-track association is only as good as the observations that feed it, yet a disciplined association still recovers real structure from noisy inputs</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bibliometric screens in this dissertation are the same kind of disciplined association applied to a corpus.</w:t>
      </w:r>
    </w:p>
    <w:bookmarkEnd w:id="74"/>
    <w:bookmarkStart w:id="75" w:name="the-economics-of-the-orbital-commons"/>
    <w:p>
      <w:pPr>
        <w:pStyle w:val="Heading2"/>
        <w:spacing w:line="480" w:lineRule="auto"/>
      </w:pPr>
      <w:r>
        <w:t xml:space="preserve">2.7 The economics of the orbital commons</w:t>
      </w:r>
    </w:p>
    <w:p>
      <w:pPr>
        <w:pStyle w:val="FirstParagraph"/>
        <w:spacing w:line="480" w:lineRule="auto"/>
      </w:pPr>
      <w:r>
        <w:t xml:space="preserve">A further strand deserves separate treatment because it supplies the institutional stakes that the technical literature only gestures toward. The orbital environment is a common-pool resource, and the governance literature that treats it this way frames the finite carrying capacity of congested shells as a competition among operators whose individual incentives do not align with the collective interest. Synthesis work on the space economy has assembled the perspectives of the sector’s leaders on precisely this tension, emphasizing governance gaps, finite orbital resource competition, and the nexus between sustainability and security. That framing matters for a study of salience because it identifies the constituency that would respond to a salient event: not scientists in the abstract, but operators, insurers, and regulators whose commercial and strategic exposure to a fragmentation is direct and immediate</w:t>
      </w:r>
      <w:r>
        <w:t xml:space="preserve"> </w:t>
      </w:r>
      <w:hyperlink w:anchor="ref-4">
        <w:r>
          <w:rPr>
            <w:rStyle w:val="Hyperlink"/>
          </w:rPr>
          <w:t xml:space="preserve">[4]</w:t>
        </w:r>
      </w:hyperlink>
      <w:r>
        <w:t xml:space="preserve">.</w:t>
      </w:r>
    </w:p>
    <w:p>
      <w:pPr>
        <w:pStyle w:val="BodyText"/>
        <w:spacing w:line="480" w:lineRule="auto"/>
        <w:ind w:firstLine="720"/>
      </w:pPr>
      <w:r>
        <w:t xml:space="preserve">This commons framing also explains why detection alone does not resolve the governance problem. Perfect knowledge of every conjunction would not, by itself, align the incentives of operators who each prefer that someone else bear the cost of restraint. This is the classic structure of a commons dilemma, and it means the governance response to a salient event is mediated by the institutional architecture available to coordinate restraint, not merely by the information the event supplies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security dimension sharpens the dilemma further, because deliberate interference introduces an adversarial layer that pure sustainability framing misses; work on defense strategy against hybrid threats to space and ground systems makes that adversarial layer explicit</w:t>
      </w:r>
      <w:r>
        <w:t xml:space="preserve"> </w:t>
      </w:r>
      <w:hyperlink w:anchor="ref-15">
        <w:r>
          <w:rPr>
            <w:rStyle w:val="Hyperlink"/>
          </w:rPr>
          <w:t xml:space="preserve">[15]</w:t>
        </w:r>
      </w:hyperlink>
      <w:r>
        <w:t xml:space="preserve">. A salient fragmentation therefore lands in an institutional field already shaped by competing commercial, sustainability, and security interests, and the response depends on which of those interests the event activates.</w:t>
      </w:r>
    </w:p>
    <w:p>
      <w:pPr>
        <w:pStyle w:val="BodyText"/>
        <w:spacing w:line="480" w:lineRule="auto"/>
        <w:ind w:firstLine="720"/>
      </w:pPr>
      <w:r>
        <w:t xml:space="preserve">This is where the bibliometric approach earns its place. If salient events activate different constituencies, and if those constituencies publish in different venue families, then the distribution of the topic signal across venues carries information about which part of the institutional field an event’s salience reaches. A signal concentrated in fast technical venues reflects the operational and sustainability community; a signal reaching the policy and economy venues reflects diffusion toward the institutional response</w:t>
      </w:r>
      <w:r>
        <w:t xml:space="preserve"> </w:t>
      </w:r>
      <w:hyperlink w:anchor="ref-14">
        <w:r>
          <w:rPr>
            <w:rStyle w:val="Hyperlink"/>
          </w:rPr>
          <w:t xml:space="preserve">[14]</w:t>
        </w:r>
      </w:hyperlink>
      <w:r>
        <w:t xml:space="preserve">. The venue predictor in the primary model is, in this light, not a mere control but a probe of how far the salience of orbital events travels across the community that might act on it.</w:t>
      </w:r>
    </w:p>
    <w:bookmarkEnd w:id="75"/>
    <w:bookmarkStart w:id="76" w:name="where-this-dissertation-sits"/>
    <w:p>
      <w:pPr>
        <w:pStyle w:val="Heading2"/>
        <w:spacing w:line="480" w:lineRule="auto"/>
      </w:pPr>
      <w:r>
        <w:t xml:space="preserve">2.8 Where this dissertation sits</w:t>
      </w:r>
    </w:p>
    <w:p>
      <w:pPr>
        <w:pStyle w:val="FirstParagraph"/>
        <w:spacing w:line="480" w:lineRule="auto"/>
      </w:pPr>
      <w:r>
        <w:t xml:space="preserve">Against this literature, the dissertation occupies a specific and modest position. It does not add to the detection or characterization frontier; the technical work of</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w:t>
      </w:r>
      <w:r>
        <w:t xml:space="preserve"> </w:t>
      </w:r>
      <w:hyperlink w:anchor="ref-9">
        <w:r>
          <w:rPr>
            <w:rStyle w:val="Hyperlink"/>
          </w:rPr>
          <w:t xml:space="preserve">[9]</w:t>
        </w:r>
      </w:hyperlink>
      <w:r>
        <w:t xml:space="preserve">, and</w:t>
      </w:r>
      <w:r>
        <w:t xml:space="preserve"> </w:t>
      </w:r>
      <w:hyperlink w:anchor="ref-13">
        <w:r>
          <w:rPr>
            <w:rStyle w:val="Hyperlink"/>
          </w:rPr>
          <w:t xml:space="preserve">[13]</w:t>
        </w:r>
      </w:hyperlink>
      <w:r>
        <w:t xml:space="preserve"> </w:t>
      </w:r>
      <w:r>
        <w:t xml:space="preserve">already stands. It does not propose a new governance architecture; the strategic frameworks of</w:t>
      </w:r>
      <w:r>
        <w:t xml:space="preserve"> </w:t>
      </w:r>
      <w:hyperlink w:anchor="ref-14">
        <w:r>
          <w:rPr>
            <w:rStyle w:val="Hyperlink"/>
          </w:rPr>
          <w:t xml:space="preserve">[14]</w:t>
        </w:r>
      </w:hyperlink>
      <w:r>
        <w:t xml:space="preserve"> </w:t>
      </w:r>
      <w:r>
        <w:t xml:space="preserve">and</w:t>
      </w:r>
      <w:r>
        <w:t xml:space="preserve"> </w:t>
      </w:r>
      <w:hyperlink w:anchor="ref-15">
        <w:r>
          <w:rPr>
            <w:rStyle w:val="Hyperlink"/>
          </w:rPr>
          <w:t xml:space="preserve">[15]</w:t>
        </w:r>
      </w:hyperlink>
      <w:r>
        <w:t xml:space="preserve"> </w:t>
      </w:r>
      <w:r>
        <w:t xml:space="preserve">already do that. What it adds is a measurement of whether the salience of collision and fragmentation events is structured in the corpus that connects the technical and institutional communities. That measurement is the missing precondition. Prior work has assumed, plausibly but without a clean test, that salient events drive attention and that attention drives governance. This dissertation tests the first link of that chain with two deterministic estimators and reports exactly what they show.</w:t>
      </w:r>
    </w:p>
    <w:p>
      <w:pPr>
        <w:pStyle w:val="BodyText"/>
        <w:spacing w:line="480" w:lineRule="auto"/>
        <w:ind w:firstLine="720"/>
      </w:pPr>
      <w:r>
        <w:t xml:space="preserve">The positioning also clarifies what would count as a contribution and what would count as a null. If the topic signal is systematically related to recency, citation attention, and venue family, the dissertation supplies measured evidence for a link that the field has mostly taken on faith, and it points the next design toward direct governance-document coding</w:t>
      </w:r>
      <w:r>
        <w:t xml:space="preserve"> </w:t>
      </w:r>
      <w:hyperlink w:anchor="ref-1">
        <w:r>
          <w:rPr>
            <w:rStyle w:val="Hyperlink"/>
          </w:rPr>
          <w:t xml:space="preserve">[1]</w:t>
        </w:r>
      </w:hyperlink>
      <w:r>
        <w:t xml:space="preserve"> </w:t>
      </w:r>
      <w:hyperlink w:anchor="ref-4">
        <w:r>
          <w:rPr>
            <w:rStyle w:val="Hyperlink"/>
          </w:rPr>
          <w:t xml:space="preserve">[4]</w:t>
        </w:r>
      </w:hyperlink>
      <w:r>
        <w:t xml:space="preserve">. If the signal is unstructured, the dissertation delivers a disciplined null that warns the field against over-reading bibliometric salience as a proxy for institutional response</w:t>
      </w:r>
      <w:r>
        <w:t xml:space="preserve"> </w:t>
      </w:r>
      <w:hyperlink w:anchor="ref-2">
        <w:r>
          <w:rPr>
            <w:rStyle w:val="Hyperlink"/>
          </w:rPr>
          <w:t xml:space="preserve">[2]</w:t>
        </w:r>
      </w:hyperlink>
      <w:r>
        <w:t xml:space="preserve"> </w:t>
      </w:r>
      <w:hyperlink w:anchor="ref-5">
        <w:r>
          <w:rPr>
            <w:rStyle w:val="Hyperlink"/>
          </w:rPr>
          <w:t xml:space="preserve">[5]</w:t>
        </w:r>
      </w:hyperlink>
      <w:r>
        <w:t xml:space="preserve">. Either outcome advances the research program, because either outcome replaces an assumption with a result.</w:t>
      </w:r>
    </w:p>
    <w:p>
      <w:pPr>
        <w:pStyle w:val="BodyText"/>
        <w:spacing w:line="480" w:lineRule="auto"/>
        <w:ind w:firstLine="720"/>
      </w:pPr>
      <w:r>
        <w:t xml:space="preserve">Two gaps in the prior literature crystallize this positioning. The first is the gap between technical work and institutional explanation. The detection and characterization literature identifies operational risk with growing precision</w:t>
      </w:r>
      <w:r>
        <w:t xml:space="preserve"> </w:t>
      </w:r>
      <w:hyperlink w:anchor="ref-3">
        <w:r>
          <w:rPr>
            <w:rStyle w:val="Hyperlink"/>
          </w:rPr>
          <w:t xml:space="preserve">[3]</w:t>
        </w:r>
      </w:hyperlink>
      <w:r>
        <w:t xml:space="preserve"> </w:t>
      </w:r>
      <w:hyperlink w:anchor="ref-9">
        <w:r>
          <w:rPr>
            <w:rStyle w:val="Hyperlink"/>
          </w:rPr>
          <w:t xml:space="preserve">[9]</w:t>
        </w:r>
      </w:hyperlink>
      <w:r>
        <w:t xml:space="preserve"> </w:t>
      </w:r>
      <w:hyperlink w:anchor="ref-13">
        <w:r>
          <w:rPr>
            <w:rStyle w:val="Hyperlink"/>
          </w:rPr>
          <w:t xml:space="preserve">[13]</w:t>
        </w:r>
      </w:hyperlink>
      <w:r>
        <w:t xml:space="preserve">, but it does not explain why governance language hardens after some events and stays loose after others. That explanatory gap is not the technical community’s failure to fill; it is simply outside the scope of a detection paper. The second gap is between policy salience and measurement. Citation attention, publication recency, and venue family can reveal how a topic is distributed across a retrieved corpus, yet those signals need careful interpretation rather than naive reading, because each is a proxy with known biases</w:t>
      </w:r>
      <w:r>
        <w:t xml:space="preserve"> </w:t>
      </w:r>
      <w:hyperlink w:anchor="ref-2">
        <w:r>
          <w:rPr>
            <w:rStyle w:val="Hyperlink"/>
          </w:rPr>
          <w:t xml:space="preserve">[2]</w:t>
        </w:r>
      </w:hyperlink>
      <w:r>
        <w:t xml:space="preserve"> </w:t>
      </w:r>
      <w:hyperlink w:anchor="ref-4">
        <w:r>
          <w:rPr>
            <w:rStyle w:val="Hyperlink"/>
          </w:rPr>
          <w:t xml:space="preserve">[4]</w:t>
        </w:r>
      </w:hyperlink>
      <w:r>
        <w:t xml:space="preserve">. This dissertation lives in the intersection of the two gaps. It does not claim to explain institutional response, and it does not claim that bibliometric signals are more than proxies. It claims only to measure whether the proxies are structured, which is the narrow but checkable question the two gaps leave open.</w:t>
      </w:r>
    </w:p>
    <w:p>
      <w:pPr>
        <w:pStyle w:val="BodyText"/>
        <w:spacing w:line="480" w:lineRule="auto"/>
        <w:ind w:firstLine="720"/>
      </w:pPr>
      <w:r>
        <w:t xml:space="preserve">The standard this project holds itself to follows from that intersection. A result counts only if it survives the transparency of the estimation, and a claim counts only if it stays inside what the proxies can bear. That is the standard against which the theory in the next chapter is built, and it is the standard the results chapter enforces when it reports a weak recency coefficient as weak rather than promoting it to a confirmation the data do not support</w:t>
      </w:r>
      <w:r>
        <w:t xml:space="preserve"> </w:t>
      </w:r>
      <w:hyperlink w:anchor="ref-16">
        <w:r>
          <w:rPr>
            <w:rStyle w:val="Hyperlink"/>
          </w:rPr>
          <w:t xml:space="preserve">[16]</w:t>
        </w:r>
      </w:hyperlink>
      <w:r>
        <w:t xml:space="preserve">.</w:t>
      </w:r>
    </w:p>
    <w:bookmarkEnd w:id="76"/>
    <w:bookmarkEnd w:id="77"/>
    <w:bookmarkStart w:id="86" w:name="chapter-3.-theory-and-hypotheses"/>
    <w:p>
      <w:pPr>
        <w:pStyle w:val="Heading1"/>
        <w:spacing w:line="480" w:lineRule="auto"/>
      </w:pPr>
      <w:r>
        <w:t xml:space="preserve">Chapter 3. Theory and Hypotheses</w:t>
      </w:r>
    </w:p>
    <w:p>
      <w:pPr>
        <w:pStyle w:val="FirstParagraph"/>
        <w:spacing w:line="480" w:lineRule="auto"/>
      </w:pPr>
      <w:r>
        <w:t xml:space="preserve">The theory in this dissertation is a chain of three links, and the empirical work tests only the first. Salient orbital events draw attention. Attention structures the literature that surrounds a topic. A structured literature is a precondition for, though not proof of, the further claim that attention drives institutional response. This chapter builds the chain, isolates the link the data can bear, and derives the testable predictions that Chapters 4 through 6 evaluate. The aim is to make the mechanism explicit enough that its predictions could fail.</w:t>
      </w:r>
    </w:p>
    <w:bookmarkStart w:id="78" w:name="the-availability-and-alarm-mechanism"/>
    <w:p>
      <w:pPr>
        <w:pStyle w:val="Heading2"/>
        <w:spacing w:line="480" w:lineRule="auto"/>
      </w:pPr>
      <w:r>
        <w:t xml:space="preserve">3.1 The availability-and-alarm mechanism</w:t>
      </w:r>
    </w:p>
    <w:p>
      <w:pPr>
        <w:pStyle w:val="FirstParagraph"/>
        <w:spacing w:line="480" w:lineRule="auto"/>
      </w:pPr>
      <w:r>
        <w:t xml:space="preserve">Availability, in the behavioral sense, is the ease with which an instance comes to mind. A vivid, recent, high-consequence event is available to the mind; a slow statistical trend is not. Alarm is the affective charge that a threatening event carries. Together they bias attention toward the dramatic and the recent and away from the diffuse and the cumulative. The orbital environment supplies a clean setting for this bias because it contains both kinds of hazard at once. There is the slow, cumulative rise in aggregate collision probability, the kind of risk that comprehensive geosynchronous assessments quantify</w:t>
      </w:r>
      <w:r>
        <w:t xml:space="preserve"> </w:t>
      </w:r>
      <w:hyperlink w:anchor="ref-11">
        <w:r>
          <w:rPr>
            <w:rStyle w:val="Hyperlink"/>
          </w:rPr>
          <w:t xml:space="preserve">[11]</w:t>
        </w:r>
      </w:hyperlink>
      <w:r>
        <w:t xml:space="preserve">. And there is the sudden, vivid fragmentation, the kind of event that early-characterization and reconstruction studies race to describe</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A purely rational attention allocator would weight these hazards by their expected contribution to long-run risk. An availability-biased allocator overweights the vivid event. The prediction that separates the two is about timing and concentration. If attention is rational, publications and citations should track the slow risk trend. If attention is availability-biased, they should cluster around salient events and around the recent period in which detection has made such events more visible</w:t>
      </w:r>
      <w:r>
        <w:t xml:space="preserve"> </w:t>
      </w:r>
      <w:hyperlink w:anchor="ref-2">
        <w:r>
          <w:rPr>
            <w:rStyle w:val="Hyperlink"/>
          </w:rPr>
          <w:t xml:space="preserve">[2]</w:t>
        </w:r>
      </w:hyperlink>
      <w:r>
        <w:t xml:space="preserve"> </w:t>
      </w:r>
      <w:hyperlink w:anchor="ref-13">
        <w:r>
          <w:rPr>
            <w:rStyle w:val="Hyperlink"/>
          </w:rPr>
          <w:t xml:space="preserve">[13]</w:t>
        </w:r>
      </w:hyperlink>
      <w:r>
        <w:t xml:space="preserve">. The orbital literature gives the biased allocator plenty to react to, because the cadence of characterizable events has risen with the sensing envelope</w:t>
      </w:r>
      <w:r>
        <w:t xml:space="preserve"> </w:t>
      </w:r>
      <w:hyperlink w:anchor="ref-5">
        <w:r>
          <w:rPr>
            <w:rStyle w:val="Hyperlink"/>
          </w:rPr>
          <w:t xml:space="preserve">[5]</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mechanism operates at the level of a research community, not a single mind. No claim is made that any author misjudges a probability. The claim is aggregate. When a community’s collective attention is availability-biased, the corpus that community produces will show the imprint: publications will lean recent, citations will accumulate in an age-structured way, and the topic signal will distribute unevenly across the venues where the alarmed and the routine parts of the community publish. The aggregation matters because it is what makes the mechanism testable with metadata rather than with surveys of individual reasoning</w:t>
      </w:r>
      <w:r>
        <w:t xml:space="preserve"> </w:t>
      </w:r>
      <w:hyperlink w:anchor="ref-2">
        <w:r>
          <w:rPr>
            <w:rStyle w:val="Hyperlink"/>
          </w:rPr>
          <w:t xml:space="preserve">[2]</w:t>
        </w:r>
      </w:hyperlink>
      <w:r>
        <w:t xml:space="preserve"> </w:t>
      </w:r>
      <w:hyperlink w:anchor="ref-16">
        <w:r>
          <w:rPr>
            <w:rStyle w:val="Hyperlink"/>
          </w:rPr>
          <w:t xml:space="preserve">[16]</w:t>
        </w:r>
      </w:hyperlink>
      <w:r>
        <w:t xml:space="preserve">.</w:t>
      </w:r>
    </w:p>
    <w:bookmarkEnd w:id="78"/>
    <w:bookmarkStart w:id="79" w:name="X076c60ac0014738d268e9e07c5fa37e01c40c53"/>
    <w:p>
      <w:pPr>
        <w:pStyle w:val="Heading2"/>
        <w:spacing w:line="480" w:lineRule="auto"/>
      </w:pPr>
      <w:r>
        <w:t xml:space="preserve">3.2 Salience as a property of events, not just of minds</w:t>
      </w:r>
    </w:p>
    <w:p>
      <w:pPr>
        <w:pStyle w:val="FirstParagraph"/>
        <w:spacing w:line="480" w:lineRule="auto"/>
      </w:pPr>
      <w:r>
        <w:t xml:space="preserve">Before tracing how attention imprints on documents, the theory must specify what makes an orbital event salient in the first place, because not every fragmentation is equally vivid. Three properties raise an event’s salience. Energy is the first. A high-energy catastrophic collision produces a large, persistent fragment cloud, and the early comparative work on such collisions established that these dominate the debris budget precisely because they are rare and severe</w:t>
      </w:r>
      <w:r>
        <w:t xml:space="preserve"> </w:t>
      </w:r>
      <w:hyperlink w:anchor="ref-7">
        <w:r>
          <w:rPr>
            <w:rStyle w:val="Hyperlink"/>
          </w:rPr>
          <w:t xml:space="preserve">[7]</w:t>
        </w:r>
      </w:hyperlink>
      <w:r>
        <w:t xml:space="preserve">. Proximity to valued assets is the second: an event inside a congested, high-value shell threatens more operators and draws more attention than the same event in an empty regime, which is why geosynchronous collision-likelihood assessments concentrate on the most crowded volumes</w:t>
      </w:r>
      <w:r>
        <w:t xml:space="preserve"> </w:t>
      </w:r>
      <w:hyperlink w:anchor="ref-11">
        <w:r>
          <w:rPr>
            <w:rStyle w:val="Hyperlink"/>
          </w:rPr>
          <w:t xml:space="preserve">[11]</w:t>
        </w:r>
      </w:hyperlink>
      <w:r>
        <w:t xml:space="preserve">. Intentionality is the third: a deliberate fragmentation carries a strategic charge that an accidental one lacks, and the security literature treats intentional break-ups as a distinct category of concern</w:t>
      </w:r>
      <w:r>
        <w:t xml:space="preserve"> </w:t>
      </w:r>
      <w:hyperlink w:anchor="ref-4">
        <w:r>
          <w:rPr>
            <w:rStyle w:val="Hyperlink"/>
          </w:rPr>
          <w:t xml:space="preserve">[4]</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These properties matter for the theory because they predict which events should generate the strongest documentary imprint. A high-energy, proximate, or intentional event should draw a larger and faster burst of characterization work than a low-energy, remote, accidental one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corpus therefore should not be uniformly saturated with topic signal; it should concentrate signal around the records that describe or respond to the most salient events. The topic-signal score, built from theme-term hits across each record’s fields, is the instrument that detects this concentration, and the venue and recency predictors locate it in the corpus’s structure.</w:t>
      </w:r>
    </w:p>
    <w:p>
      <w:pPr>
        <w:pStyle w:val="BodyText"/>
        <w:spacing w:line="480" w:lineRule="auto"/>
        <w:ind w:firstLine="720"/>
      </w:pPr>
      <w:r>
        <w:t xml:space="preserve">Specifying salience as a property of events also disciplines the interpretation. When the results show that topic signal concentrates in particular venues or covaries with citation, the theory reads that as the imprint of salient events on the community’s output, not as a free-floating property of the literature</w:t>
      </w:r>
      <w:r>
        <w:t xml:space="preserve"> </w:t>
      </w:r>
      <w:hyperlink w:anchor="ref-5">
        <w:r>
          <w:rPr>
            <w:rStyle w:val="Hyperlink"/>
          </w:rPr>
          <w:t xml:space="preserve">[5]</w:t>
        </w:r>
      </w:hyperlink>
      <w:r>
        <w:t xml:space="preserve"> </w:t>
      </w:r>
      <w:hyperlink w:anchor="ref-16">
        <w:r>
          <w:rPr>
            <w:rStyle w:val="Hyperlink"/>
          </w:rPr>
          <w:t xml:space="preserve">[16]</w:t>
        </w:r>
      </w:hyperlink>
      <w:r>
        <w:t xml:space="preserve">. The events come first; the attention follows; the documents record the attention. Keeping that ordering explicit is what connects the abstract behavioral vocabulary to the concrete orbital phenomena the corpus describes.</w:t>
      </w:r>
    </w:p>
    <w:bookmarkEnd w:id="79"/>
    <w:bookmarkStart w:id="80" w:name="why-attention-should-imprint-on-a-corpus"/>
    <w:p>
      <w:pPr>
        <w:pStyle w:val="Heading2"/>
        <w:spacing w:line="480" w:lineRule="auto"/>
      </w:pPr>
      <w:r>
        <w:t xml:space="preserve">3.3 Why attention should imprint on a corpus</w:t>
      </w:r>
    </w:p>
    <w:p>
      <w:pPr>
        <w:pStyle w:val="FirstParagraph"/>
        <w:spacing w:line="480" w:lineRule="auto"/>
      </w:pPr>
      <w:r>
        <w:t xml:space="preserve">Moving from a psychological bias to a measurable corpus feature needs its own justification. Three features of scholarly production carry the imprint.</w:t>
      </w:r>
    </w:p>
    <w:p>
      <w:pPr>
        <w:pStyle w:val="BodyText"/>
        <w:spacing w:line="480" w:lineRule="auto"/>
        <w:ind w:firstLine="720"/>
      </w:pPr>
      <w:r>
        <w:t xml:space="preserve">Publication timing is the first. A salient event generates a burst of work that describes, characterizes, and assesses it. If salience is real, recent years, which contain both more events and more of the detection capacity to observe them, should carry more topic signal. Recency is therefore a candidate predictor of signal intensity. The prediction is directional: signal should rise with recency if the availability mechanism holds.</w:t>
      </w:r>
    </w:p>
    <w:p>
      <w:pPr>
        <w:pStyle w:val="BodyText"/>
        <w:spacing w:line="480" w:lineRule="auto"/>
        <w:ind w:firstLine="720"/>
      </w:pPr>
      <w:r>
        <w:t xml:space="preserve">Citation attention is the second. Citations are the currency of scholarly notice, and a vivid, load-bearing result draws citations from the work that builds on it. But citations take time to accrue. A paper published this year has had almost no opportunity to be cited, while a paper from a decade ago has had a full window</w:t>
      </w:r>
      <w:r>
        <w:t xml:space="preserve"> </w:t>
      </w:r>
      <w:hyperlink w:anchor="ref-2">
        <w:r>
          <w:rPr>
            <w:rStyle w:val="Hyperlink"/>
          </w:rPr>
          <w:t xml:space="preserve">[2]</w:t>
        </w:r>
      </w:hyperlink>
      <w:r>
        <w:t xml:space="preserve">. This creates a mechanical relationship between article age and citation count that any honest model must confront. The availability mechanism predicts that, controlling for the age effect, salient work draws disproportionate citation attention. The learning-curve screen isolates the age effect directly.</w:t>
      </w:r>
    </w:p>
    <w:p>
      <w:pPr>
        <w:pStyle w:val="BodyText"/>
        <w:spacing w:line="480" w:lineRule="auto"/>
        <w:ind w:firstLine="720"/>
      </w:pPr>
      <w:r>
        <w:t xml:space="preserve">Venue family is the third, and it is the least obvious of the three, so it deserves care. Different venues gather different parts of the community. A conference proceeding is fast, current, and close to the alarmed operational edge, where new events are characterized within months. An archival journal is slower and more consolidative. A policy or economy venue sits further still from the technical event and closer to the institutional response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If salience distributes unevenly across these families, venue becomes a structural signal. The ordinal coding used here, which orders venue families from the fast technical proceeding to the archival journal to the policy venue, is a coarse but honest way to test whether the topic signal sorts across them. The prediction is not merely that venue matters but that it matters in a locatable way: if the mechanism draws the most theme-saturated work toward the event-proximate edge, the signal should be densest in the fast conference family and thin toward the venues further from the technical event</w:t>
      </w:r>
      <w:r>
        <w:t xml:space="preserve"> </w:t>
      </w:r>
      <w:hyperlink w:anchor="ref-16">
        <w:r>
          <w:rPr>
            <w:rStyle w:val="Hyperlink"/>
          </w:rPr>
          <w:t xml:space="preserve">[16]</w:t>
        </w:r>
      </w:hyperlink>
      <w:r>
        <w:t xml:space="preserve">.</w:t>
      </w:r>
    </w:p>
    <w:bookmarkEnd w:id="80"/>
    <w:bookmarkStart w:id="81" w:name="the-isolated-link-and-its-hypotheses"/>
    <w:p>
      <w:pPr>
        <w:pStyle w:val="Heading2"/>
        <w:spacing w:line="480" w:lineRule="auto"/>
      </w:pPr>
      <w:r>
        <w:t xml:space="preserve">3.4 The isolated link and its hypotheses</w:t>
      </w:r>
    </w:p>
    <w:p>
      <w:pPr>
        <w:pStyle w:val="FirstParagraph"/>
        <w:spacing w:line="480" w:lineRule="auto"/>
      </w:pPr>
      <w:r>
        <w:t xml:space="preserve">A full causal claim, that salient events drive regulation, is not testable with the data in hand. What is testable is whether the salience signal is structured in the corpus. This is the link the dissertation isolates, and it is stated as a single falsifiable pair.</w:t>
      </w:r>
    </w:p>
    <w:p>
      <w:pPr>
        <w:pStyle w:val="BodyText"/>
        <w:spacing w:line="480" w:lineRule="auto"/>
        <w:ind w:firstLine="720"/>
      </w:pPr>
      <w:r>
        <w:t xml:space="preserve">The null hypothesis holds that the candidate topic signal is unrelated to publication recency, citation attention, and venue family in the retrieved source corpus. Under the null, the topic signal is noise with respect to these three structural features, and any apparent pattern is sampling variation.</w:t>
      </w:r>
    </w:p>
    <w:p>
      <w:pPr>
        <w:pStyle w:val="BodyText"/>
        <w:spacing w:line="480" w:lineRule="auto"/>
        <w:ind w:firstLine="720"/>
      </w:pPr>
      <w:r>
        <w:t xml:space="preserve">The alternative hypothesis holds that the topic signal is systematically related to those three features. Under the alternative, and in the direction the availability mechanism predicts, signal rises with recency and with citation attention, and it sorts across venue families rather than distributing evenly.</w:t>
      </w:r>
    </w:p>
    <w:p>
      <w:pPr>
        <w:pStyle w:val="BodyText"/>
        <w:spacing w:line="480" w:lineRule="auto"/>
        <w:ind w:firstLine="720"/>
      </w:pPr>
      <w:r>
        <w:t xml:space="preserve">Two estimators operationalize this pair. The first, developed fully in Chapter 4, is an ordinary least squares model of topic-signal intensity on recency, citation count, and venue family</w:t>
      </w:r>
      <w:r>
        <w:t xml:space="preserve"> </w:t>
      </w:r>
      <w:hyperlink w:anchor="ref-3">
        <w:r>
          <w:rPr>
            <w:rStyle w:val="Hyperlink"/>
          </w:rPr>
          <w:t xml:space="preserve">[3]</w:t>
        </w:r>
      </w:hyperlink>
      <w:r>
        <w:t xml:space="preserve"> </w:t>
      </w:r>
      <w:hyperlink w:anchor="ref-6">
        <w:r>
          <w:rPr>
            <w:rStyle w:val="Hyperlink"/>
          </w:rPr>
          <w:t xml:space="preserve">[6]</w:t>
        </w:r>
      </w:hyperlink>
      <w:r>
        <w:t xml:space="preserve">. It tests the joint and individual structure directly. The second is a log-log learning-curve model of citation accumulation on article age, which isolates the mechanical age effect so that any claim about salience-driven citation attention can be read against it. The two estimators together let the reader distinguish a structural signal from a purely mechanical one.</w:t>
      </w:r>
    </w:p>
    <w:bookmarkEnd w:id="81"/>
    <w:bookmarkStart w:id="82" w:name="Xb675acbf571f6f6eb75d36e54d3f1f58bbee264"/>
    <w:p>
      <w:pPr>
        <w:pStyle w:val="Heading2"/>
        <w:spacing w:line="480" w:lineRule="auto"/>
      </w:pPr>
      <w:r>
        <w:t xml:space="preserve">3.5 Rival mechanisms and how the theory guards against them</w:t>
      </w:r>
    </w:p>
    <w:p>
      <w:pPr>
        <w:pStyle w:val="FirstParagraph"/>
        <w:spacing w:line="480" w:lineRule="auto"/>
      </w:pPr>
      <w:r>
        <w:t xml:space="preserve">A theory earns its keep partly by naming the rivals it must beat. Two rival accounts could produce a structured corpus without any availability bias, and the design must be honest that its evidence cannot fully exclude them.</w:t>
      </w:r>
    </w:p>
    <w:p>
      <w:pPr>
        <w:pStyle w:val="BodyText"/>
        <w:spacing w:line="480" w:lineRule="auto"/>
        <w:ind w:firstLine="720"/>
      </w:pPr>
      <w:r>
        <w:t xml:space="preserve">The first rival is rational attention tracking a real risk trend. Suppose the research community is perfectly rational and simply allocates attention in proportion to the growing expected harm from orbital congestion. As constellations densify and the debris budget rises, a rational community would publish more, cite more, and gather in the venues closest to the operational frontier, producing a corpus that looks structured by recency, citation, and venue</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This rival is observationally close to the availability account at the level of a corpus, and the two-estimator design cannot separate them. What the design can do is state the limit plainly: a structured corpus is consistent with both, and distinguishing them requires observing whether attention overshoots the risk trend around vivid events, which needs a direct event-timeline coding that this dissertation defers</w:t>
      </w:r>
      <w:r>
        <w:t xml:space="preserve"> </w:t>
      </w:r>
      <w:hyperlink w:anchor="ref-16">
        <w:r>
          <w:rPr>
            <w:rStyle w:val="Hyperlink"/>
          </w:rPr>
          <w:t xml:space="preserve">[16]</w:t>
        </w:r>
      </w:hyperlink>
      <w:r>
        <w:t xml:space="preserve">.</w:t>
      </w:r>
    </w:p>
    <w:p>
      <w:pPr>
        <w:pStyle w:val="BodyText"/>
        <w:spacing w:line="480" w:lineRule="auto"/>
        <w:ind w:firstLine="720"/>
      </w:pPr>
      <w:r>
        <w:t xml:space="preserve">The second rival is a pure supply effect from improving detection. As sensing improves, more events become observable, and more observable events mechanically generate more publications regardless of any bias in attention</w:t>
      </w:r>
      <w:r>
        <w:t xml:space="preserve"> </w:t>
      </w:r>
      <w:hyperlink w:anchor="ref-5">
        <w:r>
          <w:rPr>
            <w:rStyle w:val="Hyperlink"/>
          </w:rPr>
          <w:t xml:space="preserve">[5]</w:t>
        </w:r>
      </w:hyperlink>
      <w:r>
        <w:t xml:space="preserve"> </w:t>
      </w:r>
      <w:hyperlink w:anchor="ref-13">
        <w:r>
          <w:rPr>
            <w:rStyle w:val="Hyperlink"/>
          </w:rPr>
          <w:t xml:space="preserve">[13]</w:t>
        </w:r>
      </w:hyperlink>
      <w:r>
        <w:t xml:space="preserve">. Under this rival, the corpus is structured by recency simply because recent years have more sensing capacity, not because recent events are more salient. The design partially guards against this by conditioning the signal on citation and venue as well as recency, so that a recency effect must survive those controls to count. But it cannot fully rule the supply effect out, and the weak recency result reported later is in fact consistent with a corpus in which the supply effect and the availability effect are entangled and neither dominates cleanly</w:t>
      </w:r>
      <w:r>
        <w:t xml:space="preserve"> </w:t>
      </w:r>
      <w:hyperlink w:anchor="ref-2">
        <w:r>
          <w:rPr>
            <w:rStyle w:val="Hyperlink"/>
          </w:rPr>
          <w:t xml:space="preserve">[2]</w:t>
        </w:r>
      </w:hyperlink>
      <w:r>
        <w:t xml:space="preserve">.</w:t>
      </w:r>
    </w:p>
    <w:p>
      <w:pPr>
        <w:pStyle w:val="BodyText"/>
        <w:spacing w:line="480" w:lineRule="auto"/>
        <w:ind w:firstLine="720"/>
      </w:pPr>
      <w:r>
        <w:t xml:space="preserve">Naming these rivals does two things. It keeps the interpretation of any positive result modest, because a structured corpus supports the precondition rather than the full causal claim. And it clarifies what the successor design must add: a direct measurement of institutional response timed against salient events, which is the only evidence that could adjudicate among availability bias, rational tracking, and the supply effect</w:t>
      </w:r>
      <w:r>
        <w:t xml:space="preserve"> </w:t>
      </w:r>
      <w:hyperlink w:anchor="ref-14">
        <w:r>
          <w:rPr>
            <w:rStyle w:val="Hyperlink"/>
          </w:rPr>
          <w:t xml:space="preserve">[14]</w:t>
        </w:r>
      </w:hyperlink>
      <w:r>
        <w:t xml:space="preserve">. The theory, in other words, is built to make its own limits visible rather than to hide them.</w:t>
      </w:r>
    </w:p>
    <w:bookmarkEnd w:id="82"/>
    <w:bookmarkStart w:id="83" w:name="directional-predictions"/>
    <w:p>
      <w:pPr>
        <w:pStyle w:val="Heading2"/>
        <w:spacing w:line="480" w:lineRule="auto"/>
      </w:pPr>
      <w:r>
        <w:t xml:space="preserve">3.6 Directional predictions</w:t>
      </w:r>
    </w:p>
    <w:p>
      <w:pPr>
        <w:pStyle w:val="FirstParagraph"/>
        <w:spacing w:line="480" w:lineRule="auto"/>
      </w:pPr>
      <w:r>
        <w:t xml:space="preserve">This theory yields predictions specific enough to be wrong. First, the recency coefficient in the signal model should be positive if availability draws attention toward the recent period. A null or negative recency coefficient would count against the mechanism, or would indicate that the retrieved corpus is too small or too evenly distributed across years to reveal a recency effect. Second, the citation coefficient should be positive and, ideally, precisely estimated, indicating that more-cited work carries more topic signal even after venue and recency are accounted for. Third, the venue coefficient should be nonzero, indicating that the topic signal sorts across venue families; the theory does not fix its sign in advance, because whether the alarmed signal concentrates in fast technical proceedings or in archival journals is itself an empirical question</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learning-curve model yields a separate prediction. The elasticity of citation accumulation with respect to age should be positive, because older articles have had longer to accumulate citations. A weak or imprecise age elasticity would indicate that, in this small and recency-heavy corpus, the mechanical age effect is not cleanly recovered, which would itself be informative about how much citation-based inference the corpus can support</w:t>
      </w:r>
      <w:r>
        <w:t xml:space="preserve"> </w:t>
      </w:r>
      <w:hyperlink w:anchor="ref-2">
        <w:r>
          <w:rPr>
            <w:rStyle w:val="Hyperlink"/>
          </w:rPr>
          <w:t xml:space="preserve">[2]</w:t>
        </w:r>
      </w:hyperlink>
      <w:r>
        <w:t xml:space="preserve">.</w:t>
      </w:r>
    </w:p>
    <w:bookmarkEnd w:id="83"/>
    <w:bookmarkStart w:id="84" w:name="X4756a0922807e346ce61eb7ccc57120ad76e913"/>
    <w:p>
      <w:pPr>
        <w:pStyle w:val="Heading2"/>
        <w:spacing w:line="480" w:lineRule="auto"/>
      </w:pPr>
      <w:r>
        <w:t xml:space="preserve">3.7 The unit of analysis and the level of the claim</w:t>
      </w:r>
    </w:p>
    <w:p>
      <w:pPr>
        <w:pStyle w:val="FirstParagraph"/>
        <w:spacing w:line="480" w:lineRule="auto"/>
      </w:pPr>
      <w:r>
        <w:t xml:space="preserve">A recurring source of confusion in behavioral arguments applied to science is the level at which the claim operates, and the theory here is explicit about it. The unit of analysis is the source record, not the author and not the institution. Each record is a document with measurable metadata: a publication year, a citation count, a venue family, and a topic-signal score derived from its own fields</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predictions concern how these document-level features covary across the corpus. They do not concern any individual author’s reasoning, and they do not directly concern any institution’s decision.</w:t>
      </w:r>
    </w:p>
    <w:p>
      <w:pPr>
        <w:pStyle w:val="BodyText"/>
        <w:spacing w:line="480" w:lineRule="auto"/>
        <w:ind w:firstLine="720"/>
      </w:pPr>
      <w:r>
        <w:t xml:space="preserve">This document-level framing is a strength and a constraint at once. It is a strength because document metadata is observable, deterministic, and auditable, which is exactly what a design-stage dissertation needs to keep its inference checkable. It is a constraint because a document-level pattern is several inferential steps away from the institutional response the large question cares about. The theory bridges those steps only conceptually, by positing that community attention imprints on documents and that community attention is the channel through which salient events might eventually reach institutions</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empirical work tests only the first, document-level link. The reader should hold the level of the claim fixed throughout: everything the estimators show is about the structure of a corpus, and any leap to institutional behavior is an argument, not a measurement.</w:t>
      </w:r>
    </w:p>
    <w:p>
      <w:pPr>
        <w:pStyle w:val="BodyText"/>
        <w:spacing w:line="480" w:lineRule="auto"/>
        <w:ind w:firstLine="720"/>
      </w:pPr>
      <w:r>
        <w:t xml:space="preserve">Keeping the level explicit also disciplines the language of the results chapter. When Chapter 6 reports that the topic signal falls across venue families, that is a statement about documents, not about how any regulator behaves. The theory supplies the reason such a document-level pattern is interesting for governance, but it does not license restating the pattern as an institutional fact. This separation between what is measured and what is argued is the backbone of the whole design, and it is why the predictions below are phrased as claims about coefficients rather than claims about rules</w:t>
      </w:r>
      <w:r>
        <w:t xml:space="preserve"> </w:t>
      </w:r>
      <w:hyperlink w:anchor="ref-2">
        <w:r>
          <w:rPr>
            <w:rStyle w:val="Hyperlink"/>
          </w:rPr>
          <w:t xml:space="preserve">[2]</w:t>
        </w:r>
      </w:hyperlink>
      <w:r>
        <w:t xml:space="preserve">.</w:t>
      </w:r>
    </w:p>
    <w:bookmarkEnd w:id="84"/>
    <w:bookmarkStart w:id="85" w:name="Xf4776bb7553a0e4a11b0c4b372fadaa390d4d78"/>
    <w:p>
      <w:pPr>
        <w:pStyle w:val="Heading2"/>
        <w:spacing w:line="480" w:lineRule="auto"/>
      </w:pPr>
      <w:r>
        <w:t xml:space="preserve">3.8 What confirmation and refutation would mean</w:t>
      </w:r>
    </w:p>
    <w:p>
      <w:pPr>
        <w:pStyle w:val="FirstParagraph"/>
        <w:spacing w:line="480" w:lineRule="auto"/>
      </w:pPr>
      <w:r>
        <w:t xml:space="preserve">Confirmation is bounded. If the signal model shows the topic signal structured by the three features, the dissertation will have established the precondition for the larger causal claim, not the claim itself. A structured corpus is consistent with availability-driven attention, but it is also consistent with rational attention that happens to track a rising risk trend. The design cannot separate those two stories, and Chapter 7 is explicit about that limit. What confirmation licenses is the next design: a direct coding of governance documents against a timeline of salient events, now justified by evidence that the salience signal is real rather than assumed</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Refutation is equally bounded and equally useful. If the topic signal is unstructured with respect to recency, citation, and venue, the dissertation will have shown that bibliometric salience is not a reliable proxy for the attention the availability mechanism predicts, at least in a corpus of this size. That null would warn the field against building institutional arguments on unexamined bibliometric intuition, and it would redirect effort toward the more expensive but more direct governance-coding design</w:t>
      </w:r>
      <w:r>
        <w:t xml:space="preserve"> </w:t>
      </w:r>
      <w:hyperlink w:anchor="ref-5">
        <w:r>
          <w:rPr>
            <w:rStyle w:val="Hyperlink"/>
          </w:rPr>
          <w:t xml:space="preserve">[5]</w:t>
        </w:r>
      </w:hyperlink>
      <w:r>
        <w:t xml:space="preserve"> </w:t>
      </w:r>
      <w:hyperlink w:anchor="ref-15">
        <w:r>
          <w:rPr>
            <w:rStyle w:val="Hyperlink"/>
          </w:rPr>
          <w:t xml:space="preserve">[15]</w:t>
        </w:r>
      </w:hyperlink>
      <w:r>
        <w:t xml:space="preserve">. Either way, the theory has been made to do work: it has generated predictions that the deterministic estimators in the following chapters either bear out or overturn.</w:t>
      </w:r>
    </w:p>
    <w:p>
      <w:pPr>
        <w:pStyle w:val="BodyText"/>
        <w:spacing w:line="480" w:lineRule="auto"/>
        <w:ind w:firstLine="720"/>
      </w:pPr>
      <w:r>
        <w:t xml:space="preserve">A partial result, in which some predictions hold and others do not, is the most likely outcome given the corpus, and the theory is built to interpret it. Suppose the venue and citation predictions hold cleanly while the recency prediction is weak. The reading is that salience structures the corpus through the channels least sensitive to sample size, venue and citation, while the recency channel, which needs a fuller spread of years to estimate precisely, remains open</w:t>
      </w:r>
      <w:r>
        <w:t xml:space="preserve"> </w:t>
      </w:r>
      <w:hyperlink w:anchor="ref-2">
        <w:r>
          <w:rPr>
            <w:rStyle w:val="Hyperlink"/>
          </w:rPr>
          <w:t xml:space="preserve">[2]</w:t>
        </w:r>
      </w:hyperlink>
      <w:r>
        <w:t xml:space="preserve"> </w:t>
      </w:r>
      <w:hyperlink w:anchor="ref-16">
        <w:r>
          <w:rPr>
            <w:rStyle w:val="Hyperlink"/>
          </w:rPr>
          <w:t xml:space="preserve">[16]</w:t>
        </w:r>
      </w:hyperlink>
      <w:r>
        <w:t xml:space="preserve">. A partial result of that shape would not refute the mechanism; it would locate the mechanism’s detectable imprint in specific channels and mark the others as awaiting a larger corpus. The theory thus supplies not just a binary verdict but a way to read the pattern of strong and weak coefficients as information about where salience is measurable and where the data fall short.</w:t>
      </w:r>
    </w:p>
    <w:bookmarkEnd w:id="85"/>
    <w:bookmarkEnd w:id="86"/>
    <w:bookmarkStart w:id="95"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specifies the two estimators, states what each one identifies, and explains why the identification is credible inside the bounds the design accepts. The methodology is deliberately transparent. Both models are linear in their parameters, both use robust standard errors, and both run on a single auditable data file whose every row preserves its source. The goal is not statistical sophistication for its own sake. The goal is a chain of inference a skeptic can follow from the formula to the coefficient without trusting anything that cannot be checked.</w:t>
      </w:r>
    </w:p>
    <w:bookmarkStart w:id="87" w:name="estimator-one-the-signal-intensity-model"/>
    <w:p>
      <w:pPr>
        <w:pStyle w:val="Heading2"/>
        <w:spacing w:line="480" w:lineRule="auto"/>
      </w:pPr>
      <w:r>
        <w:t xml:space="preserve">4.1 Estimator one: the signal-intensity model</w:t>
      </w:r>
    </w:p>
    <w:p>
      <w:pPr>
        <w:pStyle w:val="FirstParagraph"/>
        <w:spacing w:line="480" w:lineRule="auto"/>
      </w:pPr>
      <w:r>
        <w:t xml:space="preserve">The first estimator is an ordinary least squares regression of topic-signal intensity on three predictors: publication recency, citation attention, and venue family. In the notation of the empirical workbook, the model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dependent variable, SignalScore, is a deterministic composite built from candidate-theme term hits in each source record’s title, snippet, keyword field, and author metadata. It is a count, not a judgment, and it is reproducible from the raw source without any discretionary coding. RecencyIndex is the publication year minus the minimum publication year in the sample plus one, so that the earliest source takes the value one and later sources take larger values. Cites is the reported citation count from the local brain index, set to zero where the index reported no count. VenueScore is an ordinal family code: AMOS proceedings take the value one, Acta Astronautica takes two, and the space-economy venue family takes three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Ordinary least squares is the right estimator for this question because the object of interest is the conditional mean of the topic signal given the three structural features, and because the design seeks signed, interpretable coefficients rather than a predictive black box. A more elaborate machine-learning model might predict the topic signal marginally better, but it would obscure the very thing the study needs, which is a legible statement of how each feature relates to the signal</w:t>
      </w:r>
      <w:r>
        <w:t xml:space="preserve"> </w:t>
      </w:r>
      <w:hyperlink w:anchor="ref-5">
        <w:r>
          <w:rPr>
            <w:rStyle w:val="Hyperlink"/>
          </w:rPr>
          <w:t xml:space="preserve">[5]</w:t>
        </w:r>
      </w:hyperlink>
      <w:r>
        <w:t xml:space="preserve">. Legibility, not predictive accuracy, is the goal, and ordinary least squares delivers it in a form any reader can inspect</w:t>
      </w:r>
      <w:r>
        <w:t xml:space="preserve"> </w:t>
      </w:r>
      <w:hyperlink w:anchor="ref-6">
        <w:r>
          <w:rPr>
            <w:rStyle w:val="Hyperlink"/>
          </w:rPr>
          <w:t xml:space="preserve">[6]</w:t>
        </w:r>
      </w:hyperlink>
      <w:r>
        <w:t xml:space="preserve">. The model is estimated with heteroskedasticity-robust HC1 standard errors, which protects the inference against the non-constant error variance that a count-like dependent variable and a small sample can produce. HC1 does not fix a misspecified mean, and the design does not pretend it does; it corrects the standard errors so that the reported p-values are not artificially small under mild heteroskedasticity. The choice reflects a broader stance: where a modeling decision could either flatter the result or protect the inference, the design takes the protective option, so that a coefficient reported as significant has cleared a genuine rather than a lenient bar</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87"/>
    <w:bookmarkStart w:id="88" w:name="what-the-signal-model-identifies"/>
    <w:p>
      <w:pPr>
        <w:pStyle w:val="Heading2"/>
        <w:spacing w:line="480" w:lineRule="auto"/>
      </w:pPr>
      <w:r>
        <w:t xml:space="preserve">4.2 What the signal model identifies</w:t>
      </w:r>
    </w:p>
    <w:p>
      <w:pPr>
        <w:pStyle w:val="FirstParagraph"/>
        <w:spacing w:line="480" w:lineRule="auto"/>
      </w:pPr>
      <w:r>
        <w:t xml:space="preserve">Identification here is associational and conditional. The dissertation states that plainly. Each coefficient estimates the partial association between one predictor and the topic signal, holding the other two fixed within the retrieved corpus. The recency coefficient identifies whether topic signal is higher in more recent source records, net of citation attention and venue. The citation coefficient identifies whether more-cited records carry more topic signal, net of recency and venue. The venue coefficient identifies whether the topic signal sorts across the ordered venue families, net of recency and citation.</w:t>
      </w:r>
    </w:p>
    <w:p>
      <w:pPr>
        <w:pStyle w:val="BodyText"/>
        <w:spacing w:line="480" w:lineRule="auto"/>
        <w:ind w:firstLine="720"/>
      </w:pPr>
      <w:r>
        <w:t xml:space="preserve">These are not causal effects in the counterfactual sense. The design does not claim that increasing a record’s recency would raise its topic signal, and it does not claim that the venue family causes the signal. The distinction is not pedantic. A causal claim would license intervention, the assertion that changing a predictor would change the outcome, and nothing in a cross-record association supports that</w:t>
      </w:r>
      <w:r>
        <w:t xml:space="preserve"> </w:t>
      </w:r>
      <w:hyperlink w:anchor="ref-4">
        <w:r>
          <w:rPr>
            <w:rStyle w:val="Hyperlink"/>
          </w:rPr>
          <w:t xml:space="preserve">[4]</w:t>
        </w:r>
      </w:hyperlink>
      <w:r>
        <w:t xml:space="preserve">. An associational claim licenses only description, the assertion that records differing in a predictor also tend to differ in the outcome, which is exactly what a corpus screen is meant to establish</w:t>
      </w:r>
      <w:r>
        <w:t xml:space="preserve"> </w:t>
      </w:r>
      <w:hyperlink w:anchor="ref-6">
        <w:r>
          <w:rPr>
            <w:rStyle w:val="Hyperlink"/>
          </w:rPr>
          <w:t xml:space="preserve">[6]</w:t>
        </w:r>
      </w:hyperlink>
      <w:r>
        <w:t xml:space="preserve">. What the model identifies is the structure of the corpus: whether the topic signal is patterned with respect to features that the availability mechanism predicts should carry its imprint</w:t>
      </w:r>
      <w:r>
        <w:t xml:space="preserve"> </w:t>
      </w:r>
      <w:hyperlink w:anchor="ref-2">
        <w:r>
          <w:rPr>
            <w:rStyle w:val="Hyperlink"/>
          </w:rPr>
          <w:t xml:space="preserve">[2]</w:t>
        </w:r>
      </w:hyperlink>
      <w:r>
        <w:t xml:space="preserve"> </w:t>
      </w:r>
      <w:hyperlink w:anchor="ref-4">
        <w:r>
          <w:rPr>
            <w:rStyle w:val="Hyperlink"/>
          </w:rPr>
          <w:t xml:space="preserve">[4]</w:t>
        </w:r>
      </w:hyperlink>
      <w:r>
        <w:t xml:space="preserve">. That is precisely the isolated link from Chapter 3, and OLS with robust errors is the most transparent instrument for reading it. The credibility of the identification rests on the determinism of the variable construction. Because SignalScore, RecencyIndex, Cites, and VenueScore are all computed by fixed rules from the source records, there is no researcher degree of freedom hiding inside the measurement, and the coefficients mean exactly what the formula says they mean.</w:t>
      </w:r>
    </w:p>
    <w:bookmarkEnd w:id="88"/>
    <w:bookmarkStart w:id="89" w:name="X4b2ad77cc752f9e7126ea2b8d743b047df5d4f3"/>
    <w:p>
      <w:pPr>
        <w:pStyle w:val="Heading2"/>
        <w:spacing w:line="480" w:lineRule="auto"/>
      </w:pPr>
      <w:r>
        <w:t xml:space="preserve">4.3 Functional form and the linearity assumption</w:t>
      </w:r>
    </w:p>
    <w:p>
      <w:pPr>
        <w:pStyle w:val="FirstParagraph"/>
        <w:spacing w:line="480" w:lineRule="auto"/>
      </w:pPr>
      <w:r>
        <w:t xml:space="preserve">The signal model is linear in its parameters, and that choice is worth defending rather than assuming. Linearity here means the topic signal is modeled as a constant plus a weighted sum of recency, citation, and venue, with an additive error. This form is appropriate when the goal is to read the average partial association of each feature with the outcome, which is exactly the goal Chapter 3 set. It would be the wrong form if the theory predicted strong interactions, say, that citation matters only in recent years, or thresholds, say, that signal jumps discontinuously above some citation count. The theory predicts neither. It predicts monotone directional associations, and a linear-additive form captures monotone associations transparently while spending the fewest degrees of freedom</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linearity assumption does carry a cost that the design accepts openly. If the true relationship between citation and topic signal is concave, so that the first few citations matter more than later ones, a linear term will average across that curvature and report a single slope. With citation counts ranging from zero into the sixties, some concavity is plausible</w:t>
      </w:r>
      <w:r>
        <w:t xml:space="preserve"> </w:t>
      </w:r>
      <w:hyperlink w:anchor="ref-11">
        <w:r>
          <w:rPr>
            <w:rStyle w:val="Hyperlink"/>
          </w:rPr>
          <w:t xml:space="preserve">[11]</w:t>
        </w:r>
      </w:hyperlink>
      <w:r>
        <w:t xml:space="preserve">. The design tolerates this because, at thirty records, a flexible functional form would overfit, and because the substantive question is directional rather than shape-specific: the theory asks whether more citation means more signal, not whether the relationship curves. A linear slope answers the directional question, and the design reads it that way rather than as a precise description of the curve’s shape</w:t>
      </w:r>
      <w:r>
        <w:t xml:space="preserve"> </w:t>
      </w:r>
      <w:hyperlink w:anchor="ref-16">
        <w:r>
          <w:rPr>
            <w:rStyle w:val="Hyperlink"/>
          </w:rPr>
          <w:t xml:space="preserve">[16]</w:t>
        </w:r>
      </w:hyperlink>
      <w:r>
        <w:t xml:space="preserve">.</w:t>
      </w:r>
    </w:p>
    <w:p>
      <w:pPr>
        <w:pStyle w:val="BodyText"/>
        <w:spacing w:line="480" w:lineRule="auto"/>
        <w:ind w:firstLine="720"/>
      </w:pPr>
      <w:r>
        <w:t xml:space="preserve">The learning-curve model handles nonlinearity differently, by transforming both variables to logs. A log-log form is itself a way of accommodating a specific nonlinearity, the power-law shape of an experience curve, within a linear estimation</w:t>
      </w:r>
      <w:r>
        <w:t xml:space="preserve"> </w:t>
      </w:r>
      <w:hyperlink w:anchor="ref-7">
        <w:r>
          <w:rPr>
            <w:rStyle w:val="Hyperlink"/>
          </w:rPr>
          <w:t xml:space="preserve">[7]</w:t>
        </w:r>
      </w:hyperlink>
      <w:r>
        <w:t xml:space="preserve">. This is why the second model uses logs while the first does not: the age-to-citation relationship is expected to be multiplicative, so logs linearize it, whereas the signal relationships are expected to be additive, so no transformation is needed. The two functional forms are matched to the two theories, not chosen for convenience.</w:t>
      </w:r>
    </w:p>
    <w:bookmarkEnd w:id="89"/>
    <w:bookmarkStart w:id="90" w:name="estimator-two-the-learning-curve-model"/>
    <w:p>
      <w:pPr>
        <w:pStyle w:val="Heading2"/>
        <w:spacing w:line="480" w:lineRule="auto"/>
      </w:pPr>
      <w:r>
        <w:t xml:space="preserve">4.4 Estimator two: the learning-curve model</w:t>
      </w:r>
    </w:p>
    <w:p>
      <w:pPr>
        <w:pStyle w:val="FirstParagraph"/>
        <w:spacing w:line="480" w:lineRule="auto"/>
      </w:pPr>
      <w:r>
        <w:t xml:space="preserve">A second estimator confronts the mechanical relationship between article age and citation count. Older articles have had more time to accumulate citations, and any claim about salience-driven citation attention must be read against that baseline. The learning-curve model isolates the baseline directly. In log-log form it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CitesPlus1 is the reported citation count plus one, the plus-one added so that the logarithm is defined for the many uncited records in the corpus. AgeIndex is 2026 minus the publication year plus one, so that the newest article takes the value one and the oldest takes the largest value. The coefficient on ln(AgeIndex) is an elasticity: it reports the percentage change in citations-plus-one associated with a one-percent change in article age. This log-log specification is the standard shape for a learning or experience curve, in which a quantity grows as a power of an underlying index, and it lets the single slope coefficient summarize the age-to-citation relationship across the whole corpus</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Like the signal model, the learning-curve model uses robust HC1 standard errors, for the same reason: the residual variance of a log-citation model on a small, mostly-uncited corpus is unlikely to be constant, and HC1 keeps the reported inference honest under that condition.</w:t>
      </w:r>
    </w:p>
    <w:bookmarkEnd w:id="90"/>
    <w:bookmarkStart w:id="91" w:name="X1d6e7579ce71922703b19deb54703741e03382f"/>
    <w:p>
      <w:pPr>
        <w:pStyle w:val="Heading2"/>
        <w:spacing w:line="480" w:lineRule="auto"/>
      </w:pPr>
      <w:r>
        <w:t xml:space="preserve">4.5 What the learning-curve model identifies, and what it does not</w:t>
      </w:r>
    </w:p>
    <w:p>
      <w:pPr>
        <w:pStyle w:val="FirstParagraph"/>
        <w:spacing w:line="480" w:lineRule="auto"/>
      </w:pPr>
      <w:r>
        <w:t xml:space="preserve">The learning-curve elasticity identifies the average age structure of citation accumulation in the retrieved corpus. A positive elasticity says that older articles carry more citations, as the mechanical account predicts. The magnitude, expressed as a progress ratio, translates the elasticity into the multiplicative change in citations associated with a doubling of age, which is the most interpretable single number the model produces.</w:t>
      </w:r>
    </w:p>
    <w:p>
      <w:pPr>
        <w:pStyle w:val="BodyText"/>
        <w:spacing w:line="480" w:lineRule="auto"/>
        <w:ind w:firstLine="720"/>
      </w:pPr>
      <w:r>
        <w:t xml:space="preserve">What the model does not identify is any salience effect on citation, and this is by design. The learning-curve model deliberately omits the topic-signal and venue features so that it recovers the pure age relationship. Read together with the signal model, it lets the reader separate two things that a naive citation analysis would conflate: the mechanical fact that old papers have more citations, and the substantive question of whether salient work draws citation attention beyond what age alone explains</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design does not force the two models into a single joint specification, because the value of the second model comes precisely from its isolation of the age effect.</w:t>
      </w:r>
    </w:p>
    <w:bookmarkEnd w:id="91"/>
    <w:bookmarkStart w:id="92" w:name="Xdff15d1c88f1ebca32678df1d13c188ac90394c"/>
    <w:p>
      <w:pPr>
        <w:pStyle w:val="Heading2"/>
        <w:spacing w:line="480" w:lineRule="auto"/>
      </w:pPr>
      <w:r>
        <w:t xml:space="preserve">4.6 Robust standard errors and the small-sample question</w:t>
      </w:r>
    </w:p>
    <w:p>
      <w:pPr>
        <w:pStyle w:val="FirstParagraph"/>
        <w:spacing w:line="480" w:lineRule="auto"/>
      </w:pPr>
      <w:r>
        <w:t xml:space="preserve">The choice of HC1 robust standard errors deserves fuller justification than a single clause, because in a thirty-record corpus the standard-error decision does real work. Ordinary least squares produces the same point estimates whether or not the errors are robustified; what changes is the estimated precision, and precision is exactly what a small-sample inference lives or dies on. The classical assumption of homoskedastic errors is implausible here for two reasons. The dependent variable in the signal model is a bounded count-like composite, whose variance naturally changes with its mean, and the corpus mixes venue families whose records differ systematically in how their metadata is captured</w:t>
      </w:r>
      <w:r>
        <w:t xml:space="preserve"> </w:t>
      </w:r>
      <w:hyperlink w:anchor="ref-2">
        <w:r>
          <w:rPr>
            <w:rStyle w:val="Hyperlink"/>
          </w:rPr>
          <w:t xml:space="preserve">[2]</w:t>
        </w:r>
      </w:hyperlink>
      <w:r>
        <w:t xml:space="preserve">. Both conditions produce heteroskedasticity, and both would bias classical standard errors, usually downward, manufacturing significance that the data do not earn.</w:t>
      </w:r>
    </w:p>
    <w:p>
      <w:pPr>
        <w:pStyle w:val="BodyText"/>
        <w:spacing w:line="480" w:lineRule="auto"/>
        <w:ind w:firstLine="720"/>
      </w:pPr>
      <w:r>
        <w:t xml:space="preserve">HC1 corrects for this by scaling the residual-based variance estimate so that it behaves reasonably at modest sample sizes. It is not a cure for every small-sample ailment; with thirty records, even robust standard errors rest on asymptotic reasoning that holds only approximately. The design accepts this honestly. It reports robust standard errors because they are more defensible than the classical alternative under the heteroskedasticity the data plainly contain, and it reads the resulting p-values as approximate rather than exact. A coefficient that clears significance under HC1 at this sample size is credible; a coefficient that does not, such as the recency term reported later, is treated as genuinely imprecise rather than as a near-miss to be rounded into a finding</w:t>
      </w:r>
      <w:r>
        <w:t xml:space="preserve"> </w:t>
      </w:r>
      <w:hyperlink w:anchor="ref-16">
        <w:r>
          <w:rPr>
            <w:rStyle w:val="Hyperlink"/>
          </w:rPr>
          <w:t xml:space="preserve">[16]</w:t>
        </w:r>
      </w:hyperlink>
      <w:r>
        <w:t xml:space="preserve">.</w:t>
      </w:r>
    </w:p>
    <w:p>
      <w:pPr>
        <w:pStyle w:val="BodyText"/>
        <w:spacing w:line="480" w:lineRule="auto"/>
        <w:ind w:firstLine="720"/>
      </w:pPr>
      <w:r>
        <w:t xml:space="preserve">That plus-one transformation in the learning-curve model interacts with this same small-sample concern. Because most records carry zero citations, a raw log-citation model would silently drop the uncited majority, leaving an estimate driven by a handful of cited records and a standard error that badly understates the true uncertainty</w:t>
      </w:r>
      <w:r>
        <w:t xml:space="preserve"> </w:t>
      </w:r>
      <w:hyperlink w:anchor="ref-11">
        <w:r>
          <w:rPr>
            <w:rStyle w:val="Hyperlink"/>
          </w:rPr>
          <w:t xml:space="preserve">[11]</w:t>
        </w:r>
      </w:hyperlink>
      <w:r>
        <w:t xml:space="preserve">. Adding one before the logarithm keeps every record in the estimation, which both removes the selection bias and gives the robust standard error the full sample to work with. The transformation changes the interpretation of the constant but leaves the age elasticity interpretable as the object of interest, and it is the standard device for log models over count data with many zeros.</w:t>
      </w:r>
    </w:p>
    <w:bookmarkEnd w:id="92"/>
    <w:bookmarkStart w:id="93" w:name="what-could-break-the-identification"/>
    <w:p>
      <w:pPr>
        <w:pStyle w:val="Heading2"/>
        <w:spacing w:line="480" w:lineRule="auto"/>
      </w:pPr>
      <w:r>
        <w:t xml:space="preserve">4.7 What could break the identification</w:t>
      </w:r>
    </w:p>
    <w:p>
      <w:pPr>
        <w:pStyle w:val="FirstParagraph"/>
        <w:spacing w:line="480" w:lineRule="auto"/>
      </w:pPr>
      <w:r>
        <w:t xml:space="preserve">An honest methodology names the conditions under which its identification fails. For the signal model, the identification of the partial associations breaks if the deterministic variable construction is not in fact deterministic, that is, if the topic-signal score, the recency index, the citation count, or the venue code embeds a hidden discretionary choice. The design guards against this by fixing every construction rule in advance and preserving each row’s source, so that any reader can recompute the variables and expose a hidden choice if one exists</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identification also weakens if an omitted feature drives both the topic signal and one of the predictors; the design cannot rule this out with thirty records, and it therefore reads the coefficients as conditional associations rather than causal effects, exactly as Chapter 3 required.</w:t>
      </w:r>
    </w:p>
    <w:p>
      <w:pPr>
        <w:pStyle w:val="BodyText"/>
        <w:spacing w:line="480" w:lineRule="auto"/>
        <w:ind w:firstLine="720"/>
      </w:pPr>
      <w:r>
        <w:t xml:space="preserve">For the learning-curve model, the identification of a clean age elasticity breaks if citation accumulation is not a smooth function of age in the corpus, which is precisely what the data turn out to show: the most-cited records cluster in a narrow age band rather than spreading with age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This does not invalidate the model; it means the model recovers a weak and imprecise elasticity, and the design reports that weakness as a substantive finding about the corpus rather than papering over it. Naming these break conditions up front is what lets the results chapter interpret a weak coefficient as information rather than as failure.</w:t>
      </w:r>
    </w:p>
    <w:bookmarkEnd w:id="93"/>
    <w:bookmarkStart w:id="94" w:name="Xb08fb97fd89ce0c419ee1c233955c62477e5bd8"/>
    <w:p>
      <w:pPr>
        <w:pStyle w:val="Heading2"/>
        <w:spacing w:line="480" w:lineRule="auto"/>
      </w:pPr>
      <w:r>
        <w:t xml:space="preserve">4.8 Why two small models rather than one large one</w:t>
      </w:r>
    </w:p>
    <w:p>
      <w:pPr>
        <w:pStyle w:val="FirstParagraph"/>
        <w:spacing w:line="480" w:lineRule="auto"/>
      </w:pPr>
      <w:r>
        <w:t xml:space="preserve">A reader might ask why the design uses two compact estimators on a small corpus rather than a single richer model. The answer is about interpretability under scarcity. With a corpus of thirty records, a large model with many interacted terms would exhaust its degrees of freedom and produce coefficients too fragile to interpret. Two small models, each answering a single well-posed question, extract more reliable signal from the same data than one over-parameterized model would. The signal model asks whether the topic signal is structured. The learning-curve model asks how citation attention is shaped by age. Each is answerable at this sample size, and each produces coefficients whose signs and precisions can be read directly against the predictions of Chapter 3</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design also treats the small sample as a feature to be managed honestly rather than hidden. Robust standard errors, deterministic variables, and the plus-one transformation for the log model are all choices made so that the estimator output means what it appears to mean at N equal to thirty.</w:t>
      </w:r>
    </w:p>
    <w:p>
      <w:pPr>
        <w:pStyle w:val="BodyText"/>
        <w:spacing w:line="480" w:lineRule="auto"/>
        <w:ind w:firstLine="720"/>
      </w:pPr>
      <w:r>
        <w:t xml:space="preserve">A word on what the two models jointly buy, beyond what either buys alone, closes the methodological case. Run separately, the signal model answers whether the topic signal is structured and the learning-curve model answers how citation is shaped by age. Read together, they let the analyst rule out a specific confound that would otherwise threaten the signal model’s citation coefficient. If article age strongly drove citation, then a citation effect on topic signal might be an age effect in disguise, because older records would carry both more citations and, plausibly, different topic signal</w:t>
      </w:r>
      <w:r>
        <w:t xml:space="preserve"> </w:t>
      </w:r>
      <w:hyperlink w:anchor="ref-2">
        <w:r>
          <w:rPr>
            <w:rStyle w:val="Hyperlink"/>
          </w:rPr>
          <w:t xml:space="preserve">[2]</w:t>
        </w:r>
      </w:hyperlink>
      <w:r>
        <w:t xml:space="preserve"> </w:t>
      </w:r>
      <w:hyperlink w:anchor="ref-11">
        <w:r>
          <w:rPr>
            <w:rStyle w:val="Hyperlink"/>
          </w:rPr>
          <w:t xml:space="preserve">[11]</w:t>
        </w:r>
      </w:hyperlink>
      <w:r>
        <w:t xml:space="preserve">. The learning-curve model measures exactly that age-to-citation relationship, so if it comes back weak, the analyst gains license to read the citation coefficient in the signal model as its own effect rather than an age artifact. This is why the design runs the learning-curve model at all: not because the age structure of citation is intrinsically the research question, but because measuring it protects the interpretation of the primary model</w:t>
      </w:r>
      <w:r>
        <w:t xml:space="preserve"> </w:t>
      </w:r>
      <w:hyperlink w:anchor="ref-16">
        <w:r>
          <w:rPr>
            <w:rStyle w:val="Hyperlink"/>
          </w:rPr>
          <w:t xml:space="preserve">[16]</w:t>
        </w:r>
      </w:hyperlink>
      <w:r>
        <w:t xml:space="preserve">.</w:t>
      </w:r>
    </w:p>
    <w:p>
      <w:pPr>
        <w:pStyle w:val="BodyText"/>
        <w:spacing w:line="480" w:lineRule="auto"/>
        <w:ind w:firstLine="720"/>
      </w:pPr>
      <w:r>
        <w:t xml:space="preserve">The two estimators are therefore not two separate studies stapled together but a single inferential unit with a division of labor. The signal model carries the main hypothesis. The learning-curve model guards one of the main model’s flanks. Both run on the same thirty-record file with the same robust standard errors, and both report their output without post-hoc adjustment, so that a reader can verify the division of labor by checking the numbers against each other</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next chapter documents the data behind these models in full, and Chapter 6 reports their output exactly as the workbooks produced it, without adjustment, so that the identification claims of this chapter can be checked against the numbers.</w:t>
      </w:r>
    </w:p>
    <w:bookmarkEnd w:id="94"/>
    <w:bookmarkEnd w:id="95"/>
    <w:bookmarkStart w:id="104" w:name="chapter-5.-data-and-measurement"/>
    <w:p>
      <w:pPr>
        <w:pStyle w:val="Heading1"/>
        <w:spacing w:line="480" w:lineRule="auto"/>
      </w:pPr>
      <w:r>
        <w:t xml:space="preserve">Chapter 5. Data and Measurement</w:t>
      </w:r>
    </w:p>
    <w:p>
      <w:pPr>
        <w:pStyle w:val="FirstParagraph"/>
        <w:spacing w:line="480" w:lineRule="auto"/>
      </w:pPr>
      <w:r>
        <w:t xml:space="preserve">The evidence in this dissertation is a single, auditable dataset of thirty retrieved source records. Every claim in Chapter 6 traces back to this file, and every variable in the file is computed by a fixed rule from a source that the file itself names. This chapter documents the corpus, the construction of each variable, the provenance of each row, and the sample size, so that a reader can reconstruct the estimation inputs without any hidden step. The measurement philosophy is simple. Nothing that a later analyst cannot recompute from the source belongs in the data. This rule excludes exactly the kind of hidden judgment that lets a weak study reach a strong conclusion, and it is the reason the dataset can be handed to a skeptic with the invitation to reproduce every number rather than to trust the analyst’s summary of them</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Start w:id="96" w:name="the-corpus-and-its-sources"/>
    <w:p>
      <w:pPr>
        <w:pStyle w:val="Heading2"/>
        <w:spacing w:line="480" w:lineRule="auto"/>
      </w:pPr>
      <w:r>
        <w:t xml:space="preserve">5.1 The corpus and its sources</w:t>
      </w:r>
    </w:p>
    <w:p>
      <w:pPr>
        <w:pStyle w:val="FirstParagraph"/>
        <w:spacing w:line="480" w:lineRule="auto"/>
      </w:pPr>
      <w:r>
        <w:t xml:space="preserve">The estimation file contains thirty rows, one per retrieved source record. The records span the technical, methodological, and policy literature that surrounds orbital collision and fragmentation, which is deliberate: a corpus drawn only from the technical venues would have no venue variation to test, and a corpus drawn only from policy sources would have too little topic signal to model</w:t>
      </w:r>
      <w:r>
        <w:t xml:space="preserve"> </w:t>
      </w:r>
      <w:hyperlink w:anchor="ref-4">
        <w:r>
          <w:rPr>
            <w:rStyle w:val="Hyperlink"/>
          </w:rPr>
          <w:t xml:space="preserve">[4]</w:t>
        </w:r>
      </w:hyperlink>
      <w:r>
        <w:t xml:space="preserve"> </w:t>
      </w:r>
      <w:hyperlink w:anchor="ref-15">
        <w:r>
          <w:rPr>
            <w:rStyle w:val="Hyperlink"/>
          </w:rPr>
          <w:t xml:space="preserve">[15]</w:t>
        </w:r>
      </w:hyperlink>
      <w:r>
        <w:t xml:space="preserve">. The spread across families is what gives the venue predictor something to detect. The technical and methodological end includes conference work on identifying the most concerning conjunctions in low Earth orbit</w:t>
      </w:r>
      <w:r>
        <w:t xml:space="preserve"> </w:t>
      </w:r>
      <w:hyperlink w:anchor="ref-1">
        <w:r>
          <w:rPr>
            <w:rStyle w:val="Hyperlink"/>
          </w:rPr>
          <w:t xml:space="preserve">[1]</w:t>
        </w:r>
      </w:hyperlink>
      <w:r>
        <w:t xml:space="preserve">, on the space-situational-awareness challenges of evolving spacecraft technologies</w:t>
      </w:r>
      <w:r>
        <w:t xml:space="preserve"> </w:t>
      </w:r>
      <w:hyperlink w:anchor="ref-2">
        <w:r>
          <w:rPr>
            <w:rStyle w:val="Hyperlink"/>
          </w:rPr>
          <w:t xml:space="preserve">[2]</w:t>
        </w:r>
      </w:hyperlink>
      <w:r>
        <w:t xml:space="preserve">, on fragmentation detection through track-to-track association</w:t>
      </w:r>
      <w:r>
        <w:t xml:space="preserve"> </w:t>
      </w:r>
      <w:hyperlink w:anchor="ref-3">
        <w:r>
          <w:rPr>
            <w:rStyle w:val="Hyperlink"/>
          </w:rPr>
          <w:t xml:space="preserve">[3]</w:t>
        </w:r>
      </w:hyperlink>
      <w:r>
        <w:t xml:space="preserve">, on early identification and tracking of break-up fragments</w:t>
      </w:r>
      <w:r>
        <w:t xml:space="preserve"> </w:t>
      </w:r>
      <w:hyperlink w:anchor="ref-6">
        <w:r>
          <w:rPr>
            <w:rStyle w:val="Hyperlink"/>
          </w:rPr>
          <w:t xml:space="preserve">[6]</w:t>
        </w:r>
      </w:hyperlink>
      <w:r>
        <w:t xml:space="preserve">, and on the comparison of catastrophic on-orbit collisions</w:t>
      </w:r>
      <w:r>
        <w:t xml:space="preserve"> </w:t>
      </w:r>
      <w:hyperlink w:anchor="ref-7">
        <w:r>
          <w:rPr>
            <w:rStyle w:val="Hyperlink"/>
          </w:rPr>
          <w:t xml:space="preserve">[7]</w:t>
        </w:r>
      </w:hyperlink>
      <w:r>
        <w:t xml:space="preserve">. The archival-journal end includes resilience analysis of constellations under fragmentation</w:t>
      </w:r>
      <w:r>
        <w:t xml:space="preserve"> </w:t>
      </w:r>
      <w:hyperlink w:anchor="ref-4">
        <w:r>
          <w:rPr>
            <w:rStyle w:val="Hyperlink"/>
          </w:rPr>
          <w:t xml:space="preserve">[4]</w:t>
        </w:r>
      </w:hyperlink>
      <w:r>
        <w:t xml:space="preserve">, the graph-neural-network classification of explosion and collision events</w:t>
      </w:r>
      <w:r>
        <w:t xml:space="preserve"> </w:t>
      </w:r>
      <w:hyperlink w:anchor="ref-5">
        <w:r>
          <w:rPr>
            <w:rStyle w:val="Hyperlink"/>
          </w:rPr>
          <w:t xml:space="preserve">[5]</w:t>
        </w:r>
      </w:hyperlink>
      <w:r>
        <w:t xml:space="preserve">, early-stage fragmentation characterization</w:t>
      </w:r>
      <w:r>
        <w:t xml:space="preserve"> </w:t>
      </w:r>
      <w:hyperlink w:anchor="ref-9">
        <w:r>
          <w:rPr>
            <w:rStyle w:val="Hyperlink"/>
          </w:rPr>
          <w:t xml:space="preserve">[9]</w:t>
        </w:r>
      </w:hyperlink>
      <w:r>
        <w:t xml:space="preserve">, short-term break-up reconstruction</w:t>
      </w:r>
      <w:r>
        <w:t xml:space="preserve"> </w:t>
      </w:r>
      <w:hyperlink w:anchor="ref-10">
        <w:r>
          <w:rPr>
            <w:rStyle w:val="Hyperlink"/>
          </w:rPr>
          <w:t xml:space="preserve">[10]</w:t>
        </w:r>
      </w:hyperlink>
      <w:r>
        <w:t xml:space="preserve">, geosynchronous collision-likelihood assessment</w:t>
      </w:r>
      <w:r>
        <w:t xml:space="preserve"> </w:t>
      </w:r>
      <w:hyperlink w:anchor="ref-11">
        <w:r>
          <w:rPr>
            <w:rStyle w:val="Hyperlink"/>
          </w:rPr>
          <w:t xml:space="preserve">[11]</w:t>
        </w:r>
      </w:hyperlink>
      <w:r>
        <w:t xml:space="preserve">, cislunar fragmentation monitoring</w:t>
      </w:r>
      <w:r>
        <w:t xml:space="preserve"> </w:t>
      </w:r>
      <w:hyperlink w:anchor="ref-12">
        <w:r>
          <w:rPr>
            <w:rStyle w:val="Hyperlink"/>
          </w:rPr>
          <w:t xml:space="preserve">[12]</w:t>
        </w:r>
      </w:hyperlink>
      <w:r>
        <w:t xml:space="preserve">, enhanced spatiotemporal target detection</w:t>
      </w:r>
      <w:r>
        <w:t xml:space="preserve"> </w:t>
      </w:r>
      <w:hyperlink w:anchor="ref-13">
        <w:r>
          <w:rPr>
            <w:rStyle w:val="Hyperlink"/>
          </w:rPr>
          <w:t xml:space="preserve">[13]</w:t>
        </w:r>
      </w:hyperlink>
      <w:r>
        <w:t xml:space="preserve">, cislunar and cismartian traffic-management frameworks</w:t>
      </w:r>
      <w:r>
        <w:t xml:space="preserve"> </w:t>
      </w:r>
      <w:hyperlink w:anchor="ref-14">
        <w:r>
          <w:rPr>
            <w:rStyle w:val="Hyperlink"/>
          </w:rPr>
          <w:t xml:space="preserve">[14]</w:t>
        </w:r>
      </w:hyperlink>
      <w:r>
        <w:t xml:space="preserve">, defense and security strategy against hybrid threats</w:t>
      </w:r>
      <w:r>
        <w:t xml:space="preserve"> </w:t>
      </w:r>
      <w:hyperlink w:anchor="ref-15">
        <w:r>
          <w:rPr>
            <w:rStyle w:val="Hyperlink"/>
          </w:rPr>
          <w:t xml:space="preserve">[15]</w:t>
        </w:r>
      </w:hyperlink>
      <w:r>
        <w:t xml:space="preserve">, and risk assessment of recent high-interest conjunctions</w:t>
      </w:r>
      <w:r>
        <w:t xml:space="preserve"> </w:t>
      </w:r>
      <w:hyperlink w:anchor="ref-16">
        <w:r>
          <w:rPr>
            <w:rStyle w:val="Hyperlink"/>
          </w:rPr>
          <w:t xml:space="preserve">[16]</w:t>
        </w:r>
      </w:hyperlink>
      <w:r>
        <w:t xml:space="preserve">. The policy and economy end includes operator-requirements records, orbital-classification work, and a synthesis of governance and sustainability perspectives on the space economy.</w:t>
      </w:r>
    </w:p>
    <w:p>
      <w:pPr>
        <w:pStyle w:val="BodyText"/>
        <w:spacing w:line="480" w:lineRule="auto"/>
        <w:ind w:firstLine="720"/>
      </w:pPr>
      <w:r>
        <w:t xml:space="preserve">Each row preserves a source column. For records with a digital object identifier, the source column carries the identifier; for conference records, it carries the proceedings URL; for the remaining policy records, it carries a descriptive citation string. This provenance is not decorative. It is the mechanism that makes the workbook auditable, because it lets any reader open the underlying source and confirm that the derived variables were computed correctly</w:t>
      </w:r>
      <w:r>
        <w:t xml:space="preserve"> </w:t>
      </w:r>
      <w:hyperlink w:anchor="ref-3">
        <w:r>
          <w:rPr>
            <w:rStyle w:val="Hyperlink"/>
          </w:rPr>
          <w:t xml:space="preserve">[3]</w:t>
        </w:r>
      </w:hyperlink>
      <w:r>
        <w:t xml:space="preserve"> </w:t>
      </w:r>
      <w:hyperlink w:anchor="ref-9">
        <w:r>
          <w:rPr>
            <w:rStyle w:val="Hyperlink"/>
          </w:rPr>
          <w:t xml:space="preserve">[9]</w:t>
        </w:r>
      </w:hyperlink>
      <w:r>
        <w:t xml:space="preserve">. The design treats auditability as a first-class requirement rather than a courtesy, because a corpus screen whose inputs cannot be checked is indistinguishable from an assertion, and the whole point of the exercise is to replace assertion with checkable evidence</w:t>
      </w:r>
      <w:r>
        <w:t xml:space="preserve"> </w:t>
      </w:r>
      <w:hyperlink w:anchor="ref-5">
        <w:r>
          <w:rPr>
            <w:rStyle w:val="Hyperlink"/>
          </w:rPr>
          <w:t xml:space="preserve">[5]</w:t>
        </w:r>
      </w:hyperlink>
      <w:r>
        <w:t xml:space="preserve">. Every downstream claim in Chapter 6 therefore traces, through the source column, back to a document a skeptic can open.</w:t>
      </w:r>
    </w:p>
    <w:bookmarkEnd w:id="96"/>
    <w:bookmarkStart w:id="97" w:name="Xbeca01ff2ea1b4a2a9208bbf14e5c44c005e38b"/>
    <w:p>
      <w:pPr>
        <w:pStyle w:val="Heading2"/>
        <w:spacing w:line="480" w:lineRule="auto"/>
      </w:pPr>
      <w:r>
        <w:t xml:space="preserve">5.2 The dependent variable: topic-signal score</w:t>
      </w:r>
    </w:p>
    <w:p>
      <w:pPr>
        <w:pStyle w:val="FirstParagraph"/>
        <w:spacing w:line="480" w:lineRule="auto"/>
      </w:pPr>
      <w:r>
        <w:t xml:space="preserve">The dependent variable in the primary model is SignalScore, a deterministic composite that measures how strongly a source record expresses the candidate theme. It is built by counting candidate-theme term hits across four fields of each record: the title, the retrieved snippet, the keyword field, and the author metadata. The count is combined into a single composite score for the row. Because the rule is fixed and mechanical, two analysts applying it to the same source record obtain the same score, which removes the discretionary coding that plagues qualitative salience measures. This reproducibility is the property that lets the dependent variable anchor an auditable estimation rather than a subjective one</w:t>
      </w:r>
      <w:r>
        <w:t xml:space="preserve"> </w:t>
      </w:r>
      <w:hyperlink w:anchor="ref-3">
        <w:r>
          <w:rPr>
            <w:rStyle w:val="Hyperlink"/>
          </w:rPr>
          <w:t xml:space="preserve">[3]</w:t>
        </w:r>
      </w:hyperlink>
      <w:r>
        <w:t xml:space="preserve">.</w:t>
      </w:r>
    </w:p>
    <w:p>
      <w:pPr>
        <w:pStyle w:val="BodyText"/>
        <w:spacing w:line="480" w:lineRule="auto"/>
        <w:ind w:firstLine="720"/>
      </w:pPr>
      <w:r>
        <w:t xml:space="preserve">Scores in the corpus range across a meaningful spread. Records that sit squarely on the fragmentation-and-collision theme, such as the resilience analysis</w:t>
      </w:r>
      <w:r>
        <w:t xml:space="preserve"> </w:t>
      </w:r>
      <w:hyperlink w:anchor="ref-4">
        <w:r>
          <w:rPr>
            <w:rStyle w:val="Hyperlink"/>
          </w:rPr>
          <w:t xml:space="preserve">[4]</w:t>
        </w:r>
      </w:hyperlink>
      <w:r>
        <w:t xml:space="preserve">, the graph-neural-network classification</w:t>
      </w:r>
      <w:r>
        <w:t xml:space="preserve"> </w:t>
      </w:r>
      <w:hyperlink w:anchor="ref-5">
        <w:r>
          <w:rPr>
            <w:rStyle w:val="Hyperlink"/>
          </w:rPr>
          <w:t xml:space="preserve">[5]</w:t>
        </w:r>
      </w:hyperlink>
      <w:r>
        <w:t xml:space="preserve">, the early-tracking work</w:t>
      </w:r>
      <w:r>
        <w:t xml:space="preserve"> </w:t>
      </w:r>
      <w:hyperlink w:anchor="ref-6">
        <w:r>
          <w:rPr>
            <w:rStyle w:val="Hyperlink"/>
          </w:rPr>
          <w:t xml:space="preserve">[6]</w:t>
        </w:r>
      </w:hyperlink>
      <w:r>
        <w:t xml:space="preserve">, and the cislunar monitoring study</w:t>
      </w:r>
      <w:r>
        <w:t xml:space="preserve"> </w:t>
      </w:r>
      <w:hyperlink w:anchor="ref-12">
        <w:r>
          <w:rPr>
            <w:rStyle w:val="Hyperlink"/>
          </w:rPr>
          <w:t xml:space="preserve">[12]</w:t>
        </w:r>
      </w:hyperlink>
      <w:r>
        <w:t xml:space="preserve">, carry high signal scores at the top of the observed range. Records that touch the domain only tangentially, such as the solar-radio-burst recognition work</w:t>
      </w:r>
      <w:r>
        <w:t xml:space="preserve"> </w:t>
      </w:r>
      <w:hyperlink w:anchor="ref-8">
        <w:r>
          <w:rPr>
            <w:rStyle w:val="Hyperlink"/>
          </w:rPr>
          <w:t xml:space="preserve">[8]</w:t>
        </w:r>
      </w:hyperlink>
      <w:r>
        <w:t xml:space="preserve"> </w:t>
      </w:r>
      <w:r>
        <w:t xml:space="preserve">and several of the policy records with sparse retrievable metadata, carry low scores. This spread is what gives the signal model something to explain. A dependent variable with no variance would be untestable; the observed variance across the thirty records is the raw material of the estimation. That the spread aligns with topical relevance, high for the theme-central technical work and low for the tangential records, is a first informal sign that the score is tracking something real rather than noise, a sign the formal estimation later either confirms or qualifies</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97"/>
    <w:bookmarkStart w:id="98" w:name="the-predictors"/>
    <w:p>
      <w:pPr>
        <w:pStyle w:val="Heading2"/>
        <w:spacing w:line="480" w:lineRule="auto"/>
      </w:pPr>
      <w:r>
        <w:t xml:space="preserve">5.3 The predictors</w:t>
      </w:r>
    </w:p>
    <w:p>
      <w:pPr>
        <w:pStyle w:val="FirstParagraph"/>
        <w:spacing w:line="480" w:lineRule="auto"/>
      </w:pPr>
      <w:r>
        <w:t xml:space="preserve">RecencyIndex encodes publication timing. It is computed as the publication year minus the minimum publication year in the sample plus one. In this corpus the earliest record dates to 2008</w:t>
      </w:r>
      <w:r>
        <w:t xml:space="preserve"> </w:t>
      </w:r>
      <w:hyperlink w:anchor="ref-7">
        <w:r>
          <w:rPr>
            <w:rStyle w:val="Hyperlink"/>
          </w:rPr>
          <w:t xml:space="preserve">[7]</w:t>
        </w:r>
      </w:hyperlink>
      <w:r>
        <w:t xml:space="preserve">, which anchors the index, and the most recent records date to 2026</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which take the largest recency values. The plus-one shift keeps the earliest record at a value of one rather than zero, which aids interpretation of the intercept. Recency is the predictor most directly tied to the availability mechanism, because a bias toward vivid recent events should push topic signal toward the recent end of the index.</w:t>
      </w:r>
    </w:p>
    <w:p>
      <w:pPr>
        <w:pStyle w:val="BodyText"/>
        <w:spacing w:line="480" w:lineRule="auto"/>
        <w:ind w:firstLine="720"/>
      </w:pPr>
      <w:r>
        <w:t xml:space="preserve">Cites encodes citation attention. It is parsed from the local brain index citation field and set to zero when the index reported no count. This variable is sparse: most records in the corpus carry a citation count of zero, a few carry small counts, and a small number of older archival-journal records carry substantial counts, the largest being the sixty-four citations on a 2020 archival record and the fifty-one citations on the 2018 geosynchronous assessment</w:t>
      </w:r>
      <w:r>
        <w:t xml:space="preserve"> </w:t>
      </w:r>
      <w:hyperlink w:anchor="ref-11">
        <w:r>
          <w:rPr>
            <w:rStyle w:val="Hyperlink"/>
          </w:rPr>
          <w:t xml:space="preserve">[11]</w:t>
        </w:r>
      </w:hyperlink>
      <w:r>
        <w:t xml:space="preserve">. The design is explicit that these are local index measures, not universal citation totals, and Chapter 7 returns to what that sparsity means for inference</w:t>
      </w:r>
      <w:r>
        <w:t xml:space="preserve"> </w:t>
      </w:r>
      <w:hyperlink w:anchor="ref-2">
        <w:r>
          <w:rPr>
            <w:rStyle w:val="Hyperlink"/>
          </w:rPr>
          <w:t xml:space="preserve">[2]</w:t>
        </w:r>
      </w:hyperlink>
      <w:r>
        <w:t xml:space="preserve">.</w:t>
      </w:r>
    </w:p>
    <w:p>
      <w:pPr>
        <w:pStyle w:val="BodyText"/>
        <w:spacing w:line="480" w:lineRule="auto"/>
        <w:ind w:firstLine="720"/>
      </w:pPr>
      <w:r>
        <w:t xml:space="preserve">VenueScore encodes venue family as an ordinal code. AMOS conference proceedings take the value one, Acta Astronautica takes two, and the space-economy venue family takes three. The ordering runs from the fast, operationally proximate conference venue through the archival journal to the policy-and-economy venue that sits closest to the institutional response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code is ordinal, not cardinal, and the design warns against reading the numeric spacing as a quality scale. Its role is to test whether the topic signal sorts across venue families, not to rank the venues.</w:t>
      </w:r>
    </w:p>
    <w:bookmarkEnd w:id="98"/>
    <w:bookmarkStart w:id="99" w:name="the-learning-curve-variables"/>
    <w:p>
      <w:pPr>
        <w:pStyle w:val="Heading2"/>
        <w:spacing w:line="480" w:lineRule="auto"/>
      </w:pPr>
      <w:r>
        <w:t xml:space="preserve">5.4 The learning-curve variables</w:t>
      </w:r>
    </w:p>
    <w:p>
      <w:pPr>
        <w:pStyle w:val="FirstParagraph"/>
        <w:spacing w:line="480" w:lineRule="auto"/>
      </w:pPr>
      <w:r>
        <w:t xml:space="preserve">The second model uses two variables built from the same corpus. CitesPlus1 is the reported citation count plus one, the plus-one added so that the logarithm is defined for the many uncited records; without it, every zero-citation record would drop out of a log model and the estimation would be biased toward the cited minority. AgeIndex is 2026 minus the publication year plus one, so that the newest 2026 records take the value one and the oldest 2008 record takes the value nineteen. These two variables let the learning-curve model recover the age structure of citation accumulation across the whole corpus rather than only the cited subset</w:t>
      </w:r>
      <w:r>
        <w:t xml:space="preserve"> </w:t>
      </w:r>
      <w:hyperlink w:anchor="ref-7">
        <w:r>
          <w:rPr>
            <w:rStyle w:val="Hyperlink"/>
          </w:rPr>
          <w:t xml:space="preserve">[7]</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How AgeIndex and CitesPlus1 relate in the raw data is instructive before any model is fit. The most-cited records are neither the newest nor the oldest; they cluster in the 2018 to 2020 window, old enough to have accumulated citations but recent enough to sit inside the modern surge of interest</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newest records, from 2025 and 2026, carry almost no citations regardless of their topic signal, which is the mechanical age effect the learning-curve model is designed to isolate.</w:t>
      </w:r>
    </w:p>
    <w:bookmarkEnd w:id="99"/>
    <w:bookmarkStart w:id="100" w:name="X222f87b0425063bd76eaa658d5d17403cdc86ed"/>
    <w:p>
      <w:pPr>
        <w:pStyle w:val="Heading2"/>
        <w:spacing w:line="480" w:lineRule="auto"/>
      </w:pPr>
      <w:r>
        <w:t xml:space="preserve">5.5 Provenance and reproducibility in practice</w:t>
      </w:r>
    </w:p>
    <w:p>
      <w:pPr>
        <w:pStyle w:val="FirstParagraph"/>
        <w:spacing w:line="480" w:lineRule="auto"/>
      </w:pPr>
      <w:r>
        <w:t xml:space="preserve">The claim that the dataset is auditable is only as good as the provenance it preserves, so it is worth showing how the provenance works record by record. A record identified by a digital object identifier, such as the geosynchronous collision-likelihood assessment</w:t>
      </w:r>
      <w:r>
        <w:t xml:space="preserve"> </w:t>
      </w:r>
      <w:hyperlink w:anchor="ref-11">
        <w:r>
          <w:rPr>
            <w:rStyle w:val="Hyperlink"/>
          </w:rPr>
          <w:t xml:space="preserve">[11]</w:t>
        </w:r>
      </w:hyperlink>
      <w:r>
        <w:t xml:space="preserve"> </w:t>
      </w:r>
      <w:r>
        <w:t xml:space="preserve">or the resilience analysis</w:t>
      </w:r>
      <w:r>
        <w:t xml:space="preserve"> </w:t>
      </w:r>
      <w:hyperlink w:anchor="ref-4">
        <w:r>
          <w:rPr>
            <w:rStyle w:val="Hyperlink"/>
          </w:rPr>
          <w:t xml:space="preserve">[4]</w:t>
        </w:r>
      </w:hyperlink>
      <w:r>
        <w:t xml:space="preserve">, carries that identifier directly in its source column, and any reader can resolve it to the published article and confirm the year, the venue family, and the metadata from which the topic-signal score was built. A conference record, such as the track-to-track fragmentation-detection work</w:t>
      </w:r>
      <w:r>
        <w:t xml:space="preserve"> </w:t>
      </w:r>
      <w:hyperlink w:anchor="ref-3">
        <w:r>
          <w:rPr>
            <w:rStyle w:val="Hyperlink"/>
          </w:rPr>
          <w:t xml:space="preserve">[3]</w:t>
        </w:r>
      </w:hyperlink>
      <w:r>
        <w:t xml:space="preserve"> </w:t>
      </w:r>
      <w:r>
        <w:t xml:space="preserve">or the early-tracking study</w:t>
      </w:r>
      <w:r>
        <w:t xml:space="preserve"> </w:t>
      </w:r>
      <w:hyperlink w:anchor="ref-6">
        <w:r>
          <w:rPr>
            <w:rStyle w:val="Hyperlink"/>
          </w:rPr>
          <w:t xml:space="preserve">[6]</w:t>
        </w:r>
      </w:hyperlink>
      <w:r>
        <w:t xml:space="preserve">, carries its proceedings URL, which resolves to the conference page from which the same fields were drawn. A policy record with no persistent identifier carries a descriptive citation string, which is weaker provenance but still traceable, and the design flags these records as the ones whose thin metadata most attenuates their topic-signal scores.</w:t>
      </w:r>
    </w:p>
    <w:p>
      <w:pPr>
        <w:pStyle w:val="BodyText"/>
        <w:spacing w:line="480" w:lineRule="auto"/>
        <w:ind w:firstLine="720"/>
      </w:pPr>
      <w:r>
        <w:t xml:space="preserve">This graded provenance matters for how the results are read. The strongest inference in the dataset rests on the records with the strongest provenance, the identifier-bearing archival and conference work, because those records’ variables are the most fully reconstructible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policy tail, with its descriptive-string provenance and sparse retrievable fields, contributes low and somewhat noisy topic-signal scores, and the design is careful not to let that tail drive any conclusion. Reproducibility is therefore not a uniform property of the dataset but a graded one, strongest where it most needs to be and weakest in the records the analysis leans on least.</w:t>
      </w:r>
    </w:p>
    <w:bookmarkEnd w:id="100"/>
    <w:bookmarkStart w:id="101" w:name="descriptive-structure-before-estimation"/>
    <w:p>
      <w:pPr>
        <w:pStyle w:val="Heading2"/>
        <w:spacing w:line="480" w:lineRule="auto"/>
      </w:pPr>
      <w:r>
        <w:t xml:space="preserve">5.6 Descriptive structure before estimation</w:t>
      </w:r>
    </w:p>
    <w:p>
      <w:pPr>
        <w:pStyle w:val="FirstParagraph"/>
        <w:spacing w:line="480" w:lineRule="auto"/>
      </w:pPr>
      <w:r>
        <w:t xml:space="preserve">Looking at the corpus before any model is fit sharpens what the estimators later recover. The topic-signal scores are dispersed rather than bunched, with the theme-saturated technical records at the high end and the sparse policy records at the low end, which gives the signal model genuine variance to explain</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venue families are unevenly represented: the AMOS conference family and the Acta Astronautica archival family together dominate the corpus, while the space-economy policy family forms a smaller tail. This imbalance is why the venue predictor is coded ordinally rather than with a full set of indicators, since the smallest family could not support a separate indicator at this sample size.</w:t>
      </w:r>
    </w:p>
    <w:p>
      <w:pPr>
        <w:pStyle w:val="BodyText"/>
        <w:spacing w:line="480" w:lineRule="auto"/>
        <w:ind w:firstLine="720"/>
      </w:pPr>
      <w:r>
        <w:t xml:space="preserve">Citation counts are the most skewed variable in the dataset. Most records carry zero, a handful carry single-digit counts, and a very small number carry large counts, the extremes being the 2020 archival record with sixty-four citations and the 2018 geosynchronous assessment with fifty-one</w:t>
      </w:r>
      <w:r>
        <w:t xml:space="preserve"> </w:t>
      </w:r>
      <w:hyperlink w:anchor="ref-11">
        <w:r>
          <w:rPr>
            <w:rStyle w:val="Hyperlink"/>
          </w:rPr>
          <w:t xml:space="preserve">[11]</w:t>
        </w:r>
      </w:hyperlink>
      <w:r>
        <w:t xml:space="preserve">. This skew is central to how both models behave. In the signal model it means the citation coefficient is identified largely off the handful of well-cited records, which is why the design reads that coefficient’s precision carefully. In the learning-curve model it means the age-to-citation relationship is dominated by a few old, well-cited points against a mass of recent, uncited ones, which foreshadows the weak elasticity that Chapter 6 reports</w:t>
      </w:r>
      <w:r>
        <w:t xml:space="preserve"> </w:t>
      </w:r>
      <w:hyperlink w:anchor="ref-2">
        <w:r>
          <w:rPr>
            <w:rStyle w:val="Hyperlink"/>
          </w:rPr>
          <w:t xml:space="preserve">[2]</w:t>
        </w:r>
      </w:hyperlink>
      <w:r>
        <w:t xml:space="preserve"> </w:t>
      </w:r>
      <w:hyperlink w:anchor="ref-16">
        <w:r>
          <w:rPr>
            <w:rStyle w:val="Hyperlink"/>
          </w:rPr>
          <w:t xml:space="preserve">[16]</w:t>
        </w:r>
      </w:hyperlink>
      <w:r>
        <w:t xml:space="preserve">. Seeing this structure in the raw data, before estimation, is what makes the later coefficients interpretable rather than surprising.</w:t>
      </w:r>
    </w:p>
    <w:bookmarkEnd w:id="101"/>
    <w:bookmarkStart w:id="102" w:name="X8c3ea37a0428c0cc866f5c5ed719ec7c4a004d4"/>
    <w:p>
      <w:pPr>
        <w:pStyle w:val="Heading2"/>
        <w:spacing w:line="480" w:lineRule="auto"/>
      </w:pPr>
      <w:r>
        <w:t xml:space="preserve">5.7 Sample size, coverage, and honest boundaries</w:t>
      </w:r>
    </w:p>
    <w:p>
      <w:pPr>
        <w:pStyle w:val="FirstParagraph"/>
        <w:spacing w:line="480" w:lineRule="auto"/>
      </w:pPr>
      <w:r>
        <w:t xml:space="preserve">Sample size is thirty, and the design does not disguise the constraints that a corpus of this size imposes. Thirty records support two compact estimators with a small number of predictors each, which is why Chapter 4 chose that specification rather than a richer joint model. Thirty records do not support fine subgroup analysis, interaction-heavy specifications, or strong claims about the tails of the distribution. The corpus is a curated slice of the literature retrieved for the candidate topic, not a census of all space-governance documents, and the venue coverage is concentrated in the AMOS and Acta Astronautica families with a smaller policy-and-economy tail</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These boundaries are stated here, before any result, so that the numbers in Chapter 6 are read in their proper frame. The data are strong enough to test whether the topic signal is structured with respect to recency, citation, and venue, and to recover the age structure of citation accumulation. They are not strong enough to settle the causal question of whether salient events drive regulation, and the dissertation does not ask them to. What the data can do, they do transparently; what they cannot do, the design refuses to pretend they can.</w:t>
      </w:r>
    </w:p>
    <w:bookmarkEnd w:id="102"/>
    <w:bookmarkStart w:id="103" w:name="Xe81fd2e8e462631f744a422f807912d4408be38"/>
    <w:p>
      <w:pPr>
        <w:pStyle w:val="Heading2"/>
        <w:spacing w:line="480" w:lineRule="auto"/>
      </w:pPr>
      <w:r>
        <w:t xml:space="preserve">5.8 Measurement validity of the topic-signal score</w:t>
      </w:r>
    </w:p>
    <w:p>
      <w:pPr>
        <w:pStyle w:val="FirstParagraph"/>
        <w:spacing w:line="480" w:lineRule="auto"/>
      </w:pPr>
      <w:r>
        <w:t xml:space="preserve">The corpus spans eighteen years of publication, from the 2008 catastrophic-collision comparison</w:t>
      </w:r>
      <w:r>
        <w:t xml:space="preserve"> </w:t>
      </w:r>
      <w:hyperlink w:anchor="ref-7">
        <w:r>
          <w:rPr>
            <w:rStyle w:val="Hyperlink"/>
          </w:rPr>
          <w:t xml:space="preserve">[7]</w:t>
        </w:r>
      </w:hyperlink>
      <w:r>
        <w:t xml:space="preserve"> </w:t>
      </w:r>
      <w:r>
        <w:t xml:space="preserve">to the 2026 break-up-reconstruction and target-detection work</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 and the temporal spread is itself part of the measurement story. The middle years, roughly 2018 through 2023, are the densest in the corpus, which reflects the surge of fragmentation-characterization and risk-assessment work that accompanied the constellation era</w:t>
      </w:r>
      <w:r>
        <w:t xml:space="preserve"> </w:t>
      </w:r>
      <w:hyperlink w:anchor="ref-4">
        <w:r>
          <w:rPr>
            <w:rStyle w:val="Hyperlink"/>
          </w:rPr>
          <w:t xml:space="preserve">[4]</w:t>
        </w:r>
      </w:hyperlink>
      <w:r>
        <w:t xml:space="preserve"> </w:t>
      </w:r>
      <w:hyperlink w:anchor="ref-16">
        <w:r>
          <w:rPr>
            <w:rStyle w:val="Hyperlink"/>
          </w:rPr>
          <w:t xml:space="preserve">[16]</w:t>
        </w:r>
      </w:hyperlink>
      <w:r>
        <w:t xml:space="preserve">. The two tails, the single 2008 record and the several 2025-2026 records, anchor the recency index at its extremes but are thinly populated, which is one reason the recency estimate later lacks precision: the index has few observations at its old end and many recent observations bunched at its young end. Documenting this distribution here lets the reader anticipate why a recency effect, even if real, would be hard to estimate cleanly from this particular spread.</w:t>
      </w:r>
    </w:p>
    <w:p>
      <w:pPr>
        <w:pStyle w:val="BodyText"/>
        <w:spacing w:line="480" w:lineRule="auto"/>
        <w:ind w:firstLine="720"/>
      </w:pPr>
      <w:r>
        <w:t xml:space="preserve">The topic-signal score is the dissertation’s central constructed variable, so its validity deserves direct scrutiny rather than assumption. The score has strong reliability by construction: because it counts theme-term hits by a fixed rule across four fields, two analysts applying the rule to the same record produce identical scores, and the measure has no inter-rater disagreement to reconcile</w:t>
      </w:r>
      <w:r>
        <w:t xml:space="preserve"> </w:t>
      </w:r>
      <w:hyperlink w:anchor="ref-3">
        <w:r>
          <w:rPr>
            <w:rStyle w:val="Hyperlink"/>
          </w:rPr>
          <w:t xml:space="preserve">[3]</w:t>
        </w:r>
      </w:hyperlink>
      <w:r>
        <w:t xml:space="preserve">. Reliability, however, is not validity. A perfectly reproducible measure can still fail to capture the concept it names, and the concept here is the salience of the candidate topic in a record.</w:t>
      </w:r>
    </w:p>
    <w:p>
      <w:pPr>
        <w:pStyle w:val="BodyText"/>
        <w:spacing w:line="480" w:lineRule="auto"/>
        <w:ind w:firstLine="720"/>
      </w:pPr>
      <w:r>
        <w:t xml:space="preserve">Two validity concerns bear on the score. The first is construct coverage. Theme-term hits capture how densely a record’s retrievable metadata expresses the collision-and-fragmentation theme, which is a reasonable proxy for topic salience but not identical to it; a record could be deeply about the theme while using vocabulary the term list does not catch, or could mention the theme in passing with high term density</w:t>
      </w:r>
      <w:r>
        <w:t xml:space="preserve"> </w:t>
      </w:r>
      <w:hyperlink w:anchor="ref-9">
        <w:r>
          <w:rPr>
            <w:rStyle w:val="Hyperlink"/>
          </w:rPr>
          <w:t xml:space="preserve">[9]</w:t>
        </w:r>
      </w:hyperlink>
      <w:r>
        <w:t xml:space="preserve">. The design accepts this slippage and reads the score as a proxy rather than a direct measure, which is why the interpretation in Chapter 6 speaks of topic signal rather than of salience itself. The second concern is metadata dependence. Records with rich retrievable metadata, mostly the identifier-bearing technical and archival work, have more fields for the count to draw on than records with thin metadata, mostly the policy tail</w:t>
      </w:r>
      <w:r>
        <w:t xml:space="preserve"> </w:t>
      </w:r>
      <w:hyperlink w:anchor="ref-4">
        <w:r>
          <w:rPr>
            <w:rStyle w:val="Hyperlink"/>
          </w:rPr>
          <w:t xml:space="preserve">[4]</w:t>
        </w:r>
      </w:hyperlink>
      <w:r>
        <w:t xml:space="preserve"> </w:t>
      </w:r>
      <w:hyperlink w:anchor="ref-5">
        <w:r>
          <w:rPr>
            <w:rStyle w:val="Hyperlink"/>
          </w:rPr>
          <w:t xml:space="preserve">[5]</w:t>
        </w:r>
      </w:hyperlink>
      <w:r>
        <w:t xml:space="preserve">. This introduces a correlation between metadata richness and score that partly overlaps with venue family, which the venue predictor helps absorb but cannot fully separate.</w:t>
      </w:r>
    </w:p>
    <w:p>
      <w:pPr>
        <w:pStyle w:val="BodyText"/>
        <w:spacing w:line="480" w:lineRule="auto"/>
        <w:ind w:firstLine="720"/>
      </w:pPr>
      <w:r>
        <w:t xml:space="preserve">Naming these concerns is not a confession of failure; it is what lets the reader calibrate the results. The score is a reliable, reproducible proxy with known coverage and metadata limits, and the coefficients that act on it inherit those limits. A precise coefficient on a proxy is still evidence, but it is evidence about the proxy’s structure, and the leap from the proxy to the underlying salience is an interpretive step the design takes explicitly rather than silently</w:t>
      </w:r>
      <w:r>
        <w:t xml:space="preserve"> </w:t>
      </w:r>
      <w:hyperlink w:anchor="ref-2">
        <w:r>
          <w:rPr>
            <w:rStyle w:val="Hyperlink"/>
          </w:rPr>
          <w:t xml:space="preserve">[2]</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other three variables carry their own smaller validity notes, and completeness demands stating them. RecencyIndex is a clean transform of publication year and inherits only the year’s own accuracy, which is high because publication years are unambiguous in the source records</w:t>
      </w:r>
      <w:r>
        <w:t xml:space="preserve"> </w:t>
      </w:r>
      <w:hyperlink w:anchor="ref-10">
        <w:r>
          <w:rPr>
            <w:rStyle w:val="Hyperlink"/>
          </w:rPr>
          <w:t xml:space="preserve">[10]</w:t>
        </w:r>
      </w:hyperlink>
      <w:r>
        <w:t xml:space="preserve">. Cites inherits the local index’s coverage, which is its main weakness: the index undercounts, undercounts unevenly across venue families, and reports many true zeros alongside some counts that a fuller reconciliation would raise</w:t>
      </w:r>
      <w:r>
        <w:t xml:space="preserve"> </w:t>
      </w:r>
      <w:hyperlink w:anchor="ref-11">
        <w:r>
          <w:rPr>
            <w:rStyle w:val="Hyperlink"/>
          </w:rPr>
          <w:t xml:space="preserve">[11]</w:t>
        </w:r>
      </w:hyperlink>
      <w:r>
        <w:t xml:space="preserve">. VenueScore inherits the ordinal-coding decision discussed above, and its validity rests on the defensibility of ordering the three families from operational proximity toward policy distance, an ordering the design argues for but does not treat as beyond question</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Laid out this way, the measurement foundation is honest in every variable: it documents what each reliably captures and marks where each is partial. The estimator output that follows should be read against exactly this foundation.</w:t>
      </w:r>
    </w:p>
    <w:bookmarkEnd w:id="103"/>
    <w:bookmarkEnd w:id="104"/>
    <w:bookmarkStart w:id="112" w:name="chapter-6.-results"/>
    <w:p>
      <w:pPr>
        <w:pStyle w:val="Heading1"/>
        <w:spacing w:line="480" w:lineRule="auto"/>
      </w:pPr>
      <w:r>
        <w:t xml:space="preserve">Chapter 6. Results</w:t>
      </w:r>
    </w:p>
    <w:p>
      <w:pPr>
        <w:pStyle w:val="FirstParagraph"/>
        <w:spacing w:line="480" w:lineRule="auto"/>
      </w:pPr>
      <w:r>
        <w:t xml:space="preserve">This chapter reports the output of the two estimators exactly as the empirical workbooks produced it, and then interprets the signs, magnitudes, and precisions. No number here is rounded away from its source value, and no coefficient is adjusted after the fact. The reader who wants to check the estimation against the data documented in Chapter 5 can do so directly, because the reported values are the workbook values. Interpretation follows the numbers rather than leading them. The estimates were produced in a single deterministic run over the documented data, without any search across alternative specifications, so the values below are the values the design committed to before seeing which way they would fall</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Start w:id="105" w:name="the-signal-intensity-model"/>
    <w:p>
      <w:pPr>
        <w:pStyle w:val="Heading2"/>
        <w:spacing w:line="480" w:lineRule="auto"/>
      </w:pPr>
      <w:r>
        <w:t xml:space="preserve">6.1 The signal-intensity model</w:t>
      </w:r>
    </w:p>
    <w:p>
      <w:pPr>
        <w:pStyle w:val="FirstParagraph"/>
        <w:spacing w:line="480" w:lineRule="auto"/>
      </w:pPr>
      <w:r>
        <w:t xml:space="preserve">The first estimator regresses the topic-signal score on recency, citation count, and venue family across the thirty-record corpus, using ordinary least squares with heteroskedasticity-robust HC1 standard errors. The fit summary is as follows. The sample size is N = 30. The coefficient of determination is R2 = 0.4021056057979949, with an adjusted value of R2_adj = 0.33311779108237893. The joint test of the model is F = 9.421229548544034, with F_p = 0.0002186159896952205.</w:t>
      </w:r>
    </w:p>
    <w:p>
      <w:pPr>
        <w:pStyle w:val="BodyText"/>
        <w:spacing w:line="480" w:lineRule="auto"/>
        <w:ind w:firstLine="720"/>
      </w:pPr>
      <w:r>
        <w:t xml:space="preserve">The model explains a meaningful share of the variation in topic signal. An R-squared of roughly 0.40 on a thirty-record corpus, with an adjusted value near 0.33, indicates that recency, citation attention, and venue family together account for a substantial but far from complete portion of the signal, which is what a disciplined corpus screen should show: real structure, not a perfect fit that would signal overfitting. The gap between the raw and adjusted R-squared, about seven points, is modest, which tells the reader that the three predictors are each earning their place rather than inflating the fit through sheer count; a large gap would have warned that predictors were being added without explanatory return</w:t>
      </w:r>
      <w:r>
        <w:t xml:space="preserve"> </w:t>
      </w:r>
      <w:hyperlink w:anchor="ref-4">
        <w:r>
          <w:rPr>
            <w:rStyle w:val="Hyperlink"/>
          </w:rPr>
          <w:t xml:space="preserve">[4]</w:t>
        </w:r>
      </w:hyperlink>
      <w:r>
        <w:t xml:space="preserve">. The joint F-statistic of about 9.42, with a p-value of roughly 0.0002, rejects at conventional levels the hypothesis that all three predictors are jointly unrelated to the topic signal. On the joint test alone, the null of no structure does not survive</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Individual term estimates carry the substantive story. The constant is estimated at coef = 8.191261562313388 with p = 0.0005775453452896443. The recency-index coefficient is coef = 0.19300623991237786 with p = 0.15290567587230658. The citation coefficient is coef = 0.08580803019250725 with p = 0.00022787724467089138. The venue-score coefficient is coef = -2.697326065463136 with p = 0.00011621627977365185.</w:t>
      </w:r>
    </w:p>
    <w:bookmarkEnd w:id="105"/>
    <w:bookmarkStart w:id="106" w:name="interpreting-the-signal-model-terms"/>
    <w:p>
      <w:pPr>
        <w:pStyle w:val="Heading2"/>
        <w:spacing w:line="480" w:lineRule="auto"/>
      </w:pPr>
      <w:r>
        <w:t xml:space="preserve">6.2 Interpreting the signal-model terms</w:t>
      </w:r>
    </w:p>
    <w:p>
      <w:pPr>
        <w:pStyle w:val="FirstParagraph"/>
        <w:spacing w:line="480" w:lineRule="auto"/>
      </w:pPr>
      <w:r>
        <w:t xml:space="preserve">Read one term at a time, against the directional predictions of Chapter 3.</w:t>
      </w:r>
    </w:p>
    <w:p>
      <w:pPr>
        <w:pStyle w:val="BodyText"/>
        <w:spacing w:line="480" w:lineRule="auto"/>
        <w:ind w:firstLine="720"/>
      </w:pPr>
      <w:r>
        <w:t xml:space="preserve">The recency coefficient is positive, at about 0.19, which points in the direction the availability mechanism predicts: more recent source records carry more topic signal. The precision, though, is poor. Its p-value of about 0.15 does not clear conventional significance thresholds. The honest reading is that recency shows a positive association of the expected sign whose precision is too weak, in a corpus of thirty records, to support a confident claim. This is exactly the kind of signed-but-imprecise result that Chapter 3 anticipated, and the design treats it as evidence against a strong recency claim rather than as confirmation of one</w:t>
      </w:r>
      <w:r>
        <w:t xml:space="preserve"> </w:t>
      </w:r>
      <w:hyperlink w:anchor="ref-2">
        <w:r>
          <w:rPr>
            <w:rStyle w:val="Hyperlink"/>
          </w:rPr>
          <w:t xml:space="preserve">[2]</w:t>
        </w:r>
      </w:hyperlink>
      <w:r>
        <w:t xml:space="preserve">. A recency effect may well exist; this corpus cannot pin it down.</w:t>
      </w:r>
    </w:p>
    <w:p>
      <w:pPr>
        <w:pStyle w:val="BodyText"/>
        <w:spacing w:line="480" w:lineRule="auto"/>
        <w:ind w:firstLine="720"/>
      </w:pPr>
      <w:r>
        <w:t xml:space="preserve">The citation coefficient is positive, at about 0.086, and it is precisely estimated, with a p-value near 0.0002. Holding recency and venue fixed, source records with more reported citations carry more topic signal. The magnitude is modest per citation, as it should be given that citation counts in this corpus range from zero into the sixties, but the precision is high. This is the cleanest confirmation of a Chapter 3 prediction: citation attention and topic signal move together, net of the other structural features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result says that the more-noticed work in the corpus is also the work most saturated with the candidate theme. That alignment is what a salience mechanism predicts, because the work the community notices most is the work responding to the events the community finds most vivid</w:t>
      </w:r>
      <w:r>
        <w:t xml:space="preserve"> </w:t>
      </w:r>
      <w:hyperlink w:anchor="ref-16">
        <w:r>
          <w:rPr>
            <w:rStyle w:val="Hyperlink"/>
          </w:rPr>
          <w:t xml:space="preserve">[16]</w:t>
        </w:r>
      </w:hyperlink>
      <w:r>
        <w:t xml:space="preserve">.</w:t>
      </w:r>
    </w:p>
    <w:p>
      <w:pPr>
        <w:pStyle w:val="BodyText"/>
        <w:spacing w:line="480" w:lineRule="auto"/>
        <w:ind w:firstLine="720"/>
      </w:pPr>
      <w:r>
        <w:t xml:space="preserve">The venue coefficient is the largest in magnitude and among the most precise, at about -2.70 with a p-value near 0.0001. Its sign is negative. That means that as venue family moves up the ordinal code from AMOS proceedings toward Acta Astronautica and then toward the space-economy family, topic signal falls. This is a genuine finding, and it is worth reading carefully. Chapter 3 declined to fix the venue sign in advance, treating it as an empirical question, and the answer the data give is that the strongest topic signal concentrates in the fast, operationally proximate conference venue rather than in the archival or policy venues</w:t>
      </w:r>
      <w:r>
        <w:t xml:space="preserve"> </w:t>
      </w:r>
      <w:hyperlink w:anchor="ref-1">
        <w:r>
          <w:rPr>
            <w:rStyle w:val="Hyperlink"/>
          </w:rPr>
          <w:t xml:space="preserve">[1]</w:t>
        </w:r>
      </w:hyperlink>
      <w:r>
        <w:t xml:space="preserve"> </w:t>
      </w:r>
      <w:hyperlink w:anchor="ref-16">
        <w:r>
          <w:rPr>
            <w:rStyle w:val="Hyperlink"/>
          </w:rPr>
          <w:t xml:space="preserve">[16]</w:t>
        </w:r>
      </w:hyperlink>
      <w:r>
        <w:t xml:space="preserve">. The alarmed, event-proximate part of the community, the part that characterizes fragmentations within months at conference, carries the densest topic signal; the policy-and-economy tail, further from the technical event, carries less. The venue effect is the structural backbone of the model’s explanatory power.</w:t>
      </w:r>
    </w:p>
    <w:bookmarkEnd w:id="106"/>
    <w:bookmarkStart w:id="107" w:name="the-learning-curve-model"/>
    <w:p>
      <w:pPr>
        <w:pStyle w:val="Heading2"/>
        <w:spacing w:line="480" w:lineRule="auto"/>
      </w:pPr>
      <w:r>
        <w:t xml:space="preserve">6.3 The learning-curve model</w:t>
      </w:r>
    </w:p>
    <w:p>
      <w:pPr>
        <w:pStyle w:val="FirstParagraph"/>
        <w:spacing w:line="480" w:lineRule="auto"/>
      </w:pPr>
      <w:r>
        <w:t xml:space="preserve">The second estimator regresses log citations-plus-one on log article age across the same thirty records, again with robust HC1 standard errors. The fit summary is as follows. The coefficient of determination is R2 = 0.01388302208270431. The estimated elasticity is elasticity_b = 0.21933030749634794, and the corresponding progress ratio is progress_ratio_2^b = 1.1641930478804767.</w:t>
      </w:r>
    </w:p>
    <w:p>
      <w:pPr>
        <w:pStyle w:val="BodyText"/>
        <w:spacing w:line="480" w:lineRule="auto"/>
        <w:ind w:firstLine="720"/>
      </w:pPr>
      <w:r>
        <w:t xml:space="preserve">The individual term estimates are these. The constant is coef = 0.4148975719336858 with p = 0.23242342278459405. The log-age slope is _ln_x coef = 0.21933030749634794 with p = 0.45084072172307066.</w:t>
      </w:r>
    </w:p>
    <w:bookmarkEnd w:id="107"/>
    <w:bookmarkStart w:id="108" w:name="interpreting-the-learning-curve-terms"/>
    <w:p>
      <w:pPr>
        <w:pStyle w:val="Heading2"/>
        <w:spacing w:line="480" w:lineRule="auto"/>
      </w:pPr>
      <w:r>
        <w:t xml:space="preserve">6.4 Interpreting the learning-curve terms</w:t>
      </w:r>
    </w:p>
    <w:p>
      <w:pPr>
        <w:pStyle w:val="FirstParagraph"/>
        <w:spacing w:line="480" w:lineRule="auto"/>
      </w:pPr>
      <w:r>
        <w:t xml:space="preserve">The age elasticity is positive, at about 0.22, which is the direction the mechanical account predicts: older articles carry more citations. The progress ratio of about 1.16 translates that elasticity into an interpretable figure, indicating that a doubling of article age is associated with roughly a sixteen percent increase in citations-plus-one. The sign is right and the magnitude is plausible for an experience-curve shape</w:t>
      </w:r>
      <w:r>
        <w:t xml:space="preserve"> </w:t>
      </w:r>
      <w:hyperlink w:anchor="ref-7">
        <w:r>
          <w:rPr>
            <w:rStyle w:val="Hyperlink"/>
          </w:rPr>
          <w:t xml:space="preserve">[7]</w:t>
        </w:r>
      </w:hyperlink>
      <w:r>
        <w:t xml:space="preserve"> </w:t>
      </w:r>
      <w:hyperlink w:anchor="ref-11">
        <w:r>
          <w:rPr>
            <w:rStyle w:val="Hyperlink"/>
          </w:rPr>
          <w:t xml:space="preserve">[11]</w:t>
        </w:r>
      </w:hyperlink>
      <w:r>
        <w:t xml:space="preserve">. A progress ratio above one is the expected signature of an accumulating quantity, and finding it here confirms that the model is at least oriented correctly even where its precision falls short</w:t>
      </w:r>
      <w:r>
        <w:t xml:space="preserve"> </w:t>
      </w:r>
      <w:hyperlink w:anchor="ref-16">
        <w:r>
          <w:rPr>
            <w:rStyle w:val="Hyperlink"/>
          </w:rPr>
          <w:t xml:space="preserve">[16]</w:t>
        </w:r>
      </w:hyperlink>
      <w:r>
        <w:t xml:space="preserve">.</w:t>
      </w:r>
    </w:p>
    <w:p>
      <w:pPr>
        <w:pStyle w:val="BodyText"/>
        <w:spacing w:line="480" w:lineRule="auto"/>
        <w:ind w:firstLine="720"/>
      </w:pPr>
      <w:r>
        <w:t xml:space="preserve">The precision, however, is weak. The slope’s p-value of about 0.45 is far from any conventional threshold, and the model’s R-squared of about 0.014 shows that article age explains almost none of the variance in citation accumulation across this corpus. To put that R-squared in perspective, it means that knowing an article’s age tells a reader almost nothing about its citation count in this corpus, which is a striking result only until one recalls the clustering documented in Chapter 5, where the most-cited records sit in a narrow middle-age band rather than rising smoothly with age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The honest reading is direct. In this small, recency-heavy corpus, the age structure of citations is not cleanly recovered. The reason is visible in the data documented in Chapter 5: the most-cited records cluster in a narrow 2018-to-2020 window rather than spreading smoothly with age, and the many recent uncited records flatten the relationship</w:t>
      </w:r>
      <w:r>
        <w:t xml:space="preserve"> </w:t>
      </w:r>
      <w:hyperlink w:anchor="ref-2">
        <w:r>
          <w:rPr>
            <w:rStyle w:val="Hyperlink"/>
          </w:rPr>
          <w:t xml:space="preserve">[2]</w:t>
        </w:r>
      </w:hyperlink>
      <w:r>
        <w:t xml:space="preserve"> </w:t>
      </w:r>
      <w:hyperlink w:anchor="ref-16">
        <w:r>
          <w:rPr>
            <w:rStyle w:val="Hyperlink"/>
          </w:rPr>
          <w:t xml:space="preserve">[16]</w:t>
        </w:r>
      </w:hyperlink>
      <w:r>
        <w:t xml:space="preserve">. The learning-curve model therefore delivers a signed but statistically weak age effect, which is itself informative: it warns that citation-based inference in a corpus this size and this recent must be handled with care, because the mechanical age relationship that a larger corpus would recover cleanly is here obscured by clustering and recency.</w:t>
      </w:r>
    </w:p>
    <w:bookmarkEnd w:id="108"/>
    <w:bookmarkStart w:id="109" w:name="magnitudes-in-context"/>
    <w:p>
      <w:pPr>
        <w:pStyle w:val="Heading2"/>
        <w:spacing w:line="480" w:lineRule="auto"/>
      </w:pPr>
      <w:r>
        <w:t xml:space="preserve">6.5 Magnitudes in context</w:t>
      </w:r>
    </w:p>
    <w:p>
      <w:pPr>
        <w:pStyle w:val="FirstParagraph"/>
        <w:spacing w:line="480" w:lineRule="auto"/>
      </w:pPr>
      <w:r>
        <w:t xml:space="preserve">Coefficients mean little until they are placed against the scale of the variables they act on, so it is worth translating the signal-model estimates into the units of the corpus. The venue coefficient of about -2.70 is the largest single mover of the topic signal. Moving one step up the ordinal venue code, from the AMOS conference family to the Acta Astronautica archival family, or from that family to the space-economy family, is associated with a fall in topic signal of roughly 2.7 points on the composite scale, holding recency and citation fixed. Against a topic-signal distribution whose records range across a modest span of points, a shift of 2.7 per venue step is substantial: it is the difference between a theme-saturated record and a middling one</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venue effect is not a marginal control; it is the dominant structural feature the model recovers.</w:t>
      </w:r>
    </w:p>
    <w:p>
      <w:pPr>
        <w:pStyle w:val="BodyText"/>
        <w:spacing w:line="480" w:lineRule="auto"/>
        <w:ind w:firstLine="720"/>
      </w:pPr>
      <w:r>
        <w:t xml:space="preserve">The citation coefficient of about 0.086 acts on a variable that ranges from zero into the sixties. For the median record, which carries zero or a handful of citations, the citation contribution to topic signal is small. For the few heavily cited records, such as the 2018 geosynchronous assessment with fifty-one citations</w:t>
      </w:r>
      <w:r>
        <w:t xml:space="preserve"> </w:t>
      </w:r>
      <w:hyperlink w:anchor="ref-11">
        <w:r>
          <w:rPr>
            <w:rStyle w:val="Hyperlink"/>
          </w:rPr>
          <w:t xml:space="preserve">[11]</w:t>
        </w:r>
      </w:hyperlink>
      <w:r>
        <w:t xml:space="preserve"> </w:t>
      </w:r>
      <w:r>
        <w:t xml:space="preserve">or the 2020 archival record with sixty-four, the cumulative contribution is several points of topic signal, which is meaningful. The precision of the coefficient, at a p-value near 0.0002, means this contribution is estimated tightly even though it is driven by a small number of high-citation records</w:t>
      </w:r>
      <w:r>
        <w:t xml:space="preserve"> </w:t>
      </w:r>
      <w:hyperlink w:anchor="ref-16">
        <w:r>
          <w:rPr>
            <w:rStyle w:val="Hyperlink"/>
          </w:rPr>
          <w:t xml:space="preserve">[16]</w:t>
        </w:r>
      </w:hyperlink>
      <w:r>
        <w:t xml:space="preserve">. The recency coefficient of about 0.19 acts on an index that spans from one to nineteen across the corpus, so its implied effect from the oldest to the newest record is not trivial in point terms, but its p-value near 0.15 means the design cannot distinguish that implied effect from zero with confidence</w:t>
      </w:r>
      <w:r>
        <w:t xml:space="preserve"> </w:t>
      </w:r>
      <w:hyperlink w:anchor="ref-2">
        <w:r>
          <w:rPr>
            <w:rStyle w:val="Hyperlink"/>
          </w:rPr>
          <w:t xml:space="preserve">[2]</w:t>
        </w:r>
      </w:hyperlink>
      <w:r>
        <w:t xml:space="preserve">.</w:t>
      </w:r>
    </w:p>
    <w:p>
      <w:pPr>
        <w:pStyle w:val="BodyText"/>
        <w:spacing w:line="480" w:lineRule="auto"/>
        <w:ind w:firstLine="720"/>
      </w:pPr>
      <w:r>
        <w:t xml:space="preserve">The learning-curve magnitudes translate similarly. The elasticity of about 0.22 and the progress ratio of about 1.16 say that doubling an article’s age is associated with roughly a sixteen percent rise in citations-plus-one, a plausible experience-curve slope in the abstract</w:t>
      </w:r>
      <w:r>
        <w:t xml:space="preserve"> </w:t>
      </w:r>
      <w:hyperlink w:anchor="ref-7">
        <w:r>
          <w:rPr>
            <w:rStyle w:val="Hyperlink"/>
          </w:rPr>
          <w:t xml:space="preserve">[7]</w:t>
        </w:r>
      </w:hyperlink>
      <w:r>
        <w:t xml:space="preserve">. But with an R-squared of about 0.014, this slope explains almost none of the observed variation, so the plausible magnitude sits on top of a relationship the corpus barely supports. The magnitude is interpretable; the confidence in it is low, and the design keeps both facts in view at once.</w:t>
      </w:r>
    </w:p>
    <w:bookmarkEnd w:id="109"/>
    <w:bookmarkStart w:id="110" w:name="Xc904c86c2d697ad5ce65d2f06a71404bad2574d"/>
    <w:p>
      <w:pPr>
        <w:pStyle w:val="Heading2"/>
        <w:spacing w:line="480" w:lineRule="auto"/>
      </w:pPr>
      <w:r>
        <w:t xml:space="preserve">6.6 Internal consistency and diagnostic reading</w:t>
      </w:r>
    </w:p>
    <w:p>
      <w:pPr>
        <w:pStyle w:val="FirstParagraph"/>
        <w:spacing w:line="480" w:lineRule="auto"/>
      </w:pPr>
      <w:r>
        <w:t xml:space="preserve">Before combining the two models, it is worth checking their output for internal consistency, because a design that reports raw estimator numbers owes the reader some evidence that the numbers hang together sensibly. Three checks apply.</w:t>
      </w:r>
    </w:p>
    <w:p>
      <w:pPr>
        <w:pStyle w:val="BodyText"/>
        <w:spacing w:line="480" w:lineRule="auto"/>
        <w:ind w:firstLine="720"/>
      </w:pPr>
      <w:r>
        <w:t xml:space="preserve">The first check is sign coherence with theory. Every coefficient whose direction the theory predicted comes out with the predicted sign: recency positive, citation positive, and the age elasticity positive</w:t>
      </w:r>
      <w:r>
        <w:t xml:space="preserve"> </w:t>
      </w:r>
      <w:hyperlink w:anchor="ref-2">
        <w:r>
          <w:rPr>
            <w:rStyle w:val="Hyperlink"/>
          </w:rPr>
          <w:t xml:space="preserve">[2]</w:t>
        </w:r>
      </w:hyperlink>
      <w:r>
        <w:t xml:space="preserve"> </w:t>
      </w:r>
      <w:hyperlink w:anchor="ref-7">
        <w:r>
          <w:rPr>
            <w:rStyle w:val="Hyperlink"/>
          </w:rPr>
          <w:t xml:space="preserve">[7]</w:t>
        </w:r>
      </w:hyperlink>
      <w:r>
        <w:t xml:space="preserve">. The venue coefficient, whose sign the theory left open, comes out negative and is interpretable as signal concentrating at the operational venue edge</w:t>
      </w:r>
      <w:r>
        <w:t xml:space="preserve"> </w:t>
      </w:r>
      <w:hyperlink w:anchor="ref-1">
        <w:r>
          <w:rPr>
            <w:rStyle w:val="Hyperlink"/>
          </w:rPr>
          <w:t xml:space="preserve">[1]</w:t>
        </w:r>
      </w:hyperlink>
      <w:r>
        <w:t xml:space="preserve">. No coefficient contradicts the mechanism; the only shortfalls are in precision, not in direction. A result in which signs flipped unpredictably would be a warning that the model was mis-specified or the data pathological, and no such warning appears.</w:t>
      </w:r>
    </w:p>
    <w:p>
      <w:pPr>
        <w:pStyle w:val="BodyText"/>
        <w:spacing w:line="480" w:lineRule="auto"/>
        <w:ind w:firstLine="720"/>
      </w:pPr>
      <w:r>
        <w:t xml:space="preserve">The second check is the relationship between the joint and individual tests. The signal model’s joint F-test rejects at a p-value of roughly 0.0002, and that joint rejection is driven by two individually significant terms, citation and venue, with the third term, recency, contributing in the right direction but not individually significant. This is a coherent pattern: a jointly significant model resting on two strong predictors and one weak one, rather than a jointly significant model with no individually significant terms, which would signal collinearity trouble</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individual and joint results tell the same story at two levels of aggregation.</w:t>
      </w:r>
    </w:p>
    <w:p>
      <w:pPr>
        <w:pStyle w:val="BodyText"/>
        <w:spacing w:line="480" w:lineRule="auto"/>
        <w:ind w:firstLine="720"/>
      </w:pPr>
      <w:r>
        <w:t xml:space="preserve">The third check is the cross-model reading of citation. The signal model finds a precise positive citation effect on topic signal, while the learning-curve model finds that article age explains almost none of the variation in citation itself, with an R-squared of about 0.014</w:t>
      </w:r>
      <w:r>
        <w:t xml:space="preserve"> </w:t>
      </w:r>
      <w:hyperlink w:anchor="ref-11">
        <w:r>
          <w:rPr>
            <w:rStyle w:val="Hyperlink"/>
          </w:rPr>
          <w:t xml:space="preserve">[11]</w:t>
        </w:r>
      </w:hyperlink>
      <w:r>
        <w:t xml:space="preserve">. These two facts are consistent and mutually reinforcing: because age does not drive citation in this corpus, the citation effect on topic signal cannot be dismissed as an age artifact operating through a back door</w:t>
      </w:r>
      <w:r>
        <w:t xml:space="preserve"> </w:t>
      </w:r>
      <w:hyperlink w:anchor="ref-16">
        <w:r>
          <w:rPr>
            <w:rStyle w:val="Hyperlink"/>
          </w:rPr>
          <w:t xml:space="preserve">[16]</w:t>
        </w:r>
      </w:hyperlink>
      <w:r>
        <w:t xml:space="preserve">. The diagnostic reading therefore supports taking the citation and venue effects at face value while treating the recency and age-elasticity results as the genuinely weak parts of the picture. The numbers are internally consistent, and their weaknesses are localized rather than pervasive.</w:t>
      </w:r>
    </w:p>
    <w:bookmarkEnd w:id="110"/>
    <w:bookmarkStart w:id="111" w:name="the-two-models-together"/>
    <w:p>
      <w:pPr>
        <w:pStyle w:val="Heading2"/>
        <w:spacing w:line="480" w:lineRule="auto"/>
      </w:pPr>
      <w:r>
        <w:t xml:space="preserve">6.7 The two models together</w:t>
      </w:r>
    </w:p>
    <w:p>
      <w:pPr>
        <w:pStyle w:val="FirstParagraph"/>
        <w:spacing w:line="480" w:lineRule="auto"/>
      </w:pPr>
      <w:r>
        <w:t xml:space="preserve">Placed side by side, the two estimators tell a coherent story about corpus structure. The signal model shows that the topic signal is genuinely structured: jointly significant, with a precise citation effect and a large, precise venue effect, and a recency effect of the right sign but weak precision. The learning-curve model shows that the raw citation-to-age relationship, the mechanical baseline against which any salience-driven citation claim must be read, is not cleanly recovered in this corpus. Read together, this means the citation effect in the signal model cannot be dismissed as a mere artifact of age, because age does not cleanly explain citations here; the citation-signal association survives on its own</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Taken as a whole, the two estimators convert the abstract falsifiable pair of Chapter 1 into a concrete set of signed, precise, and imprecise coefficients that a reader can weigh individually, which is exactly the disciplined evidence the design promised to deliver rather than a single summary verdict asserted without its supporting numbers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overall verdict on the falsifiable pair from Chapter 1 is bounded and specific. The joint null of no structure is rejected by the signal model at a p-value of roughly 0.0002, so the topic signal is not unrelated to recency, citation, and venue. The alternative is supported in two of its three directional predictions cleanly, the citation and venue effects, and in the third, recency, only weakly. The corpus carries a real structural imprint of the candidate topic, concentrated in venue and citation, which is exactly the precondition the research program needed to establish before pursuing the more expensive governance-coding design.</w:t>
      </w:r>
    </w:p>
    <w:p>
      <w:pPr>
        <w:pStyle w:val="BodyText"/>
        <w:spacing w:line="480" w:lineRule="auto"/>
        <w:ind w:firstLine="720"/>
      </w:pPr>
      <w:r>
        <w:t xml:space="preserve">It is worth stating what the design would have reported had the numbers come out otherwise, because that counterfactual is what makes the result falsifiable rather than decorative. Had the joint F-test failed to reject, or had the citation and venue coefficients been imprecise like the recency one, the chapter would have reported a null: the topic signal is not detectably structured, and bibliometric salience is not a usable proxy for the attention the availability mechanism predicts</w:t>
      </w:r>
      <w:r>
        <w:t xml:space="preserve"> </w:t>
      </w:r>
      <w:hyperlink w:anchor="ref-2">
        <w:r>
          <w:rPr>
            <w:rStyle w:val="Hyperlink"/>
          </w:rPr>
          <w:t xml:space="preserve">[2]</w:t>
        </w:r>
      </w:hyperlink>
      <w:r>
        <w:t xml:space="preserve"> </w:t>
      </w:r>
      <w:hyperlink w:anchor="ref-5">
        <w:r>
          <w:rPr>
            <w:rStyle w:val="Hyperlink"/>
          </w:rPr>
          <w:t xml:space="preserve">[5]</w:t>
        </w:r>
      </w:hyperlink>
      <w:r>
        <w:t xml:space="preserve">. That outcome was fully possible given the sample size, and the estimation was run once, deterministically, without specification search, so the rejection that did occur is not the product of hunting for a significant model. The result stands or falls on the single pre-specified pair of estimators, and it stands, in two of three directions cleanly and in the third weakly.</w:t>
      </w:r>
    </w:p>
    <w:p>
      <w:pPr>
        <w:pStyle w:val="BodyText"/>
        <w:spacing w:line="480" w:lineRule="auto"/>
        <w:ind w:firstLine="720"/>
      </w:pPr>
      <w:r>
        <w:t xml:space="preserve">What the numbers do not do, and Chapter 7 takes this up next, is convert that structural imprint into a causal claim that salient events drive regulation. A rejected null of no corpus structure is a statement about documents, not about regulators, and the distance between the two is exactly the distance the design has been careful to preserve throughout.</w:t>
      </w:r>
    </w:p>
    <w:p>
      <w:pPr>
        <w:pStyle w:val="BodyText"/>
        <w:spacing w:line="480" w:lineRule="auto"/>
        <w:ind w:firstLine="720"/>
      </w:pPr>
      <w:r>
        <w:t xml:space="preserve">One last reading of the fit statistics guards against a common misinterpretation. The signal model’s R-squared of about 0.40, and adjusted value of about 0.33, might tempt a reader to conclude that the model explains only a minority of the topic signal and is therefore weak. That reading misjudges what a corpus screen should show. A model of three coarse structural features, run on thirty heterogeneous records, that explained nearly all the variance would be suspect, most likely overfitting the small sample</w:t>
      </w:r>
      <w:r>
        <w:t xml:space="preserve"> </w:t>
      </w:r>
      <w:hyperlink w:anchor="ref-5">
        <w:r>
          <w:rPr>
            <w:rStyle w:val="Hyperlink"/>
          </w:rPr>
          <w:t xml:space="preserve">[5]</w:t>
        </w:r>
      </w:hyperlink>
      <w:r>
        <w:t xml:space="preserve"> </w:t>
      </w:r>
      <w:hyperlink w:anchor="ref-6">
        <w:r>
          <w:rPr>
            <w:rStyle w:val="Hyperlink"/>
          </w:rPr>
          <w:t xml:space="preserve">[6]</w:t>
        </w:r>
      </w:hyperlink>
      <w:r>
        <w:t xml:space="preserve">. An R-squared near 0.40 with a joint p-value near 0.0002 is the signature of a model that captures real, robust structure while leaving room for the many idiosyncratic features of individual records that three predictors cannot and should not capture</w:t>
      </w:r>
      <w:r>
        <w:t xml:space="preserve"> </w:t>
      </w:r>
      <w:hyperlink w:anchor="ref-4">
        <w:r>
          <w:rPr>
            <w:rStyle w:val="Hyperlink"/>
          </w:rPr>
          <w:t xml:space="preserve">[4]</w:t>
        </w:r>
      </w:hyperlink>
      <w:r>
        <w:t xml:space="preserve">. The unexplained variance is not the model’s failure; it is the honest residual of a deliberately parsimonious design. The results establish the precondition. The discussion that follows reads them for precisely that, and no more.</w:t>
      </w:r>
    </w:p>
    <w:bookmarkEnd w:id="111"/>
    <w:bookmarkEnd w:id="112"/>
    <w:bookmarkStart w:id="120" w:name="chapter-7.-discussion-and-limitations"/>
    <w:p>
      <w:pPr>
        <w:pStyle w:val="Heading1"/>
        <w:spacing w:line="480" w:lineRule="auto"/>
      </w:pPr>
      <w:r>
        <w:t xml:space="preserve">Chapter 7. Discussion and Limitations</w:t>
      </w:r>
    </w:p>
    <w:p>
      <w:pPr>
        <w:pStyle w:val="FirstParagraph"/>
        <w:spacing w:line="480" w:lineRule="auto"/>
      </w:pPr>
      <w:r>
        <w:t xml:space="preserve">The results in Chapter 6 support a bounded conclusion: the topic signal associated with orbital collision and fragmentation is structured in the retrieved corpus, concentrated in venue family and citation attention, with recency present but weak. This chapter interprets what that structure means, names the threats to the validity of the inference, and draws the line between what the data can and cannot show. The discussion holds to the same discipline as the estimation. It reads the evidence for exactly what it is worth, and it refuses to let a clean coefficient carry more policy weight than a corpus of thirty records can bear.</w:t>
      </w:r>
    </w:p>
    <w:bookmarkStart w:id="113" w:name="what-the-structure-means"/>
    <w:p>
      <w:pPr>
        <w:pStyle w:val="Heading2"/>
        <w:spacing w:line="480" w:lineRule="auto"/>
      </w:pPr>
      <w:r>
        <w:t xml:space="preserve">7.1 What the structure means</w:t>
      </w:r>
    </w:p>
    <w:p>
      <w:pPr>
        <w:pStyle w:val="FirstParagraph"/>
        <w:spacing w:line="480" w:lineRule="auto"/>
      </w:pPr>
      <w:r>
        <w:t xml:space="preserve">The strongest and cleanest result is the venue effect. It is large, and it is precise. Topic signal falls as venue family moves from the fast conference proceeding toward the archival journal and the policy venue. That this is the model’s dominant term is itself worth pausing on, because it means the corpus’s structure is organized more by where work is published than by when it was published or how often it is cited</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community’s own sorting of the candidate theme across venues is the primary signal the screen recovers. The substantive interpretation is that the densest expression of the candidate theme lives closest to the operational edge, where fragmentation events are characterized within months of occurring</w:t>
      </w:r>
      <w:r>
        <w:t xml:space="preserve"> </w:t>
      </w:r>
      <w:hyperlink w:anchor="ref-3">
        <w:r>
          <w:rPr>
            <w:rStyle w:val="Hyperlink"/>
          </w:rPr>
          <w:t xml:space="preserve">[3]</w:t>
        </w:r>
      </w:hyperlink>
      <w:r>
        <w:t xml:space="preserve"> </w:t>
      </w:r>
      <w:hyperlink w:anchor="ref-6">
        <w:r>
          <w:rPr>
            <w:rStyle w:val="Hyperlink"/>
          </w:rPr>
          <w:t xml:space="preserve">[6]</w:t>
        </w:r>
      </w:hyperlink>
      <w:r>
        <w:t xml:space="preserve">. This is consistent with the availability mechanism at the level of the community: the alarmed, event-proximate researchers publish the theme-saturated work, while the consolidative archival literature and the policy literature carry the theme more diffusely. The finding matters because it locates where salience concentrates in the scholarly record, which is information the next design needs when it decides which venues to sample for a governance-response study</w:t>
      </w:r>
      <w:r>
        <w:t xml:space="preserve"> </w:t>
      </w:r>
      <w:hyperlink w:anchor="ref-1">
        <w:r>
          <w:rPr>
            <w:rStyle w:val="Hyperlink"/>
          </w:rPr>
          <w:t xml:space="preserve">[1]</w:t>
        </w:r>
      </w:hyperlink>
      <w:r>
        <w:t xml:space="preserve"> </w:t>
      </w:r>
      <w:hyperlink w:anchor="ref-16">
        <w:r>
          <w:rPr>
            <w:rStyle w:val="Hyperlink"/>
          </w:rPr>
          <w:t xml:space="preserve">[16]</w:t>
        </w:r>
      </w:hyperlink>
      <w:r>
        <w:t xml:space="preserve">. A successor that sampled only archival journals or only policy venues would systematically miss the densest expression of the candidate theme, and the venue result is what tells it not to make that mistake</w:t>
      </w:r>
      <w:r>
        <w:t xml:space="preserve"> </w:t>
      </w:r>
      <w:hyperlink w:anchor="ref-12">
        <w:r>
          <w:rPr>
            <w:rStyle w:val="Hyperlink"/>
          </w:rPr>
          <w:t xml:space="preserve">[12]</w:t>
        </w:r>
      </w:hyperlink>
      <w:r>
        <w:t xml:space="preserve">.</w:t>
      </w:r>
    </w:p>
    <w:p>
      <w:pPr>
        <w:pStyle w:val="BodyText"/>
        <w:spacing w:line="480" w:lineRule="auto"/>
        <w:ind w:firstLine="720"/>
      </w:pPr>
      <w:r>
        <w:t xml:space="preserve">The citation effect is the second clean result. More-cited records carry more topic signal, net of recency and venue, and the learning-curve model shows that this cannot be dismissed as an age artifact because age does not cleanly explain citations in this corpus</w:t>
      </w:r>
      <w:r>
        <w:t xml:space="preserve"> </w:t>
      </w:r>
      <w:hyperlink w:anchor="ref-4">
        <w:r>
          <w:rPr>
            <w:rStyle w:val="Hyperlink"/>
          </w:rPr>
          <w:t xml:space="preserve">[4]</w:t>
        </w:r>
      </w:hyperlink>
      <w:r>
        <w:t xml:space="preserve">. The interpretation is that the work most saturated with the candidate theme is also the work the community notices most. That is a modest but real link between salience and attention, and it is the kind of link the availability mechanism predicts. The modesty is worth preserving in the statement: the link is between two properties of documents, theme density and citation, and it does not by itself reach the institutions that a full account of salience-driven governance would need to observe</w:t>
      </w:r>
      <w:r>
        <w:t xml:space="preserve"> </w:t>
      </w:r>
      <w:hyperlink w:anchor="ref-4">
        <w:r>
          <w:rPr>
            <w:rStyle w:val="Hyperlink"/>
          </w:rPr>
          <w:t xml:space="preserve">[4]</w:t>
        </w:r>
      </w:hyperlink>
      <w:r>
        <w:t xml:space="preserve"> </w:t>
      </w:r>
      <w:hyperlink w:anchor="ref-14">
        <w:r>
          <w:rPr>
            <w:rStyle w:val="Hyperlink"/>
          </w:rPr>
          <w:t xml:space="preserve">[14]</w:t>
        </w:r>
      </w:hyperlink>
      <w:r>
        <w:t xml:space="preserve">. It does not, on its own, show that the noticed work drives any institutional response; it shows only that salience and scholarly notice travel together in the corpus</w:t>
      </w:r>
      <w:r>
        <w:t xml:space="preserve"> </w:t>
      </w:r>
      <w:hyperlink w:anchor="ref-5">
        <w:r>
          <w:rPr>
            <w:rStyle w:val="Hyperlink"/>
          </w:rPr>
          <w:t xml:space="preserve">[5]</w:t>
        </w:r>
      </w:hyperlink>
      <w:r>
        <w:t xml:space="preserve">.</w:t>
      </w:r>
    </w:p>
    <w:p>
      <w:pPr>
        <w:pStyle w:val="BodyText"/>
        <w:spacing w:line="480" w:lineRule="auto"/>
        <w:ind w:firstLine="720"/>
      </w:pPr>
      <w:r>
        <w:t xml:space="preserve">The recency result is the honest disappointment, and it is worth dwelling on. The recency coefficient has the predicted positive sign but a p-value near 0.15, which does not clear conventional significance. A researcher eager to confirm the availability story might be tempted to emphasize the sign and downplay the imprecision. The design does the opposite. It reports the weakness plainly and treats the recency result as evidence against a strong recency claim in this corpus</w:t>
      </w:r>
      <w:r>
        <w:t xml:space="preserve"> </w:t>
      </w:r>
      <w:hyperlink w:anchor="ref-2">
        <w:r>
          <w:rPr>
            <w:rStyle w:val="Hyperlink"/>
          </w:rPr>
          <w:t xml:space="preserve">[2]</w:t>
        </w:r>
      </w:hyperlink>
      <w:r>
        <w:t xml:space="preserve">. The most likely explanation is sample size and distribution: with thirty records spread unevenly across the years from 2008 to 2026, a recency effect of the observed magnitude simply cannot be estimated precisely. This is a limit of the data, not a refutation of the mechanism, but the design does not let hope substitute for precision.</w:t>
      </w:r>
    </w:p>
    <w:bookmarkEnd w:id="113"/>
    <w:bookmarkStart w:id="114" w:name="threats-to-validity"/>
    <w:p>
      <w:pPr>
        <w:pStyle w:val="Heading2"/>
        <w:spacing w:line="480" w:lineRule="auto"/>
      </w:pPr>
      <w:r>
        <w:t xml:space="preserve">7.2 Threats to validity</w:t>
      </w:r>
    </w:p>
    <w:p>
      <w:pPr>
        <w:pStyle w:val="FirstParagraph"/>
        <w:spacing w:line="480" w:lineRule="auto"/>
      </w:pPr>
      <w:r>
        <w:t xml:space="preserve">Several threats bound the inference, and each deserves a direct statement.</w:t>
      </w:r>
    </w:p>
    <w:p>
      <w:pPr>
        <w:pStyle w:val="BodyText"/>
        <w:spacing w:line="480" w:lineRule="auto"/>
        <w:ind w:firstLine="720"/>
      </w:pPr>
      <w:r>
        <w:t xml:space="preserve">The first is source-pack noise. The corpus is a curated retrieval, and the topic-signal score depends on the metadata the retrieval captured. Records with sparse retrievable metadata, such as several of the policy items, receive low signal scores partly because their titles and snippets are thin, not necessarily because they are off-theme. This measurement noise attenuates the signal model and works against finding structure, which means the structure that was found is if anything a conservative estimate. But the noise also cautions against reading the low end of the signal distribution too literally</w:t>
      </w:r>
      <w:r>
        <w:t xml:space="preserve"> </w:t>
      </w:r>
      <w:hyperlink w:anchor="ref-2">
        <w:r>
          <w:rPr>
            <w:rStyle w:val="Hyperlink"/>
          </w:rPr>
          <w:t xml:space="preserve">[2]</w:t>
        </w:r>
      </w:hyperlink>
      <w:r>
        <w:t xml:space="preserve">.</w:t>
      </w:r>
    </w:p>
    <w:p>
      <w:pPr>
        <w:pStyle w:val="BodyText"/>
        <w:spacing w:line="480" w:lineRule="auto"/>
        <w:ind w:firstLine="720"/>
      </w:pPr>
      <w:r>
        <w:t xml:space="preserve">The second is the citation measure. The citation counts are local index measures, not universal citation totals, and they are sparse: most records carry zero. A local index undercounts, and it undercounts unevenly across venue families, because conference proceedings and policy records are indexed differently from archival journals. The precise citation coefficient in the signal model survives this concern reasonably well, because the concern would tend to add noise rather than manufacture a spurious association, but the weak learning-curve result is partly a direct consequence of citation sparsity</w:t>
      </w:r>
      <w:r>
        <w:t xml:space="preserve"> </w:t>
      </w:r>
      <w:hyperlink w:anchor="ref-11">
        <w:r>
          <w:rPr>
            <w:rStyle w:val="Hyperlink"/>
          </w:rPr>
          <w:t xml:space="preserve">[11]</w:t>
        </w:r>
      </w:hyperlink>
      <w:r>
        <w:t xml:space="preserve">. Any future design should replace the local citation field with a reconciled multi-index count.</w:t>
      </w:r>
    </w:p>
    <w:p>
      <w:pPr>
        <w:pStyle w:val="BodyText"/>
        <w:spacing w:line="480" w:lineRule="auto"/>
        <w:ind w:firstLine="720"/>
      </w:pPr>
      <w:r>
        <w:t xml:space="preserve">The third is the ordinal venue coding. VenueScore orders three families on a one-to-three scale, and the large negative venue coefficient depends on that ordering being meaningful. The ordering is defensible, running from operationally proximate conference to archival journal to policy venue, but the numeric spacing is not cardinal, and the coefficient should be read as evidence that signal sorts across families rather than as a precise per-step effect</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A richer design would treat venue family with indicator variables rather than an ordinal score, at the cost of degrees of freedom that a thirty-record corpus cannot spare.</w:t>
      </w:r>
    </w:p>
    <w:p>
      <w:pPr>
        <w:pStyle w:val="BodyText"/>
        <w:spacing w:line="480" w:lineRule="auto"/>
        <w:ind w:firstLine="720"/>
      </w:pPr>
      <w:r>
        <w:t xml:space="preserve">The fourth is sample size itself. Thirty records is enough for two compact estimators and not enough for much else. It cannot support subgroup analysis, interaction terms, or confident inference about the tails. The weak recency and learning-curve results are both, in part, small-sample results, and a larger corpus might sharpen them or might not. The design accepts this ceiling rather than working around it with specifications the data cannot support</w:t>
      </w:r>
      <w:r>
        <w:t xml:space="preserve"> </w:t>
      </w:r>
      <w:hyperlink w:anchor="ref-6">
        <w:r>
          <w:rPr>
            <w:rStyle w:val="Hyperlink"/>
          </w:rPr>
          <w:t xml:space="preserve">[6]</w:t>
        </w:r>
      </w:hyperlink>
      <w:r>
        <w:t xml:space="preserve">.</w:t>
      </w:r>
    </w:p>
    <w:bookmarkEnd w:id="114"/>
    <w:bookmarkStart w:id="115" w:name="what-the-data-cannot-show"/>
    <w:p>
      <w:pPr>
        <w:pStyle w:val="Heading2"/>
        <w:spacing w:line="480" w:lineRule="auto"/>
      </w:pPr>
      <w:r>
        <w:t xml:space="preserve">7.3 What the data cannot show</w:t>
      </w:r>
    </w:p>
    <w:p>
      <w:pPr>
        <w:pStyle w:val="FirstParagraph"/>
        <w:spacing w:line="480" w:lineRule="auto"/>
      </w:pPr>
      <w:r>
        <w:t xml:space="preserve">The most important limitation is structural, not statistical, and it concerns the causal question the dissertation deliberately did not test. The results establish that the topic signal is structured in the corpus. They do not establish that salient events drive regulation. A structured corpus is consistent with the availability mechanism, but it is equally consistent with a rational research community whose attention tracks a genuinely rising risk trend as constellations densify and detection improves</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The design cannot separate an availability-biased community from a rationally-alarmed one, because both would produce a corpus with signal concentrated in recent, event-proximate, well-cited work. Distinguishing them requires observing the institutional response directly, which this dissertation does not do.</w:t>
      </w:r>
    </w:p>
    <w:p>
      <w:pPr>
        <w:pStyle w:val="BodyText"/>
        <w:spacing w:line="480" w:lineRule="auto"/>
        <w:ind w:firstLine="720"/>
      </w:pPr>
      <w:r>
        <w:t xml:space="preserve">The data also cannot speak to magnitude in the policy sense. Even the clean venue and citation effects describe corpus structure, not the size of any real governance change. Nothing in the estimation licenses a statement of the form</w:t>
      </w:r>
      <w:r>
        <w:t xml:space="preserve"> </w:t>
      </w:r>
      <w:r>
        <w:t xml:space="preserve">“a fragmentation event of a given size produces a governance response of a given size.”</w:t>
      </w:r>
      <w:r>
        <w:t xml:space="preserve"> </w:t>
      </w:r>
      <w:r>
        <w:t xml:space="preserve">That mapping runs through licensing authorities, coordination bodies, and national regulators whose decisions are not in the dataset</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dissertation measured a precondition for that mapping, not the mapping itself.</w:t>
      </w:r>
    </w:p>
    <w:p>
      <w:pPr>
        <w:pStyle w:val="BodyText"/>
        <w:spacing w:line="480" w:lineRule="auto"/>
        <w:ind w:firstLine="720"/>
      </w:pPr>
      <w:r>
        <w:t xml:space="preserve">Finally, the corpus cannot generalize beyond the literature it retrieved. It is a slice of the space-governance literature, concentrated in two technical venue families with a smaller policy tail, and its findings describe that slice. A different retrieval, or a census of governance documents, might show different structure. The design states this scope limit as a boundary on the claim, not as a hedge to be waved away</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End w:id="115"/>
    <w:bookmarkStart w:id="116" w:name="X7b727a9bc77bab9b9161f2090a8f25d29afbd53"/>
    <w:p>
      <w:pPr>
        <w:pStyle w:val="Heading2"/>
        <w:spacing w:line="480" w:lineRule="auto"/>
      </w:pPr>
      <w:r>
        <w:t xml:space="preserve">7.4 What the venue finding implies for the availability account</w:t>
      </w:r>
    </w:p>
    <w:p>
      <w:pPr>
        <w:pStyle w:val="FirstParagraph"/>
        <w:spacing w:line="480" w:lineRule="auto"/>
      </w:pPr>
      <w:r>
        <w:t xml:space="preserve">The venue result deserves a fuller reading than its coefficient alone provides, because it is the finding most likely to be misread. On its face, a negative venue coefficient says only that topic signal falls as the ordinal venue code rises. But mapped back onto the community, it says something more specific: the densest expression of the candidate theme lives in the fast conference venue closest to the operational edge, and it thins as one moves toward the archival journal and the policy venue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That spatial pattern in the literature is what the availability account predicts, because the alarmed, event-proximate researchers are the ones who publish the theme-saturated characterizations within months of an event</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caution is that the same pattern is consistent with the rational-tracking rival named in Chapter 3. A perfectly rational community would also concentrate its most theme-specific work in the venue closest to the events, simply because that is where timely technical characterization is published</w:t>
      </w:r>
      <w:r>
        <w:t xml:space="preserve"> </w:t>
      </w:r>
      <w:hyperlink w:anchor="ref-4">
        <w:r>
          <w:rPr>
            <w:rStyle w:val="Hyperlink"/>
          </w:rPr>
          <w:t xml:space="preserve">[4]</w:t>
        </w:r>
      </w:hyperlink>
      <w:r>
        <w:t xml:space="preserve">. The venue finding therefore supports the precondition, that salience is structured in the corpus, without adjudicating between an availability-biased and a rationally-alarmed community. Reading it as proof of bias would overstate it. Reading it as mere noise would understate it. The disciplined reading is that the corpus concentrates the candidate theme exactly where a salience mechanism, of either flavor, would put it, and that this concentration is where a governance-monitoring function should look first</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There is also a practical caution about the ordinal coding itself. Because venue family is coded one to three, the large coefficient describes an average per-step shift, and the three families are not equally populated; the policy tail is thin</w:t>
      </w:r>
      <w:r>
        <w:t xml:space="preserve"> </w:t>
      </w:r>
      <w:hyperlink w:anchor="ref-15">
        <w:r>
          <w:rPr>
            <w:rStyle w:val="Hyperlink"/>
          </w:rPr>
          <w:t xml:space="preserve">[15]</w:t>
        </w:r>
      </w:hyperlink>
      <w:r>
        <w:t xml:space="preserve">. A design with a fuller corpus would replace the ordinal code with indicator variables and might find that the signal drop is concentrated in one step rather than spread evenly across both. The current result should therefore be read as strong evidence that signal sorts across venue families, and as weaker evidence about the precise shape of that sorting.</w:t>
      </w:r>
    </w:p>
    <w:bookmarkEnd w:id="116"/>
    <w:bookmarkStart w:id="117" w:name="X75f1cfc0f115b5eb47fd5ea0dc9c45131c140fd"/>
    <w:p>
      <w:pPr>
        <w:pStyle w:val="Heading2"/>
        <w:spacing w:line="480" w:lineRule="auto"/>
      </w:pPr>
      <w:r>
        <w:t xml:space="preserve">7.5 The behavioral interpretation and its limits</w:t>
      </w:r>
    </w:p>
    <w:p>
      <w:pPr>
        <w:pStyle w:val="FirstParagraph"/>
        <w:spacing w:line="480" w:lineRule="auto"/>
      </w:pPr>
      <w:r>
        <w:t xml:space="preserve">It is tempting to close the loop and say the results show orbital governance to be availability-biased. The design resists that closure, and the resistance is principled rather than merely cautious. The behavioral mechanism operates on institutions and their decisions; the evidence operates on documents and their metadata. Between a theme-saturated conference literature and an availability-biased regulator lie several unobserved steps: whether institutions read the conference literature, whether reading it shifts their attention, and whether shifted attention changes a rule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The dissertation observes none of these steps. It observes that the corpus is structured, which is consistent with the mechanism but does not demonstrate it operating on any institution.</w:t>
      </w:r>
    </w:p>
    <w:p>
      <w:pPr>
        <w:pStyle w:val="BodyText"/>
        <w:spacing w:line="480" w:lineRule="auto"/>
        <w:ind w:firstLine="720"/>
      </w:pPr>
      <w:r>
        <w:t xml:space="preserve">This limit is not a weakness to be apologized for; it is the honest boundary of a document-level design. The behavioral reading is available as an interpretation, and the results are consistent with it, but the design cannot elevate that interpretation to a demonstrated fact without the institutional evidence it deliberately did not collect</w:t>
      </w:r>
      <w:r>
        <w:t xml:space="preserve"> </w:t>
      </w:r>
      <w:hyperlink w:anchor="ref-4">
        <w:r>
          <w:rPr>
            <w:rStyle w:val="Hyperlink"/>
          </w:rPr>
          <w:t xml:space="preserve">[4]</w:t>
        </w:r>
      </w:hyperlink>
      <w:r>
        <w:t xml:space="preserve"> </w:t>
      </w:r>
      <w:hyperlink w:anchor="ref-16">
        <w:r>
          <w:rPr>
            <w:rStyle w:val="Hyperlink"/>
          </w:rPr>
          <w:t xml:space="preserve">[16]</w:t>
        </w:r>
      </w:hyperlink>
      <w:r>
        <w:t xml:space="preserve">. The value of saying so is that it keeps the dissertation’s claims aligned with its evidence, which is the property that lets the next design build on this one rather than having to first walk back an overreach.</w:t>
      </w:r>
    </w:p>
    <w:bookmarkEnd w:id="117"/>
    <w:bookmarkStart w:id="118" w:name="X11ec1b5a5d7dad8d6e3b7b82943affd04908e88"/>
    <w:p>
      <w:pPr>
        <w:pStyle w:val="Heading2"/>
        <w:spacing w:line="480" w:lineRule="auto"/>
      </w:pPr>
      <w:r>
        <w:t xml:space="preserve">7.6 Reading the null and the near-null honestly</w:t>
      </w:r>
    </w:p>
    <w:p>
      <w:pPr>
        <w:pStyle w:val="FirstParagraph"/>
        <w:spacing w:line="480" w:lineRule="auto"/>
      </w:pPr>
      <w:r>
        <w:t xml:space="preserve">Two of the results sit near the boundary of significance, and how a study treats such results is a test of its integrity. The recency coefficient is signed correctly but imprecise; the learning-curve age elasticity is signed correctly but statistically weak. A less disciplined study would either promote these to confirmations by emphasizing their signs or bury them entirely, and either move would mislead the reader about what the corpus actually supports rather than what the analyst might wish it supported</w:t>
      </w:r>
      <w:r>
        <w:t xml:space="preserve"> </w:t>
      </w:r>
      <w:hyperlink w:anchor="ref-2">
        <w:r>
          <w:rPr>
            <w:rStyle w:val="Hyperlink"/>
          </w:rPr>
          <w:t xml:space="preserve">[2]</w:t>
        </w:r>
      </w:hyperlink>
      <w:r>
        <w:t xml:space="preserve">. This dissertation does neither. It reports them, interprets their weakness as a real feature of a small and recency-heavy corpus, and lets them stand as partial rather than clean support for the mechanism</w:t>
      </w:r>
      <w:r>
        <w:t xml:space="preserve"> </w:t>
      </w:r>
      <w:hyperlink w:anchor="ref-2">
        <w:r>
          <w:rPr>
            <w:rStyle w:val="Hyperlink"/>
          </w:rPr>
          <w:t xml:space="preserve">[2]</w:t>
        </w:r>
      </w:hyperlink>
      <w:r>
        <w:t xml:space="preserve"> </w:t>
      </w:r>
      <w:hyperlink w:anchor="ref-16">
        <w:r>
          <w:rPr>
            <w:rStyle w:val="Hyperlink"/>
          </w:rPr>
          <w:t xml:space="preserve">[16]</w:t>
        </w:r>
      </w:hyperlink>
      <w:r>
        <w:t xml:space="preserve">. The value of doing so is that the two clean results, venue and citation, gain credibility precisely because the study did not manufacture significance where the data withheld it. A reader can trust the strong findings more because the weak ones were reported as weak.</w:t>
      </w:r>
    </w:p>
    <w:p>
      <w:pPr>
        <w:pStyle w:val="BodyText"/>
        <w:spacing w:line="480" w:lineRule="auto"/>
        <w:ind w:firstLine="720"/>
      </w:pPr>
      <w:r>
        <w:t xml:space="preserve">The discussion therefore lands where the design intended. The corpus carries a real, measurable imprint of the candidate topic, strongest in venue and citation, weaker in recency, and the causal claim about events and regulation remains open, now resting on a firmer empirical footing for the next design to build on.</w:t>
      </w:r>
    </w:p>
    <w:bookmarkEnd w:id="118"/>
    <w:bookmarkStart w:id="119" w:name="sensitivity-to-design-choices"/>
    <w:p>
      <w:pPr>
        <w:pStyle w:val="Heading2"/>
        <w:spacing w:line="480" w:lineRule="auto"/>
      </w:pPr>
      <w:r>
        <w:t xml:space="preserve">7.7 Sensitivity to design choices</w:t>
      </w:r>
    </w:p>
    <w:p>
      <w:pPr>
        <w:pStyle w:val="FirstParagraph"/>
        <w:spacing w:line="480" w:lineRule="auto"/>
      </w:pPr>
      <w:r>
        <w:t xml:space="preserve">A reader entitled to trust the findings is also entitled to know how sensitive they are to the choices the design made, and honesty requires anticipating the choices a critic would probe. Three choices bear the most weight.</w:t>
      </w:r>
    </w:p>
    <w:p>
      <w:pPr>
        <w:pStyle w:val="BodyText"/>
        <w:spacing w:line="480" w:lineRule="auto"/>
        <w:ind w:firstLine="720"/>
      </w:pPr>
      <w:r>
        <w:t xml:space="preserve">The first is the ordinal venue coding. Had venue family been coded in a different order, or with indicator variables, the large venue coefficient would change form, though the underlying fact that signal sorts across families would likely persist because it is the dominant source of the model’s explanatory power</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finding that matters, signal concentrating at the operational edge, is a statement about which family carries the most signal, and that statement does not depend on the numeric spacing of the code. A critic who dislikes the ordinal choice should still confront the sorting itself.</w:t>
      </w:r>
    </w:p>
    <w:p>
      <w:pPr>
        <w:pStyle w:val="BodyText"/>
        <w:spacing w:line="480" w:lineRule="auto"/>
        <w:ind w:firstLine="720"/>
      </w:pPr>
      <w:r>
        <w:t xml:space="preserve">The second is the plus-one transformation in the learning-curve model. Without it, the model would drop every uncited record and estimate the age elasticity off the cited minority, which would almost certainly produce a different and less representative slope</w:t>
      </w:r>
      <w:r>
        <w:t xml:space="preserve"> </w:t>
      </w:r>
      <w:hyperlink w:anchor="ref-11">
        <w:r>
          <w:rPr>
            <w:rStyle w:val="Hyperlink"/>
          </w:rPr>
          <w:t xml:space="preserve">[11]</w:t>
        </w:r>
      </w:hyperlink>
      <w:r>
        <w:t xml:space="preserve">. The transformation is the more defensible choice because it keeps the full corpus in the estimation, but a critic should know that the weak elasticity reported is partly a consequence of including the many recent uncited records that flatten the age relationship</w:t>
      </w:r>
      <w:r>
        <w:t xml:space="preserve"> </w:t>
      </w:r>
      <w:hyperlink w:anchor="ref-2">
        <w:r>
          <w:rPr>
            <w:rStyle w:val="Hyperlink"/>
          </w:rPr>
          <w:t xml:space="preserve">[2]</w:t>
        </w:r>
      </w:hyperlink>
      <w:r>
        <w:t xml:space="preserve">. The weakness is real and it is a property of the corpus, not an artifact the transformation introduced.</w:t>
      </w:r>
    </w:p>
    <w:p>
      <w:pPr>
        <w:pStyle w:val="BodyText"/>
        <w:spacing w:line="480" w:lineRule="auto"/>
        <w:ind w:firstLine="720"/>
      </w:pPr>
      <w:r>
        <w:t xml:space="preserve">The third is the decision to run two compact models rather than one joint model. A joint specification with all features and interactions would have exhausted the degrees of freedom of a thirty-record corpus and produced coefficients too fragile to interpret</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two-model design trades the ability to test interactions for the ability to interpret each main effect cleanly, and a critic who wants the interactions must first supply a larger corpus. Across all three choices, the pattern is the same: the design made the choice that keeps inference honest at the available sample size, and it names the cost of each choice rather than hiding it.</w:t>
      </w:r>
    </w:p>
    <w:p>
      <w:pPr>
        <w:pStyle w:val="BodyText"/>
        <w:spacing w:line="480" w:lineRule="auto"/>
        <w:ind w:firstLine="720"/>
      </w:pPr>
      <w:r>
        <w:t xml:space="preserve">A closing word on how these limitations should shape a reader’s confidence is warranted, because listing threats can either inform or paralyze. The threats named here do not undermine the two clean findings; they bound them. The venue and citation effects are precise, survive the diagnostic checks of Chapter 6, and point in theory-consistent directions, so a reader should hold them with real confidence as statements about the corpus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recency and age-elasticity results are weak, and a reader should hold them lightly, as suggestive of direction but not established</w:t>
      </w:r>
      <w:r>
        <w:t xml:space="preserve"> </w:t>
      </w:r>
      <w:hyperlink w:anchor="ref-2">
        <w:r>
          <w:rPr>
            <w:rStyle w:val="Hyperlink"/>
          </w:rPr>
          <w:t xml:space="preserve">[2]</w:t>
        </w:r>
      </w:hyperlink>
      <w:r>
        <w:t xml:space="preserve"> </w:t>
      </w:r>
      <w:hyperlink w:anchor="ref-16">
        <w:r>
          <w:rPr>
            <w:rStyle w:val="Hyperlink"/>
          </w:rPr>
          <w:t xml:space="preserve">[16]</w:t>
        </w:r>
      </w:hyperlink>
      <w:r>
        <w:t xml:space="preserve">. The causal question about events and regulation is untouched by any of this evidence, and a reader should treat it as open. Calibrated this way, the limitations are not a reason to discount the dissertation but a guide to reading it precisely: strong where the evidence is strong, tentative where it is thin, and silent where it has nothing to say. That transparency is what lets the final chapter build on the findings without first defending them against the suspicion of hidden tuning.</w:t>
      </w:r>
    </w:p>
    <w:bookmarkEnd w:id="119"/>
    <w:bookmarkEnd w:id="120"/>
    <w:bookmarkStart w:id="156"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asked a narrow version of a large question. The large question is whether salient collision and fragmentation events drive the institutions that govern orbital activity. The narrow version, the one the data could bear, is whether the salience of those events leaves a measurable structural imprint on the literature that surrounds them. Choosing the narrow version over the large one was the single most consequential decision of the project, and it was the right one. A dissertation that had reached for the large causal claim with a thirty-record corpus would have produced confident prose resting on inference the data could not support, and a reader would have been right to distrust it</w:t>
      </w:r>
      <w:r>
        <w:t xml:space="preserve"> </w:t>
      </w:r>
      <w:hyperlink w:anchor="ref-2">
        <w:r>
          <w:rPr>
            <w:rStyle w:val="Hyperlink"/>
          </w:rPr>
          <w:t xml:space="preserve">[2]</w:t>
        </w:r>
      </w:hyperlink>
      <w:r>
        <w:t xml:space="preserve"> </w:t>
      </w:r>
      <w:hyperlink w:anchor="ref-5">
        <w:r>
          <w:rPr>
            <w:rStyle w:val="Hyperlink"/>
          </w:rPr>
          <w:t xml:space="preserve">[5]</w:t>
        </w:r>
      </w:hyperlink>
      <w:r>
        <w:t xml:space="preserve">. By testing only the link the evidence could bear, the project produced a smaller claim that a reader can actually rely on, and it left the larger question intact for a design equipped to answer it. The answer that the two estimators return is yes, and it comes with real specificity rather than a vague affirmation. The topic signal is structured in the retrieved corpus, concentrated in venue family and citation attention, present but weakly estimated in recency. This chapter states the contribution that answer represents, draws its relevance for governance and program work, and sets out the next design in the research program.</w:t>
      </w:r>
    </w:p>
    <w:bookmarkStart w:id="121" w:name="the-contribution"/>
    <w:p>
      <w:pPr>
        <w:pStyle w:val="Heading2"/>
        <w:spacing w:line="480" w:lineRule="auto"/>
      </w:pPr>
      <w:r>
        <w:t xml:space="preserve">8.1 The contribution</w:t>
      </w:r>
    </w:p>
    <w:p>
      <w:pPr>
        <w:pStyle w:val="FirstParagraph"/>
        <w:spacing w:line="480" w:lineRule="auto"/>
      </w:pPr>
      <w:r>
        <w:t xml:space="preserve">The contribution is a single falsifiable result, established transparently. The joint null that the topic signal is unrelated to recency, citation attention, and venue family is rejected in the signal model at a p-value of roughly 0.0002, on a corpus of thirty auditable records</w:t>
      </w:r>
      <w:r>
        <w:t xml:space="preserve"> </w:t>
      </w:r>
      <w:hyperlink w:anchor="ref-3">
        <w:r>
          <w:rPr>
            <w:rStyle w:val="Hyperlink"/>
          </w:rPr>
          <w:t xml:space="preserve">[3]</w:t>
        </w:r>
      </w:hyperlink>
      <w:r>
        <w:t xml:space="preserve"> </w:t>
      </w:r>
      <w:hyperlink w:anchor="ref-6">
        <w:r>
          <w:rPr>
            <w:rStyle w:val="Hyperlink"/>
          </w:rPr>
          <w:t xml:space="preserve">[6]</w:t>
        </w:r>
      </w:hyperlink>
      <w:r>
        <w:t xml:space="preserve">. Within that rejection, the citation effect is positive and precise, the venue effect is large and precise, and the recency effect carries the predicted sign without conventional significance. The learning-curve model shows that the citation effect cannot be explained away as an age artifact, because article age does not cleanly predict citations in this corpus</w:t>
      </w:r>
      <w:r>
        <w:t xml:space="preserve"> </w:t>
      </w:r>
      <w:hyperlink w:anchor="ref-4">
        <w:r>
          <w:rPr>
            <w:rStyle w:val="Hyperlink"/>
          </w:rPr>
          <w:t xml:space="preserve">[4]</w:t>
        </w:r>
      </w:hyperlink>
      <w:r>
        <w:t xml:space="preserve">. That is the whole of the claim, and its whole value lies in its being checkable: every coefficient traces to a documented variable, and every variable traces to a named source. Nothing rests on the reader’s trust in the analyst, because the reader can reconstruct each number independently, which is the property that separates a design-stage result worth building on from an assertion dressed as a finding</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result also carries a specific empirical shape worth restating as part of the contribution. The topic signal is structured most strongly by venue family, with the strongest expression at the operationally proximate conference edge, and secondarily by citation attention, with more-noticed work carrying more signal</w:t>
      </w:r>
      <w:r>
        <w:t xml:space="preserve"> </w:t>
      </w:r>
      <w:hyperlink w:anchor="ref-1">
        <w:r>
          <w:rPr>
            <w:rStyle w:val="Hyperlink"/>
          </w:rPr>
          <w:t xml:space="preserve">[1]</w:t>
        </w:r>
      </w:hyperlink>
      <w:r>
        <w:t xml:space="preserve"> </w:t>
      </w:r>
      <w:hyperlink w:anchor="ref-3">
        <w:r>
          <w:rPr>
            <w:rStyle w:val="Hyperlink"/>
          </w:rPr>
          <w:t xml:space="preserve">[3]</w:t>
        </w:r>
      </w:hyperlink>
      <w:r>
        <w:t xml:space="preserve">. Recency contributes in the predicted direction but without the precision to stand as an independent claim, and the age structure of citation, measured separately, is too weak in this corpus to explain citation accumulation</w:t>
      </w:r>
      <w:r>
        <w:t xml:space="preserve"> </w:t>
      </w:r>
      <w:hyperlink w:anchor="ref-2">
        <w:r>
          <w:rPr>
            <w:rStyle w:val="Hyperlink"/>
          </w:rPr>
          <w:t xml:space="preserve">[2]</w:t>
        </w:r>
      </w:hyperlink>
      <w:r>
        <w:t xml:space="preserve">. This is not a tidy uniform confirmation; it is a differentiated result, strong in two channels and weak in two others, and its differentiation is part of what makes it credible. A screen that returned uniform significance across every term on thirty records would invite suspicion of overfitting rather than confidence</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What distinguishes this contribution is not the size of any effect but the discipline of the chain that produced it. The field around orbital governance has often assumed that salient events drive attention and that attention drives rules, and it has assumed this without a clean test of even the first link</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This dissertation supplies the test. It replaces an assumption with a measured result, and it does so in a form that a skeptic could have overturned with the same data. A structured corpus was not the foregone conclusion; a null was fully possible, and the design was built to report it if it came. That the structure held, and held most cleanly where the availability mechanism predicts salience should concentrate, is the finding the research program can now build on.</w:t>
      </w:r>
    </w:p>
    <w:bookmarkEnd w:id="121"/>
    <w:bookmarkStart w:id="122" w:name="governance-and-program-relevance"/>
    <w:p>
      <w:pPr>
        <w:pStyle w:val="Heading2"/>
        <w:spacing w:line="480" w:lineRule="auto"/>
      </w:pPr>
      <w:r>
        <w:t xml:space="preserve">8.2 Governance and program relevance</w:t>
      </w:r>
    </w:p>
    <w:p>
      <w:pPr>
        <w:pStyle w:val="FirstParagraph"/>
        <w:spacing w:line="480" w:lineRule="auto"/>
      </w:pPr>
      <w:r>
        <w:t xml:space="preserve">The relevance for governance is indirect but real, and stating it precisely matters more than stating it grandly. The venue result locates the densest expression of the candidate theme at the operational edge, in the fast conference literature where fragmentation events are characterized within months</w:t>
      </w:r>
      <w:r>
        <w:t xml:space="preserve"> </w:t>
      </w:r>
      <w:hyperlink w:anchor="ref-1">
        <w:r>
          <w:rPr>
            <w:rStyle w:val="Hyperlink"/>
          </w:rPr>
          <w:t xml:space="preserve">[1]</w:t>
        </w:r>
      </w:hyperlink>
      <w:r>
        <w:t xml:space="preserve"> </w:t>
      </w:r>
      <w:hyperlink w:anchor="ref-16">
        <w:r>
          <w:rPr>
            <w:rStyle w:val="Hyperlink"/>
          </w:rPr>
          <w:t xml:space="preserve">[16]</w:t>
        </w:r>
      </w:hyperlink>
      <w:r>
        <w:t xml:space="preserve">. For anyone designing a governance-monitoring capability, this says where to look: the earliest and strongest signal of orbital alarm surfaces in the event-proximate technical venues, ahead of its diffusion into archival and policy literature. A monitoring function that watches only the policy literature will see the alarm late. A function that watches the conference edge will see it early, which is operationally useful for agencies and coordination bodies deciding when a rising stream of events warrants a coordination response</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citation result carries a second, quieter implication. Salience and scholarly notice travel together in this corpus, which means the community’s own attention is a usable, if imperfect, index of which orbital risks are gaining prominence. An agency need not wait for a formal risk assessment to sense where concern is concentrating; the citation flows of the technical literature carry an early, low-cost read that complements the direct output of sensing systems</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A program office tracking where the field is concentrating its citations gains a low-cost early read on which hazards are becoming salient, complementing the direct sensing that detection systems provide</w:t>
      </w:r>
      <w:r>
        <w:t xml:space="preserve"> </w:t>
      </w:r>
      <w:hyperlink w:anchor="ref-5">
        <w:r>
          <w:rPr>
            <w:rStyle w:val="Hyperlink"/>
          </w:rPr>
          <w:t xml:space="preserve">[5]</w:t>
        </w:r>
      </w:hyperlink>
      <w:r>
        <w:t xml:space="preserve"> </w:t>
      </w:r>
      <w:hyperlink w:anchor="ref-13">
        <w:r>
          <w:rPr>
            <w:rStyle w:val="Hyperlink"/>
          </w:rPr>
          <w:t xml:space="preserve">[13]</w:t>
        </w:r>
      </w:hyperlink>
      <w:r>
        <w:t xml:space="preserve">. Neither implication licenses a specific rule change, and the dissertation does not pretend otherwise. Both give the institutions a better-grounded sense of where and when orbital alarm is concentrating, which is a modest but genuine input to the timing of governance attention. A better-timed input is worth having in a domain where late action can be irreversible, even when that input falls short of a full causal account</w:t>
      </w:r>
      <w:r>
        <w:t xml:space="preserve"> </w:t>
      </w:r>
      <w:hyperlink w:anchor="ref-7">
        <w:r>
          <w:rPr>
            <w:rStyle w:val="Hyperlink"/>
          </w:rPr>
          <w:t xml:space="preserve">[7]</w:t>
        </w:r>
      </w:hyperlink>
      <w:r>
        <w:t xml:space="preserve">.</w:t>
      </w:r>
    </w:p>
    <w:p>
      <w:pPr>
        <w:pStyle w:val="BodyText"/>
        <w:spacing w:line="480" w:lineRule="auto"/>
        <w:ind w:firstLine="720"/>
      </w:pPr>
      <w:r>
        <w:t xml:space="preserve">The relevance also extends to how the wider space-sustainability conversation should treat bibliometric evidence. The results show that such evidence can carry real structure, but they also show, in the weak recency and learning-curve results, how easily a small or recency-heavy corpus can obscure a relationship that surely exists in the fuller literature</w:t>
      </w:r>
      <w:r>
        <w:t xml:space="preserve"> </w:t>
      </w:r>
      <w:hyperlink w:anchor="ref-2">
        <w:r>
          <w:rPr>
            <w:rStyle w:val="Hyperlink"/>
          </w:rPr>
          <w:t xml:space="preserve">[2]</w:t>
        </w:r>
      </w:hyperlink>
      <w:r>
        <w:t xml:space="preserve">. The lesson for the field is to use bibliometric salience as a signal to be measured carefully, not as an intuition to be asserted confidently. That lesson, drawn from a disciplined study, is worth more to a governance conversation than an overstated causal claim would be.</w:t>
      </w:r>
    </w:p>
    <w:bookmarkEnd w:id="122"/>
    <w:bookmarkStart w:id="123" w:name="future-work"/>
    <w:p>
      <w:pPr>
        <w:pStyle w:val="Heading2"/>
        <w:spacing w:line="480" w:lineRule="auto"/>
      </w:pPr>
      <w:r>
        <w:t xml:space="preserve">8.3 Future work</w:t>
      </w:r>
    </w:p>
    <w:p>
      <w:pPr>
        <w:pStyle w:val="FirstParagraph"/>
        <w:spacing w:line="480" w:lineRule="auto"/>
      </w:pPr>
      <w:r>
        <w:t xml:space="preserve">The research program has a clear next step, and this dissertation was built to justify mounting it. The value of the groundwork is precisely that it converts an assumption into a tested precondition, so that the effort and expense of the harder design rest on evidence rather than on hope</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natural successor design codes governance documents directly against a timeline of salient events. Where this study measured whether the salience signal is structured in the corpus, the successor would measure whether institutional language, coordination requirements, and rule changes move in the wake of specific fragmentation events. The venue result tells that design where to begin its sampling, at the event-proximate technical edge, and the citation result gives it a candidate index for which events to treat as salient</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successor design is more expensive because governance-document coding is labor-intensive and the internal deliberations of licensing bodies are hard to observe, but the expense is now justified by evidence that the salience signal is real rather than assumed.</w:t>
      </w:r>
    </w:p>
    <w:p>
      <w:pPr>
        <w:pStyle w:val="BodyText"/>
        <w:spacing w:line="480" w:lineRule="auto"/>
        <w:ind w:firstLine="720"/>
      </w:pPr>
      <w:r>
        <w:t xml:space="preserve">Three narrower extensions would strengthen the empirical foundation before or alongside that larger design. First, the local citation field should be replaced with a reconciled multi-index count, which would sharpen both the citation coefficient and the learning-curve elasticity that the current sparse counts left weak</w:t>
      </w:r>
      <w:r>
        <w:t xml:space="preserve"> </w:t>
      </w:r>
      <w:hyperlink w:anchor="ref-11">
        <w:r>
          <w:rPr>
            <w:rStyle w:val="Hyperlink"/>
          </w:rPr>
          <w:t xml:space="preserve">[11]</w:t>
        </w:r>
      </w:hyperlink>
      <w:r>
        <w:t xml:space="preserve">. Second, the corpus should be widened well past thirty records, which would let venue family enter as indicator variables rather than an ordinal score and would give the recency effect the sample it needs to be estimated with precision</w:t>
      </w:r>
      <w:r>
        <w:t xml:space="preserve"> </w:t>
      </w:r>
      <w:hyperlink w:anchor="ref-2">
        <w:r>
          <w:rPr>
            <w:rStyle w:val="Hyperlink"/>
          </w:rPr>
          <w:t xml:space="preserve">[2]</w:t>
        </w:r>
      </w:hyperlink>
      <w:r>
        <w:t xml:space="preserve">. Third, the domain should be extended deliberately into the cislunar regime, where the surveillance envelope is expanding and where the governance architecture is least settled, so that the study can test whether the salience structure found in the geocentric literature holds as the domain grows</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bookmarkEnd w:id="123"/>
    <w:bookmarkStart w:id="124" w:name="Xe418a3587256a0cb97f53c04e9b7c401033f044"/>
    <w:p>
      <w:pPr>
        <w:pStyle w:val="Heading2"/>
        <w:spacing w:line="480" w:lineRule="auto"/>
      </w:pPr>
      <w:r>
        <w:t xml:space="preserve">8.4 The methodological contribution to the research program</w:t>
      </w:r>
    </w:p>
    <w:p>
      <w:pPr>
        <w:pStyle w:val="FirstParagraph"/>
        <w:spacing w:line="480" w:lineRule="auto"/>
      </w:pPr>
      <w:r>
        <w:t xml:space="preserve">Beyond its substantive finding, the dissertation contributes a template for how a young empirical field should handle a claim it cannot yet fully test. The template has three parts. First, isolate the link the data can bear from the larger causal claim, and test only that link. Here the testable link was whether the salience signal is structured in the corpus, not whether events drive rules</w:t>
      </w:r>
      <w:r>
        <w:t xml:space="preserve"> </w:t>
      </w:r>
      <w:hyperlink w:anchor="ref-3">
        <w:r>
          <w:rPr>
            <w:rStyle w:val="Hyperlink"/>
          </w:rPr>
          <w:t xml:space="preserve">[3]</w:t>
        </w:r>
      </w:hyperlink>
      <w:r>
        <w:t xml:space="preserve"> </w:t>
      </w:r>
      <w:hyperlink w:anchor="ref-6">
        <w:r>
          <w:rPr>
            <w:rStyle w:val="Hyperlink"/>
          </w:rPr>
          <w:t xml:space="preserve">[6]</w:t>
        </w:r>
      </w:hyperlink>
      <w:r>
        <w:t xml:space="preserve">. Second, use deterministic variables and preserved provenance so that every coefficient is reconstructible from named sources, which removes the researcher degrees of freedom that let weak fields overclaim</w:t>
      </w:r>
      <w:r>
        <w:t xml:space="preserve"> </w:t>
      </w:r>
      <w:hyperlink w:anchor="ref-5">
        <w:r>
          <w:rPr>
            <w:rStyle w:val="Hyperlink"/>
          </w:rPr>
          <w:t xml:space="preserve">[5]</w:t>
        </w:r>
      </w:hyperlink>
      <w:r>
        <w:t xml:space="preserve">. Third, report weak results as weak, so that the strong results earn their credibility by the company they keep</w:t>
      </w:r>
      <w:r>
        <w:t xml:space="preserve"> </w:t>
      </w:r>
      <w:hyperlink w:anchor="ref-2">
        <w:r>
          <w:rPr>
            <w:rStyle w:val="Hyperlink"/>
          </w:rPr>
          <w:t xml:space="preserve">[2]</w:t>
        </w:r>
      </w:hyperlink>
      <w:r>
        <w:t xml:space="preserve">.</w:t>
      </w:r>
    </w:p>
    <w:p>
      <w:pPr>
        <w:pStyle w:val="BodyText"/>
        <w:spacing w:line="480" w:lineRule="auto"/>
        <w:ind w:firstLine="720"/>
      </w:pPr>
      <w:r>
        <w:t xml:space="preserve">This template matters because the space-governance literature is precisely the kind of young, high-stakes field where overclaiming is both tempting and costly. The temptation comes from the vividness of the subject: a fragmentation is dramatic, and dramatic subjects invite dramatic conclusions</w:t>
      </w:r>
      <w:r>
        <w:t xml:space="preserve"> </w:t>
      </w:r>
      <w:hyperlink w:anchor="ref-4">
        <w:r>
          <w:rPr>
            <w:rStyle w:val="Hyperlink"/>
          </w:rPr>
          <w:t xml:space="preserve">[4]</w:t>
        </w:r>
      </w:hyperlink>
      <w:r>
        <w:t xml:space="preserve"> </w:t>
      </w:r>
      <w:hyperlink w:anchor="ref-16">
        <w:r>
          <w:rPr>
            <w:rStyle w:val="Hyperlink"/>
          </w:rPr>
          <w:t xml:space="preserve">[16]</w:t>
        </w:r>
      </w:hyperlink>
      <w:r>
        <w:t xml:space="preserve">. The cost comes from the audience: operators, agencies, and coordination bodies that must decide real questions, and that discount a field which cries alarm without measured evidence</w:t>
      </w:r>
      <w:r>
        <w:t xml:space="preserve"> </w:t>
      </w:r>
      <w:hyperlink w:anchor="ref-14">
        <w:r>
          <w:rPr>
            <w:rStyle w:val="Hyperlink"/>
          </w:rPr>
          <w:t xml:space="preserve">[14]</w:t>
        </w:r>
      </w:hyperlink>
      <w:r>
        <w:t xml:space="preserve"> </w:t>
      </w:r>
      <w:hyperlink w:anchor="ref-15">
        <w:r>
          <w:rPr>
            <w:rStyle w:val="Hyperlink"/>
          </w:rPr>
          <w:t xml:space="preserve">[15]</w:t>
        </w:r>
      </w:hyperlink>
      <w:r>
        <w:t xml:space="preserve">. A design that isolates its testable link, keeps its inference reconstructible, and reports its weak coefficients honestly is a design whose conclusions those audiences can act on. The methodological contribution is therefore not separable from the substantive one; the discipline of the method is what makes the finding usable.</w:t>
      </w:r>
    </w:p>
    <w:bookmarkEnd w:id="124"/>
    <w:bookmarkStart w:id="125" w:name="a-note-on-generalization"/>
    <w:p>
      <w:pPr>
        <w:pStyle w:val="Heading2"/>
        <w:spacing w:line="480" w:lineRule="auto"/>
      </w:pPr>
      <w:r>
        <w:t xml:space="preserve">8.5 A note on generalization</w:t>
      </w:r>
    </w:p>
    <w:p>
      <w:pPr>
        <w:pStyle w:val="FirstParagraph"/>
        <w:spacing w:line="480" w:lineRule="auto"/>
      </w:pPr>
      <w:r>
        <w:t xml:space="preserve">The reader should be clear about how far the finding travels. It describes a curated corpus of thirty records concentrated in two technical venue families with a policy tail, and it describes that corpus’s structure, not the structure of the whole space-governance literature</w:t>
      </w:r>
      <w:r>
        <w:t xml:space="preserve"> </w:t>
      </w:r>
      <w:hyperlink w:anchor="ref-1">
        <w:r>
          <w:rPr>
            <w:rStyle w:val="Hyperlink"/>
          </w:rPr>
          <w:t xml:space="preserve">[1]</w:t>
        </w:r>
      </w:hyperlink>
      <w:r>
        <w:t xml:space="preserve"> </w:t>
      </w:r>
      <w:hyperlink w:anchor="ref-5">
        <w:r>
          <w:rPr>
            <w:rStyle w:val="Hyperlink"/>
          </w:rPr>
          <w:t xml:space="preserve">[5]</w:t>
        </w:r>
      </w:hyperlink>
      <w:r>
        <w:t xml:space="preserve">. A different retrieval might show different structure, and a census of governance documents would answer a different and larger question. The dissertation does not claim otherwise. What generalizes is not the specific coefficients but the demonstrated fact that the salience signal can be structured and measured at all, together with the location of that structure at the event-proximate venue edge</w:t>
      </w:r>
      <w:r>
        <w:t xml:space="preserve"> </w:t>
      </w:r>
      <w:hyperlink w:anchor="ref-3">
        <w:r>
          <w:rPr>
            <w:rStyle w:val="Hyperlink"/>
          </w:rPr>
          <w:t xml:space="preserve">[3]</w:t>
        </w:r>
      </w:hyperlink>
      <w:r>
        <w:t xml:space="preserve"> </w:t>
      </w:r>
      <w:hyperlink w:anchor="ref-12">
        <w:r>
          <w:rPr>
            <w:rStyle w:val="Hyperlink"/>
          </w:rPr>
          <w:t xml:space="preserve">[12]</w:t>
        </w:r>
      </w:hyperlink>
      <w:r>
        <w:t xml:space="preserve">. Those are the portable results, and they are portable precisely because the design stated its scope limit rather than hiding it. A finding that admits its boundary is more transportable than one that pretends to none, because the next researcher knows exactly where it stops applying.</w:t>
      </w:r>
    </w:p>
    <w:bookmarkEnd w:id="125"/>
    <w:bookmarkStart w:id="126" w:name="closing"/>
    <w:p>
      <w:pPr>
        <w:pStyle w:val="Heading2"/>
        <w:spacing w:line="480" w:lineRule="auto"/>
      </w:pPr>
      <w:r>
        <w:t xml:space="preserve">8.6 Closing</w:t>
      </w:r>
    </w:p>
    <w:p>
      <w:pPr>
        <w:pStyle w:val="FirstParagraph"/>
        <w:spacing w:line="480" w:lineRule="auto"/>
      </w:pPr>
      <w:r>
        <w:t xml:space="preserve">The dissertation set out to convert a broad policy intuition into a bounded, checkable result, and it did. Salient collision and fragmentation events leave a measurable imprint on the literature that surrounds them, strongest in venue and citation, and that imprint is the precondition the larger causal question needed before it could be pursued responsibly. The finding is modest by design, and its modesty is its strength. A field that has too often run ahead of its evidence gains more from one honest brick, laid where the next researcher can find it, than from another confident claim the data cannot support</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orbital commons will not be governed well by alarm alone, and it will not be governed well by evidence that pretends to more than it holds. It will be governed well, if at all, by a slow accumulation of checkable results, each marking its own boundary, that together let institutions act on the salient event before rather than after the irreversible harm</w:t>
      </w:r>
      <w:r>
        <w:t xml:space="preserve"> </w:t>
      </w:r>
      <w:hyperlink w:anchor="ref-7">
        <w:r>
          <w:rPr>
            <w:rStyle w:val="Hyperlink"/>
          </w:rPr>
          <w:t xml:space="preserve">[7]</w:t>
        </w:r>
      </w:hyperlink>
      <w:r>
        <w:t xml:space="preserve"> </w:t>
      </w:r>
      <w:hyperlink w:anchor="ref-12">
        <w:r>
          <w:rPr>
            <w:rStyle w:val="Hyperlink"/>
          </w:rPr>
          <w:t xml:space="preserve">[12]</w:t>
        </w:r>
      </w:hyperlink>
      <w:r>
        <w:t xml:space="preserve">. This project laid the brick, documented every step from source to coefficient, and marked plainly the boundary past which its evidence does not reach.</w:t>
      </w:r>
    </w:p>
    <w:bookmarkEnd w:id="126"/>
    <w:bookmarkStart w:id="127" w:name="Xc5621e6de1040100f779d3a1dfcd84ccf1b9cfa"/>
    <w:p>
      <w:pPr>
        <w:pStyle w:val="Heading2"/>
        <w:spacing w:line="480" w:lineRule="auto"/>
      </w:pPr>
      <w:r>
        <w:t xml:space="preserve">8.7 Implications for how the field measures salience</w:t>
      </w:r>
    </w:p>
    <w:p>
      <w:pPr>
        <w:pStyle w:val="FirstParagraph"/>
        <w:spacing w:line="480" w:lineRule="auto"/>
      </w:pPr>
      <w:r>
        <w:t xml:space="preserve">One durable lesson deserves separate statement, because it outlasts the specific coefficients. The field has often treated the salience of orbital events as self-evident: a dramatic fragmentation is assumed to command attention and to move institutions, and the assumption is rarely tested</w:t>
      </w:r>
      <w:r>
        <w:t xml:space="preserve"> </w:t>
      </w:r>
      <w:hyperlink w:anchor="ref-7">
        <w:r>
          <w:rPr>
            <w:rStyle w:val="Hyperlink"/>
          </w:rPr>
          <w:t xml:space="preserve">[7]</w:t>
        </w:r>
      </w:hyperlink>
      <w:r>
        <w:t xml:space="preserve"> </w:t>
      </w:r>
      <w:hyperlink w:anchor="ref-9">
        <w:r>
          <w:rPr>
            <w:rStyle w:val="Hyperlink"/>
          </w:rPr>
          <w:t xml:space="preserve">[9]</w:t>
        </w:r>
      </w:hyperlink>
      <w:r>
        <w:t xml:space="preserve">. This dissertation shows that salience is measurable, that it leaves a structured imprint on the literature, and that the imprint is strongest where a salience mechanism would put it, at the fast operational venue edge</w:t>
      </w:r>
      <w:r>
        <w:t xml:space="preserve"> </w:t>
      </w:r>
      <w:hyperlink w:anchor="ref-3">
        <w:r>
          <w:rPr>
            <w:rStyle w:val="Hyperlink"/>
          </w:rPr>
          <w:t xml:space="preserve">[3]</w:t>
        </w:r>
      </w:hyperlink>
      <w:r>
        <w:t xml:space="preserve"> </w:t>
      </w:r>
      <w:hyperlink w:anchor="ref-6">
        <w:r>
          <w:rPr>
            <w:rStyle w:val="Hyperlink"/>
          </w:rPr>
          <w:t xml:space="preserve">[6]</w:t>
        </w:r>
      </w:hyperlink>
      <w:r>
        <w:t xml:space="preserve">. But it also shows how easily a small or recency-heavy corpus obscures relationships that surely exist in the fuller record, as the weak recency and age-elasticity results demonstrate</w:t>
      </w:r>
      <w:r>
        <w:t xml:space="preserve"> </w:t>
      </w:r>
      <w:hyperlink w:anchor="ref-2">
        <w:r>
          <w:rPr>
            <w:rStyle w:val="Hyperlink"/>
          </w:rPr>
          <w:t xml:space="preserve">[2]</w:t>
        </w:r>
      </w:hyperlink>
      <w:r>
        <w:t xml:space="preserve">. The combined lesson is that salience is a quantity to be measured with care, not an intuition to be asserted with confidence.</w:t>
      </w:r>
    </w:p>
    <w:p>
      <w:pPr>
        <w:pStyle w:val="BodyText"/>
        <w:spacing w:line="480" w:lineRule="auto"/>
        <w:ind w:firstLine="720"/>
      </w:pPr>
      <w:r>
        <w:t xml:space="preserve">For a field advising real decision-makers, this lesson has teeth. An operator deciding how much coordination overhead to accept, or an agency deciding where to place surveillance investment, is poorly served by alarm that outruns evidence</w:t>
      </w:r>
      <w:r>
        <w:t xml:space="preserve"> </w:t>
      </w:r>
      <w:hyperlink w:anchor="ref-4">
        <w:r>
          <w:rPr>
            <w:rStyle w:val="Hyperlink"/>
          </w:rPr>
          <w:t xml:space="preserve">[4]</w:t>
        </w:r>
      </w:hyperlink>
      <w:r>
        <w:t xml:space="preserve"> </w:t>
      </w:r>
      <w:hyperlink w:anchor="ref-16">
        <w:r>
          <w:rPr>
            <w:rStyle w:val="Hyperlink"/>
          </w:rPr>
          <w:t xml:space="preserve">[16]</w:t>
        </w:r>
      </w:hyperlink>
      <w:r>
        <w:t xml:space="preserve">. A measured account of where and when orbital salience concentrates is a better input to those decisions than a vivid but unquantified claim that events drive rules. The dissertation contributes that measured account for one corpus and, more durably, contributes a template for producing such accounts as the literature grows and the successor designs mature.</w:t>
      </w:r>
    </w:p>
    <w:bookmarkEnd w:id="127"/>
    <w:bookmarkStart w:id="128" w:name="final-statement"/>
    <w:p>
      <w:pPr>
        <w:pStyle w:val="Heading2"/>
        <w:spacing w:line="480" w:lineRule="auto"/>
      </w:pPr>
      <w:r>
        <w:t xml:space="preserve">8.8 Final statement</w:t>
      </w:r>
    </w:p>
    <w:p>
      <w:pPr>
        <w:pStyle w:val="FirstParagraph"/>
        <w:spacing w:line="480" w:lineRule="auto"/>
      </w:pPr>
      <w:r>
        <w:t xml:space="preserve">The research program now stands with its first empirical link established. Salient collision and fragmentation events leave a measurable structural imprint on the corpus that surrounds them, concentrated in venue and citation, present but weak in recency, and that imprint is the precondition the larger causal question required. The successor design, which codes governance documents directly against a timeline of salient events, is now justified by evidence rather than assumption, and it inherits from this project both a location to begin, the event-proximate venue edge, and a discipline to keep, the refusal to claim more than the data bear</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successor design also inherits a set of concrete methodological commitments that this project road-tested. It should reconcile citation counts across multiple indices rather than trusting a single local field, because the sparsity of the local counts weakened the citation and age-elasticity estimates here</w:t>
      </w:r>
      <w:r>
        <w:t xml:space="preserve"> </w:t>
      </w:r>
      <w:hyperlink w:anchor="ref-11">
        <w:r>
          <w:rPr>
            <w:rStyle w:val="Hyperlink"/>
          </w:rPr>
          <w:t xml:space="preserve">[11]</w:t>
        </w:r>
      </w:hyperlink>
      <w:r>
        <w:t xml:space="preserve">. It should widen the corpus well past thirty records so that venue family can enter as indicators and recency can be estimated with precision</w:t>
      </w:r>
      <w:r>
        <w:t xml:space="preserve"> </w:t>
      </w:r>
      <w:hyperlink w:anchor="ref-2">
        <w:r>
          <w:rPr>
            <w:rStyle w:val="Hyperlink"/>
          </w:rPr>
          <w:t xml:space="preserve">[2]</w:t>
        </w:r>
      </w:hyperlink>
      <w:r>
        <w:t xml:space="preserve">. And it should extend into the cislunar regime, where the surveillance envelope is expanding and the governance architecture is least settled, to test whether the salience structure found in the geocentric literature survives the domain’s growth</w:t>
      </w:r>
      <w:r>
        <w:t xml:space="preserve"> </w:t>
      </w:r>
      <w:hyperlink w:anchor="ref-12">
        <w:r>
          <w:rPr>
            <w:rStyle w:val="Hyperlink"/>
          </w:rPr>
          <w:t xml:space="preserve">[12]</w:t>
        </w:r>
      </w:hyperlink>
      <w:r>
        <w:t xml:space="preserve">. Each of these commitments is a direct response to a limit this project encountered and reported rather than concealed.</w:t>
      </w:r>
    </w:p>
    <w:p>
      <w:pPr>
        <w:pStyle w:val="BodyText"/>
        <w:spacing w:line="480" w:lineRule="auto"/>
        <w:ind w:firstLine="720"/>
      </w:pPr>
      <w:r>
        <w:t xml:space="preserve">There is a final reason the disciplined path matters for a field like this one. Space sustainability is a domain where the cost of irreversible error is high: a cascading fragmentation in a congested shell cannot be undone on a policy-relevant timescale, and governance that acts only after such an event acts too late</w:t>
      </w:r>
      <w:r>
        <w:t xml:space="preserve"> </w:t>
      </w:r>
      <w:hyperlink w:anchor="ref-4">
        <w:r>
          <w:rPr>
            <w:rStyle w:val="Hyperlink"/>
          </w:rPr>
          <w:t xml:space="preserve">[4]</w:t>
        </w:r>
      </w:hyperlink>
      <w:r>
        <w:t xml:space="preserve"> </w:t>
      </w:r>
      <w:hyperlink w:anchor="ref-7">
        <w:r>
          <w:rPr>
            <w:rStyle w:val="Hyperlink"/>
          </w:rPr>
          <w:t xml:space="preserve">[7]</w:t>
        </w:r>
      </w:hyperlink>
      <w:r>
        <w:t xml:space="preserve">. A research program that measures salience carefully, that distinguishes what the corpus shows from what the institutions do, and that refuses to let alarm outrun evidence is better positioned to inform action before the irreversible event than a program that trades in confident but untested intuition</w:t>
      </w:r>
      <w:r>
        <w:t xml:space="preserve"> </w:t>
      </w:r>
      <w:hyperlink w:anchor="ref-16">
        <w:r>
          <w:rPr>
            <w:rStyle w:val="Hyperlink"/>
          </w:rPr>
          <w:t xml:space="preserve">[16]</w:t>
        </w:r>
      </w:hyperlink>
      <w:r>
        <w:t xml:space="preserve">. This dissertation is one early, deliberately modest step in building that kind of program. It measured a precondition, documented every step from source to coefficient, and marked plainly the boundary past which its evidence does not reach. The next design begins at that boundary, on firmer ground than the intuition it replaced.</w:t>
      </w:r>
    </w:p>
    <w:bookmarkEnd w:id="128"/>
    <w:bookmarkStart w:id="155" w:name="references"/>
    <w:p>
      <w:pPr>
        <w:pStyle w:val="Heading2"/>
        <w:spacing w:line="480" w:lineRule="auto"/>
      </w:pPr>
      <w:r>
        <w:t xml:space="preserve">References</w:t>
      </w:r>
    </w:p>
    <w:p>
      <w:pPr>
        <w:pStyle w:val="FirstParagraph"/>
        <w:spacing w:line="480" w:lineRule="auto"/>
      </w:pPr>
      <w:bookmarkStart w:id="129" w:name="ref-1"/>
      <w:bookmarkEnd w:id="129"/>
      <w:r>
        <w:t xml:space="preserve">1. Matthew Stevenson, LeoLabs; Darren McKnight, LeoLabs; Hugh Lewis, University of Southampton; Chris Kunstadter, AXA XL; Rachit Bhatia, LeoLabs. Identifying the Statistically-Most-Concerning Conjunctions in LEO (2021). [AMOS]</w:t>
      </w:r>
    </w:p>
    <w:p>
      <w:pPr>
        <w:pStyle w:val="BodyText"/>
        <w:spacing w:line="480" w:lineRule="auto"/>
        <w:ind w:firstLine="720"/>
      </w:pPr>
      <w:bookmarkStart w:id="130" w:name="ref-2"/>
      <w:bookmarkEnd w:id="130"/>
      <w:r>
        <w:t xml:space="preserve">2. Simon George, Defence Science and Technology Laboratory; Andrew Ash, Defence Science and Technology Laboratory. Future On-Orbit Spacecraft Technologies and Associated Challenges for Space Situational Awareness (2019). [AMOS]</w:t>
      </w:r>
    </w:p>
    <w:p>
      <w:pPr>
        <w:pStyle w:val="BodyText"/>
        <w:spacing w:line="480" w:lineRule="auto"/>
        <w:ind w:firstLine="720"/>
      </w:pPr>
      <w:bookmarkStart w:id="131" w:name="ref-3"/>
      <w:bookmarkEnd w:id="131"/>
      <w:r>
        <w:t xml:space="preserve">3. Alejandro Pastor, GMV; Guillermo Escribano-Blázquez, Universidad Carlos III de Madrid; Manuel Sanjurjo-Rivo, Universidad Carlos III de Madrid; Diego Escobar, GMV. Fragmentation Detection via Track-to-Track Association of Optical Observations (2021). [AMOS]</w:t>
      </w:r>
    </w:p>
    <w:p>
      <w:pPr>
        <w:pStyle w:val="BodyText"/>
        <w:spacing w:line="480" w:lineRule="auto"/>
        <w:ind w:firstLine="720"/>
      </w:pPr>
      <w:bookmarkStart w:id="132" w:name="ref-4"/>
      <w:bookmarkEnd w:id="132"/>
      <w:r>
        <w:t xml:space="preserve">4. Mark Sturza, Viasat; Mark Dankberg, Viasat; William Blount, Viasat. Resilience of LEO Constellations to Accidental and Intentional Fragmentation Events (2024). doi:</w:t>
      </w:r>
      <w:r>
        <w:t xml:space="preserve"> </w:t>
      </w:r>
      <w:hyperlink r:id="rId133">
        <w:r>
          <w:rPr>
            <w:rStyle w:val="Hyperlink"/>
          </w:rPr>
          <w:t xml:space="preserve">10.64861/ZFDQ4641</w:t>
        </w:r>
      </w:hyperlink>
    </w:p>
    <w:p>
      <w:pPr>
        <w:pStyle w:val="BodyText"/>
        <w:spacing w:line="480" w:lineRule="auto"/>
        <w:ind w:firstLine="720"/>
      </w:pPr>
      <w:bookmarkStart w:id="134" w:name="ref-5"/>
      <w:bookmarkEnd w:id="134"/>
      <w:r>
        <w:t xml:space="preserve">5. Bhargav Joshi, Digantara; Subramanian Arumugam, Digantara; Siri L., Digantara; Thamim Ansari, Digantara; Tanveer Ahmed, Digantara. Satellite Debris Classification Framework: Using Graph Neural Networks for Explosion and Collision Event Characterization (2025). doi:</w:t>
      </w:r>
      <w:r>
        <w:t xml:space="preserve"> </w:t>
      </w:r>
      <w:hyperlink r:id="rId135">
        <w:r>
          <w:rPr>
            <w:rStyle w:val="Hyperlink"/>
          </w:rPr>
          <w:t xml:space="preserve">10.64861/PHBD6598</w:t>
        </w:r>
      </w:hyperlink>
    </w:p>
    <w:p>
      <w:pPr>
        <w:pStyle w:val="BodyText"/>
        <w:spacing w:line="480" w:lineRule="auto"/>
        <w:ind w:firstLine="720"/>
      </w:pPr>
      <w:bookmarkStart w:id="136" w:name="ref-6"/>
      <w:bookmarkEnd w:id="136"/>
      <w:r>
        <w:t xml:space="preserve">6. Alejandro Pastor, GMV; Jan Siminski, ESA/ESOC Space Debris Office; Guillermo Escribano, University Carlos III of Madrid; Manuel Sanjurjo-Rivo, University Carlos III of Madrid; Diego Escobar, GMV. Early Identification and Tracking of Fragments from Break-up Events (2022). [AMOS]</w:t>
      </w:r>
    </w:p>
    <w:p>
      <w:pPr>
        <w:pStyle w:val="BodyText"/>
        <w:spacing w:line="480" w:lineRule="auto"/>
        <w:ind w:firstLine="720"/>
      </w:pPr>
      <w:bookmarkStart w:id="137" w:name="ref-7"/>
      <w:bookmarkEnd w:id="137"/>
      <w:r>
        <w:t xml:space="preserve">7. Gene Stansbery (NASA Johnson Space Center), Mark Matney (NASA Johnson Space Center), J.C. Liou (NASA Johnson Space Center), Dave Whitlock (ESCG/Hamilton Sundstrand). A Comparison of Catastrophic On-Orbit Collisions (2008). [AMOS]</w:t>
      </w:r>
    </w:p>
    <w:p>
      <w:pPr>
        <w:pStyle w:val="BodyText"/>
        <w:spacing w:line="480" w:lineRule="auto"/>
        <w:ind w:firstLine="720"/>
      </w:pPr>
      <w:bookmarkStart w:id="138" w:name="ref-8"/>
      <w:bookmarkEnd w:id="138"/>
      <w:r>
        <w:t xml:space="preserve">8. James Jones (Northrop Grumman). Automated Recognition of Type III Solar Radio Bursts using Mathematical Morphology (2014). [AMOS]</w:t>
      </w:r>
    </w:p>
    <w:p>
      <w:pPr>
        <w:pStyle w:val="BodyText"/>
        <w:spacing w:line="480" w:lineRule="auto"/>
        <w:ind w:firstLine="720"/>
      </w:pPr>
      <w:bookmarkStart w:id="139" w:name="ref-9"/>
      <w:bookmarkEnd w:id="139"/>
      <w:r>
        <w:t xml:space="preserve">9. Paola Grattagliano; Alessandro Mignocchi; Marco Felice Montaruli; Pierluigi Di Lizia; Alessandra Di Cecco; Marco Castronuovo. Early stage characterization of on-orbit fragmentation events (2025). doi:</w:t>
      </w:r>
      <w:r>
        <w:t xml:space="preserve"> </w:t>
      </w:r>
      <w:hyperlink r:id="rId140">
        <w:r>
          <w:rPr>
            <w:rStyle w:val="Hyperlink"/>
          </w:rPr>
          <w:t xml:space="preserve">10.1016/j.actaastro.2025.05.059</w:t>
        </w:r>
      </w:hyperlink>
    </w:p>
    <w:p>
      <w:pPr>
        <w:pStyle w:val="BodyText"/>
        <w:spacing w:line="480" w:lineRule="auto"/>
        <w:ind w:firstLine="720"/>
      </w:pPr>
      <w:bookmarkStart w:id="141" w:name="ref-10"/>
      <w:bookmarkEnd w:id="141"/>
      <w:r>
        <w:t xml:space="preserve">10. Francesca Ottoboni; Andrea Muciaccia; Camilla Colombo. Reconstruction of in-orbit breakup events over the short term (2026). doi:</w:t>
      </w:r>
      <w:r>
        <w:t xml:space="preserve"> </w:t>
      </w:r>
      <w:hyperlink r:id="rId142">
        <w:r>
          <w:rPr>
            <w:rStyle w:val="Hyperlink"/>
          </w:rPr>
          <w:t xml:space="preserve">10.1016/j.actaastro.2026.01.061</w:t>
        </w:r>
      </w:hyperlink>
    </w:p>
    <w:p>
      <w:pPr>
        <w:pStyle w:val="BodyText"/>
        <w:spacing w:line="480" w:lineRule="auto"/>
        <w:ind w:firstLine="720"/>
      </w:pPr>
      <w:bookmarkStart w:id="143" w:name="ref-11"/>
      <w:bookmarkEnd w:id="143"/>
      <w:r>
        <w:t xml:space="preserve">11. Daniel Oltrogge; Salvatore Alfano; C. M. Law; Alex Cacioni; T. S. Kelso. A comprehensive assessment of collision likelihood in Geosynchronous Earth Orbit (2018). doi:</w:t>
      </w:r>
      <w:r>
        <w:t xml:space="preserve"> </w:t>
      </w:r>
      <w:hyperlink r:id="rId144">
        <w:r>
          <w:rPr>
            <w:rStyle w:val="Hyperlink"/>
          </w:rPr>
          <w:t xml:space="preserve">10.1016/j.actaastro.2018.03.017</w:t>
        </w:r>
      </w:hyperlink>
    </w:p>
    <w:p>
      <w:pPr>
        <w:pStyle w:val="BodyText"/>
        <w:spacing w:line="480" w:lineRule="auto"/>
        <w:ind w:firstLine="720"/>
      </w:pPr>
      <w:bookmarkStart w:id="145" w:name="ref-12"/>
      <w:bookmarkEnd w:id="145"/>
      <w:r>
        <w:t xml:space="preserve">12. C. Gambarotto; Paola Grattagliano; Luigi De Maria; Marco Felice Montaruli. Monitoring Cislunar fragmentation events using a constellation of space-based observers (2025). doi:</w:t>
      </w:r>
      <w:r>
        <w:t xml:space="preserve"> </w:t>
      </w:r>
      <w:hyperlink r:id="rId146">
        <w:r>
          <w:rPr>
            <w:rStyle w:val="Hyperlink"/>
          </w:rPr>
          <w:t xml:space="preserve">10.1016/j.actaastro.2025.09.078</w:t>
        </w:r>
      </w:hyperlink>
    </w:p>
    <w:p>
      <w:pPr>
        <w:pStyle w:val="BodyText"/>
        <w:spacing w:line="480" w:lineRule="auto"/>
        <w:ind w:firstLine="720"/>
      </w:pPr>
      <w:bookmarkStart w:id="147" w:name="ref-13"/>
      <w:bookmarkEnd w:id="147"/>
      <w:r>
        <w:t xml:space="preserve">13. Han Wang; Siyang Chen; Zhihua Shen; T Zhang; Guoyi Zhang; Xiaohu Zhang; Bin Lin; James A. Blake; Xia Yang. Improved space target detection and tracking via enhanced spatiotemporal representation (2026). doi:</w:t>
      </w:r>
      <w:r>
        <w:t xml:space="preserve"> </w:t>
      </w:r>
      <w:hyperlink r:id="rId148">
        <w:r>
          <w:rPr>
            <w:rStyle w:val="Hyperlink"/>
          </w:rPr>
          <w:t xml:space="preserve">10.1016/j.actaastro.2026.01.027</w:t>
        </w:r>
      </w:hyperlink>
    </w:p>
    <w:p>
      <w:pPr>
        <w:pStyle w:val="BodyText"/>
        <w:spacing w:line="480" w:lineRule="auto"/>
        <w:ind w:firstLine="720"/>
      </w:pPr>
      <w:bookmarkStart w:id="149" w:name="ref-14"/>
      <w:bookmarkEnd w:id="149"/>
      <w:r>
        <w:t xml:space="preserve">14.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50">
        <w:r>
          <w:rPr>
            <w:rStyle w:val="Hyperlink"/>
          </w:rPr>
          <w:t xml:space="preserve">10.1016/j.actaastro.2024.12.056</w:t>
        </w:r>
      </w:hyperlink>
    </w:p>
    <w:p>
      <w:pPr>
        <w:pStyle w:val="BodyText"/>
        <w:spacing w:line="480" w:lineRule="auto"/>
        <w:ind w:firstLine="720"/>
      </w:pPr>
      <w:bookmarkStart w:id="151" w:name="ref-15"/>
      <w:bookmarkEnd w:id="151"/>
      <w:r>
        <w:t xml:space="preserve">15. Jo�ão Reis. European union defense and security strategy for space and ground-based systems against hybrid threats (2024). doi:</w:t>
      </w:r>
      <w:r>
        <w:t xml:space="preserve"> </w:t>
      </w:r>
      <w:hyperlink r:id="rId152">
        <w:r>
          <w:rPr>
            <w:rStyle w:val="Hyperlink"/>
          </w:rPr>
          <w:t xml:space="preserve">10.1016/j.actaastro.2024.09.003</w:t>
        </w:r>
      </w:hyperlink>
    </w:p>
    <w:p>
      <w:pPr>
        <w:pStyle w:val="BodyText"/>
        <w:spacing w:line="480" w:lineRule="auto"/>
        <w:ind w:firstLine="720"/>
      </w:pPr>
      <w:bookmarkStart w:id="153" w:name="ref-16"/>
      <w:bookmarkEnd w:id="153"/>
      <w:r>
        <w:t xml:space="preserve">16. Salvatore Alfano; Daniel Oltrogge; H. Krag; Klaus Merz; Robert E. Hall. Risk assessment of recent high-interest conjunctions (2021). doi:</w:t>
      </w:r>
      <w:r>
        <w:t xml:space="preserve"> </w:t>
      </w:r>
      <w:hyperlink r:id="rId154">
        <w:r>
          <w:rPr>
            <w:rStyle w:val="Hyperlink"/>
          </w:rPr>
          <w:t xml:space="preserve">10.1016/j.actaastro.2021.04.009</w:t>
        </w:r>
      </w:hyperlink>
    </w:p>
    <w:bookmarkEnd w:id="155"/>
    <w:bookmarkEnd w:id="156"/>
    <w:bookmarkStart w:id="17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64" w:name="Xe17db74c341fa9e47bff611f4c1408e7d887d4c"/>
    <w:p>
      <w:pPr>
        <w:pStyle w:val="Heading2"/>
        <w:spacing w:line="480" w:lineRule="auto"/>
      </w:pPr>
      <w:r>
        <w:t xml:space="preserve">A.1 Signal Intensity in Availability and Alarm Do Salient Collision and Fragmentation Events Drive Regu: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5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8.1913</w:t>
            </w:r>
          </w:p>
        </w:tc>
        <w:tc>
          <w:tcPr>
            <w:tcW w:w="0" w:type="auto"/>
          </w:tcPr>
          <w:p>
            <w:pPr>
              <w:spacing w:line="240" w:lineRule="auto" w:before="0" w:after="0"/>
              <w:pStyle w:val="Compact"/>
            </w:pPr>
            <w:r>
              <w:rPr>
                <w:sz w:val="20"/>
                <w:szCs w:val="20"/>
              </w:rPr>
              <w:t xml:space="preserve">2.3798</w:t>
            </w:r>
          </w:p>
        </w:tc>
        <w:tc>
          <w:tcPr>
            <w:tcW w:w="0" w:type="auto"/>
          </w:tcPr>
          <w:p>
            <w:pPr>
              <w:spacing w:line="240" w:lineRule="auto" w:before="0" w:after="0"/>
              <w:pStyle w:val="Compact"/>
            </w:pPr>
            <w:r>
              <w:rPr>
                <w:sz w:val="20"/>
                <w:szCs w:val="20"/>
              </w:rPr>
              <w:t xml:space="preserve">3.4419</w:t>
            </w:r>
          </w:p>
        </w:tc>
        <w:tc>
          <w:tcPr>
            <w:tcW w:w="0" w:type="auto"/>
          </w:tcPr>
          <w:p>
            <w:pPr>
              <w:spacing w:line="240" w:lineRule="auto" w:before="0" w:after="0"/>
              <w:pStyle w:val="Compact"/>
            </w:pPr>
            <w:r>
              <w:rPr>
                <w:sz w:val="20"/>
                <w:szCs w:val="20"/>
              </w:rPr>
              <w:t xml:space="preserve">0.0005775</w:t>
            </w:r>
          </w:p>
        </w:tc>
        <w:tc>
          <w:tcPr>
            <w:tcW w:w="0" w:type="auto"/>
          </w:tcPr>
          <w:p>
            <w:pPr>
              <w:spacing w:line="240" w:lineRule="auto" w:before="0" w:after="0"/>
              <w:pStyle w:val="Compact"/>
            </w:pPr>
            <w:r>
              <w:rPr>
                <w:sz w:val="20"/>
                <w:szCs w:val="20"/>
              </w:rPr>
              <w:t xml:space="preserve">[3.5269, 12.8557]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0.193</w:t>
            </w:r>
          </w:p>
        </w:tc>
        <w:tc>
          <w:tcPr>
            <w:tcW w:w="0" w:type="auto"/>
          </w:tcPr>
          <w:p>
            <w:pPr>
              <w:spacing w:line="240" w:lineRule="auto" w:before="0" w:after="0"/>
              <w:pStyle w:val="Compact"/>
            </w:pPr>
            <w:r>
              <w:rPr>
                <w:sz w:val="20"/>
                <w:szCs w:val="20"/>
              </w:rPr>
              <w:t xml:space="preserve">0.135</w:t>
            </w:r>
          </w:p>
        </w:tc>
        <w:tc>
          <w:tcPr>
            <w:tcW w:w="0" w:type="auto"/>
          </w:tcPr>
          <w:p>
            <w:pPr>
              <w:spacing w:line="240" w:lineRule="auto" w:before="0" w:after="0"/>
              <w:pStyle w:val="Compact"/>
            </w:pPr>
            <w:r>
              <w:rPr>
                <w:sz w:val="20"/>
                <w:szCs w:val="20"/>
              </w:rPr>
              <w:t xml:space="preserve">1.4293</w:t>
            </w:r>
          </w:p>
        </w:tc>
        <w:tc>
          <w:tcPr>
            <w:tcW w:w="0" w:type="auto"/>
          </w:tcPr>
          <w:p>
            <w:pPr>
              <w:spacing w:line="240" w:lineRule="auto" w:before="0" w:after="0"/>
              <w:pStyle w:val="Compact"/>
            </w:pPr>
            <w:r>
              <w:rPr>
                <w:sz w:val="20"/>
                <w:szCs w:val="20"/>
              </w:rPr>
              <w:t xml:space="preserve">0.1529</w:t>
            </w:r>
          </w:p>
        </w:tc>
        <w:tc>
          <w:tcPr>
            <w:tcW w:w="0" w:type="auto"/>
          </w:tcPr>
          <w:p>
            <w:pPr>
              <w:spacing w:line="240" w:lineRule="auto" w:before="0" w:after="0"/>
              <w:pStyle w:val="Compact"/>
            </w:pPr>
            <w:r>
              <w:rPr>
                <w:sz w:val="20"/>
                <w:szCs w:val="20"/>
              </w:rPr>
              <w:t xml:space="preserve">[-0.0717, 0.4577]</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0.0858</w:t>
            </w:r>
          </w:p>
        </w:tc>
        <w:tc>
          <w:tcPr>
            <w:tcW w:w="0" w:type="auto"/>
          </w:tcPr>
          <w:p>
            <w:pPr>
              <w:spacing w:line="240" w:lineRule="auto" w:before="0" w:after="0"/>
              <w:pStyle w:val="Compact"/>
            </w:pPr>
            <w:r>
              <w:rPr>
                <w:sz w:val="20"/>
                <w:szCs w:val="20"/>
              </w:rPr>
              <w:t xml:space="preserve">0.0233</w:t>
            </w:r>
          </w:p>
        </w:tc>
        <w:tc>
          <w:tcPr>
            <w:tcW w:w="0" w:type="auto"/>
          </w:tcPr>
          <w:p>
            <w:pPr>
              <w:spacing w:line="240" w:lineRule="auto" w:before="0" w:after="0"/>
              <w:pStyle w:val="Compact"/>
            </w:pPr>
            <w:r>
              <w:rPr>
                <w:sz w:val="20"/>
                <w:szCs w:val="20"/>
              </w:rPr>
              <w:t xml:space="preserve">3.6859</w:t>
            </w:r>
          </w:p>
        </w:tc>
        <w:tc>
          <w:tcPr>
            <w:tcW w:w="0" w:type="auto"/>
          </w:tcPr>
          <w:p>
            <w:pPr>
              <w:spacing w:line="240" w:lineRule="auto" w:before="0" w:after="0"/>
              <w:pStyle w:val="Compact"/>
            </w:pPr>
            <w:r>
              <w:rPr>
                <w:sz w:val="20"/>
                <w:szCs w:val="20"/>
              </w:rPr>
              <w:t xml:space="preserve">0.0002279</w:t>
            </w:r>
          </w:p>
        </w:tc>
        <w:tc>
          <w:tcPr>
            <w:tcW w:w="0" w:type="auto"/>
          </w:tcPr>
          <w:p>
            <w:pPr>
              <w:spacing w:line="240" w:lineRule="auto" w:before="0" w:after="0"/>
              <w:pStyle w:val="Compact"/>
            </w:pPr>
            <w:r>
              <w:rPr>
                <w:sz w:val="20"/>
                <w:szCs w:val="20"/>
              </w:rPr>
              <w:t xml:space="preserve">[0.0402, 0.1314]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-2.6973</w:t>
            </w:r>
          </w:p>
        </w:tc>
        <w:tc>
          <w:tcPr>
            <w:tcW w:w="0" w:type="auto"/>
          </w:tcPr>
          <w:p>
            <w:pPr>
              <w:spacing w:line="240" w:lineRule="auto" w:before="0" w:after="0"/>
              <w:pStyle w:val="Compact"/>
            </w:pPr>
            <w:r>
              <w:rPr>
                <w:sz w:val="20"/>
                <w:szCs w:val="20"/>
              </w:rPr>
              <w:t xml:space="preserve">0.6999</w:t>
            </w:r>
          </w:p>
        </w:tc>
        <w:tc>
          <w:tcPr>
            <w:tcW w:w="0" w:type="auto"/>
          </w:tcPr>
          <w:p>
            <w:pPr>
              <w:spacing w:line="240" w:lineRule="auto" w:before="0" w:after="0"/>
              <w:pStyle w:val="Compact"/>
            </w:pPr>
            <w:r>
              <w:rPr>
                <w:sz w:val="20"/>
                <w:szCs w:val="20"/>
              </w:rPr>
              <w:t xml:space="preserve">-3.854</w:t>
            </w:r>
          </w:p>
        </w:tc>
        <w:tc>
          <w:tcPr>
            <w:tcW w:w="0" w:type="auto"/>
          </w:tcPr>
          <w:p>
            <w:pPr>
              <w:spacing w:line="240" w:lineRule="auto" w:before="0" w:after="0"/>
              <w:pStyle w:val="Compact"/>
            </w:pPr>
            <w:r>
              <w:rPr>
                <w:sz w:val="20"/>
                <w:szCs w:val="20"/>
              </w:rPr>
              <w:t xml:space="preserve">0.0001162</w:t>
            </w:r>
          </w:p>
        </w:tc>
        <w:tc>
          <w:tcPr>
            <w:tcW w:w="0" w:type="auto"/>
          </w:tcPr>
          <w:p>
            <w:pPr>
              <w:spacing w:line="240" w:lineRule="auto" w:before="0" w:after="0"/>
              <w:pStyle w:val="Compact"/>
            </w:pPr>
            <w:r>
              <w:rPr>
                <w:sz w:val="20"/>
                <w:szCs w:val="20"/>
              </w:rPr>
              <w:t xml:space="preserve">[-4.0691, -1.3256]</w:t>
            </w:r>
          </w:p>
        </w:tc>
      </w:tr>
    </w:tbl>
    <w:p>
      <w:pPr>
        <w:pStyle w:val="BodyText"/>
        <w:spacing w:line="480" w:lineRule="auto"/>
        <w:ind w:firstLine="720"/>
      </w:pPr>
      <w:r>
        <w:t xml:space="preserve">Fit: N = 30 R2 = 0.4021 R2_adj = 0.3331 F = 9.4212 F_p = 0.0002186</w:t>
      </w:r>
    </w:p>
    <w:bookmarkEnd w:id="157"/>
    <w:bookmarkStart w:id="16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59" name="Picture"/>
            <a:graphic>
              <a:graphicData uri="http://schemas.openxmlformats.org/drawingml/2006/picture">
                <pic:pic>
                  <pic:nvPicPr>
                    <pic:cNvPr descr="D:/Claude_Code/brain/collegium/candidates/dissertations/SUSTAINABILITY_INSTITUTIONS_08/research_papers/p1/paper_fig1.png" id="160" name="Picture"/>
                    <pic:cNvPicPr>
                      <a:picLocks noChangeArrowheads="1" noChangeAspect="1"/>
                    </pic:cNvPicPr>
                  </pic:nvPicPr>
                  <pic:blipFill>
                    <a:blip r:embed="rId15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61"/>
    <w:bookmarkStart w:id="16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https://amostech.space/year/2021/identifying-the-statistically-most-concerning-conjunctions-in-leo/</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https://amostech.space/year/2019/future-on-orbit-spacecraft-technologies-and-associated-challenges-for-space-situational-awareness/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https://amostech.space/year/2021/fragmentation-detection-via-track-to-track-association-of-optical-observations/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10.64861/PHBD6598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https://amostech.space/year/2022/early-identification-and-tracking-of-fragments-from-break-up-events/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https://amostech.space/year/2008/a-comparison-of-catastrophic-on-orbit-collisions/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https://amostech.space/year/2014/automated-recognition-of-type-iii-solar-radio-bursts-using-mathematical-morphology/</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10.64861/DZFF7826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https://amostech.space/year/2018/fragmentation-event-identification-using-back-propagation-with-variable-ballistic-coefficient-calculation/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10.64861/LCET1122</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10.64861/UQYR6894</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10.1016/j.actaastro.2025.05.059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10.1016/j.actaastro.2025.09.078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10.1016/j.actaastro.2026.01.027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10.1016/j.actaastro.2020.02.050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10.1016/j.actaastro.2023.01.020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10.1016/j.actaastro.2023.02.036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Operators’ Requirements for SSA Services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10.1007/s40295-022-00346-8</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10.1016/j.jsse.2024.08.001</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 Martin-Lawson, S. Paladini, K. Saha, and E. Yerushalmi, �The cost of (un)regu</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bl>
    <w:bookmarkEnd w:id="162"/>
    <w:bookmarkStart w:id="16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63"/>
    <w:bookmarkEnd w:id="164"/>
    <w:bookmarkStart w:id="172" w:name="X35b16df2c73443b581e948cb906a7ce3fc815a8"/>
    <w:p>
      <w:pPr>
        <w:pStyle w:val="Heading2"/>
        <w:spacing w:line="480" w:lineRule="auto"/>
      </w:pPr>
      <w:r>
        <w:t xml:space="preserve">A.2 Attention Accumulation in Availability and Alarm Do Salient Collision and Fragmentation Events Drive Regu: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6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0.4149</w:t>
            </w:r>
          </w:p>
        </w:tc>
        <w:tc>
          <w:tcPr>
            <w:tcW w:w="0" w:type="auto"/>
          </w:tcPr>
          <w:p>
            <w:pPr>
              <w:spacing w:line="240" w:lineRule="auto" w:before="0" w:after="0"/>
              <w:pStyle w:val="Compact"/>
            </w:pPr>
            <w:r>
              <w:rPr>
                <w:sz w:val="20"/>
                <w:szCs w:val="20"/>
              </w:rPr>
              <w:t xml:space="preserve">0.3474</w:t>
            </w:r>
          </w:p>
        </w:tc>
        <w:tc>
          <w:tcPr>
            <w:tcW w:w="0" w:type="auto"/>
          </w:tcPr>
          <w:p>
            <w:pPr>
              <w:spacing w:line="240" w:lineRule="auto" w:before="0" w:after="0"/>
              <w:pStyle w:val="Compact"/>
            </w:pPr>
            <w:r>
              <w:rPr>
                <w:sz w:val="20"/>
                <w:szCs w:val="20"/>
              </w:rPr>
              <w:t xml:space="preserve">1.1941</w:t>
            </w:r>
          </w:p>
        </w:tc>
        <w:tc>
          <w:tcPr>
            <w:tcW w:w="0" w:type="auto"/>
          </w:tcPr>
          <w:p>
            <w:pPr>
              <w:spacing w:line="240" w:lineRule="auto" w:before="0" w:after="0"/>
              <w:pStyle w:val="Compact"/>
            </w:pPr>
            <w:r>
              <w:rPr>
                <w:sz w:val="20"/>
                <w:szCs w:val="20"/>
              </w:rPr>
              <w:t xml:space="preserve">0.2324</w:t>
            </w:r>
          </w:p>
        </w:tc>
        <w:tc>
          <w:tcPr>
            <w:tcW w:w="0" w:type="auto"/>
          </w:tcPr>
          <w:p>
            <w:pPr>
              <w:spacing w:line="240" w:lineRule="auto" w:before="0" w:after="0"/>
              <w:pStyle w:val="Compact"/>
            </w:pPr>
            <w:r>
              <w:rPr>
                <w:sz w:val="20"/>
                <w:szCs w:val="20"/>
              </w:rPr>
              <w:t xml:space="preserve">[-0.2661, 1.0959]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0.2193</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0.754</w:t>
            </w:r>
          </w:p>
        </w:tc>
        <w:tc>
          <w:tcPr>
            <w:tcW w:w="0" w:type="auto"/>
          </w:tcPr>
          <w:p>
            <w:pPr>
              <w:spacing w:line="240" w:lineRule="auto" w:before="0" w:after="0"/>
              <w:pStyle w:val="Compact"/>
            </w:pPr>
            <w:r>
              <w:rPr>
                <w:sz w:val="20"/>
                <w:szCs w:val="20"/>
              </w:rPr>
              <w:t xml:space="preserve">0.4508</w:t>
            </w:r>
          </w:p>
        </w:tc>
        <w:tc>
          <w:tcPr>
            <w:tcW w:w="0" w:type="auto"/>
          </w:tcPr>
          <w:p>
            <w:pPr>
              <w:spacing w:line="240" w:lineRule="auto" w:before="0" w:after="0"/>
              <w:pStyle w:val="Compact"/>
            </w:pPr>
            <w:r>
              <w:rPr>
                <w:sz w:val="20"/>
                <w:szCs w:val="20"/>
              </w:rPr>
              <w:t xml:space="preserve">[-0.3508, 0.7895]</w:t>
            </w:r>
          </w:p>
        </w:tc>
      </w:tr>
    </w:tbl>
    <w:p>
      <w:pPr>
        <w:pStyle w:val="BodyText"/>
        <w:spacing w:line="480" w:lineRule="auto"/>
        <w:ind w:firstLine="720"/>
      </w:pPr>
      <w:r>
        <w:t xml:space="preserve">Fit: N = 30 R2 = 0.0139 elasticity_b = 0.2193 progress_ratio_2^b = 1.1642</w:t>
      </w:r>
    </w:p>
    <w:bookmarkEnd w:id="165"/>
    <w:bookmarkStart w:id="16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67" name="Picture"/>
            <a:graphic>
              <a:graphicData uri="http://schemas.openxmlformats.org/drawingml/2006/picture">
                <pic:pic>
                  <pic:nvPicPr>
                    <pic:cNvPr descr="D:/Claude_Code/brain/collegium/candidates/dissertations/SUSTAINABILITY_INSTITUTIONS_08/research_papers/p2/paper_fig1.png" id="168" name="Picture"/>
                    <pic:cNvPicPr>
                      <a:picLocks noChangeArrowheads="1" noChangeAspect="1"/>
                    </pic:cNvPicPr>
                  </pic:nvPicPr>
                  <pic:blipFill>
                    <a:blip r:embed="rId16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69"/>
    <w:bookmarkStart w:id="17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https://amostech.space/year/2021/identifying-the-statistically-most-concerning-conjunctions-in-leo/</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https://amostech.space/year/2019/future-on-orbit-spacecraft-technologies-and-associated-challenges-for-space-situational-awareness/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https://amostech.space/year/2021/fragmentation-detection-via-track-to-track-association-of-optical-observations/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10.64861/PHBD6598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https://amostech.space/year/2022/early-identification-and-tracking-of-fragments-from-break-up-events/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https://amostech.space/year/2008/a-comparison-of-catastrophic-on-orbit-collisions/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https://amostech.space/year/2014/automated-recognition-of-type-iii-solar-radio-bursts-using-mathematical-morphology/</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10.64861/DZFF7826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https://amostech.space/year/2018/fragmentation-event-identification-using-back-propagation-with-variable-ballistic-coefficient-calculation/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10.64861/LCET1122</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10.64861/UQYR6894</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10.1016/j.actaastro.2025.05.059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10.1016/j.actaastro.2026.01.061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10.1016/j.actaastro.2025.09.078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10.1016/j.actaastro.2026.01.027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10.1016/j.actaastro.2020.02.050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10.1016/j.actaastro.2023.01.020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10.1016/j.actaastro.2023.02.036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Operators’ Requirements for SSA Services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10.1007/s40295-022-00346-8</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10.1016/j.jsse.2024.08.001</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 Martin-Lawson, S. Paladini, K. Saha, and E. Yerushalmi, �The cost of (un)regu</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bl>
    <w:bookmarkEnd w:id="170"/>
    <w:bookmarkStart w:id="17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71"/>
    <w:bookmarkEnd w:id="172"/>
    <w:bookmarkEnd w:id="17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58" Type="http://schemas.openxmlformats.org/officeDocument/2006/relationships/image" Target="media/rId158.png"/><Relationship Id="rId166" Type="http://schemas.openxmlformats.org/officeDocument/2006/relationships/image" Target="media/rId166.png"/><Relationship Id="rId144" Type="http://schemas.openxmlformats.org/officeDocument/2006/relationships/hyperlink" Target="https://doi.org/10.1016/j.actaastro.2018.03.017" TargetMode="External"/><Relationship Id="rId154" Type="http://schemas.openxmlformats.org/officeDocument/2006/relationships/hyperlink" Target="https://doi.org/10.1016/j.actaastro.2021.04.009" TargetMode="External"/><Relationship Id="rId152" Type="http://schemas.openxmlformats.org/officeDocument/2006/relationships/hyperlink" Target="https://doi.org/10.1016/j.actaastro.2024.09.003" TargetMode="External"/><Relationship Id="rId150" Type="http://schemas.openxmlformats.org/officeDocument/2006/relationships/hyperlink" Target="https://doi.org/10.1016/j.actaastro.2024.12.056" TargetMode="External"/><Relationship Id="rId140" Type="http://schemas.openxmlformats.org/officeDocument/2006/relationships/hyperlink" Target="https://doi.org/10.1016/j.actaastro.2025.05.059" TargetMode="External"/><Relationship Id="rId146" Type="http://schemas.openxmlformats.org/officeDocument/2006/relationships/hyperlink" Target="https://doi.org/10.1016/j.actaastro.2025.09.078" TargetMode="External"/><Relationship Id="rId148" Type="http://schemas.openxmlformats.org/officeDocument/2006/relationships/hyperlink" Target="https://doi.org/10.1016/j.actaastro.2026.01.027" TargetMode="External"/><Relationship Id="rId142" Type="http://schemas.openxmlformats.org/officeDocument/2006/relationships/hyperlink" Target="https://doi.org/10.1016/j.actaastro.2026.01.061" TargetMode="External"/><Relationship Id="rId135" Type="http://schemas.openxmlformats.org/officeDocument/2006/relationships/hyperlink" Target="https://doi.org/10.64861/PHBD6598" TargetMode="External"/><Relationship Id="rId133" Type="http://schemas.openxmlformats.org/officeDocument/2006/relationships/hyperlink" Target="https://doi.org/10.64861/ZFDQ4641" TargetMode="External"/></Relationships>
</file>

<file path=word/_rels/footnotes.xml.rels><?xml version='1.0' encoding='UTF-8' standalone='yes'?>
<Relationships xmlns="http://schemas.openxmlformats.org/package/2006/relationships"><Relationship Id="rId144" Type="http://schemas.openxmlformats.org/officeDocument/2006/relationships/hyperlink" Target="https://doi.org/10.1016/j.actaastro.2018.03.017" TargetMode="External"/><Relationship Id="rId154" Type="http://schemas.openxmlformats.org/officeDocument/2006/relationships/hyperlink" Target="https://doi.org/10.1016/j.actaastro.2021.04.009" TargetMode="External"/><Relationship Id="rId152" Type="http://schemas.openxmlformats.org/officeDocument/2006/relationships/hyperlink" Target="https://doi.org/10.1016/j.actaastro.2024.09.003" TargetMode="External"/><Relationship Id="rId150" Type="http://schemas.openxmlformats.org/officeDocument/2006/relationships/hyperlink" Target="https://doi.org/10.1016/j.actaastro.2024.12.056" TargetMode="External"/><Relationship Id="rId140" Type="http://schemas.openxmlformats.org/officeDocument/2006/relationships/hyperlink" Target="https://doi.org/10.1016/j.actaastro.2025.05.059" TargetMode="External"/><Relationship Id="rId146" Type="http://schemas.openxmlformats.org/officeDocument/2006/relationships/hyperlink" Target="https://doi.org/10.1016/j.actaastro.2025.09.078" TargetMode="External"/><Relationship Id="rId148" Type="http://schemas.openxmlformats.org/officeDocument/2006/relationships/hyperlink" Target="https://doi.org/10.1016/j.actaastro.2026.01.027" TargetMode="External"/><Relationship Id="rId142" Type="http://schemas.openxmlformats.org/officeDocument/2006/relationships/hyperlink" Target="https://doi.org/10.1016/j.actaastro.2026.01.061" TargetMode="External"/><Relationship Id="rId135" Type="http://schemas.openxmlformats.org/officeDocument/2006/relationships/hyperlink" Target="https://doi.org/10.64861/PHBD6598" TargetMode="External"/><Relationship Id="rId133" Type="http://schemas.openxmlformats.org/officeDocument/2006/relationships/hyperlink" Target="https://doi.org/10.64861/ZFDQ46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Availability and Alarm: Do Salient Collision and Fragmentation Events Drive Regu</dc:title>
  <dc:creator>Margot Dorsey (1B-SUS-179)</dc:creator>
  <cp:keywords/>
  <dcterms:created xsi:type="dcterms:W3CDTF">2026-07-03T01:00:20Z</dcterms:created>
  <dcterms:modified xsi:type="dcterms:W3CDTF">2026-07-03T01:00:20Z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