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3" w:name="X9e5091a5445ce837b56cd5ba0737bfa4d5ad307"/>
    <w:p>
      <w:pPr>
        <w:pStyle w:val="Heading1"/>
      </w:pPr>
      <w:r>
        <w:t xml:space="preserve">Signal Intensity in Institutions Before Capability: An Ordinary Least Squares Test of Recency, Citation Attention, and Venue</w:t>
      </w:r>
    </w:p>
    <w:bookmarkStart w:id="61" w:name="introduction"/>
    <w:p>
      <w:pPr>
        <w:pStyle w:val="Heading2"/>
      </w:pPr>
      <w:r>
        <w:t xml:space="preserve">1. Introduction</w:t>
      </w:r>
    </w:p>
    <w:p>
      <w:pPr>
        <w:pStyle w:val="FirstParagraph"/>
      </w:pPr>
      <w:r>
        <w:t xml:space="preserve">This paper provides a compact empirical orientation for Candidate Lukas Sandoval (1B-SUS-160) within the dissertation project</w:t>
      </w:r>
      <w:r>
        <w:t xml:space="preserve"> </w:t>
      </w:r>
      <w:r>
        <w:rPr>
          <w:i/>
          <w:iCs/>
        </w:rPr>
        <w:t xml:space="preserve">Institutions Before Capability: Does the Strength of a State’s Domestic Space-Regime Predict Space Situational Awareness Capacity?</w:t>
      </w:r>
      <w:r>
        <w:t xml:space="preserve"> </w:t>
      </w:r>
      <w:r>
        <w:t xml:space="preserve">The analysis does not estimate the dissertation’s final state-year institutional model. Instead, it asks a narrower bibliometric question: within a retrieved set of relevant records, is metadata-level topic signal associated with publication recency, indexed citation attention, and venue family. That question matters because the dissertation depends on a literature that spans national case studies, sensor-calibration work, catalog construction, governance analysis, and strategic partnership writing</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w:t>
      </w:r>
      <w:r>
        <w:t xml:space="preserve"> </w:t>
      </w:r>
      <w:hyperlink w:anchor="ref-9">
        <m:oMathPara>
          <m:oMathParaPr>
            <m:jc m:val="center"/>
          </m:oMathParaPr>
          <m:oMath>
            <m:r>
              <m:t>9</m:t>
            </m:r>
          </m:oMath>
        </m:oMathPara>
      </w:hyperlink>
      <w:r>
        <w:t xml:space="preserve">,</w:t>
      </w:r>
      <w:r>
        <w:t xml:space="preserve"> </w:t>
      </w:r>
      <w:hyperlink w:anchor="ref-10">
        <m:oMathPara>
          <m:oMathParaPr>
            <m:jc m:val="center"/>
          </m:oMathParaPr>
          <m:oMath>
            <m:r>
              <m:t>10</m:t>
            </m:r>
          </m:oMath>
        </m:oMathPara>
      </w:hyperlink>
      <w:r>
        <w:t xml:space="preserve">.</w:t>
      </w:r>
    </w:p>
    <w:p>
      <w:pPr>
        <w:pStyle w:val="FirstParagraph"/>
      </w:pPr>
      <w:r>
        <w:t xml:space="preserve">The paper treats each retrieved record as an observation. The dependent variable,</w:t>
      </w:r>
      <w:r>
        <w:t xml:space="preserve"> </w:t>
      </w:r>
      <w:r>
        <w:rPr>
          <w:rStyle w:val="VerbatimChar"/>
        </w:rPr>
        <w:t xml:space="preserve">signal_score</w:t>
      </w:r>
      <w:r>
        <w:t xml:space="preserve">, is a deterministic count of candidate-theme term hits in the title, snippet, keyword field, and author metadata associated with each source record. The explanatory variables are</w:t>
      </w:r>
      <w:r>
        <w:t xml:space="preserve"> </w:t>
      </w:r>
      <w:r>
        <w:rPr>
          <w:rStyle w:val="VerbatimChar"/>
        </w:rPr>
        <w:t xml:space="preserve">recency_index</w:t>
      </w:r>
      <w:r>
        <w:t xml:space="preserve">,</w:t>
      </w:r>
      <w:r>
        <w:t xml:space="preserve"> </w:t>
      </w:r>
      <w:r>
        <w:rPr>
          <w:rStyle w:val="VerbatimChar"/>
        </w:rPr>
        <w:t xml:space="preserve">cites_num</w:t>
      </w:r>
      <w:r>
        <w:t xml:space="preserve">, and</w:t>
      </w:r>
      <w:r>
        <w:t xml:space="preserve"> </w:t>
      </w:r>
      <w:r>
        <w:rPr>
          <w:rStyle w:val="VerbatimChar"/>
        </w:rPr>
        <w:t xml:space="preserve">venue_score</w:t>
      </w:r>
      <w:r>
        <w:t xml:space="preserve">. Substantively, the model asks whether newer records, more highly cited records, or records from differently coded venue families carry stronger signs of the dissertation’s institutional-capability theme.</w:t>
      </w:r>
    </w:p>
    <w:p>
      <w:pPr>
        <w:pStyle w:val="BodyText"/>
      </w:pPr>
      <w:r>
        <w:t xml:space="preserve">This orientation matters because the literature relevant to domestic institutional strength and SSA capability is uneven. Some records foreground national organizations and governance structures directly</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w:t>
      </w:r>
      <w:r>
        <w:t xml:space="preserve"> </w:t>
      </w:r>
      <w:hyperlink w:anchor="ref-9">
        <m:oMathPara>
          <m:oMathParaPr>
            <m:jc m:val="center"/>
          </m:oMathParaPr>
          <m:oMath>
            <m:r>
              <m:t>9</m:t>
            </m:r>
          </m:oMath>
        </m:oMathPara>
      </w:hyperlink>
      <w:r>
        <w:t xml:space="preserve">,</w:t>
      </w:r>
      <w:r>
        <w:t xml:space="preserve"> </w:t>
      </w:r>
      <w:hyperlink w:anchor="ref-10">
        <m:oMathPara>
          <m:oMathParaPr>
            <m:jc m:val="center"/>
          </m:oMathParaPr>
          <m:oMath>
            <m:r>
              <m:t>10</m:t>
            </m:r>
          </m:oMath>
        </m:oMathPara>
      </w:hyperlink>
      <w:r>
        <w:t xml:space="preserve">. Others contribute technical pathways for tracking, detection, or catalog maintenance</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8">
        <m:oMathPara>
          <m:oMathParaPr>
            <m:jc m:val="center"/>
          </m:oMathParaPr>
          <m:oMath>
            <m:r>
              <m:t>8</m:t>
            </m:r>
          </m:oMath>
        </m:oMathPara>
      </w:hyperlink>
      <w:r>
        <w:t xml:space="preserve">,</w:t>
      </w:r>
      <w:r>
        <w:t xml:space="preserve"> </w:t>
      </w:r>
      <w:hyperlink w:anchor="ref-12">
        <m:oMathPara>
          <m:oMathParaPr>
            <m:jc m:val="center"/>
          </m:oMathParaPr>
          <m:oMath>
            <m:r>
              <m:t>12</m:t>
            </m:r>
          </m:oMath>
        </m:oMathPara>
      </w:hyperlink>
      <w:r>
        <w:t xml:space="preserve">. A bibliometric screen cannot replace substantive reading, but it can indicate whether the theme is concentrated in recent governance-oriented work or is spread more evenly across the local source set.</w:t>
      </w:r>
    </w:p>
    <w:bookmarkEnd w:id="61"/>
    <w:bookmarkStart w:id="62" w:name="theory-and-hypotheses"/>
    <w:p>
      <w:pPr>
        <w:pStyle w:val="Heading2"/>
      </w:pPr>
      <w:r>
        <w:t xml:space="preserve">2. Theory and Hypotheses</w:t>
      </w:r>
    </w:p>
    <w:p>
      <w:pPr>
        <w:pStyle w:val="FirstParagraph"/>
      </w:pPr>
      <w:r>
        <w:t xml:space="preserve">The paper draws on a diffusion account of topic formation. Institutional arguments about capability sequencing often become visible in literature only after case material accumulates. In this source set, early records focus more heavily on tracking methods, calibration, and detection</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8">
        <m:oMathPara>
          <m:oMathParaPr>
            <m:jc m:val="center"/>
          </m:oMathParaPr>
          <m:oMath>
            <m:r>
              <m:t>8</m:t>
            </m:r>
          </m:oMath>
        </m:oMathPara>
      </w:hyperlink>
      <w:r>
        <w:t xml:space="preserve">. Later records increasingly foreground organized monitoring systems, global SDA partnerships, institutional bottlenecks, and broader socio-technical governance language</w:t>
      </w:r>
      <w:r>
        <w:t xml:space="preserve"> </w:t>
      </w:r>
      <w:hyperlink w:anchor="ref-3">
        <m:oMathPara>
          <m:oMathParaPr>
            <m:jc m:val="center"/>
          </m:oMathParaPr>
          <m:oMath>
            <m:r>
              <m:t>3</m:t>
            </m:r>
          </m:oMath>
        </m:oMathPara>
      </w:hyperlink>
      <w:r>
        <w:t xml:space="preserve">,</w:t>
      </w:r>
      <w:r>
        <w:t xml:space="preserve"> </w:t>
      </w:r>
      <w:hyperlink w:anchor="ref-7">
        <m:oMathPara>
          <m:oMathParaPr>
            <m:jc m:val="center"/>
          </m:oMathParaPr>
          <m:oMath>
            <m:r>
              <m:t>7</m:t>
            </m:r>
          </m:oMath>
        </m:oMathPara>
      </w:hyperlink>
      <w:r>
        <w:t xml:space="preserve">,</w:t>
      </w:r>
      <w:r>
        <w:t xml:space="preserve"> </w:t>
      </w:r>
      <w:hyperlink w:anchor="ref-9">
        <m:oMathPara>
          <m:oMathParaPr>
            <m:jc m:val="center"/>
          </m:oMathParaPr>
          <m:oMath>
            <m:r>
              <m:t>9</m:t>
            </m:r>
          </m:oMath>
        </m:oMathPara>
      </w:hyperlink>
      <w:r>
        <w:t xml:space="preserve">,</w:t>
      </w:r>
      <w:r>
        <w:t xml:space="preserve"> </w:t>
      </w:r>
      <w:hyperlink w:anchor="ref-10">
        <m:oMathPara>
          <m:oMathParaPr>
            <m:jc m:val="center"/>
          </m:oMathParaPr>
          <m:oMath>
            <m:r>
              <m:t>10</m:t>
            </m:r>
          </m:oMath>
        </m:oMathPara>
      </w:hyperlink>
      <w:r>
        <w:t xml:space="preserve">. If the dissertation theme is indeed an emerging institutional argument, newer records should show a stronger metadata signal.</w:t>
      </w:r>
    </w:p>
    <w:p>
      <w:pPr>
        <w:pStyle w:val="FirstParagraph"/>
      </w:pPr>
      <w:r>
        <w:t xml:space="preserve">A positive recency coefficient is therefore expected. The candidate’s theme combines domestic institutional strength with operational SSA capability. That combination is more explicit in recent records on integrated monitoring systems</w:t>
      </w:r>
      <w:r>
        <w:t xml:space="preserve"> </w:t>
      </w:r>
      <w:hyperlink w:anchor="ref-3">
        <m:oMathPara>
          <m:oMathParaPr>
            <m:jc m:val="center"/>
          </m:oMathParaPr>
          <m:oMath>
            <m:r>
              <m:t>3</m:t>
            </m:r>
          </m:oMath>
        </m:oMathPara>
      </w:hyperlink>
      <w:r>
        <w:t xml:space="preserve">, global SDA partnering</w:t>
      </w:r>
      <w:r>
        <w:t xml:space="preserve"> </w:t>
      </w:r>
      <w:hyperlink w:anchor="ref-7">
        <m:oMathPara>
          <m:oMathParaPr>
            <m:jc m:val="center"/>
          </m:oMathParaPr>
          <m:oMath>
            <m:r>
              <m:t>7</m:t>
            </m:r>
          </m:oMath>
        </m:oMathPara>
      </w:hyperlink>
      <w:r>
        <w:t xml:space="preserve">, and institutional bottlenecks in outer-space technology governance</w:t>
      </w:r>
      <w:r>
        <w:t xml:space="preserve"> </w:t>
      </w:r>
      <w:hyperlink w:anchor="ref-9">
        <m:oMathPara>
          <m:oMathParaPr>
            <m:jc m:val="center"/>
          </m:oMathParaPr>
          <m:oMath>
            <m:r>
              <m:t>9</m:t>
            </m:r>
          </m:oMath>
        </m:oMathPara>
      </w:hyperlink>
      <w:r>
        <w:t xml:space="preserve"> </w:t>
      </w:r>
      <w:r>
        <w:t xml:space="preserve">than in older, sensor-specific work. Recency, if positive, would indicate that the literature has become more explicit about institutions rather than capability alone.</w:t>
      </w:r>
    </w:p>
    <w:p>
      <w:pPr>
        <w:pStyle w:val="FirstParagraph"/>
      </w:pPr>
      <w:r>
        <w:t xml:space="preserve">The expected sign on citation attention is less certain. Highly cited records may be central because they are broad, technical, or canonical, which can dilute the dissertation-specific theme. At the same time, citation attention may also reflect a source’s importance to the emerging governance debate. The paper therefore tests rather than assumes the citation relationship.</w:t>
      </w:r>
    </w:p>
    <w:p>
      <w:pPr>
        <w:pStyle w:val="BodyText"/>
      </w:pPr>
      <w:r>
        <w:t xml:space="preserve">Venue family matters for a different reason. Conference proceedings such as AMOS frequently contain operationally specific language about sensors, command structures, catalogs, and conjunction management</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6">
        <m:oMathPara>
          <m:oMathParaPr>
            <m:jc m:val="center"/>
          </m:oMathParaPr>
          <m:oMath>
            <m:r>
              <m:t>6</m:t>
            </m:r>
          </m:oMath>
        </m:oMathPara>
      </w:hyperlink>
      <w:r>
        <w:t xml:space="preserve">. Acta Astronautica papers in the source pool are more likely to carry cross-cutting institutional or governance language</w:t>
      </w:r>
      <w:r>
        <w:t xml:space="preserve"> </w:t>
      </w:r>
      <w:hyperlink w:anchor="ref-9">
        <m:oMathPara>
          <m:oMathParaPr>
            <m:jc m:val="center"/>
          </m:oMathParaPr>
          <m:oMath>
            <m:r>
              <m:t>9</m:t>
            </m:r>
          </m:oMath>
        </m:oMathPara>
      </w:hyperlink>
      <w:r>
        <w:t xml:space="preserve">,</w:t>
      </w:r>
      <w:r>
        <w:t xml:space="preserve"> </w:t>
      </w:r>
      <w:hyperlink w:anchor="ref-10">
        <m:oMathPara>
          <m:oMathParaPr>
            <m:jc m:val="center"/>
          </m:oMathParaPr>
          <m:oMath>
            <m:r>
              <m:t>10</m:t>
            </m:r>
          </m:oMath>
        </m:oMathPara>
      </w:hyperlink>
      <w:r>
        <w:t xml:space="preserve">,</w:t>
      </w:r>
      <w:r>
        <w:t xml:space="preserve"> </w:t>
      </w:r>
      <w:hyperlink w:anchor="ref-11">
        <m:oMathPara>
          <m:oMathParaPr>
            <m:jc m:val="center"/>
          </m:oMathParaPr>
          <m:oMath>
            <m:r>
              <m:t>11</m:t>
            </m:r>
          </m:oMath>
        </m:oMathPara>
      </w:hyperlink>
      <w:r>
        <w:t xml:space="preserve">,</w:t>
      </w:r>
      <w:r>
        <w:t xml:space="preserve"> </w:t>
      </w:r>
      <w:hyperlink w:anchor="ref-12">
        <m:oMathPara>
          <m:oMathParaPr>
            <m:jc m:val="center"/>
          </m:oMathParaPr>
          <m:oMath>
            <m:r>
              <m:t>12</m:t>
            </m:r>
          </m:oMath>
        </m:oMathPara>
      </w:hyperlink>
      <w:r>
        <w:t xml:space="preserve">. Because venue conventions shape titles, abstracts, and keyword practices, the model includes</w:t>
      </w:r>
      <w:r>
        <w:t xml:space="preserve"> </w:t>
      </w:r>
      <w:r>
        <w:rPr>
          <w:rStyle w:val="VerbatimChar"/>
        </w:rPr>
        <w:t xml:space="preserve">venue_score</w:t>
      </w:r>
      <w:r>
        <w:t xml:space="preserve"> </w:t>
      </w:r>
      <w:r>
        <w:t xml:space="preserve">as a control.</w:t>
      </w:r>
    </w:p>
    <w:p>
      <w:pPr>
        <w:pStyle w:val="FirstParagraph"/>
      </w:pPr>
      <w:r>
        <w:t xml:space="preserve">The hypotheses are:</w:t>
      </w:r>
    </w:p>
    <w:p>
      <w:pPr>
        <w:pStyle w:val="BodyText"/>
      </w:pPr>
      <w:r>
        <w:t xml:space="preserve">H0: the topic-signal score is unrelated to publication recency, citation attention, and venue family.</w:t>
      </w:r>
    </w:p>
    <w:p>
      <w:pPr>
        <w:pStyle w:val="BodyText"/>
      </w:pPr>
      <w:r>
        <w:t xml:space="preserve">H1: the topic-signal score increases with publication recency and citation attention.</w:t>
      </w:r>
    </w:p>
    <w:bookmarkEnd w:id="62"/>
    <w:bookmarkStart w:id="63" w:name="data"/>
    <w:p>
      <w:pPr>
        <w:pStyle w:val="Heading2"/>
      </w:pPr>
      <w:r>
        <w:t xml:space="preserve">3. Data</w:t>
      </w:r>
    </w:p>
    <w:p>
      <w:pPr>
        <w:pStyle w:val="FirstParagraph"/>
      </w:pPr>
      <w:r>
        <w:t xml:space="preserve">The estimation file contains 30 source-level observations. The dependent variable is</w:t>
      </w:r>
      <w:r>
        <w:t xml:space="preserve"> </w:t>
      </w:r>
      <w:r>
        <w:rPr>
          <w:rStyle w:val="VerbatimChar"/>
        </w:rPr>
        <w:t xml:space="preserve">signal_score</w:t>
      </w:r>
      <w:r>
        <w:t xml:space="preserve">, which is constructed deterministically from candidate-theme hits in source metadata. This is not an expert-coded measure of article quality or direct substantive agreement. It is a transparent and reproducible indicator of how closely each record’s metadata aligns with the dissertation’s focus on domestic institutions and SSA capability.</w:t>
      </w:r>
    </w:p>
    <w:p>
      <w:pPr>
        <w:pStyle w:val="BodyText"/>
      </w:pPr>
      <w:r>
        <w:rPr>
          <w:rStyle w:val="VerbatimChar"/>
        </w:rPr>
        <w:t xml:space="preserve">recency_index</w:t>
      </w:r>
      <w:r>
        <w:t xml:space="preserve"> </w:t>
      </w:r>
      <w:r>
        <w:t xml:space="preserve">is defined as publication year minus the minimum publication year in the paper sample plus one. The coding preserves temporal ordering and prevents zero values. A one-unit increase corresponds to a one-year increase in recency relative to the earliest sampled record.</w:t>
      </w:r>
    </w:p>
    <w:p>
      <w:pPr>
        <w:pStyle w:val="BodyText"/>
      </w:pPr>
      <w:r>
        <w:rPr>
          <w:rStyle w:val="VerbatimChar"/>
        </w:rPr>
        <w:t xml:space="preserve">cites_num</w:t>
      </w:r>
      <w:r>
        <w:t xml:space="preserve"> </w:t>
      </w:r>
      <w:r>
        <w:t xml:space="preserve">is the reported citation count in the local brain index. Where the index reports no citation count, the value is zero. The variable should therefore be read as local indexed citation attention rather than a universal cross-database citation measure.</w:t>
      </w:r>
    </w:p>
    <w:p>
      <w:pPr>
        <w:pStyle w:val="BodyText"/>
      </w:pPr>
      <w:r>
        <w:rPr>
          <w:rStyle w:val="VerbatimChar"/>
        </w:rPr>
        <w:t xml:space="preserve">venue_score</w:t>
      </w:r>
      <w:r>
        <w:t xml:space="preserve"> </w:t>
      </w:r>
      <w:r>
        <w:t xml:space="preserve">is an ordinal venue-family coding in which AMOS equals 1, Acta Astronautica equals 2, and Space Economy equals 3. It is included to control for metadata conventions and topical packaging that vary across venue families. The resulting coefficient is specific to this coding choice.</w:t>
      </w:r>
    </w:p>
    <w:p>
      <w:pPr>
        <w:pStyle w:val="BodyText"/>
      </w:pPr>
      <w:r>
        <w:t xml:space="preserve">The source universe contains the strands most relevant to the dissertation problem. It includes national case material on Japan and Korea</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integrated monitoring-system development</w:t>
      </w:r>
      <w:r>
        <w:t xml:space="preserve"> </w:t>
      </w:r>
      <w:hyperlink w:anchor="ref-3">
        <m:oMathPara>
          <m:oMathParaPr>
            <m:jc m:val="center"/>
          </m:oMathParaPr>
          <m:oMath>
            <m:r>
              <m:t>3</m:t>
            </m:r>
          </m:oMath>
        </m:oMathPara>
      </w:hyperlink>
      <w:r>
        <w:t xml:space="preserve">, global SSA trend mapping</w:t>
      </w:r>
      <w:r>
        <w:t xml:space="preserve"> </w:t>
      </w:r>
      <w:hyperlink w:anchor="ref-4">
        <m:oMathPara>
          <m:oMathParaPr>
            <m:jc m:val="center"/>
          </m:oMathParaPr>
          <m:oMath>
            <m:r>
              <m:t>4</m:t>
            </m:r>
          </m:oMath>
        </m:oMathPara>
      </w:hyperlink>
      <w:r>
        <w:t xml:space="preserve">, autonomous catalog construction</w:t>
      </w:r>
      <w:r>
        <w:t xml:space="preserve"> </w:t>
      </w:r>
      <w:hyperlink w:anchor="ref-6">
        <m:oMathPara>
          <m:oMathParaPr>
            <m:jc m:val="center"/>
          </m:oMathParaPr>
          <m:oMath>
            <m:r>
              <m:t>6</m:t>
            </m:r>
          </m:oMath>
        </m:oMathPara>
      </w:hyperlink>
      <w:r>
        <w:t xml:space="preserve">, strategic data-sharing and AUKUS-centered cooperation</w:t>
      </w:r>
      <w:r>
        <w:t xml:space="preserve"> </w:t>
      </w:r>
      <w:hyperlink w:anchor="ref-7">
        <m:oMathPara>
          <m:oMathParaPr>
            <m:jc m:val="center"/>
          </m:oMathParaPr>
          <m:oMath>
            <m:r>
              <m:t>7</m:t>
            </m:r>
          </m:oMath>
        </m:oMathPara>
      </w:hyperlink>
      <w:r>
        <w:t xml:space="preserve">, institutional bottlenecks</w:t>
      </w:r>
      <w:r>
        <w:t xml:space="preserve"> </w:t>
      </w:r>
      <w:hyperlink w:anchor="ref-9">
        <m:oMathPara>
          <m:oMathParaPr>
            <m:jc m:val="center"/>
          </m:oMathParaPr>
          <m:oMath>
            <m:r>
              <m:t>9</m:t>
            </m:r>
          </m:oMath>
        </m:oMathPara>
      </w:hyperlink>
      <w:r>
        <w:t xml:space="preserve">, and socio-technical regime analysis around debris governance</w:t>
      </w:r>
      <w:r>
        <w:t xml:space="preserve"> </w:t>
      </w:r>
      <w:hyperlink w:anchor="ref-10">
        <m:oMathPara>
          <m:oMathParaPr>
            <m:jc m:val="center"/>
          </m:oMathParaPr>
          <m:oMath>
            <m:r>
              <m:t>10</m:t>
            </m:r>
          </m:oMath>
        </m:oMathPara>
      </w:hyperlink>
      <w:r>
        <w:t xml:space="preserve">. This mix is sufficient for an initial statistical screen of topical concentration in the retrieved literature.</w:t>
      </w:r>
    </w:p>
    <w:bookmarkEnd w:id="63"/>
    <w:bookmarkStart w:id="64" w:name="method"/>
    <w:p>
      <w:pPr>
        <w:pStyle w:val="Heading2"/>
      </w:pPr>
      <w:r>
        <w:t xml:space="preserve">4. Method</w:t>
      </w:r>
    </w:p>
    <w:p>
      <w:pPr>
        <w:pStyle w:val="FirstParagraph"/>
      </w:pPr>
      <w:r>
        <w:t xml:space="preserve">The estimator is ordinary least squares with robust HC1 standard errors. The dependent variable is</w:t>
      </w:r>
      <w:r>
        <w:t xml:space="preserve"> </w:t>
      </w:r>
      <w:r>
        <w:rPr>
          <w:rStyle w:val="VerbatimChar"/>
        </w:rPr>
        <w:t xml:space="preserve">signal_score</w:t>
      </w:r>
      <w:r>
        <w:t xml:space="preserve">, and the regressors are</w:t>
      </w:r>
      <w:r>
        <w:t xml:space="preserve"> </w:t>
      </w:r>
      <w:r>
        <w:rPr>
          <w:rStyle w:val="VerbatimChar"/>
        </w:rPr>
        <w:t xml:space="preserve">recency_index</w:t>
      </w:r>
      <w:r>
        <w:t xml:space="preserve">,</w:t>
      </w:r>
      <w:r>
        <w:t xml:space="preserve"> </w:t>
      </w:r>
      <w:r>
        <w:rPr>
          <w:rStyle w:val="VerbatimChar"/>
        </w:rPr>
        <w:t xml:space="preserve">cites_num</w:t>
      </w:r>
      <w:r>
        <w:t xml:space="preserve">, and</w:t>
      </w:r>
      <w:r>
        <w:t xml:space="preserve"> </w:t>
      </w:r>
      <w:r>
        <w:rPr>
          <w:rStyle w:val="VerbatimChar"/>
        </w:rPr>
        <w:t xml:space="preserve">venue_score</w:t>
      </w:r>
      <w:r>
        <w:t xml:space="preserve">, with an intercept. The robust standard errors are used because the records differ in metadata density, venue conventions, and the presence or absence of indexed citation counts.</w:t>
      </w:r>
    </w:p>
    <w:p>
      <w:pPr>
        <w:pStyle w:val="BodyText"/>
      </w:pPr>
      <w:r>
        <w:t xml:space="preserve">The paper does not claim a causal interpretation. Publication year, citation attention, and venue assignment are not randomly assigned. The design is better understood as a structured observational comparison that asks whether the candidate’s topic signal is patterned across these dimensions within the local source set. The main value of the model is diagnostic. It can show whether the dissertation’s theme is associated with recent and venue-specific work rather than being evenly distributed across the retrieved corpus.</w:t>
      </w:r>
    </w:p>
    <w:p>
      <w:pPr>
        <w:pStyle w:val="BodyText"/>
      </w:pPr>
      <w:r>
        <w:t xml:space="preserve">The principal inferential interest lies in the sign and statistical strength of the recency and citation coefficients. A positive and statistically distinguishable recency coefficient would support the view that the institutional-capability theme has become more explicit over time. A positive citation coefficient would suggest that the same theme is also being reinforced by source centrality. A null or negative citation coefficient would imply that the theme may be emerging in newer or more specialized work before it becomes the most cited part of the literature.</w:t>
      </w:r>
    </w:p>
    <w:bookmarkEnd w:id="64"/>
    <w:bookmarkStart w:id="65" w:name="findings"/>
    <w:p>
      <w:pPr>
        <w:pStyle w:val="Heading2"/>
      </w:pPr>
      <w:r>
        <w:t xml:space="preserve">5. Findings</w:t>
      </w:r>
    </w:p>
    <w:p>
      <w:pPr>
        <w:pStyle w:val="FirstParagraph"/>
      </w:pPr>
      <w:r>
        <w:t xml:space="preserve">The model is estimated on 30 observations. The reported R-squared is 0.25562491475311455, and the adjusted R-squared is 0.16973548184001241. The model F statistic is 3.7376349117293706 with a p-value of 0.02339897024991365. Taken together, these fit statistics indicate that the three-regressor specification explains a non-trivial share of variation in the metadata topic signal, and that the regressors are jointly associated with the dependent variable in this sample.</w:t>
      </w:r>
    </w:p>
    <w:p>
      <w:pPr>
        <w:pStyle w:val="BodyText"/>
      </w:pPr>
      <w:r>
        <w:t xml:space="preserve">The intercept is 3.7229268831265845, with a robust standard error of 1.2326238759173878 and a p-value of 0.002525021073478772. Since the recency and venue variables begin above zero in observed data, the intercept mainly functions as a model constant rather than a substantively meaningful baseline record.</w:t>
      </w:r>
    </w:p>
    <w:p>
      <w:pPr>
        <w:pStyle w:val="BodyText"/>
      </w:pPr>
      <w:r>
        <w:t xml:space="preserve">The coefficient on</w:t>
      </w:r>
      <w:r>
        <w:t xml:space="preserve"> </w:t>
      </w:r>
      <w:r>
        <w:rPr>
          <w:rStyle w:val="VerbatimChar"/>
        </w:rPr>
        <w:t xml:space="preserve">recency_index</w:t>
      </w:r>
      <w:r>
        <w:t xml:space="preserve"> </w:t>
      </w:r>
      <w:r>
        <w:t xml:space="preserve">is 0.30448111140453077, with a robust standard error of 0.11089849792911137 and a p-value of 0.006040335201679479. Holding indexed citations and venue family constant, a one-unit increase in recency is associated with an increase of roughly 0.30 in the topic-signal score. This result supports the recency component of H1. The institutional-capability theme appears more strongly in newer records than in earlier ones.</w:t>
      </w:r>
    </w:p>
    <w:p>
      <w:pPr>
        <w:pStyle w:val="BodyText"/>
      </w:pPr>
      <w:r>
        <w:t xml:space="preserve">The coefficient on</w:t>
      </w:r>
      <w:r>
        <w:t xml:space="preserve"> </w:t>
      </w:r>
      <w:r>
        <w:rPr>
          <w:rStyle w:val="VerbatimChar"/>
        </w:rPr>
        <w:t xml:space="preserve">cites_num</w:t>
      </w:r>
      <w:r>
        <w:t xml:space="preserve"> </w:t>
      </w:r>
      <w:r>
        <w:t xml:space="preserve">is 0.01221542349080704, with a robust standard error of 0.007682345068910728 and a p-value of 0.11182028689221728. The sign is positive, but the estimate is not statistically distinguishable from zero in the supplied output. On this evidence, indexed citation attention does not provide strong support for the alternative hypothesis. The topic signal may be present in some cited records, but citation accumulation alone does not explain it reliably in this sample.</w:t>
      </w:r>
    </w:p>
    <w:p>
      <w:pPr>
        <w:pStyle w:val="BodyText"/>
      </w:pPr>
      <w:r>
        <w:t xml:space="preserve">The coefficient on</w:t>
      </w:r>
      <w:r>
        <w:t xml:space="preserve"> </w:t>
      </w:r>
      <w:r>
        <w:rPr>
          <w:rStyle w:val="VerbatimChar"/>
        </w:rPr>
        <w:t xml:space="preserve">venue_score</w:t>
      </w:r>
      <w:r>
        <w:t xml:space="preserve"> </w:t>
      </w:r>
      <w:r>
        <w:t xml:space="preserve">is -1.4138657075098735, with a robust standard error of 0.6080810102354139 and a p-value of 0.02006515866344292. Under the supplied coding, a one-unit increase in venue score is associated with a lower predicted topic-signal score, holding recency and citations constant. This indicates that the theme is concentrated more heavily in lower-coded venue families within the current specification. Because</w:t>
      </w:r>
      <w:r>
        <w:t xml:space="preserve"> </w:t>
      </w:r>
      <w:r>
        <w:rPr>
          <w:rStyle w:val="VerbatimChar"/>
        </w:rPr>
        <w:t xml:space="preserve">venue_score</w:t>
      </w:r>
      <w:r>
        <w:t xml:space="preserve"> </w:t>
      </w:r>
      <w:r>
        <w:t xml:space="preserve">is ordinal rather than categorical, the result should be read cautiously as a coded venue-family association rather than as a universal ranking of substantive importance.</w:t>
      </w:r>
    </w:p>
    <w:p>
      <w:pPr>
        <w:pStyle w:val="BodyText"/>
      </w:pPr>
      <w:r>
        <w:t xml:space="preserve">The hypothesis test is therefore mixed. The null of no association is not supported in an overall sense, because the model is statistically informative and both recency and venue carry significant coefficients. H1 receives partial support. The topic signal increases with recency, as expected, but citation attention is only weakly positive and statistically uncertain.</w:t>
      </w:r>
    </w:p>
    <w:bookmarkEnd w:id="65"/>
    <w:bookmarkStart w:id="66" w:name="discussion"/>
    <w:p>
      <w:pPr>
        <w:pStyle w:val="Heading2"/>
      </w:pPr>
      <w:r>
        <w:t xml:space="preserve">6. Discussion</w:t>
      </w:r>
    </w:p>
    <w:p>
      <w:pPr>
        <w:pStyle w:val="FirstParagraph"/>
      </w:pPr>
      <w:r>
        <w:t xml:space="preserve">The most important finding is temporal. The positive recency coefficient indicates that the dissertation theme becomes more visible in newer literature. That pattern is consistent with the movement from technical building blocks toward integrated and institutionally framed systems. Recent work on VISION</w:t>
      </w:r>
      <w:r>
        <w:t xml:space="preserve"> </w:t>
      </w:r>
      <w:hyperlink w:anchor="ref-3">
        <m:oMathPara>
          <m:oMathParaPr>
            <m:jc m:val="center"/>
          </m:oMathParaPr>
          <m:oMath>
            <m:r>
              <m:t>3</m:t>
            </m:r>
          </m:oMath>
        </m:oMathPara>
      </w:hyperlink>
      <w:r>
        <w:t xml:space="preserve">, strategic SDA partnership arrangements</w:t>
      </w:r>
      <w:r>
        <w:t xml:space="preserve"> </w:t>
      </w:r>
      <w:hyperlink w:anchor="ref-7">
        <m:oMathPara>
          <m:oMathParaPr>
            <m:jc m:val="center"/>
          </m:oMathParaPr>
          <m:oMath>
            <m:r>
              <m:t>7</m:t>
            </m:r>
          </m:oMath>
        </m:oMathPara>
      </w:hyperlink>
      <w:r>
        <w:t xml:space="preserve">, and institutional bottlenecks</w:t>
      </w:r>
      <w:r>
        <w:t xml:space="preserve"> </w:t>
      </w:r>
      <w:hyperlink w:anchor="ref-9">
        <m:oMathPara>
          <m:oMathParaPr>
            <m:jc m:val="center"/>
          </m:oMathParaPr>
          <m:oMath>
            <m:r>
              <m:t>9</m:t>
            </m:r>
          </m:oMath>
        </m:oMathPara>
      </w:hyperlink>
      <w:r>
        <w:t xml:space="preserve"> </w:t>
      </w:r>
      <w:r>
        <w:t xml:space="preserve">gives the candidate’s argument more direct textual support than older records focused narrowly on detection or calibration.</w:t>
      </w:r>
    </w:p>
    <w:p>
      <w:pPr>
        <w:pStyle w:val="FirstParagraph"/>
      </w:pPr>
      <w:r>
        <w:t xml:space="preserve">The weak citation result is equally informative. Citation prominence in the local index does not appear to map cleanly onto the dissertation’s institutional-capability theme. This makes substantive sense. Highly cited records may be central because they offer broad technical or governance contributions that are valuable across many debates, while the specific proposition that institutions precede capability remains comparatively specialized. For corpus construction, that means citation-based selection alone would be a poor substitute for topic-grounded selection.</w:t>
      </w:r>
    </w:p>
    <w:p>
      <w:pPr>
        <w:pStyle w:val="BodyText"/>
      </w:pPr>
      <w:r>
        <w:t xml:space="preserve">The venue effect suggests that the theme is not evenly distributed across publishing formats. Some venue families package national organization and operational architecture more explicitly than others. This matters for chapter design. A dissertation chapter about theory and comparative institutional sequencing should not rely only on the most cited articles or the broadest journals. It should also draw from operationally specific proceedings and strategic practitioner literature, because those records often document the actual institutional moves under study.</w:t>
      </w:r>
    </w:p>
    <w:p>
      <w:pPr>
        <w:pStyle w:val="BodyText"/>
      </w:pPr>
      <w:r>
        <w:t xml:space="preserve">The limitations of the paper are straightforward. The dependent variable is a metadata count rather than a full-text semantic measure. The sample contains only 30 records. The venue variable imposes an ordinal structure that could be refined in later work. These limits keep the paper in its intended role: an empirical screen for literature structure, not a substitute for the dissertation’s main comparative test.</w:t>
      </w:r>
    </w:p>
    <w:p>
      <w:pPr>
        <w:pStyle w:val="BodyText"/>
      </w:pPr>
      <w:r>
        <w:t xml:space="preserve">Within that role, the OLS findings are useful. They show that the candidate’s institutional-capability theme is recent, structured, and not reducible to citation prominence. That conclusion informs the dissertation’s research strategy by justifying a source pool that emphasizes recent institutional and operational material rather than citation seniority alone.</w:t>
      </w:r>
    </w:p>
    <w:bookmarkEnd w:id="66"/>
    <w:bookmarkStart w:id="83" w:name="references"/>
    <w:p>
      <w:pPr>
        <w:pStyle w:val="Heading2"/>
      </w:pPr>
      <w:r>
        <w:t xml:space="preserve">References</w:t>
      </w:r>
    </w:p>
    <w:p>
      <w:pPr>
        <w:pStyle w:val="FirstParagraph"/>
      </w:pPr>
      <w:bookmarkStart w:id="67" w:name="ref-1"/>
      <w:bookmarkEnd w:id="67"/>
      <w:r>
        <w:t xml:space="preserve">1. Quentin Verspieren, The University of Tokyo. Establishment of a Space Operations Squadron at the Japan Air Self-Defense Force in 2020: current status and future prospects. (2021). [AMOS]</w:t>
      </w:r>
    </w:p>
    <w:p>
      <w:pPr>
        <w:pStyle w:val="BodyText"/>
      </w:pPr>
      <w:bookmarkStart w:id="68" w:name="ref-2"/>
      <w:bookmarkEnd w:id="68"/>
      <w:r>
        <w:t xml:space="preserve">2. Jung Hyun Jo, Jin Choi, Ju Young Son, Sun Youp Park, and Jang Hyun Park. Early CAL/VAL Process for an Optical Tracking System by Korea. (2015). [AMOS]</w:t>
      </w:r>
    </w:p>
    <w:p>
      <w:pPr>
        <w:pStyle w:val="BodyText"/>
      </w:pPr>
      <w:bookmarkStart w:id="69" w:name="ref-3"/>
      <w:bookmarkEnd w:id="69"/>
      <w:r>
        <w:t xml:space="preserve">3. Jaedong Seong, Okchul Jung, Youeyun Jung, and Saehan Song. Development of VISION (Vigilant Integrated Space Information and mOnitoring Network): An Integrated Space Information Monitoring System for Space Flight Safety. (2025). doi:</w:t>
      </w:r>
      <w:r>
        <w:t xml:space="preserve"> </w:t>
      </w:r>
      <w:hyperlink r:id="rId70">
        <w:r>
          <w:rPr>
            <w:rStyle w:val="Hyperlink"/>
          </w:rPr>
          <w:t xml:space="preserve">10.64861/OTAL2562</w:t>
        </w:r>
      </w:hyperlink>
    </w:p>
    <w:p>
      <w:pPr>
        <w:pStyle w:val="BodyText"/>
      </w:pPr>
      <w:bookmarkStart w:id="71" w:name="ref-4"/>
      <w:bookmarkEnd w:id="71"/>
      <w:r>
        <w:t xml:space="preserve">4. Makena Young. Trends in Global Space Situational Awareness. (2021). [AMOS]</w:t>
      </w:r>
    </w:p>
    <w:p>
      <w:pPr>
        <w:pStyle w:val="BodyText"/>
      </w:pPr>
      <w:bookmarkStart w:id="72" w:name="ref-5"/>
      <w:bookmarkEnd w:id="72"/>
      <w:r>
        <w:t xml:space="preserve">5. Nicholas Moretti, Mark Rutten, Travis Bessell, and Brittany Morreale. Autonomous Space Object Catalogue Construction and Upkeep Using Sensor Control Theory. (2017). [AMOS]</w:t>
      </w:r>
    </w:p>
    <w:p>
      <w:pPr>
        <w:pStyle w:val="BodyText"/>
      </w:pPr>
      <w:bookmarkStart w:id="73" w:name="ref-6"/>
      <w:bookmarkEnd w:id="73"/>
      <w:r>
        <w:t xml:space="preserve">6. Nathaniel Dailey, Braden McGrath, Harvey Reed, and Jonathon Wotton. Global Space Domain Awareness, Partnering to Win with AUKUS. (2023). doi:</w:t>
      </w:r>
      <w:r>
        <w:t xml:space="preserve"> </w:t>
      </w:r>
      <w:hyperlink r:id="rId74">
        <w:r>
          <w:rPr>
            <w:rStyle w:val="Hyperlink"/>
          </w:rPr>
          <w:t xml:space="preserve">10.64861/FWBL2094</w:t>
        </w:r>
      </w:hyperlink>
    </w:p>
    <w:p>
      <w:pPr>
        <w:pStyle w:val="BodyText"/>
      </w:pPr>
      <w:bookmarkStart w:id="75" w:name="ref-7"/>
      <w:bookmarkEnd w:id="75"/>
      <w:r>
        <w:t xml:space="preserve">7. Jie Long and Wenzhen Chen. Laser utilization in outer space: Institutional bottleneck and prospects. (2025). doi:</w:t>
      </w:r>
      <w:r>
        <w:t xml:space="preserve"> </w:t>
      </w:r>
      <w:hyperlink r:id="rId76">
        <w:r>
          <w:rPr>
            <w:rStyle w:val="Hyperlink"/>
          </w:rPr>
          <w:t xml:space="preserve">10.1016/j.actaastro.2025.01.061</w:t>
        </w:r>
      </w:hyperlink>
    </w:p>
    <w:p>
      <w:pPr>
        <w:pStyle w:val="BodyText"/>
      </w:pPr>
      <w:bookmarkStart w:id="77" w:name="ref-8"/>
      <w:bookmarkEnd w:id="77"/>
      <w:r>
        <w:t xml:space="preserve">8. Xiao-Shan Yap, Jonas Heiberg, and Bernhard Truffer. The emerging global socio-technical regime for tackling space debris: A discourse network analysis. (2023). doi:</w:t>
      </w:r>
      <w:r>
        <w:t xml:space="preserve"> </w:t>
      </w:r>
      <w:hyperlink r:id="rId78">
        <w:r>
          <w:rPr>
            <w:rStyle w:val="Hyperlink"/>
          </w:rPr>
          <w:t xml:space="preserve">10.1016/j.actaastro.2023.01.016</w:t>
        </w:r>
      </w:hyperlink>
    </w:p>
    <w:p>
      <w:pPr>
        <w:pStyle w:val="BodyText"/>
      </w:pPr>
      <w:bookmarkStart w:id="79" w:name="ref-9"/>
      <w:bookmarkEnd w:id="79"/>
      <w:r>
        <w:t xml:space="preserve">9. Elena Cirkovic and Danielle Wood. Integrating planetary boundaries into sustainable space exploration: An earth-outer space system design framework. (2024). doi:</w:t>
      </w:r>
      <w:r>
        <w:t xml:space="preserve"> </w:t>
      </w:r>
      <w:hyperlink r:id="rId80">
        <w:r>
          <w:rPr>
            <w:rStyle w:val="Hyperlink"/>
          </w:rPr>
          <w:t xml:space="preserve">10.1016/j.actaastro.2024.12.037</w:t>
        </w:r>
      </w:hyperlink>
    </w:p>
    <w:p>
      <w:pPr>
        <w:pStyle w:val="BodyText"/>
      </w:pPr>
      <w:bookmarkStart w:id="81" w:name="ref-10"/>
      <w:bookmarkEnd w:id="81"/>
      <w:r>
        <w:t xml:space="preserve">10. Michael Herman, Olivia J. Pinon Fischer, and Dimitri N. Mavris. Predictive calibration for digital sun sensors using sparse submanifold convolutional neural networks. (2026). doi:</w:t>
      </w:r>
      <w:r>
        <w:t xml:space="preserve"> </w:t>
      </w:r>
      <w:hyperlink r:id="rId82">
        <w:r>
          <w:rPr>
            <w:rStyle w:val="Hyperlink"/>
          </w:rPr>
          <w:t xml:space="preserve">10.1016/j.actaastro.2026.05.010</w:t>
        </w:r>
      </w:hyperlink>
    </w:p>
    <w:bookmarkEnd w:id="83"/>
    <w:bookmarkStart w:id="84"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4"/>
    <w:bookmarkStart w:id="8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3.7229</w:t>
            </w:r>
          </w:p>
        </w:tc>
        <w:tc>
          <w:tcPr>
            <w:tcW w:w="0" w:type="auto"/>
          </w:tcPr>
          <w:p>
            <w:pPr>
              <w:spacing w:line="240" w:lineRule="auto" w:before="0" w:after="0"/>
              <w:pStyle w:val="Compact"/>
            </w:pPr>
            <w:r>
              <w:rPr>
                <w:sz w:val="20"/>
                <w:szCs w:val="20"/>
              </w:rPr>
              <w:t xml:space="preserve">1.2326</w:t>
            </w:r>
          </w:p>
        </w:tc>
        <w:tc>
          <w:tcPr>
            <w:tcW w:w="0" w:type="auto"/>
          </w:tcPr>
          <w:p>
            <w:pPr>
              <w:spacing w:line="240" w:lineRule="auto" w:before="0" w:after="0"/>
              <w:pStyle w:val="Compact"/>
            </w:pPr>
            <w:r>
              <w:rPr>
                <w:sz w:val="20"/>
                <w:szCs w:val="20"/>
              </w:rPr>
              <w:t xml:space="preserve">3.0203</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[1.307, 6.1388]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0.3045</w:t>
            </w:r>
          </w:p>
        </w:tc>
        <w:tc>
          <w:tcPr>
            <w:tcW w:w="0" w:type="auto"/>
          </w:tcPr>
          <w:p>
            <w:pPr>
              <w:spacing w:line="240" w:lineRule="auto" w:before="0" w:after="0"/>
              <w:pStyle w:val="Compact"/>
            </w:pPr>
            <w:r>
              <w:rPr>
                <w:sz w:val="20"/>
                <w:szCs w:val="20"/>
              </w:rPr>
              <w:t xml:space="preserve">0.1109</w:t>
            </w:r>
          </w:p>
        </w:tc>
        <w:tc>
          <w:tcPr>
            <w:tcW w:w="0" w:type="auto"/>
          </w:tcPr>
          <w:p>
            <w:pPr>
              <w:spacing w:line="240" w:lineRule="auto" w:before="0" w:after="0"/>
              <w:pStyle w:val="Compact"/>
            </w:pPr>
            <w:r>
              <w:rPr>
                <w:sz w:val="20"/>
                <w:szCs w:val="20"/>
              </w:rPr>
              <w:t xml:space="preserve">2.7456</w:t>
            </w:r>
          </w:p>
        </w:tc>
        <w:tc>
          <w:tcPr>
            <w:tcW w:w="0" w:type="auto"/>
          </w:tcPr>
          <w:p>
            <w:pPr>
              <w:spacing w:line="240" w:lineRule="auto" w:before="0" w:after="0"/>
              <w:pStyle w:val="Compact"/>
            </w:pPr>
            <w:r>
              <w:rPr>
                <w:sz w:val="20"/>
                <w:szCs w:val="20"/>
              </w:rPr>
              <w:t xml:space="preserve">0.006</w:t>
            </w:r>
          </w:p>
        </w:tc>
        <w:tc>
          <w:tcPr>
            <w:tcW w:w="0" w:type="auto"/>
          </w:tcPr>
          <w:p>
            <w:pPr>
              <w:spacing w:line="240" w:lineRule="auto" w:before="0" w:after="0"/>
              <w:pStyle w:val="Compact"/>
            </w:pPr>
            <w:r>
              <w:rPr>
                <w:sz w:val="20"/>
                <w:szCs w:val="20"/>
              </w:rPr>
              <w:t xml:space="preserve">[0.0871, 0.5218]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0.0122</w:t>
            </w:r>
          </w:p>
        </w:tc>
        <w:tc>
          <w:tcPr>
            <w:tcW w:w="0" w:type="auto"/>
          </w:tcPr>
          <w:p>
            <w:pPr>
              <w:spacing w:line="240" w:lineRule="auto" w:before="0" w:after="0"/>
              <w:pStyle w:val="Compact"/>
            </w:pPr>
            <w:r>
              <w:rPr>
                <w:sz w:val="20"/>
                <w:szCs w:val="20"/>
              </w:rPr>
              <w:t xml:space="preserve">0.0077</w:t>
            </w:r>
          </w:p>
        </w:tc>
        <w:tc>
          <w:tcPr>
            <w:tcW w:w="0" w:type="auto"/>
          </w:tcPr>
          <w:p>
            <w:pPr>
              <w:spacing w:line="240" w:lineRule="auto" w:before="0" w:after="0"/>
              <w:pStyle w:val="Compact"/>
            </w:pPr>
            <w:r>
              <w:rPr>
                <w:sz w:val="20"/>
                <w:szCs w:val="20"/>
              </w:rPr>
              <w:t xml:space="preserve">1.5901</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[-0.0028, 0.0273]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-1.4139</w:t>
            </w:r>
          </w:p>
        </w:tc>
        <w:tc>
          <w:tcPr>
            <w:tcW w:w="0" w:type="auto"/>
          </w:tcPr>
          <w:p>
            <w:pPr>
              <w:spacing w:line="240" w:lineRule="auto" w:before="0" w:after="0"/>
              <w:pStyle w:val="Compact"/>
            </w:pPr>
            <w:r>
              <w:rPr>
                <w:sz w:val="20"/>
                <w:szCs w:val="20"/>
              </w:rPr>
              <w:t xml:space="preserve">0.6081</w:t>
            </w:r>
          </w:p>
        </w:tc>
        <w:tc>
          <w:tcPr>
            <w:tcW w:w="0" w:type="auto"/>
          </w:tcPr>
          <w:p>
            <w:pPr>
              <w:spacing w:line="240" w:lineRule="auto" w:before="0" w:after="0"/>
              <w:pStyle w:val="Compact"/>
            </w:pPr>
            <w:r>
              <w:rPr>
                <w:sz w:val="20"/>
                <w:szCs w:val="20"/>
              </w:rPr>
              <w:t xml:space="preserve">-2.3251</w:t>
            </w:r>
          </w:p>
        </w:tc>
        <w:tc>
          <w:tcPr>
            <w:tcW w:w="0" w:type="auto"/>
          </w:tcPr>
          <w:p>
            <w:pPr>
              <w:spacing w:line="240" w:lineRule="auto" w:before="0" w:after="0"/>
              <w:pStyle w:val="Compact"/>
            </w:pPr>
            <w:r>
              <w:rPr>
                <w:sz w:val="20"/>
                <w:szCs w:val="20"/>
              </w:rPr>
              <w:t xml:space="preserve">0.0201</w:t>
            </w:r>
          </w:p>
        </w:tc>
        <w:tc>
          <w:tcPr>
            <w:tcW w:w="0" w:type="auto"/>
          </w:tcPr>
          <w:p>
            <w:pPr>
              <w:spacing w:line="240" w:lineRule="auto" w:before="0" w:after="0"/>
              <w:pStyle w:val="Compact"/>
            </w:pPr>
            <w:r>
              <w:rPr>
                <w:sz w:val="20"/>
                <w:szCs w:val="20"/>
              </w:rPr>
              <w:t xml:space="preserve">[-2.6057, -0.222]</w:t>
            </w:r>
          </w:p>
        </w:tc>
      </w:tr>
    </w:tbl>
    <w:p>
      <w:pPr>
        <w:pStyle w:val="BodyText"/>
      </w:pPr>
      <w:r>
        <w:t xml:space="preserve">Fit: N = 30 R2 = 0.2556 R2_adj = 0.1697 F = 3.7376 F_p = 0.0234</w:t>
      </w:r>
    </w:p>
    <w:p>
      <w:pPr>
        <w:pStyle w:val="CaptionedFigure"/>
      </w:pPr>
      <w:r>
        <w:drawing>
          <wp:inline>
            <wp:extent cx="5669280" cy="3657600"/>
            <wp:effectExtent b="0" l="0" r="0" t="0"/>
            <wp:docPr descr="Figure 1. Topic-signal score by publication recency, conditioning on citation attention and venue family." title="" id="86" name="Picture"/>
            <a:graphic>
              <a:graphicData uri="http://schemas.openxmlformats.org/drawingml/2006/picture">
                <pic:pic>
                  <pic:nvPicPr>
                    <pic:cNvPr descr="D:\Claude_Code\brain\collegium\candidates\dissertations\SUSTAINABILITY_INSTITUTIONS_07\research_papers\p1\paper_fig1.png" id="87" name="Picture"/>
                    <pic:cNvPicPr>
                      <a:picLocks noChangeArrowheads="1" noChangeAspect="1"/>
                    </pic:cNvPicPr>
                  </pic:nvPicPr>
                  <pic:blipFill>
                    <a:blip r:embed="rId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8"/>
    <w:bookmarkStart w:id="9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https://amostech.space/year/2021/establishment-of-a-space-operations-squadron-at-the-japan-air-self-defense-force-in-2020-current-status-and-future-prospects/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https://amostech.space/year/2015/early-cal-val-process-for-an-optical-tracking-system-by-korea/</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https://amostech.space/year/2014/faint-debris-detection-by-particle-based-track-before-detect-method/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https://amostech.space/year/2017/autonomous-space-object-catalogue-construction-and-upkeep-using-sensor-control-theory/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https://amostech.space/year/2016/uncued-low-snr-detection-with-likelihood-from-image-multi-bernoulli-filter/</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https://amostech.space/year/2021/an-investigation-into-potential-collision-maneuver-guidelines-for-future-space-traffic-management/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10.64861/KSPN2451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10.1016/j.actaastro.2025.08.055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10.1016/j.actaastro.2024.04.012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10.1016/j.actaastro.2026.02.023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bl>
    <w:bookmarkEnd w:id="89"/>
    <w:bookmarkStart w:id="9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90"/>
    <w:bookmarkStart w:id="9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3.7229</w:t>
            </w:r>
          </w:p>
        </w:tc>
        <w:tc>
          <w:tcPr>
            <w:tcW w:w="0" w:type="auto"/>
          </w:tcPr>
          <w:p>
            <w:pPr>
              <w:spacing w:line="240" w:lineRule="auto" w:before="0" w:after="0"/>
              <w:pStyle w:val="Compact"/>
            </w:pPr>
            <w:r>
              <w:rPr>
                <w:sz w:val="20"/>
                <w:szCs w:val="20"/>
              </w:rPr>
              <w:t xml:space="preserve">1.2326</w:t>
            </w:r>
          </w:p>
        </w:tc>
        <w:tc>
          <w:tcPr>
            <w:tcW w:w="0" w:type="auto"/>
          </w:tcPr>
          <w:p>
            <w:pPr>
              <w:spacing w:line="240" w:lineRule="auto" w:before="0" w:after="0"/>
              <w:pStyle w:val="Compact"/>
            </w:pPr>
            <w:r>
              <w:rPr>
                <w:sz w:val="20"/>
                <w:szCs w:val="20"/>
              </w:rPr>
              <w:t xml:space="preserve">3.0203</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[1.307, 6.1388]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0.3045</w:t>
            </w:r>
          </w:p>
        </w:tc>
        <w:tc>
          <w:tcPr>
            <w:tcW w:w="0" w:type="auto"/>
          </w:tcPr>
          <w:p>
            <w:pPr>
              <w:spacing w:line="240" w:lineRule="auto" w:before="0" w:after="0"/>
              <w:pStyle w:val="Compact"/>
            </w:pPr>
            <w:r>
              <w:rPr>
                <w:sz w:val="20"/>
                <w:szCs w:val="20"/>
              </w:rPr>
              <w:t xml:space="preserve">0.1109</w:t>
            </w:r>
          </w:p>
        </w:tc>
        <w:tc>
          <w:tcPr>
            <w:tcW w:w="0" w:type="auto"/>
          </w:tcPr>
          <w:p>
            <w:pPr>
              <w:spacing w:line="240" w:lineRule="auto" w:before="0" w:after="0"/>
              <w:pStyle w:val="Compact"/>
            </w:pPr>
            <w:r>
              <w:rPr>
                <w:sz w:val="20"/>
                <w:szCs w:val="20"/>
              </w:rPr>
              <w:t xml:space="preserve">2.7456</w:t>
            </w:r>
          </w:p>
        </w:tc>
        <w:tc>
          <w:tcPr>
            <w:tcW w:w="0" w:type="auto"/>
          </w:tcPr>
          <w:p>
            <w:pPr>
              <w:spacing w:line="240" w:lineRule="auto" w:before="0" w:after="0"/>
              <w:pStyle w:val="Compact"/>
            </w:pPr>
            <w:r>
              <w:rPr>
                <w:sz w:val="20"/>
                <w:szCs w:val="20"/>
              </w:rPr>
              <w:t xml:space="preserve">0.006</w:t>
            </w:r>
          </w:p>
        </w:tc>
        <w:tc>
          <w:tcPr>
            <w:tcW w:w="0" w:type="auto"/>
          </w:tcPr>
          <w:p>
            <w:pPr>
              <w:spacing w:line="240" w:lineRule="auto" w:before="0" w:after="0"/>
              <w:pStyle w:val="Compact"/>
            </w:pPr>
            <w:r>
              <w:rPr>
                <w:sz w:val="20"/>
                <w:szCs w:val="20"/>
              </w:rPr>
              <w:t xml:space="preserve">[0.0871, 0.5218]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0.0122</w:t>
            </w:r>
          </w:p>
        </w:tc>
        <w:tc>
          <w:tcPr>
            <w:tcW w:w="0" w:type="auto"/>
          </w:tcPr>
          <w:p>
            <w:pPr>
              <w:spacing w:line="240" w:lineRule="auto" w:before="0" w:after="0"/>
              <w:pStyle w:val="Compact"/>
            </w:pPr>
            <w:r>
              <w:rPr>
                <w:sz w:val="20"/>
                <w:szCs w:val="20"/>
              </w:rPr>
              <w:t xml:space="preserve">0.0077</w:t>
            </w:r>
          </w:p>
        </w:tc>
        <w:tc>
          <w:tcPr>
            <w:tcW w:w="0" w:type="auto"/>
          </w:tcPr>
          <w:p>
            <w:pPr>
              <w:spacing w:line="240" w:lineRule="auto" w:before="0" w:after="0"/>
              <w:pStyle w:val="Compact"/>
            </w:pPr>
            <w:r>
              <w:rPr>
                <w:sz w:val="20"/>
                <w:szCs w:val="20"/>
              </w:rPr>
              <w:t xml:space="preserve">1.5901</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[-0.0028, 0.0273]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-1.4139</w:t>
            </w:r>
          </w:p>
        </w:tc>
        <w:tc>
          <w:tcPr>
            <w:tcW w:w="0" w:type="auto"/>
          </w:tcPr>
          <w:p>
            <w:pPr>
              <w:spacing w:line="240" w:lineRule="auto" w:before="0" w:after="0"/>
              <w:pStyle w:val="Compact"/>
            </w:pPr>
            <w:r>
              <w:rPr>
                <w:sz w:val="20"/>
                <w:szCs w:val="20"/>
              </w:rPr>
              <w:t xml:space="preserve">0.6081</w:t>
            </w:r>
          </w:p>
        </w:tc>
        <w:tc>
          <w:tcPr>
            <w:tcW w:w="0" w:type="auto"/>
          </w:tcPr>
          <w:p>
            <w:pPr>
              <w:spacing w:line="240" w:lineRule="auto" w:before="0" w:after="0"/>
              <w:pStyle w:val="Compact"/>
            </w:pPr>
            <w:r>
              <w:rPr>
                <w:sz w:val="20"/>
                <w:szCs w:val="20"/>
              </w:rPr>
              <w:t xml:space="preserve">-2.3251</w:t>
            </w:r>
          </w:p>
        </w:tc>
        <w:tc>
          <w:tcPr>
            <w:tcW w:w="0" w:type="auto"/>
          </w:tcPr>
          <w:p>
            <w:pPr>
              <w:spacing w:line="240" w:lineRule="auto" w:before="0" w:after="0"/>
              <w:pStyle w:val="Compact"/>
            </w:pPr>
            <w:r>
              <w:rPr>
                <w:sz w:val="20"/>
                <w:szCs w:val="20"/>
              </w:rPr>
              <w:t xml:space="preserve">0.0201</w:t>
            </w:r>
          </w:p>
        </w:tc>
        <w:tc>
          <w:tcPr>
            <w:tcW w:w="0" w:type="auto"/>
          </w:tcPr>
          <w:p>
            <w:pPr>
              <w:spacing w:line="240" w:lineRule="auto" w:before="0" w:after="0"/>
              <w:pStyle w:val="Compact"/>
            </w:pPr>
            <w:r>
              <w:rPr>
                <w:sz w:val="20"/>
                <w:szCs w:val="20"/>
              </w:rPr>
              <w:t xml:space="preserve">[-2.6057, -0.222]</w:t>
            </w:r>
          </w:p>
        </w:tc>
      </w:tr>
    </w:tbl>
    <w:p>
      <w:pPr>
        <w:pStyle w:val="BodyText"/>
      </w:pPr>
      <w:r>
        <w:t xml:space="preserve">Fit: N = 30 R2 = 0.2556 R2_adj = 0.1697 F = 3.7376 F_p = 0.0234</w:t>
      </w:r>
    </w:p>
    <w:bookmarkEnd w:id="91"/>
    <w:bookmarkEnd w:id="92"/>
    <w:bookmarkEnd w:id="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5" Target="media/rId85.png" /><Relationship Type="http://schemas.openxmlformats.org/officeDocument/2006/relationships/hyperlink" Id="rId78" Target="https://doi.org/10.1016/j.actaastro.2023.01.016" TargetMode="External" /><Relationship Type="http://schemas.openxmlformats.org/officeDocument/2006/relationships/hyperlink" Id="rId80" Target="https://doi.org/10.1016/j.actaastro.2024.12.037" TargetMode="External" /><Relationship Type="http://schemas.openxmlformats.org/officeDocument/2006/relationships/hyperlink" Id="rId76" Target="https://doi.org/10.1016/j.actaastro.2025.01.061" TargetMode="External" /><Relationship Type="http://schemas.openxmlformats.org/officeDocument/2006/relationships/hyperlink" Id="rId82" Target="https://doi.org/10.1016/j.actaastro.2026.05.010" TargetMode="External" /><Relationship Type="http://schemas.openxmlformats.org/officeDocument/2006/relationships/hyperlink" Id="rId74" Target="https://doi.org/10.64861/FWBL2094" TargetMode="External" /><Relationship Type="http://schemas.openxmlformats.org/officeDocument/2006/relationships/hyperlink" Id="rId70" Target="https://doi.org/10.64861/OTAL2562" TargetMode="External" /></Relationships>
</file>

<file path=word/_rels/footnotes.xml.rels><?xml version="1.0" encoding="UTF-8"?><Relationships xmlns="http://schemas.openxmlformats.org/package/2006/relationships"><Relationship Type="http://schemas.openxmlformats.org/officeDocument/2006/relationships/hyperlink" Id="rId78" Target="https://doi.org/10.1016/j.actaastro.2023.01.016" TargetMode="External" /><Relationship Type="http://schemas.openxmlformats.org/officeDocument/2006/relationships/hyperlink" Id="rId80" Target="https://doi.org/10.1016/j.actaastro.2024.12.037" TargetMode="External" /><Relationship Type="http://schemas.openxmlformats.org/officeDocument/2006/relationships/hyperlink" Id="rId76" Target="https://doi.org/10.1016/j.actaastro.2025.01.061" TargetMode="External" /><Relationship Type="http://schemas.openxmlformats.org/officeDocument/2006/relationships/hyperlink" Id="rId82" Target="https://doi.org/10.1016/j.actaastro.2026.05.010" TargetMode="External" /><Relationship Type="http://schemas.openxmlformats.org/officeDocument/2006/relationships/hyperlink" Id="rId74" Target="https://doi.org/10.64861/FWBL2094" TargetMode="External" /><Relationship Type="http://schemas.openxmlformats.org/officeDocument/2006/relationships/hyperlink" Id="rId70" Target="https://doi.org/10.64861/OTAL256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2026-06-28T19:11:33Z</dcterms:created>
  <dcterms:modified xsi:type="dcterms:W3CDTF">2026-06-28T19:11:33Z</dcterms:modified>
</cp:coreProperties>
</file>

<file path=docProps/custom.xml><?xml version="1.0" encoding="utf-8"?>
<Properties xmlns="http://schemas.openxmlformats.org/officeDocument/2006/custom-properties" xmlns:vt="http://schemas.openxmlformats.org/officeDocument/2006/docPropsVTypes"/>
</file>