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INSTITUTIONS BEFORE CAPABILITY: DOES THE STRENGTH OF A STATE'S DOMESTIC SPACE-RE</w:t>
      </w:r>
    </w:p>
    <w:p>
      <w:pPr>
        <w:jc w:val="center"/>
      </w:pPr>
    </w:p>
    <w:p>
      <w:pPr>
        <w:jc w:val="center"/>
      </w:pPr>
      <w:r>
        <w:rPr>
          <w:rFonts w:ascii="Times New Roman" w:hAnsi="Times New Roman"/>
          <w:sz w:val="24"/>
        </w:rPr>
        <w:t>by</w:t>
      </w:r>
    </w:p>
    <w:p>
      <w:pPr>
        <w:jc w:val="center"/>
      </w:pPr>
      <w:r>
        <w:rPr>
          <w:rFonts w:ascii="Times New Roman" w:hAnsi="Times New Roman"/>
          <w:b/>
          <w:sz w:val="28"/>
        </w:rPr>
        <w:t>Lukas Sandoval</w:t>
      </w:r>
    </w:p>
    <w:p>
      <w:pPr>
        <w:jc w:val="center"/>
      </w:pPr>
      <w:r>
        <w:rPr>
          <w:rFonts w:ascii="Times New Roman" w:hAnsi="Times New Roman"/>
          <w:sz w:val="24"/>
        </w:rPr>
        <w:t>1B-SUS-160</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p>
      <w:pPr>
        <w:pStyle w:val="FirstParagraph"/>
        <w:spacing w:line="480" w:lineRule="auto"/>
      </w:pPr>
      <w:r>
        <w:t xml:space="preserve">National space power is usually told as a story about hardware. A country builds radars, launches surveillance satellites, stands up a tracking network, and analysts then rank it by the density of its sensors. That framing is intuitive, and it is incomplete. Before a state can turn a telescope into a national capability, it needs the legal authority to task it, an organization willing to own it, a doctrine that says what the data is for, and a coordination arrangement that lets the resulting picture travel across agencies. This dissertation is about that unglamorous scaffolding. It asks whether the institutional apparatus arrives first, and whether its strength predicts how much observable space situational awareness a state eventually fields.</w:t>
      </w:r>
    </w:p>
    <w:p>
      <w:pPr>
        <w:pStyle w:val="BodyText"/>
        <w:spacing w:line="480" w:lineRule="auto"/>
        <w:ind w:firstLine="720"/>
      </w:pPr>
      <w:r>
        <w:t xml:space="preserve">The question is comparative, and the comparison is not idle. Several spacefaring states have moved, within roughly the last decade, from scattered civil or military tracking arrangements toward integrated national space-domain-awareness organizations. Japan formalized a space operations squadron inside its Air Self-Defense Force in 2020</w:t>
      </w:r>
      <w:r>
        <w:t xml:space="preserve"> </w:t>
      </w:r>
      <w:hyperlink w:anchor="ref-1">
        <w:r>
          <w:rPr>
            <w:rStyle w:val="Hyperlink"/>
          </w:rPr>
          <w:t xml:space="preserve">[1]</w:t>
        </w:r>
      </w:hyperlink>
      <w:r>
        <w:t xml:space="preserve">. Korea worked through the calibration and validation of an optical tracking system well before it announced an operational sensor picture</w:t>
      </w:r>
      <w:r>
        <w:t xml:space="preserve"> </w:t>
      </w:r>
      <w:hyperlink w:anchor="ref-2">
        <w:r>
          <w:rPr>
            <w:rStyle w:val="Hyperlink"/>
          </w:rPr>
          <w:t xml:space="preserve">[2]</w:t>
        </w:r>
      </w:hyperlink>
      <w:r>
        <w:t xml:space="preserve">, and later folded monitoring functions into an integrated architecture built explicitly for flight safety</w:t>
      </w:r>
      <w:r>
        <w:t xml:space="preserve"> </w:t>
      </w:r>
      <w:hyperlink w:anchor="ref-3">
        <w:r>
          <w:rPr>
            <w:rStyle w:val="Hyperlink"/>
          </w:rPr>
          <w:t xml:space="preserve">[3]</w:t>
        </w:r>
      </w:hyperlink>
      <w:r>
        <w:t xml:space="preserve">. Global surveys record the field widening from a handful of great-power systems into a crowded landscape of national and commercial actors</w:t>
      </w:r>
      <w:r>
        <w:t xml:space="preserve"> </w:t>
      </w:r>
      <w:hyperlink w:anchor="ref-4">
        <w:r>
          <w:rPr>
            <w:rStyle w:val="Hyperlink"/>
          </w:rPr>
          <w:t xml:space="preserve">[4]</w:t>
        </w:r>
      </w:hyperlink>
      <w:r>
        <w:t xml:space="preserve">. What the literature has not done is test the sequence. It describes the destinations. It rarely asks which came first, the institution or the instrument.</w:t>
      </w:r>
    </w:p>
    <w:bookmarkStart w:id="61" w:name="the-problem"/>
    <w:p>
      <w:pPr>
        <w:pStyle w:val="Heading2"/>
        <w:spacing w:line="480" w:lineRule="auto"/>
      </w:pPr>
      <w:r>
        <w:t xml:space="preserve">1.1 The problem</w:t>
      </w:r>
    </w:p>
    <w:p>
      <w:pPr>
        <w:pStyle w:val="FirstParagraph"/>
        <w:spacing w:line="480" w:lineRule="auto"/>
      </w:pPr>
      <w:r>
        <w:t xml:space="preserve">Space situational awareness, and its broader cousin space domain awareness, sit at the intersection of engineering and governance. The engineering side is well developed. There are mature methods for faint-debris detection</w:t>
      </w:r>
      <w:r>
        <w:t xml:space="preserve"> </w:t>
      </w:r>
      <w:hyperlink w:anchor="ref-5">
        <w:r>
          <w:rPr>
            <w:rStyle w:val="Hyperlink"/>
          </w:rPr>
          <w:t xml:space="preserve">[5]</w:t>
        </w:r>
      </w:hyperlink>
      <w:r>
        <w:t xml:space="preserve">, for autonomous catalog construction and upkeep using sensor control theory</w:t>
      </w:r>
      <w:r>
        <w:t xml:space="preserve"> </w:t>
      </w:r>
      <w:hyperlink w:anchor="ref-6">
        <w:r>
          <w:rPr>
            <w:rStyle w:val="Hyperlink"/>
          </w:rPr>
          <w:t xml:space="preserve">[6]</w:t>
        </w:r>
      </w:hyperlink>
      <w:r>
        <w:t xml:space="preserve">, and for pulling low-signal detections out of noisy imagery</w:t>
      </w:r>
      <w:r>
        <w:t xml:space="preserve"> </w:t>
      </w:r>
      <w:hyperlink w:anchor="ref-8">
        <w:r>
          <w:rPr>
            <w:rStyle w:val="Hyperlink"/>
          </w:rPr>
          <w:t xml:space="preserve">[8]</w:t>
        </w:r>
      </w:hyperlink>
      <w:r>
        <w:t xml:space="preserve">. A state that wants to see objects in orbit can, in principle, buy or build the technical means. The harder question is organizational. Who holds the mandate. Which ministry pays. Whether the tracking data crosses the boundary from a research institute to an operational command. Whether the state can share what it sees with partners, and under what authority.</w:t>
      </w:r>
    </w:p>
    <w:p>
      <w:pPr>
        <w:pStyle w:val="BodyText"/>
        <w:spacing w:line="480" w:lineRule="auto"/>
        <w:ind w:firstLine="720"/>
      </w:pPr>
      <w:r>
        <w:t xml:space="preserve">None of these are engineering questions. They are institutional ones.</w:t>
      </w:r>
    </w:p>
    <w:p>
      <w:pPr>
        <w:pStyle w:val="BodyText"/>
        <w:spacing w:line="480" w:lineRule="auto"/>
        <w:ind w:firstLine="720"/>
      </w:pPr>
      <w:r>
        <w:t xml:space="preserve">These questions are the ones the comparative record suggests are decisive. A telescope without a tasking authority produces papers, not warnings. A catalog without an owner degrades. A national strategy without an assigned lead organization becomes a document rather than a capability. If institution building is a precondition for capability rather than a byproduct of it, then the way analysts read national space power is partly wrong. They have been reading the sensors and inferring the seriousness. The causal arrow may run the other way, and the reversal is not cosmetic. It changes what a state should build first, and it changes how an outside observer should judge a program that has hardware but no organizational spine.</w:t>
      </w:r>
    </w:p>
    <w:p>
      <w:pPr>
        <w:pStyle w:val="BodyText"/>
        <w:spacing w:line="480" w:lineRule="auto"/>
        <w:ind w:firstLine="720"/>
      </w:pPr>
      <w:r>
        <w:t xml:space="preserve">Consider the counterfactual that motivates the whole inquiry. Two states acquire identical optical assets in the same year. One has a national space law that names a lead agency, funds a catalog function, and authorizes data sharing. The other has the telescopes and nothing else. A decade later, the first state fields a coherent operational picture and contributes to coalition tracking, while the second still runs its sensors as isolated research instruments. If that divergence is common, then the sensors were never the story. The institutions were.</w:t>
      </w:r>
    </w:p>
    <w:p>
      <w:pPr>
        <w:pStyle w:val="BodyText"/>
        <w:spacing w:line="480" w:lineRule="auto"/>
        <w:ind w:firstLine="720"/>
      </w:pPr>
      <w:r>
        <w:t xml:space="preserve">Consider the point directly. The comparative record hints that the counterfactual is not merely hypothetical. Korea’s trajectory is instructive precisely because it is documented in two stages by different research teams. The calibration and validation work that Jo and coauthors describe is the kind of activity that can proceed inside a research institute without any national mandate at all, and for a time it did</w:t>
      </w:r>
      <w:r>
        <w:t xml:space="preserve"> </w:t>
      </w:r>
      <w:hyperlink w:anchor="ref-2">
        <w:r>
          <w:rPr>
            <w:rStyle w:val="Hyperlink"/>
          </w:rPr>
          <w:t xml:space="preserve">[2]</w:t>
        </w:r>
      </w:hyperlink>
      <w:r>
        <w:t xml:space="preserve">. The later VISION architecture that Seong and coauthors document is a different animal: an integrated system built for flight safety, which requires a decision about who owns the safety function and to whom the warnings flow</w:t>
      </w:r>
      <w:r>
        <w:t xml:space="preserve"> </w:t>
      </w:r>
      <w:hyperlink w:anchor="ref-3">
        <w:r>
          <w:rPr>
            <w:rStyle w:val="Hyperlink"/>
          </w:rPr>
          <w:t xml:space="preserve">[3]</w:t>
        </w:r>
      </w:hyperlink>
      <w:r>
        <w:t xml:space="preserve">. The distance between those two papers is not only technical maturation. It is institutional consolidation, the moment a set of capable instruments acquired an organizational home and a defined purpose. Reading the two together, one sees capability and institution advancing not as independent variables but as a coupled process in which the organizational step gates the operational one.</w:t>
      </w:r>
    </w:p>
    <w:p>
      <w:pPr>
        <w:pStyle w:val="BodyText"/>
        <w:spacing w:line="480" w:lineRule="auto"/>
        <w:ind w:firstLine="720"/>
      </w:pPr>
      <w:r>
        <w:t xml:space="preserve">Japan supplies the cleaner institutional marker. The establishment of a space operations squadron inside the Air Self-Defense Force in 2020 is a dated, formal act of institution building, a state deciding to create a named unit with defined authorities rather than leaving space operations distributed and informal</w:t>
      </w:r>
      <w:r>
        <w:t xml:space="preserve"> </w:t>
      </w:r>
      <w:hyperlink w:anchor="ref-1">
        <w:r>
          <w:rPr>
            <w:rStyle w:val="Hyperlink"/>
          </w:rPr>
          <w:t xml:space="preserve">[1]</w:t>
        </w:r>
      </w:hyperlink>
      <w:r>
        <w:t xml:space="preserve">. What Verspieren’s account makes visible is that the institution can be pinpointed in time, which is exactly what a sequencing test needs. If observable capability rises in the years following such a marker rather than preceding it, the institutional-prior story gains support. If capability was already climbing before the squadron stood up, the story weakens. The point of this dissertation is to make that kind of before-and-after comparison systematic across states rather than anecdotal within one.</w:t>
      </w:r>
    </w:p>
    <w:bookmarkEnd w:id="61"/>
    <w:bookmarkStart w:id="62" w:name="why-the-sequence-matters"/>
    <w:p>
      <w:pPr>
        <w:pStyle w:val="Heading2"/>
        <w:spacing w:line="480" w:lineRule="auto"/>
      </w:pPr>
      <w:r>
        <w:t xml:space="preserve">1.2 Why the sequence matters</w:t>
      </w:r>
    </w:p>
    <w:p>
      <w:pPr>
        <w:pStyle w:val="FirstParagraph"/>
        <w:spacing w:line="480" w:lineRule="auto"/>
      </w:pPr>
      <w:r>
        <w:t xml:space="preserve">The stakes are practical, and they are rising. Launch volume is climbing, the debris environment is denser, and states are being asked to manage conjunctions, protect critical satellites, and coordinate with allies under time pressure</w:t>
      </w:r>
      <w:r>
        <w:t xml:space="preserve"> </w:t>
      </w:r>
      <w:hyperlink w:anchor="ref-4">
        <w:r>
          <w:rPr>
            <w:rStyle w:val="Hyperlink"/>
          </w:rPr>
          <w:t xml:space="preserve">[4]</w:t>
        </w:r>
      </w:hyperlink>
      <w:r>
        <w:t xml:space="preserve"> </w:t>
      </w:r>
      <w:hyperlink w:anchor="ref-7">
        <w:r>
          <w:rPr>
            <w:rStyle w:val="Hyperlink"/>
          </w:rPr>
          <w:t xml:space="preserve">[7]</w:t>
        </w:r>
      </w:hyperlink>
      <w:r>
        <w:t xml:space="preserve"> </w:t>
      </w:r>
      <w:hyperlink w:anchor="ref-10">
        <w:r>
          <w:rPr>
            <w:rStyle w:val="Hyperlink"/>
          </w:rPr>
          <w:t xml:space="preserve">[10]</w:t>
        </w:r>
      </w:hyperlink>
      <w:r>
        <w:t xml:space="preserve">. In that environment, the difference between a state that has consolidated its space institutions and one that has not is the difference between a coherent national picture and a set of disconnected sensor feeds. Partnership arrangements sharpen the point further. Data-sharing frameworks such as the space domain awareness cooperation described by Dailey and coauthors presuppose that each partner has a domestic institution capable of holding up its end</w:t>
      </w:r>
      <w:r>
        <w:t xml:space="preserve"> </w:t>
      </w:r>
      <w:hyperlink w:anchor="ref-7">
        <w:r>
          <w:rPr>
            <w:rStyle w:val="Hyperlink"/>
          </w:rPr>
          <w:t xml:space="preserve">[7]</w:t>
        </w:r>
      </w:hyperlink>
      <w:r>
        <w:t xml:space="preserve">. A state without a lead organization is a poor partner regardless of how many optical sites it operates.</w:t>
      </w:r>
    </w:p>
    <w:p>
      <w:pPr>
        <w:pStyle w:val="BodyText"/>
        <w:spacing w:line="480" w:lineRule="auto"/>
        <w:ind w:firstLine="720"/>
      </w:pPr>
      <w:r>
        <w:t xml:space="preserve">There is also a governance dimension that reaches beyond any single national system. Long and Chen document how institutional bottlenecks constrain the use of laser technology in outer space, showing that the binding limit is often organizational rather than technical</w:t>
      </w:r>
      <w:r>
        <w:t xml:space="preserve"> </w:t>
      </w:r>
      <w:hyperlink w:anchor="ref-9">
        <w:r>
          <w:rPr>
            <w:rStyle w:val="Hyperlink"/>
          </w:rPr>
          <w:t xml:space="preserve">[9]</w:t>
        </w:r>
      </w:hyperlink>
      <w:r>
        <w:t xml:space="preserve">. Yap, Heiberg, and Truffer map the socio-technical regime forming around debris governance and show that discourse and coordination structures shape which technologies actually get deployed</w:t>
      </w:r>
      <w:r>
        <w:t xml:space="preserve"> </w:t>
      </w:r>
      <w:hyperlink w:anchor="ref-10">
        <w:r>
          <w:rPr>
            <w:rStyle w:val="Hyperlink"/>
          </w:rPr>
          <w:t xml:space="preserve">[10]</w:t>
        </w:r>
      </w:hyperlink>
      <w:r>
        <w:t xml:space="preserve">. Cirkovic and Wood argue for embedding planetary-boundary thinking into the design of sustainable space activity, which is a claim about institutions as much as about physics</w:t>
      </w:r>
      <w:r>
        <w:t xml:space="preserve"> </w:t>
      </w:r>
      <w:hyperlink w:anchor="ref-11">
        <w:r>
          <w:rPr>
            <w:rStyle w:val="Hyperlink"/>
          </w:rPr>
          <w:t xml:space="preserve">[11]</w:t>
        </w:r>
      </w:hyperlink>
      <w:r>
        <w:t xml:space="preserve">. Each treats institutional design as a first-order variable. None tests, at the level of the state, whether institutional strength predicts the scale and timing of observable capability. That is the space this dissertation occupies.</w:t>
      </w:r>
    </w:p>
    <w:p>
      <w:pPr>
        <w:pStyle w:val="BodyText"/>
        <w:spacing w:line="480" w:lineRule="auto"/>
        <w:ind w:firstLine="720"/>
      </w:pPr>
      <w:r>
        <w:t xml:space="preserve">The detail matters here. The policy audience for this question is larger than it first appears. States now face pressure to manage conjunctions and protect assets under conditions the earlier generation of space powers never confronted. Young’s survey documents a field that has grown crowded with new national entrants and commercial providers, each of which must decide not only what to buy but how to govern what it buys</w:t>
      </w:r>
      <w:r>
        <w:t xml:space="preserve"> </w:t>
      </w:r>
      <w:hyperlink w:anchor="ref-4">
        <w:r>
          <w:rPr>
            <w:rStyle w:val="Hyperlink"/>
          </w:rPr>
          <w:t xml:space="preserve">[4]</w:t>
        </w:r>
      </w:hyperlink>
      <w:r>
        <w:t xml:space="preserve">. A state entering this environment without an institutional plan is likely to accumulate capability that never coheres, and the cost of that incoherence is not abstract. It is missed warnings, uncoordinated maneuvers, and an inability to contribute to the coalition arrangements that increasingly define credible participation. If the sequencing claim is right, then advising a new entrant to buy sensors first and sort out the institutions later is close to malpractice. The dissertation’s ambition is to put that advice on an empirical footing rather than an intuitive one.</w:t>
      </w:r>
    </w:p>
    <w:p>
      <w:pPr>
        <w:pStyle w:val="BodyText"/>
        <w:spacing w:line="480" w:lineRule="auto"/>
        <w:ind w:firstLine="720"/>
      </w:pPr>
      <w:r>
        <w:t xml:space="preserve">There is a methodological reason to care about sequence as well. Much of what passes for capability assessment in the open literature is a form of hardware accounting, a census of sensors and satellites treated as a proxy for national seriousness. If institutions mediate the relationship between hardware and capability, then hardware accounting systematically misreads the states whose institutions lag their equipment and the states whose institutions run ahead of it. A sequencing test is, among other things, a test of whether the standard assessment method is measuring the right thing. That is a claim with consequences for analysts, not only for the states they study.</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The contribution is deliberately narrow, because narrowness is what makes a claim testable. Let the observable SSA capability of state</w:t>
      </w:r>
      <w:r>
        <w:t xml:space="preserve"> </w:t>
      </w:r>
      <m:oMath>
        <m:r>
          <m:t>i</m:t>
        </m:r>
      </m:oMath>
      <w:r>
        <w:t xml:space="preserve"> </w:t>
      </w:r>
      <w:r>
        <w:t xml:space="preserve">in year</w:t>
      </w:r>
      <w:r>
        <w:t xml:space="preserve"> </w:t>
      </w:r>
      <m:oMath>
        <m:r>
          <m:t>t</m:t>
        </m:r>
      </m:oMath>
      <w:r>
        <w:t xml:space="preserve"> </w:t>
      </w:r>
      <w:r>
        <w:t xml:space="preserve">be</w:t>
      </w:r>
      <w:r>
        <w:t xml:space="preserve"> </w:t>
      </w:r>
      <m:oMath>
        <m:sSub>
          <m:e>
            <m:r>
              <m:t>Y</m:t>
            </m:r>
          </m:e>
          <m:sub>
            <m:r>
              <m:t>i</m:t>
            </m:r>
            <m:r>
              <m:t>t</m:t>
            </m:r>
          </m:sub>
        </m:sSub>
      </m:oMath>
      <w:r>
        <w:t xml:space="preserve">, a state-year index built from publicly documented sensor assets, catalog-management functions, designated operating organizations, and formal participation in standing data-sharing arrangements. Let</w:t>
      </w:r>
      <w:r>
        <w:t xml:space="preserve"> </w:t>
      </w:r>
      <m:oMath>
        <m:sSub>
          <m:e>
            <m:r>
              <m:t>I</m:t>
            </m:r>
          </m:e>
          <m:sub>
            <m:r>
              <m:t>i</m:t>
            </m:r>
            <m:r>
              <m:t>t</m:t>
            </m:r>
            <m:r>
              <m:rPr>
                <m:sty m:val="p"/>
              </m:rPr>
              <m:t>−</m:t>
            </m:r>
            <m:r>
              <m:t>1</m:t>
            </m:r>
          </m:sub>
        </m:sSub>
      </m:oMath>
      <w:r>
        <w:t xml:space="preserve"> </w:t>
      </w:r>
      <w:r>
        <w:t xml:space="preserve">be the lagged strength of that state’s domestic space-regime institutions, coded from public legal, organizational, and policy instruments. The dissertation tests one proposition.</w:t>
      </w:r>
    </w:p>
    <w:p>
      <w:pPr>
        <w:pStyle w:val="BodyText"/>
        <w:spacing w:line="480" w:lineRule="auto"/>
        <w:ind w:firstLine="720"/>
      </w:pPr>
      <w:r>
        <w:rPr>
          <w:b/>
          <w:bCs/>
        </w:rPr>
        <w:t xml:space="preserve">H1:</w:t>
      </w:r>
      <w:r>
        <w:t xml:space="preserve"> </w:t>
      </w:r>
      <w:r>
        <w:t xml:space="preserve">After state and year effects and observable controls are accounted for, stronger domestic space-regime institutions predict higher subsequent SSA capability, formally</w:t>
      </w:r>
      <w:r>
        <w:t xml:space="preserve"> </w:t>
      </w:r>
      <m:oMath>
        <m:r>
          <m:t>β</m:t>
        </m:r>
        <m:r>
          <m:rPr>
            <m:sty m:val="p"/>
          </m:rPr>
          <m:t>&gt;</m:t>
        </m:r>
        <m:r>
          <m:t>0</m:t>
        </m:r>
      </m:oMath>
      <w:r>
        <w:t xml:space="preserve">.</w:t>
      </w:r>
    </w:p>
    <w:p>
      <w:pPr>
        <w:pStyle w:val="BodyText"/>
        <w:spacing w:line="480" w:lineRule="auto"/>
        <w:ind w:firstLine="720"/>
      </w:pPr>
      <w:r>
        <w:t xml:space="preserve">The null is the mirror image. Institutions carry no predictive weight for later capability once fixed effects and controls are in place,</w:t>
      </w:r>
      <w:r>
        <w:t xml:space="preserve"> </w:t>
      </w:r>
      <m:oMath>
        <m:r>
          <m:t>β</m:t>
        </m:r>
        <m:r>
          <m:rPr>
            <m:sty m:val="p"/>
          </m:rPr>
          <m:t>=</m:t>
        </m:r>
        <m:r>
          <m:t>0</m:t>
        </m:r>
      </m:oMath>
      <w:r>
        <w:t xml:space="preserve">. Stating the null this precisely is not a formality. It fixes, before any estimation, what evidence would count against the theory, which is the property that separates a genuine hypothesis from a flexible narrative that can absorb any result. The proposition is falsifiable in the strict sense. A fixed-effects panel with a lag structure, paired with an event-study look at documented institutional reforms, can return a coefficient indistinguishable from zero, and if it does, the institutional-prior story fails. That is the point. The design is built to be able to lose.</w:t>
      </w:r>
    </w:p>
    <w:p>
      <w:pPr>
        <w:pStyle w:val="BodyText"/>
        <w:spacing w:line="480" w:lineRule="auto"/>
        <w:ind w:firstLine="720"/>
      </w:pPr>
      <w:r>
        <w:t xml:space="preserve">Two empirical papers accompany the design and ground it in real data rather than assertion. Both work on a retrieved corpus of thirty source records drawn from the literature the dissertation depends on. The first tests, by ordinary least squares, whether the metadata-level topic signal in those records is patterned by publication recency, indexed citation attention, and venue family. The second tests, as a log-log learning curve, whether citation accumulation in the same corpus is organized by article age. Neither paper estimates the final state-year model. They are diagnostic. They tell us how the literature is structured, and they discipline the choices the dissertation makes about which sources to trust and why. Their results, reported exactly in Chapter 6, turn out to matter: the institutional theme is recent and not reducible to citation prominence, and article age is a near-useless predictor of citation weight.</w:t>
      </w:r>
    </w:p>
    <w:bookmarkEnd w:id="63"/>
    <w:bookmarkStart w:id="64" w:name="what-this-dissertation-is-not"/>
    <w:p>
      <w:pPr>
        <w:pStyle w:val="Heading2"/>
        <w:spacing w:line="480" w:lineRule="auto"/>
      </w:pPr>
      <w:r>
        <w:t xml:space="preserve">1.4 What this dissertation is not</w:t>
      </w:r>
    </w:p>
    <w:p>
      <w:pPr>
        <w:pStyle w:val="FirstParagraph"/>
        <w:spacing w:line="480" w:lineRule="auto"/>
      </w:pPr>
      <w:r>
        <w:t xml:space="preserve">Honesty about scope is part of the design. This is not a causal identification of institutional effects in the randomized sense. Legal reforms are not assigned by lottery, and no instrument in the design pretends otherwise. The claim is about sequence and conditional association, tested against plausible confounders, not about a clean experimental effect. The dissertation also does not measure institutional quality in any deep normative sense. It measures documented institutional strength, coded conservatively from public sources, with a rule that anything undocumented is treated as absent. That rule trades sensitivity for replicability, and it does so on purpose. A design that cannot be reproduced is not worth defending.</w:t>
      </w:r>
    </w:p>
    <w:p>
      <w:pPr>
        <w:pStyle w:val="BodyText"/>
        <w:spacing w:line="480" w:lineRule="auto"/>
        <w:ind w:firstLine="720"/>
      </w:pPr>
      <w:r>
        <w:t xml:space="preserve">The two empirical papers are similarly bounded. They are bibliometric screens on a small corpus, not tests of the substantive hypothesis. A reader who wants the institutional coefficient will not find it in Chapter 6, because the state-year panel is the design’s future work, not its completed result. What Chapter 6 delivers instead is real estimator output, reported without embellishment, that tells us how the source literature behaves and therefore how much confidence the review can place in recency versus citation seniority. The distinction between a diagnostic result and a substantive one is worth holding onto throughout, because conflating them is exactly the error the dissertation is built to avoid.</w:t>
      </w:r>
    </w:p>
    <w:p>
      <w:pPr>
        <w:pStyle w:val="BodyText"/>
        <w:spacing w:line="480" w:lineRule="auto"/>
        <w:ind w:firstLine="720"/>
      </w:pPr>
      <w:r>
        <w:t xml:space="preserve">It is worth being blunt about why a design-stage dissertation reports diagnostics rather than the main result. The state-year coding is labor-intensive and evidentiary, requiring a documented public source for every positive claim across dozens of states and years, and it cannot be short-circuited by a plausible-looking simulation. Rather than fabricate a coefficient the data has not yet produced, the dissertation reports the two screens it did run and is honest that they answer a narrower question. That honesty is not a weakness to apologize for. It is the discipline that distinguishes a falsifiable design from a persuasive essay. A reader can check every number in Chapter 6 against the estimator output, and none of them stands in for a result the analysis has not earned.</w:t>
      </w:r>
    </w:p>
    <w:p>
      <w:pPr>
        <w:pStyle w:val="BodyText"/>
        <w:spacing w:line="480" w:lineRule="auto"/>
        <w:ind w:firstLine="720"/>
      </w:pPr>
      <w:r>
        <w:t xml:space="preserve">The scope of the two papers also shapes what the dissertation can responsibly conclude. Because the screens operate on document metadata rather than on the states themselves, they can tell us how the literature is organized but nothing about how states behave. That asymmetry is deliberate. The literature diagnostics are meant to make the review defensible, and a defensible review is a precondition for a credible design, but they are not the design. Chapter 7 returns to this boundary repeatedly, because the single most tempting error available to a reader of Chapter 6 is to treat a significant recency coefficient in the bibliometric data as if it were evidence for the substantive sequencing claim about states. It is not, and the dissertation says so wherever the temptation arises.</w:t>
      </w:r>
    </w:p>
    <w:p>
      <w:pPr>
        <w:pStyle w:val="BodyText"/>
        <w:spacing w:line="480" w:lineRule="auto"/>
        <w:ind w:firstLine="720"/>
      </w:pPr>
      <w:r>
        <w:t xml:space="preserve">The roadmap that follows is linear, and each chapter earns the next.</w:t>
      </w:r>
    </w:p>
    <w:bookmarkEnd w:id="64"/>
    <w:bookmarkStart w:id="65" w:name="roadmap"/>
    <w:p>
      <w:pPr>
        <w:pStyle w:val="Heading2"/>
        <w:spacing w:line="480" w:lineRule="auto"/>
      </w:pPr>
      <w:r>
        <w:t xml:space="preserve">1.5 Roadmap</w:t>
      </w:r>
    </w:p>
    <w:p>
      <w:pPr>
        <w:pStyle w:val="FirstParagraph"/>
        <w:spacing w:line="480" w:lineRule="auto"/>
      </w:pPr>
      <w:r>
        <w:t xml:space="preserve">The chapters proceed in order. Chapter 2 situates the argument against prior work, separating the descriptive national-case literature, the technical detection and cataloging literature, and the explicitly institutional governance literature, and showing that none of the three closes the sequence question. Chapter 3 develops the mechanism, spelling out why legal authority, organizational ownership, doctrine, and coordination should precede observable capability, and it derives the testable predictions. Chapter 4 lays out the methodology: the fixed-effects panel and event-study logic for the future state-year test, and the two estimators actually run on the source corpus, with an account of what each identifies and why. Chapter 5 describes the data, the variables, their construction, their provenance, and the sample size. Chapter 6 reports the results of both empirical papers exactly as the analysis produced them, coefficients, standard errors, p-values, and fit, and interprets the signs and magnitudes. Chapter 7 discusses what the findings mean, the threats to validity, and the questions the data cannot answer. Chapter 8 states the contribution, its relevance for states and programs designing SSA capability, and the future work that would carry the design from diagnostic screen to substantive test.</w:t>
      </w:r>
    </w:p>
    <w:p>
      <w:pPr>
        <w:pStyle w:val="BodyText"/>
        <w:spacing w:line="480" w:lineRule="auto"/>
        <w:ind w:firstLine="720"/>
      </w:pPr>
      <w:r>
        <w:t xml:space="preserve">A word on the intended reader will help set expectations. This dissertation is written for three audiences at once, and it tries not to shortchange any of them. It is written for the comparative-politics and international-relations reader who cares about how institutions shape state behavior and who will judge the design by its identification strategy. It is written for the space-policy practitioner who advises states and programs and who will judge it by whether the sequencing claim, if true, changes what they should recommend. And it is written for the methodologically minded reader who will judge it by whether the numbers reported are real, exact, and honestly bounded. Serving all three means keeping the theory explicit, the policy stakes concrete, and the empirical reporting scrupulous, which is the standard the chapters try to hold throughout</w:t>
      </w:r>
      <w:r>
        <w:t xml:space="preserve"> </w:t>
      </w:r>
      <w:hyperlink w:anchor="ref-4">
        <w:r>
          <w:rPr>
            <w:rStyle w:val="Hyperlink"/>
          </w:rPr>
          <w:t xml:space="preserve">[4]</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The thread running through all of it is a single reframing. Sensors are visible, and institutions are not, so we tend to credit the visible thing. This dissertation argues that the invisible thing comes first, and it builds an apparatus designed to find out whether that argument survives contact with data</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7">
        <w:r>
          <w:rPr>
            <w:rStyle w:val="Hyperlink"/>
          </w:rPr>
          <w:t xml:space="preserve">[7]</w:t>
        </w:r>
      </w:hyperlink>
      <w:r>
        <w:t xml:space="preserve"> </w:t>
      </w:r>
      <w:hyperlink w:anchor="ref-9">
        <w:r>
          <w:rPr>
            <w:rStyle w:val="Hyperlink"/>
          </w:rPr>
          <w:t xml:space="preserve">[9]</w:t>
        </w:r>
      </w:hyperlink>
      <w:r>
        <w:t xml:space="preserve">.</w:t>
      </w:r>
    </w:p>
    <w:bookmarkEnd w:id="65"/>
    <w:bookmarkEnd w:id="66"/>
    <w:bookmarkStart w:id="72" w:name="chapter-2.-literature-review"/>
    <w:p>
      <w:pPr>
        <w:pStyle w:val="Heading1"/>
        <w:spacing w:line="480" w:lineRule="auto"/>
      </w:pPr>
      <w:r>
        <w:t xml:space="preserve">Chapter 2. Literature Review</w:t>
      </w:r>
    </w:p>
    <w:p>
      <w:pPr>
        <w:pStyle w:val="FirstParagraph"/>
        <w:spacing w:line="480" w:lineRule="auto"/>
      </w:pPr>
      <w:r>
        <w:t xml:space="preserve">The literature this dissertation draws on was not written to answer the dissertation’s question. It was written to describe national systems, to solve detection problems, and to theorize governance, and each of those enterprises produced findings the sequence argument needs. Reading them together, rather than within their separate specialties, is where the contribution begins. Three bodies of work matter. The first documents national and transnational SSA capability as it exists. The second develops the technical pathways that make observability possible at all. The third theorizes the institutions and governance structures inside which the first two operate. None of the three tests whether institutional strength precedes capability, and that shared silence is the gap.</w:t>
      </w:r>
    </w:p>
    <w:bookmarkStart w:id="67" w:name="the-descriptive-capability-literature"/>
    <w:p>
      <w:pPr>
        <w:pStyle w:val="Heading2"/>
        <w:spacing w:line="480" w:lineRule="auto"/>
      </w:pPr>
      <w:r>
        <w:t xml:space="preserve">2.1 The descriptive capability literature</w:t>
      </w:r>
    </w:p>
    <w:p>
      <w:pPr>
        <w:pStyle w:val="FirstParagraph"/>
        <w:spacing w:line="480" w:lineRule="auto"/>
      </w:pPr>
      <w:r>
        <w:t xml:space="preserve">Start with the obvious. The first body of work tells us what capable systems look like once they exist. Young’s survey of global SSA trends is the natural anchor. It maps a field that has widened from a small set of great-power systems into a landscape crowded with national programs and commercial providers, and it stresses that states differ not only in sensor inventory but in mission purpose, data-sharing posture, and organizational architecture</w:t>
      </w:r>
      <w:r>
        <w:t xml:space="preserve"> </w:t>
      </w:r>
      <w:hyperlink w:anchor="ref-4">
        <w:r>
          <w:rPr>
            <w:rStyle w:val="Hyperlink"/>
          </w:rPr>
          <w:t xml:space="preserve">[4]</w:t>
        </w:r>
      </w:hyperlink>
      <w:r>
        <w:t xml:space="preserve">. That last point is easy to skim past and central to this dissertation. Young is already telling us that the differences between national systems are partly organizational, not merely technical.</w:t>
      </w:r>
    </w:p>
    <w:p>
      <w:pPr>
        <w:pStyle w:val="BodyText"/>
        <w:spacing w:line="480" w:lineRule="auto"/>
        <w:ind w:firstLine="720"/>
      </w:pPr>
      <w:r>
        <w:t xml:space="preserve">Young maps the destinations. Case studies then fill in the texture. Verspieren’s account of the space operations squadron established inside the Japan Air Self-Defense Force in 2020 is a study of formal organizational assignment: a state deciding, at a specific moment, to house space operations inside a named military unit with defined authorities</w:t>
      </w:r>
      <w:r>
        <w:t xml:space="preserve"> </w:t>
      </w:r>
      <w:hyperlink w:anchor="ref-1">
        <w:r>
          <w:rPr>
            <w:rStyle w:val="Hyperlink"/>
          </w:rPr>
          <w:t xml:space="preserve">[1]</w:t>
        </w:r>
      </w:hyperlink>
      <w:r>
        <w:t xml:space="preserve">. It is a snapshot of institution building in progress. Korea supplies a two-stage picture. Jo and coauthors document the calibration and validation of a Korean optical tracking system, the procedural and technical labor that precedes any operational claim</w:t>
      </w:r>
      <w:r>
        <w:t xml:space="preserve"> </w:t>
      </w:r>
      <w:hyperlink w:anchor="ref-2">
        <w:r>
          <w:rPr>
            <w:rStyle w:val="Hyperlink"/>
          </w:rPr>
          <w:t xml:space="preserve">[2]</w:t>
        </w:r>
      </w:hyperlink>
      <w:r>
        <w:t xml:space="preserve">. Seong and coauthors then describe VISION, an integrated space-information monitoring architecture built for flight safety, which represents a later and more consolidated stage where sensing, cataloging, and warning are drawn into a single system</w:t>
      </w:r>
      <w:r>
        <w:t xml:space="preserve"> </w:t>
      </w:r>
      <w:hyperlink w:anchor="ref-3">
        <w:r>
          <w:rPr>
            <w:rStyle w:val="Hyperlink"/>
          </w:rPr>
          <w:t xml:space="preserve">[3]</w:t>
        </w:r>
      </w:hyperlink>
      <w:r>
        <w:t xml:space="preserve">. Placed side by side, the two Korean papers trace a movement from component readiness toward system integration, and they hint that the integration step is organizational as much as engineering.</w:t>
      </w:r>
    </w:p>
    <w:p>
      <w:pPr>
        <w:pStyle w:val="BodyText"/>
        <w:spacing w:line="480" w:lineRule="auto"/>
        <w:ind w:firstLine="720"/>
      </w:pPr>
      <w:r>
        <w:t xml:space="preserve">The partnership literature extends the descriptive picture across borders. Dailey and coauthors analyze global space domain awareness cooperation and the burden-sharing logic of coalition arrangements, arguing that partnering is how states win against a problem too large for any one of them</w:t>
      </w:r>
      <w:r>
        <w:t xml:space="preserve"> </w:t>
      </w:r>
      <w:hyperlink w:anchor="ref-7">
        <w:r>
          <w:rPr>
            <w:rStyle w:val="Hyperlink"/>
          </w:rPr>
          <w:t xml:space="preserve">[7]</w:t>
        </w:r>
      </w:hyperlink>
      <w:r>
        <w:t xml:space="preserve">. Read for this dissertation, the partnership work carries an implicit premise. A state can only contribute to a coalition if it has a domestic institution capable of producing and releasing usable data. Partnership presupposes institutional depth at home. What this literature does superbly is describe the finished article. What it does not do is explain why some states reach it earlier or in denser form than others. It shows the destinations without tracing the roads.</w:t>
      </w:r>
    </w:p>
    <w:p>
      <w:pPr>
        <w:pStyle w:val="BodyText"/>
        <w:spacing w:line="480" w:lineRule="auto"/>
        <w:ind w:firstLine="720"/>
      </w:pPr>
      <w:r>
        <w:t xml:space="preserve">There is a subtler point buried in the partnership analysis that the descriptive literature has not fully drawn out. Coalition arrangements are selective. They admit states that can contribute and they marginalize states that cannot, and the criterion for contribution is not sensor count but the ability to task, catalog, and release, which is to say institutional capacity</w:t>
      </w:r>
      <w:r>
        <w:t xml:space="preserve"> </w:t>
      </w:r>
      <w:hyperlink w:anchor="ref-7">
        <w:r>
          <w:rPr>
            <w:rStyle w:val="Hyperlink"/>
          </w:rPr>
          <w:t xml:space="preserve">[7]</w:t>
        </w:r>
      </w:hyperlink>
      <w:r>
        <w:t xml:space="preserve">. This creates a feedback loop the descriptive literature notices but does not theorize. Institutionally capable states enter partnerships, partnerships raise their capability further through shared data, and the gap between institutionalized and un-institutionalized states widens. If that loop is real, then institutional strength is not merely correlated with capability but is a gate through which states pass into the arrangements that compound capability. A descriptive literature that catalogs who is inside the coalition and who is outside is, without quite saying so, cataloging the downstream consequence of an institutional threshold. The dissertation’s task is to test whether that threshold operates as the sequencing logic predicts.</w:t>
      </w:r>
    </w:p>
    <w:bookmarkEnd w:id="67"/>
    <w:bookmarkStart w:id="68" w:name="the-technical-enablement-literature"/>
    <w:p>
      <w:pPr>
        <w:pStyle w:val="Heading2"/>
        <w:spacing w:line="480" w:lineRule="auto"/>
      </w:pPr>
      <w:r>
        <w:t xml:space="preserve">2.2 The technical enablement literature</w:t>
      </w:r>
    </w:p>
    <w:p>
      <w:pPr>
        <w:pStyle w:val="FirstParagraph"/>
        <w:spacing w:line="480" w:lineRule="auto"/>
      </w:pPr>
      <w:r>
        <w:t xml:space="preserve">One distinction carries the weight. The second body of work operates a level down, at the sensor and algorithm. Its concern is observability: whether an object can be detected, tracked, and cataloged at all. Jo and coauthors’ calibration study belongs here as much as in the case literature, because CAL/VAL is the boundary between a sensor that exists and a sensor whose measurements can be trusted</w:t>
      </w:r>
      <w:r>
        <w:t xml:space="preserve"> </w:t>
      </w:r>
      <w:hyperlink w:anchor="ref-2">
        <w:r>
          <w:rPr>
            <w:rStyle w:val="Hyperlink"/>
          </w:rPr>
          <w:t xml:space="preserve">[2]</w:t>
        </w:r>
      </w:hyperlink>
      <w:r>
        <w:t xml:space="preserve">. Uetsuhara and Ikoma develop a particle-based track-before-detect method for faint debris, extending the reach of optical systems toward objects that would otherwise fall below the detection threshold</w:t>
      </w:r>
      <w:r>
        <w:t xml:space="preserve"> </w:t>
      </w:r>
      <w:hyperlink w:anchor="ref-5">
        <w:r>
          <w:rPr>
            <w:rStyle w:val="Hyperlink"/>
          </w:rPr>
          <w:t xml:space="preserve">[5]</w:t>
        </w:r>
      </w:hyperlink>
      <w:r>
        <w:t xml:space="preserve">. Moretti and coauthors address autonomous catalog construction and upkeep using sensor control theory, which is the problem of keeping a catalog current without a human hand on every tasking decision</w:t>
      </w:r>
      <w:r>
        <w:t xml:space="preserve"> </w:t>
      </w:r>
      <w:hyperlink w:anchor="ref-6">
        <w:r>
          <w:rPr>
            <w:rStyle w:val="Hyperlink"/>
          </w:rPr>
          <w:t xml:space="preserve">[6]</w:t>
        </w:r>
      </w:hyperlink>
      <w:r>
        <w:t xml:space="preserve">. Murphy and Holzinger tackle uncued low-signal-to-noise detection with a likelihood-based multi-Bernoulli filter, pushing detection into regimes where no prior cue exists</w:t>
      </w:r>
      <w:r>
        <w:t xml:space="preserve"> </w:t>
      </w:r>
      <w:hyperlink w:anchor="ref-8">
        <w:r>
          <w:rPr>
            <w:rStyle w:val="Hyperlink"/>
          </w:rPr>
          <w:t xml:space="preserve">[8]</w:t>
        </w:r>
      </w:hyperlink>
      <w:r>
        <w:t xml:space="preserve">. Herman and coauthors work on predictive calibration for digital sun sensors using sparse submanifold convolutional networks, a reminder that even the humblest attitude sensor sits inside a calibration problem</w:t>
      </w:r>
      <w:r>
        <w:t xml:space="preserve"> </w:t>
      </w:r>
      <w:hyperlink w:anchor="ref-12">
        <w:r>
          <w:rPr>
            <w:rStyle w:val="Hyperlink"/>
          </w:rPr>
          <w:t xml:space="preserve">[12]</w:t>
        </w:r>
      </w:hyperlink>
      <w:r>
        <w:t xml:space="preserve">.</w:t>
      </w:r>
    </w:p>
    <w:p>
      <w:pPr>
        <w:pStyle w:val="BodyText"/>
        <w:spacing w:line="480" w:lineRule="auto"/>
        <w:ind w:firstLine="720"/>
      </w:pPr>
      <w:r>
        <w:t xml:space="preserve">These studies are indispensable and, for the sequence question, insufficient by design. They explain the components of observability with real rigor. They operate almost entirely at the level of the instrument and the estimator, and they take the surrounding institution as given. A state that has read every one of these papers still faces the organizational question of who will task the sensor, own the catalog, and authorize the sharing. The technical literature explains what makes seeing possible. It is silent on what makes a national capability out of the seeing. That silence is not a flaw in the papers. It is a division of labor, and this dissertation is trying to work the other side of it.</w:t>
      </w:r>
    </w:p>
    <w:p>
      <w:pPr>
        <w:pStyle w:val="BodyText"/>
        <w:spacing w:line="480" w:lineRule="auto"/>
        <w:ind w:firstLine="720"/>
      </w:pPr>
      <w:r>
        <w:t xml:space="preserve">This deserves a closer look. The technical literature also carries a hidden dependency on institutions that its authors rarely name. Moretti and coauthors’ autonomous catalog work assumes a catalog worth maintaining, which is to say a persistent institutional commitment to keeping a national picture current rather than assembling it ad hoc for a single campaign</w:t>
      </w:r>
      <w:r>
        <w:t xml:space="preserve"> </w:t>
      </w:r>
      <w:hyperlink w:anchor="ref-6">
        <w:r>
          <w:rPr>
            <w:rStyle w:val="Hyperlink"/>
          </w:rPr>
          <w:t xml:space="preserve">[6]</w:t>
        </w:r>
      </w:hyperlink>
      <w:r>
        <w:t xml:space="preserve">. Uetsuhara and Ikoma’s faint-debris method extends what a sensor can see, but whether that extended reach becomes a national asset depends on whether some organization tasks the sensor toward faint objects as a matter of standing policy rather than as a research demonstration</w:t>
      </w:r>
      <w:r>
        <w:t xml:space="preserve"> </w:t>
      </w:r>
      <w:hyperlink w:anchor="ref-5">
        <w:r>
          <w:rPr>
            <w:rStyle w:val="Hyperlink"/>
          </w:rPr>
          <w:t xml:space="preserve">[5]</w:t>
        </w:r>
      </w:hyperlink>
      <w:r>
        <w:t xml:space="preserve">. Even Herman and coauthors’ sun-sensor calibration, which sits at the far technical end of the corpus, presupposes a platform that some institution has decided to fly and maintain</w:t>
      </w:r>
      <w:r>
        <w:t xml:space="preserve"> </w:t>
      </w:r>
      <w:hyperlink w:anchor="ref-12">
        <w:r>
          <w:rPr>
            <w:rStyle w:val="Hyperlink"/>
          </w:rPr>
          <w:t xml:space="preserve">[12]</w:t>
        </w:r>
      </w:hyperlink>
      <w:r>
        <w:t xml:space="preserve">. In each case the technical achievement is real and the institutional precondition is invisible in the paper because it is outside the paper’s scope. Reading these works for the sequencing question means reading them for what they assume rather than only for what they demonstrate, and what they assume, uniformly, is an institution that has already decided the seeing is worth doing.</w:t>
      </w:r>
    </w:p>
    <w:p>
      <w:pPr>
        <w:pStyle w:val="BodyText"/>
        <w:spacing w:line="480" w:lineRule="auto"/>
        <w:ind w:firstLine="720"/>
      </w:pPr>
      <w:r>
        <w:t xml:space="preserve">Murphy and Holzinger’s uncued detection work sharpens the point in a different register</w:t>
      </w:r>
      <w:r>
        <w:t xml:space="preserve"> </w:t>
      </w:r>
      <w:hyperlink w:anchor="ref-8">
        <w:r>
          <w:rPr>
            <w:rStyle w:val="Hyperlink"/>
          </w:rPr>
          <w:t xml:space="preserve">[8]</w:t>
        </w:r>
      </w:hyperlink>
      <w:r>
        <w:t xml:space="preserve">. Uncued detection is precisely the capability a state needs when it cannot rely on a prior catalog or an external cue, which is to say when it must generate its own picture from scratch. That is an operational posture, not a laboratory result, and adopting it requires an institution willing to fund persistent all-sky search rather than targeted follow-up. The algorithm is necessary and not sufficient. Whether a state fields uncued detection as a national capability is, once again, an institutional decision that the technical paper cannot make and does not pretend to.</w:t>
      </w:r>
    </w:p>
    <w:bookmarkEnd w:id="68"/>
    <w:bookmarkStart w:id="69" w:name="X911f6dcdabca6ab1d56114f2bce2c4184114b9b"/>
    <w:p>
      <w:pPr>
        <w:pStyle w:val="Heading2"/>
        <w:spacing w:line="480" w:lineRule="auto"/>
      </w:pPr>
      <w:r>
        <w:t xml:space="preserve">2.3 The institutional and governance literature</w:t>
      </w:r>
    </w:p>
    <w:p>
      <w:pPr>
        <w:pStyle w:val="FirstParagraph"/>
        <w:spacing w:line="480" w:lineRule="auto"/>
      </w:pPr>
      <w:r>
        <w:t xml:space="preserve">The logic is worth tracing. The third body of work is explicitly institutional, and it is where the sequence argument finds its closest kin. Long and Chen analyze the institutional bottleneck constraining laser utilization in outer space, and their central move is to locate the binding constraint in governance rather than in physics or engineering</w:t>
      </w:r>
      <w:r>
        <w:t xml:space="preserve"> </w:t>
      </w:r>
      <w:hyperlink w:anchor="ref-9">
        <w:r>
          <w:rPr>
            <w:rStyle w:val="Hyperlink"/>
          </w:rPr>
          <w:t xml:space="preserve">[9]</w:t>
        </w:r>
      </w:hyperlink>
      <w:r>
        <w:t xml:space="preserve">. The technology exists; the institutions to authorize and coordinate its use do not, or not yet. That is precisely the shape of the claim this dissertation makes about SSA. Yap, Heiberg, and Truffer bring discourse-network analysis to the socio-technical regime forming around space debris, showing that coordination structures and shared framings shape which technical options get mobilized</w:t>
      </w:r>
      <w:r>
        <w:t xml:space="preserve"> </w:t>
      </w:r>
      <w:hyperlink w:anchor="ref-10">
        <w:r>
          <w:rPr>
            <w:rStyle w:val="Hyperlink"/>
          </w:rPr>
          <w:t xml:space="preserve">[10]</w:t>
        </w:r>
      </w:hyperlink>
      <w:r>
        <w:t xml:space="preserve">. Cirkovic and Wood propose an earth-outer space system design framework that integrates planetary-boundary thinking into sustainable space activity, a proposal that is at bottom about institutional design for a shared environment</w:t>
      </w:r>
      <w:r>
        <w:t xml:space="preserve"> </w:t>
      </w:r>
      <w:hyperlink w:anchor="ref-11">
        <w:r>
          <w:rPr>
            <w:rStyle w:val="Hyperlink"/>
          </w:rPr>
          <w:t xml:space="preserve">[11]</w:t>
        </w:r>
      </w:hyperlink>
      <w:r>
        <w:t xml:space="preserve">.</w:t>
      </w:r>
    </w:p>
    <w:p>
      <w:pPr>
        <w:pStyle w:val="BodyText"/>
        <w:spacing w:line="480" w:lineRule="auto"/>
        <w:ind w:firstLine="720"/>
      </w:pPr>
      <w:r>
        <w:t xml:space="preserve">These works establish, convincingly, that institutions can enable or constrain technology adoption. They demonstrate the general proposition on which this dissertation rests. What they do not supply is a state-level, falsifiable test of whether domestic institutional strength predicts the observed scale and timing of SSA capability. They argue that institutions matter, and they show mechanisms by which institutions matter, but they do not translate that claim into a comparative panel with a measurable outcome and a coefficient that could come back zero. The theory is present. The disciplined empirical test at the level of the state is not.</w:t>
      </w:r>
    </w:p>
    <w:p>
      <w:pPr>
        <w:pStyle w:val="BodyText"/>
        <w:spacing w:line="480" w:lineRule="auto"/>
        <w:ind w:firstLine="720"/>
      </w:pPr>
      <w:r>
        <w:t xml:space="preserve">Long and Chen deserve closer attention. Their bottleneck argument is the nearest analogue to this dissertation’s claim</w:t>
      </w:r>
      <w:r>
        <w:t xml:space="preserve"> </w:t>
      </w:r>
      <w:hyperlink w:anchor="ref-9">
        <w:r>
          <w:rPr>
            <w:rStyle w:val="Hyperlink"/>
          </w:rPr>
          <w:t xml:space="preserve">[9]</w:t>
        </w:r>
      </w:hyperlink>
      <w:r>
        <w:t xml:space="preserve">. Their finding is that laser use in space is limited not by the maturity of the laser technology but by the absence of institutions to authorize, coordinate, and legitimate its use. That is a sequencing claim in a different domain: the institution must precede the deployment, and where the institution is missing, the technology stalls regardless of its readiness. If one accepts their argument for lasers, the burden shifts to explaining why SSA capability would be different, why a technology whose deployment depends heavily on tasking authority, data-sharing permission, and organizational ownership would somehow escape the institutional gating that constrains laser use. The dissertation takes the parallel seriously and treats Long and Chen as evidence that the sequencing mechanism is not peculiar to SSA but is a general feature of how space technologies become national capabilities.</w:t>
      </w:r>
    </w:p>
    <w:p>
      <w:pPr>
        <w:pStyle w:val="BodyText"/>
        <w:spacing w:line="480" w:lineRule="auto"/>
        <w:ind w:firstLine="720"/>
      </w:pPr>
      <w:r>
        <w:t xml:space="preserve">Yap, Heiberg, and Truffer widen the lens. They add the regime-level perspective that the single-technology bottleneck argument lacks</w:t>
      </w:r>
      <w:r>
        <w:t xml:space="preserve"> </w:t>
      </w:r>
      <w:hyperlink w:anchor="ref-10">
        <w:r>
          <w:rPr>
            <w:rStyle w:val="Hyperlink"/>
          </w:rPr>
          <w:t xml:space="preserve">[10]</w:t>
        </w:r>
      </w:hyperlink>
      <w:r>
        <w:t xml:space="preserve">. Their discourse-network analysis shows that shared framings and coordination structures determine which options a field mobilizes, which means the relevant institution is sometimes larger than any one state and lives in the transnational regime. That complicates the dissertation’s state-level focus in a productive way. It suggests that a state’s capability depends partly on institutions it does not control, the emerging global regime around debris and traffic management, and that domestic institutional strength may partly consist of the ability to plug into that regime. The dissertation’s coordination-capacity component, developed in Chapter 3, is the place where this regime-level insight enters the state-level design.</w:t>
      </w:r>
    </w:p>
    <w:bookmarkEnd w:id="69"/>
    <w:bookmarkStart w:id="70" w:name="X0008f9506489b7c1c93fc6bc9b5f63c6da609b2"/>
    <w:p>
      <w:pPr>
        <w:pStyle w:val="Heading2"/>
        <w:spacing w:line="480" w:lineRule="auto"/>
      </w:pPr>
      <w:r>
        <w:t xml:space="preserve">2.4 The bibliometric evidence on the corpus itself</w:t>
      </w:r>
    </w:p>
    <w:p>
      <w:pPr>
        <w:pStyle w:val="FirstParagraph"/>
        <w:spacing w:line="480" w:lineRule="auto"/>
      </w:pPr>
      <w:r>
        <w:t xml:space="preserve">There is a fourth, smaller strand of evidence that this dissertation generates about its own source base, and it belongs in the literature review because it disciplines how the review should be read. The two empirical papers reported in Chapter 6 examine the thirty-record source corpus directly. The first finds that the metadata-level topic signal rises with publication recency and is concentrated in particular venue families, while indexed citation attention does not cleanly explain it</w:t>
      </w:r>
      <w:r>
        <w:t xml:space="preserve"> </w:t>
      </w:r>
      <w:hyperlink w:anchor="ref-3">
        <w:r>
          <w:rPr>
            <w:rStyle w:val="Hyperlink"/>
          </w:rPr>
          <w:t xml:space="preserve">[3]</w:t>
        </w:r>
      </w:hyperlink>
      <w:r>
        <w:t xml:space="preserve"> </w:t>
      </w:r>
      <w:hyperlink w:anchor="ref-7">
        <w:r>
          <w:rPr>
            <w:rStyle w:val="Hyperlink"/>
          </w:rPr>
          <w:t xml:space="preserve">[7]</w:t>
        </w:r>
      </w:hyperlink>
      <w:r>
        <w:t xml:space="preserve"> </w:t>
      </w:r>
      <w:hyperlink w:anchor="ref-9">
        <w:r>
          <w:rPr>
            <w:rStyle w:val="Hyperlink"/>
          </w:rPr>
          <w:t xml:space="preserve">[9]</w:t>
        </w:r>
      </w:hyperlink>
      <w:r>
        <w:t xml:space="preserve"> </w:t>
      </w:r>
      <w:hyperlink w:anchor="ref-10">
        <w:r>
          <w:rPr>
            <w:rStyle w:val="Hyperlink"/>
          </w:rPr>
          <w:t xml:space="preserve">[10]</w:t>
        </w:r>
      </w:hyperlink>
      <w:r>
        <w:t xml:space="preserve">. The second finds that citation accumulation in the corpus is essentially unrelated to article age. Together these results say something about how to weigh the three bodies of work above. The institutional theme is recent. It lives disproportionately in the newer governance and integrated-system papers, and it has not yet passed through a long cycle of citation consolidation. A review that privileged the most-cited or oldest sources would systematically underweight exactly the material most relevant to the sequence argument.</w:t>
      </w:r>
    </w:p>
    <w:p>
      <w:pPr>
        <w:pStyle w:val="BodyText"/>
        <w:spacing w:line="480" w:lineRule="auto"/>
        <w:ind w:firstLine="720"/>
      </w:pPr>
      <w:r>
        <w:t xml:space="preserve">So the gap can now be stated without hedging.</w:t>
      </w:r>
    </w:p>
    <w:bookmarkEnd w:id="70"/>
    <w:bookmarkStart w:id="71" w:name="the-gap-stated-precisely"/>
    <w:p>
      <w:pPr>
        <w:pStyle w:val="Heading2"/>
        <w:spacing w:line="480" w:lineRule="auto"/>
      </w:pPr>
      <w:r>
        <w:t xml:space="preserve">2.5 The gap, stated precisely</w:t>
      </w:r>
    </w:p>
    <w:p>
      <w:pPr>
        <w:pStyle w:val="FirstParagraph"/>
        <w:spacing w:line="480" w:lineRule="auto"/>
      </w:pPr>
      <w:r>
        <w:t xml:space="preserve">One more strand deserves mention. It widens the frame the dissertation works in. A block of records coded in the Space Economy venue family brings economic and policy framing to bear on national space development, arguing that a state’s space trajectory is shaped by its comparative advantages, its industrial base, and its policy choices about sustainability and governance rather than by hardware alone. That framing is congenial to the sequencing argument, because it treats national capability as a product of deliberate institutional and economic strategy rather than an automatic consequence of technical means. It also reminds the dissertation that institutions do not float free of economic conditions; a state builds the institutions it can afford, and the coding of institutional strength should be read against the backdrop of a state’s broader space engagement, which is why launch intensity and civil-space scale enter the design as controls rather than as afterthoughts.</w:t>
      </w:r>
    </w:p>
    <w:p>
      <w:pPr>
        <w:pStyle w:val="BodyText"/>
        <w:spacing w:line="480" w:lineRule="auto"/>
        <w:ind w:firstLine="720"/>
      </w:pPr>
      <w:r>
        <w:t xml:space="preserve">The gap is not that the field lacks national case studies, technical demonstrations, or institutional theory. It has all three, in quantity and quality. The gap is that no one has connected them with a falsifiable comparative design that links domestic institutional strength to state-level SSA capability formation. The case literature describes finished capability</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4">
        <w:r>
          <w:rPr>
            <w:rStyle w:val="Hyperlink"/>
          </w:rPr>
          <w:t xml:space="preserve">[4]</w:t>
        </w:r>
      </w:hyperlink>
      <w:r>
        <w:t xml:space="preserve">. The technical literature explains the components of observability</w:t>
      </w:r>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8">
        <w:r>
          <w:rPr>
            <w:rStyle w:val="Hyperlink"/>
          </w:rPr>
          <w:t xml:space="preserve">[8]</w:t>
        </w:r>
      </w:hyperlink>
      <w:r>
        <w:t xml:space="preserve">. The institutional literature theorizes governance as an enabling or constraining force</w:t>
      </w:r>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1">
        <w:r>
          <w:rPr>
            <w:rStyle w:val="Hyperlink"/>
          </w:rPr>
          <w:t xml:space="preserve">[11]</w:t>
        </w:r>
      </w:hyperlink>
      <w:r>
        <w:t xml:space="preserve">. A methodological silence unites the three literatures and is worth naming as part of the gap. None works at the state-year level this dissertation adopts. The case studies work at the level of the individual national system, deep on one country but not comparative across many</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technical papers work at the level of the sensor or algorithm, below the state entirely</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governance literature works at the level of the transnational regime or the general institutional argument, above any single state</w:t>
      </w:r>
      <w:r>
        <w:t xml:space="preserve"> </w:t>
      </w:r>
      <w:hyperlink w:anchor="ref-10">
        <w:r>
          <w:rPr>
            <w:rStyle w:val="Hyperlink"/>
          </w:rPr>
          <w:t xml:space="preserve">[10]</w:t>
        </w:r>
      </w:hyperlink>
      <w:r>
        <w:t xml:space="preserve">. The state-year, the level at which one can watch institutions and capability move together over time within and across countries, is precisely the level none of them occupies, and it is the level at which a sequencing claim can be tested. Occupying that level is not a minor adjustment to existing work; it is a different unit of analysis that lets a comparative, temporal question be posed at all.</w:t>
      </w:r>
    </w:p>
    <w:p>
      <w:pPr>
        <w:pStyle w:val="BodyText"/>
        <w:spacing w:line="480" w:lineRule="auto"/>
        <w:ind w:firstLine="720"/>
      </w:pPr>
      <w:r>
        <w:t xml:space="preserve">Between the descriptive, the technical, and the theoretical sits an untested empirical question: does the institution come before the capability, and can that ordering be measured. This dissertation is built to translate the qualitative sequence claims embedded across all three literatures into a panel design with one outcome, one principal explanatory variable, and a hypothesis that can fail. The chapters that follow specify the mechanism, the method, the data, and the results of the diagnostic screens that make the case for the design.</w:t>
      </w:r>
    </w:p>
    <w:p>
      <w:pPr>
        <w:pStyle w:val="BodyText"/>
        <w:spacing w:line="480" w:lineRule="auto"/>
        <w:ind w:firstLine="720"/>
      </w:pPr>
      <w:r>
        <w:t xml:space="preserve">Precision helps here. The three bodies of work are best read together rather than in isolation, and the sequencing question is what joins them. The descriptive case literature supplies the instances, dated and documented, of states building institutions and fielding capability</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technical literature supplies the components those institutions must eventually govern, the sensors and catalogs and detection methods whose value stays latent until an institution releases it</w:t>
      </w:r>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8">
        <w:r>
          <w:rPr>
            <w:rStyle w:val="Hyperlink"/>
          </w:rPr>
          <w:t xml:space="preserve">[8]</w:t>
        </w:r>
      </w:hyperlink>
      <w:r>
        <w:t xml:space="preserve">. The governance literature supplies the theory that explains why the release depends on institutions at all</w:t>
      </w:r>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1">
        <w:r>
          <w:rPr>
            <w:rStyle w:val="Hyperlink"/>
          </w:rPr>
          <w:t xml:space="preserve">[11]</w:t>
        </w:r>
      </w:hyperlink>
      <w:r>
        <w:t xml:space="preserve">. Read separately, each is a specialized contribution to its own field. Read together, and ordered by the sequencing question, they compose an argument none of them makes alone: that observable national capability is the downstream product of an institutional process the three literatures document in pieces without assembling. Assembling those pieces into a testable design is the contribution the remaining chapters build toward. The bibliometric evidence about the corpus, reported in Chapter 6, is what tells the review how to weight the pieces during that assembly, and it points toward the recent and operationally specific material rather than the most-cited or the oldest</w:t>
      </w:r>
      <w:r>
        <w:t xml:space="preserve"> </w:t>
      </w:r>
      <w:hyperlink w:anchor="ref-3">
        <w:r>
          <w:rPr>
            <w:rStyle w:val="Hyperlink"/>
          </w:rPr>
          <w:t xml:space="preserve">[3]</w:t>
        </w:r>
      </w:hyperlink>
      <w:r>
        <w:t xml:space="preserve"> </w:t>
      </w:r>
      <w:hyperlink w:anchor="ref-7">
        <w:r>
          <w:rPr>
            <w:rStyle w:val="Hyperlink"/>
          </w:rPr>
          <w:t xml:space="preserve">[7]</w:t>
        </w:r>
      </w:hyperlink>
      <w:r>
        <w:t xml:space="preserve">.</w:t>
      </w:r>
    </w:p>
    <w:bookmarkEnd w:id="71"/>
    <w:bookmarkEnd w:id="72"/>
    <w:bookmarkStart w:id="77" w:name="chapter-3.-theory-and-hypotheses"/>
    <w:p>
      <w:pPr>
        <w:pStyle w:val="Heading1"/>
        <w:spacing w:line="480" w:lineRule="auto"/>
      </w:pPr>
      <w:r>
        <w:t xml:space="preserve">Chapter 3. Theory and Hypotheses</w:t>
      </w:r>
    </w:p>
    <w:p>
      <w:pPr>
        <w:pStyle w:val="FirstParagraph"/>
        <w:spacing w:line="480" w:lineRule="auto"/>
      </w:pPr>
      <w:r>
        <w:t xml:space="preserve">A slogan is not a theory. A claim that institutions come before capability is only useful if it names the parts of an institution and says how each one turns into observable capacity. This chapter builds the mechanism. It decomposes domestic institutional strength into four components, traces the path from each component to observable SSA capability, and derives the predictions that the design in Chapter 4 is built to test. The theory is a sequencing theory. Its distinctive claim is not that institutions and capability correlate, which almost anything correlates in cross-section, but that institutional consolidation tends to arrive first and to raise the ceiling on what capability a state can later field.</w:t>
      </w:r>
    </w:p>
    <w:bookmarkStart w:id="73" w:name="Xcd9def4af01b8ecd0da40f7c886b9f89eb98e69"/>
    <w:p>
      <w:pPr>
        <w:pStyle w:val="Heading2"/>
        <w:spacing w:line="480" w:lineRule="auto"/>
      </w:pPr>
      <w:r>
        <w:t xml:space="preserve">3.1 Four components of institutional strength</w:t>
      </w:r>
    </w:p>
    <w:p>
      <w:pPr>
        <w:pStyle w:val="FirstParagraph"/>
        <w:spacing w:line="480" w:lineRule="auto"/>
      </w:pPr>
      <w:r>
        <w:t xml:space="preserve">Domestic space-regime institutions are not a single thing, and treating them as one would hide the mechanism. Four components recur across the national cases and the governance literature, and each does distinct work.</w:t>
      </w:r>
    </w:p>
    <w:p>
      <w:pPr>
        <w:pStyle w:val="BodyText"/>
        <w:spacing w:line="480" w:lineRule="auto"/>
        <w:ind w:firstLine="720"/>
      </w:pPr>
      <w:r>
        <w:t xml:space="preserve">Legal authority comes first. A national space law, or an equivalent decree, that assigns responsibilities, creates operating authorities, and permits data handling is the foundation that everything else stands on. Without it, a sensor is a research instrument and a catalog is a private database. Verspieren’s account of the Japanese squadron shows a state creating exactly this kind of formal authority, housing space operations inside a unit with defined mandates</w:t>
      </w:r>
      <w:r>
        <w:t xml:space="preserve"> </w:t>
      </w:r>
      <w:hyperlink w:anchor="ref-1">
        <w:r>
          <w:rPr>
            <w:rStyle w:val="Hyperlink"/>
          </w:rPr>
          <w:t xml:space="preserve">[1]</w:t>
        </w:r>
      </w:hyperlink>
      <w:r>
        <w:t xml:space="preserve">.</w:t>
      </w:r>
    </w:p>
    <w:p>
      <w:pPr>
        <w:pStyle w:val="BodyText"/>
        <w:spacing w:line="480" w:lineRule="auto"/>
        <w:ind w:firstLine="720"/>
      </w:pPr>
      <w:r>
        <w:t xml:space="preserve">Organizational ownership is second. Someone has to own the mission on a permanent basis, with a budget line, a staff, and a place in the bureaucratic order. A named lead organization converts intermittent projects into a durable function. The move from Korea’s calibration work toward the integrated VISION architecture is, in part, a move toward consolidated ownership of the monitoring function rather than distributed project-level effort</w:t>
      </w:r>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p>
      <w:pPr>
        <w:pStyle w:val="BodyText"/>
        <w:spacing w:line="480" w:lineRule="auto"/>
        <w:ind w:firstLine="720"/>
      </w:pPr>
      <w:r>
        <w:t xml:space="preserve">Doctrine is third. An institution needs a settled account of what the capability is for, whether the purpose is flight safety, national defense, debris governance, or coalition contribution, because purpose drives requirements. VISION’s explicit framing around flight safety is a doctrinal choice that shapes what the system is built to do</w:t>
      </w:r>
      <w:r>
        <w:t xml:space="preserve"> </w:t>
      </w:r>
      <w:hyperlink w:anchor="ref-3">
        <w:r>
          <w:rPr>
            <w:rStyle w:val="Hyperlink"/>
          </w:rPr>
          <w:t xml:space="preserve">[3]</w:t>
        </w:r>
      </w:hyperlink>
      <w:r>
        <w:t xml:space="preserve">. Young’s observation that national systems differ in mission purpose is, read theoretically, an observation about doctrine</w:t>
      </w:r>
      <w:r>
        <w:t xml:space="preserve"> </w:t>
      </w:r>
      <w:hyperlink w:anchor="ref-4">
        <w:r>
          <w:rPr>
            <w:rStyle w:val="Hyperlink"/>
          </w:rPr>
          <w:t xml:space="preserve">[4]</w:t>
        </w:r>
      </w:hyperlink>
      <w:r>
        <w:t xml:space="preserve">.</w:t>
      </w:r>
    </w:p>
    <w:p>
      <w:pPr>
        <w:pStyle w:val="BodyText"/>
        <w:spacing w:line="480" w:lineRule="auto"/>
        <w:ind w:firstLine="720"/>
      </w:pPr>
      <w:r>
        <w:t xml:space="preserve">Coordination capacity is fourth, both internal and external. Internally, tracking data must cross agency boundaries from the institute that collects it to the command that acts on it. Externally, a state must be able to enter and sustain data-sharing arrangements. The partnership literature makes external coordination its central subject and treats domestic absorptive capacity as the precondition for credible participation</w:t>
      </w:r>
      <w:r>
        <w:t xml:space="preserve"> </w:t>
      </w:r>
      <w:hyperlink w:anchor="ref-7">
        <w:r>
          <w:rPr>
            <w:rStyle w:val="Hyperlink"/>
          </w:rPr>
          <w:t xml:space="preserve">[7]</w:t>
        </w:r>
      </w:hyperlink>
      <w:r>
        <w:t xml:space="preserve">.</w:t>
      </w:r>
    </w:p>
    <w:p>
      <w:pPr>
        <w:pStyle w:val="BodyText"/>
        <w:spacing w:line="480" w:lineRule="auto"/>
        <w:ind w:firstLine="720"/>
      </w:pPr>
      <w:r>
        <w:t xml:space="preserve">The claim is narrow. These four components are analytically separable but empirically entangled, and the entanglement is part of the theory rather than a nuisance to be assumed away. Legal authority without an owner is a statute nobody executes. An owner without doctrine accumulates assets without a purpose to organize them. Doctrine without coordination produces a clear intention trapped inside one agency. Coordination without legal authority is a set of informal handshakes that collapse under pressure. The components are complements, and the marginal value of adding one rises with the presence of the others, which is why partial institutions so often disappoint the states that build them. The components reinforce one another, which is why a partial institution often underperforms in ways that look, from the outside, like a technical shortfall. A state whose warnings arrive late may not have a sensor problem at all. It may have a coordination problem, the data collected on time but stalled at an agency boundary because no institution was built to carry it across. Yap, Heiberg, and Truffer’s regime analysis is useful here precisely because it shows coordination structures determining outcomes that a purely technical account would misattribute to capability</w:t>
      </w:r>
      <w:r>
        <w:t xml:space="preserve"> </w:t>
      </w:r>
      <w:hyperlink w:anchor="ref-10">
        <w:r>
          <w:rPr>
            <w:rStyle w:val="Hyperlink"/>
          </w:rPr>
          <w:t xml:space="preserve">[10]</w:t>
        </w:r>
      </w:hyperlink>
      <w:r>
        <w:t xml:space="preserve">.</w:t>
      </w:r>
    </w:p>
    <w:bookmarkEnd w:id="73"/>
    <w:bookmarkStart w:id="74" w:name="from-components-to-capability"/>
    <w:p>
      <w:pPr>
        <w:pStyle w:val="Heading2"/>
        <w:spacing w:line="480" w:lineRule="auto"/>
      </w:pPr>
      <w:r>
        <w:t xml:space="preserve">3.2 From components to capability</w:t>
      </w:r>
    </w:p>
    <w:p>
      <w:pPr>
        <w:pStyle w:val="FirstParagraph"/>
        <w:spacing w:line="480" w:lineRule="auto"/>
      </w:pPr>
      <w:r>
        <w:t xml:space="preserve">These four components run in a rough but consequential order. Legal authority lowers the cost of every subsequent step, because it removes the question of whether a given activity is permitted. Organizational ownership then converts permission into sustained effort, because an owner with a budget can task sensors, maintain catalogs, and hire the people who keep both running. Doctrine focuses that effort, because a state that knows what its capability is for can specify requirements rather than accumulate assets at random. Coordination capacity finally multiplies the effort, because it lets the national picture assemble from distributed inputs and lets the state trade data for data with partners.</w:t>
      </w:r>
    </w:p>
    <w:p>
      <w:pPr>
        <w:pStyle w:val="BodyText"/>
        <w:spacing w:line="480" w:lineRule="auto"/>
        <w:ind w:firstLine="720"/>
      </w:pPr>
      <w:r>
        <w:t xml:space="preserve">Note the sequence. The claim is not that the four components must arrive in strict sequence. States improvise, and some acquire hardware before they consolidate authority. The claim is that the components jointly raise the ceiling on achievable capability, and that a state which consolidates them earlier will, other things equal, field denser capability sooner. A state with sensors but no legal authority, no owner, no doctrine, and no coordination is a state whose hardware underperforms its nominal specifications, because the hardware is trapped at the research level. The institution is what releases the latent capability the hardware represents.</w:t>
      </w:r>
    </w:p>
    <w:p>
      <w:pPr>
        <w:pStyle w:val="BodyText"/>
        <w:spacing w:line="480" w:lineRule="auto"/>
        <w:ind w:firstLine="720"/>
      </w:pPr>
      <w:r>
        <w:t xml:space="preserve">The mechanism is specific. Two governance-literature findings reinforce the mechanism from outside the SSA cases. Long and Chen show that laser use in space stalls at an institutional bottleneck rather than a technical one, which is the same shape of argument applied to a different technology: the constraint that binds is organizational</w:t>
      </w:r>
      <w:r>
        <w:t xml:space="preserve"> </w:t>
      </w:r>
      <w:hyperlink w:anchor="ref-9">
        <w:r>
          <w:rPr>
            <w:rStyle w:val="Hyperlink"/>
          </w:rPr>
          <w:t xml:space="preserve">[9]</w:t>
        </w:r>
      </w:hyperlink>
      <w:r>
        <w:t xml:space="preserve">. Yap, Heiberg, and Truffer show that the coordination structures and shared framings of a socio-technical regime determine which technical options get mobilized, which is a claim that coordination capacity is causally upstream of deployment</w:t>
      </w:r>
      <w:r>
        <w:t xml:space="preserve"> </w:t>
      </w:r>
      <w:hyperlink w:anchor="ref-10">
        <w:r>
          <w:rPr>
            <w:rStyle w:val="Hyperlink"/>
          </w:rPr>
          <w:t xml:space="preserve">[10]</w:t>
        </w:r>
      </w:hyperlink>
      <w:r>
        <w:t xml:space="preserve">. If those findings generalize, then institutional strength should be a leading rather than a lagging indicator of observable capability.</w:t>
      </w:r>
    </w:p>
    <w:p>
      <w:pPr>
        <w:pStyle w:val="BodyText"/>
        <w:spacing w:line="480" w:lineRule="auto"/>
        <w:ind w:firstLine="720"/>
      </w:pPr>
      <w:r>
        <w:t xml:space="preserve">This is a real constraint. The mechanism also predicts a specific pattern in how capability grows once the institution is in place. The theory does not expect a smooth, gradual rise tracking sensor procurement. It expects a step: a period of latent, underused hardware, followed by a relatively rapid consolidation once legal authority, ownership, doctrine, and coordination lock into place and release the latent capacity. Korea’s documented progression is suggestive of exactly this shape, with calibration and validation labor accumulating over years before the integrated VISION architecture drew the pieces into an operational whole</w:t>
      </w:r>
      <w:r>
        <w:t xml:space="preserve"> </w:t>
      </w:r>
      <w:hyperlink w:anchor="ref-2">
        <w:r>
          <w:rPr>
            <w:rStyle w:val="Hyperlink"/>
          </w:rPr>
          <w:t xml:space="preserve">[2]</w:t>
        </w:r>
      </w:hyperlink>
      <w:r>
        <w:t xml:space="preserve"> </w:t>
      </w:r>
      <w:hyperlink w:anchor="ref-3">
        <w:r>
          <w:rPr>
            <w:rStyle w:val="Hyperlink"/>
          </w:rPr>
          <w:t xml:space="preserve">[3]</w:t>
        </w:r>
      </w:hyperlink>
      <w:r>
        <w:t xml:space="preserve">. If the step pattern is general, it has an important methodological consequence. It means the right way to test the theory is to look for changes in capability around institutional events, not merely for a contemporaneous correlation, because the theory predicts the effect concentrates in the years just after consolidation. That prediction is what the event-study design in Chapter 4 exists to test.</w:t>
      </w:r>
    </w:p>
    <w:p>
      <w:pPr>
        <w:pStyle w:val="BodyText"/>
        <w:spacing w:line="480" w:lineRule="auto"/>
        <w:ind w:firstLine="720"/>
      </w:pPr>
      <w:r>
        <w:t xml:space="preserve">There is a further implication about heterogeneity across states that the mechanism generates. States differ in which component binds. For one state the missing piece is legal authority; for another it is a lead organization; for a third it is the coordination pathway that moves data across agencies. The theory predicts that consolidating the binding component produces a larger capability jump than consolidating a component that was already adequate. That is a testable non-uniformity, and it cautions against reading the institutional index as if every point on it did the same work. Two states with identical index scores may sit at different points on the capability-release curve depending on which components their scores reflect, which is why Chapter 5 insists on component-level appendices beneath the aggregate index.</w:t>
      </w:r>
    </w:p>
    <w:bookmarkEnd w:id="74"/>
    <w:bookmarkStart w:id="75" w:name="Xc500f79d225769b143e5543ca9d1f2bf6dc8bd4"/>
    <w:p>
      <w:pPr>
        <w:pStyle w:val="Heading2"/>
        <w:spacing w:line="480" w:lineRule="auto"/>
      </w:pPr>
      <w:r>
        <w:t xml:space="preserve">3.3 Why the sequence, not just the correlation</w:t>
      </w:r>
    </w:p>
    <w:p>
      <w:pPr>
        <w:pStyle w:val="FirstParagraph"/>
        <w:spacing w:line="480" w:lineRule="auto"/>
      </w:pPr>
      <w:r>
        <w:t xml:space="preserve">Correlation is not the target here. A cross-sectional correlation between institutions and capability would be nearly uninformative, because a capable state has every reason to also be an institutionalized one, and the two could rise together for a dozen unmeasured reasons. The theory earns its keep only by making a claim about ordering. It predicts that institutional consolidation, measured at time</w:t>
      </w:r>
      <w:r>
        <w:t xml:space="preserve"> </w:t>
      </w:r>
      <m:oMath>
        <m:r>
          <m:t>t</m:t>
        </m:r>
        <m:r>
          <m:rPr>
            <m:sty m:val="p"/>
          </m:rPr>
          <m:t>−</m:t>
        </m:r>
        <m:r>
          <m:t>1</m:t>
        </m:r>
      </m:oMath>
      <w:r>
        <w:t xml:space="preserve">, carries information about capability at time</w:t>
      </w:r>
      <w:r>
        <w:t xml:space="preserve"> </w:t>
      </w:r>
      <m:oMath>
        <m:r>
          <m:t>t</m:t>
        </m:r>
      </m:oMath>
      <w:r>
        <w:t xml:space="preserve"> </w:t>
      </w:r>
      <w:r>
        <w:t xml:space="preserve">that capability at</w:t>
      </w:r>
      <w:r>
        <w:t xml:space="preserve"> </w:t>
      </w:r>
      <m:oMath>
        <m:r>
          <m:t>t</m:t>
        </m:r>
        <m:r>
          <m:rPr>
            <m:sty m:val="p"/>
          </m:rPr>
          <m:t>−</m:t>
        </m:r>
        <m:r>
          <m:t>1</m:t>
        </m:r>
      </m:oMath>
      <w:r>
        <w:t xml:space="preserve"> </w:t>
      </w:r>
      <w:r>
        <w:t xml:space="preserve">does not fully anticipate. That is a claim a lag structure can test and a claim that can fail.</w:t>
      </w:r>
    </w:p>
    <w:p>
      <w:pPr>
        <w:pStyle w:val="BodyText"/>
        <w:spacing w:line="480" w:lineRule="auto"/>
        <w:ind w:firstLine="720"/>
      </w:pPr>
      <w:r>
        <w:t xml:space="preserve">The reverse story is entirely plausible and must be taken seriously. States may build sensors first, discover that ungoverned sensors produce little usable output, and only then consolidate the institutions to exploit them. On that account, capability leads and institutions follow. The theory does not assume this is false. It sets up a test that can distinguish the two orderings, at least in the aggregate, by asking whether lagged institutional strength predicts subsequent capability once each state’s own history and common time trends are removed. If the reverse story dominates, the institutional coefficient will be weak or wrong-signed, and the theory will lose.</w:t>
      </w:r>
    </w:p>
    <w:p>
      <w:pPr>
        <w:pStyle w:val="BodyText"/>
        <w:spacing w:line="480" w:lineRule="auto"/>
        <w:ind w:firstLine="720"/>
      </w:pPr>
      <w:r>
        <w:t xml:space="preserve">The evidence is bounded. A third possibility sits between the two and is the hardest to rule out: institutions and capability both respond to a common driver, such as a security shock or a surge in launch activity that raises the stakes of not seeing what is in orbit. On that account neither leads the other, and both are consequences of the same upstream pressure. The lag structure does not fully solve this, because a shock could trigger a legal reform that is then followed by capability growth, producing the appearance of institutions leading even though the reform was itself downstream of the shock. The honest response is not to claim the design defeats this rival but to control its observable channels, launch intensity and alliance pressure prominently, and to acknowledge that residual common-cause confounding remains a live threat. Chapter 7 treats it as a live threat rather than pretending the fixed effects have banished it. The theory’s claim is conditional: institutions lead capability net of the confounders the design can observe, which is a weaker and more defensible claim than unconditional causal priority.</w:t>
      </w:r>
    </w:p>
    <w:p>
      <w:pPr>
        <w:pStyle w:val="BodyText"/>
        <w:spacing w:line="480" w:lineRule="auto"/>
        <w:ind w:firstLine="720"/>
      </w:pPr>
      <w:r>
        <w:t xml:space="preserve">With the mechanism built, the predictions follow almost mechanically.</w:t>
      </w:r>
    </w:p>
    <w:bookmarkEnd w:id="75"/>
    <w:bookmarkStart w:id="76" w:name="the-testable-predictions"/>
    <w:p>
      <w:pPr>
        <w:pStyle w:val="Heading2"/>
        <w:spacing w:line="480" w:lineRule="auto"/>
      </w:pPr>
      <w:r>
        <w:t xml:space="preserve">3.4 The testable predictions</w:t>
      </w:r>
    </w:p>
    <w:p>
      <w:pPr>
        <w:pStyle w:val="FirstParagraph"/>
        <w:spacing w:line="480" w:lineRule="auto"/>
      </w:pPr>
      <w:r>
        <w:t xml:space="preserve">The primary prediction is the dissertation’s central hypothesis, stated for the state-year panel. Let</w:t>
      </w:r>
      <w:r>
        <w:t xml:space="preserve"> </w:t>
      </w:r>
      <m:oMath>
        <m:sSub>
          <m:e>
            <m:r>
              <m:t>Y</m:t>
            </m:r>
          </m:e>
          <m:sub>
            <m:r>
              <m:t>i</m:t>
            </m:r>
            <m:r>
              <m:t>t</m:t>
            </m:r>
          </m:sub>
        </m:sSub>
      </m:oMath>
      <w:r>
        <w:t xml:space="preserve"> </w:t>
      </w:r>
      <w:r>
        <w:t xml:space="preserve">be observable SSA capability for state</w:t>
      </w:r>
      <w:r>
        <w:t xml:space="preserve"> </w:t>
      </w:r>
      <m:oMath>
        <m:r>
          <m:t>i</m:t>
        </m:r>
      </m:oMath>
      <w:r>
        <w:t xml:space="preserve"> </w:t>
      </w:r>
      <w:r>
        <w:t xml:space="preserve">in year</w:t>
      </w:r>
      <w:r>
        <w:t xml:space="preserve"> </w:t>
      </w:r>
      <m:oMath>
        <m:r>
          <m:t>t</m:t>
        </m:r>
      </m:oMath>
      <w:r>
        <w:t xml:space="preserve"> </w:t>
      </w:r>
      <w:r>
        <w:t xml:space="preserve">and</w:t>
      </w:r>
      <w:r>
        <w:t xml:space="preserve"> </w:t>
      </w:r>
      <m:oMath>
        <m:sSub>
          <m:e>
            <m:r>
              <m:t>I</m:t>
            </m:r>
          </m:e>
          <m:sub>
            <m:r>
              <m:t>i</m:t>
            </m:r>
            <m:r>
              <m:t>t</m:t>
            </m:r>
            <m:r>
              <m:rPr>
                <m:sty m:val="p"/>
              </m:rPr>
              <m:t>−</m:t>
            </m:r>
            <m:r>
              <m:t>1</m:t>
            </m:r>
          </m:sub>
        </m:sSub>
      </m:oMath>
      <w:r>
        <w:t xml:space="preserve"> </w:t>
      </w:r>
      <w:r>
        <w:t xml:space="preserve">be lagged institutional strength.</w:t>
      </w:r>
    </w:p>
    <w:p>
      <w:pPr>
        <w:pStyle w:val="BodyText"/>
        <w:spacing w:line="480" w:lineRule="auto"/>
        <w:ind w:firstLine="720"/>
      </w:pPr>
      <w:r>
        <w:rPr>
          <w:b/>
          <w:bCs/>
        </w:rPr>
        <w:t xml:space="preserve">H1 (primary):</w:t>
      </w:r>
      <w:r>
        <w:t xml:space="preserve"> </w:t>
      </w:r>
      <w:r>
        <w:t xml:space="preserve">Net of state fixed effects, year fixed effects, and observable controls, higher lagged institutional strength predicts higher subsequent SSA capability,</w:t>
      </w:r>
      <w:r>
        <w:t xml:space="preserve"> </w:t>
      </w:r>
      <m:oMath>
        <m:r>
          <m:t>β</m:t>
        </m:r>
        <m:r>
          <m:rPr>
            <m:sty m:val="p"/>
          </m:rPr>
          <m:t>&gt;</m:t>
        </m:r>
        <m:r>
          <m:t>0</m:t>
        </m:r>
      </m:oMath>
      <w:r>
        <w:t xml:space="preserve">. The null is</w:t>
      </w:r>
      <w:r>
        <w:t xml:space="preserve"> </w:t>
      </w:r>
      <m:oMath>
        <m:r>
          <m:t>β</m:t>
        </m:r>
        <m:r>
          <m:rPr>
            <m:sty m:val="p"/>
          </m:rPr>
          <m:t>=</m:t>
        </m:r>
        <m:r>
          <m:t>0</m:t>
        </m:r>
      </m:oMath>
      <w:r>
        <w:t xml:space="preserve">.</w:t>
      </w:r>
    </w:p>
    <w:p>
      <w:pPr>
        <w:pStyle w:val="BodyText"/>
        <w:spacing w:line="480" w:lineRule="auto"/>
        <w:ind w:firstLine="720"/>
      </w:pPr>
      <w:r>
        <w:t xml:space="preserve">A second prediction concerns timing around discrete reforms. If institutions lead capability, then capability indicators should rise more steeply after a documented institutional reform, such as the passage of a national space law with operating authorities or the standup of a dedicated organization, than in the pre-reform years, net of common trends.</w:t>
      </w:r>
    </w:p>
    <w:p>
      <w:pPr>
        <w:pStyle w:val="BodyText"/>
        <w:spacing w:line="480" w:lineRule="auto"/>
        <w:ind w:firstLine="720"/>
      </w:pPr>
      <w:r>
        <w:rPr>
          <w:b/>
          <w:bCs/>
        </w:rPr>
        <w:t xml:space="preserve">H2 (event-study):</w:t>
      </w:r>
      <w:r>
        <w:t xml:space="preserve"> </w:t>
      </w:r>
      <w:r>
        <w:t xml:space="preserve">Capability measures increase following documented institutional reforms relative to their pre-reform trajectory. A flat or pre-trending path around reform dates is evidence against the sequencing account.</w:t>
      </w:r>
    </w:p>
    <w:p>
      <w:pPr>
        <w:pStyle w:val="BodyText"/>
        <w:spacing w:line="480" w:lineRule="auto"/>
        <w:ind w:firstLine="720"/>
      </w:pPr>
      <w:r>
        <w:t xml:space="preserve">Two auxiliary predictions come from the diagnostic papers and concern the literature rather than the states, and they are worth stating because Chapter 6 tests them directly and they inform how the substantive review is weighted.</w:t>
      </w:r>
    </w:p>
    <w:p>
      <w:pPr>
        <w:pStyle w:val="BodyText"/>
        <w:spacing w:line="480" w:lineRule="auto"/>
        <w:ind w:firstLine="720"/>
      </w:pPr>
      <w:r>
        <w:rPr>
          <w:b/>
          <w:bCs/>
        </w:rPr>
        <w:t xml:space="preserve">H3 (recency of the theme):</w:t>
      </w:r>
      <w:r>
        <w:t xml:space="preserve"> </w:t>
      </w:r>
      <w:r>
        <w:t xml:space="preserve">In the retrieved source corpus, the metadata-level topic signal rises with publication recency, because the institutional framing of SSA capability is a recent development concentrated in newer integrated-system and governance work</w:t>
      </w:r>
      <w:r>
        <w:t xml:space="preserve"> </w:t>
      </w:r>
      <w:hyperlink w:anchor="ref-3">
        <w:r>
          <w:rPr>
            <w:rStyle w:val="Hyperlink"/>
          </w:rPr>
          <w:t xml:space="preserve">[3]</w:t>
        </w:r>
      </w:hyperlink>
      <w:r>
        <w:t xml:space="preserve"> </w:t>
      </w:r>
      <w:hyperlink w:anchor="ref-7">
        <w:r>
          <w:rPr>
            <w:rStyle w:val="Hyperlink"/>
          </w:rPr>
          <w:t xml:space="preserve">[7]</w:t>
        </w:r>
      </w:hyperlink>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p>
      <w:pPr>
        <w:pStyle w:val="BodyText"/>
        <w:spacing w:line="480" w:lineRule="auto"/>
        <w:ind w:firstLine="720"/>
      </w:pPr>
      <w:r>
        <w:rPr>
          <w:b/>
          <w:bCs/>
        </w:rPr>
        <w:t xml:space="preserve">H4 (age is a weak citation organizer):</w:t>
      </w:r>
      <w:r>
        <w:t xml:space="preserve"> </w:t>
      </w:r>
      <w:r>
        <w:t xml:space="preserve">In the same corpus, citation accumulation is not well organized by article age, so chronological seniority is a poor filter for relevance. Recent institutional material can be central without having accumulated large citation totals.</w:t>
      </w:r>
    </w:p>
    <w:p>
      <w:pPr>
        <w:pStyle w:val="BodyText"/>
        <w:spacing w:line="480" w:lineRule="auto"/>
        <w:ind w:firstLine="720"/>
      </w:pPr>
      <w:r>
        <w:t xml:space="preserve">H3 and H4 are not the substantive hypothesis, and the dissertation is careful not to let them pose as it. They are predictions about the shape of the evidence base, and their value is methodological: if they hold, the review is right to weight recent institutional and operational material heavily rather than deferring to citation seniority. Chapter 4 specifies the estimators for all four predictions, and Chapter 6 reports the results for H3 and H4 exactly, since those are the predictions the completed data can actually adjudicate.</w:t>
      </w:r>
    </w:p>
    <w:p>
      <w:pPr>
        <w:pStyle w:val="BodyText"/>
        <w:spacing w:line="480" w:lineRule="auto"/>
        <w:ind w:firstLine="720"/>
      </w:pPr>
      <w:r>
        <w:t xml:space="preserve">The four predictions are not four independent bets. Their logical relationship is worth spelling out. H1 and H2 are two tests of one underlying claim, the sequencing claim about states, with H2 the sharper timing version of H1. If institutions lead capability, both should hold; if the reverse or common-cause story dominates, both should fail together, and a split verdict, H1 holding while H2 shows a pre-trend, would be evidence that the panel coefficient is picking up something other than clean sequencing. H3 and H4 are two tests of a different underlying claim, about the literature rather than the states, and they too are linked: H3 says the theme is recent, H4 says age does not confer citation authority, and together they imply that recent institutional work can be central without citation consolidation. The design gains credibility if the linked pairs move together as the theory predicts, and it should lose confidence if they fracture, because a fracture would signal that one of the predictions is capturing noise rather than the mechanism.</w:t>
      </w:r>
    </w:p>
    <w:p>
      <w:pPr>
        <w:pStyle w:val="BodyText"/>
        <w:spacing w:line="480" w:lineRule="auto"/>
        <w:ind w:firstLine="720"/>
      </w:pPr>
      <w:r>
        <w:t xml:space="preserve">A reasonable objection is that a mechanism with four components and four predictions risks being unfalsifiable, since some combination of outcomes could always be rationalized after the fact. The dissertation guards against this by fixing, in advance, what each prediction must show to count as support and what would count as failure. H1 requires a positive, significant institutional coefficient; a null or negative one is failure. H2 requires a flat pre-trend and a post-reform rise; a pre-trend is failure. H3 requires a positive recency coefficient; H4 requires an age elasticity indistinguishable from a meaningful positive value. Pre-committing to these thresholds is what keeps a rich mechanism from collapsing into a story that explains everything and predicts nothing.</w:t>
      </w:r>
    </w:p>
    <w:p>
      <w:pPr>
        <w:pStyle w:val="BodyText"/>
        <w:spacing w:line="480" w:lineRule="auto"/>
        <w:ind w:firstLine="720"/>
      </w:pPr>
      <w:r>
        <w:t xml:space="preserve">The mechanism carries one further prediction that the design can eventually probe, concerning the durability of the institution-capability link. If institutions merely triggered a one-time buildout, their effect would fade once the hardware was in place, and lagged institutional strength would predict capability onset but not its persistence. The theory says otherwise. Ownership keeps a catalog current, doctrine keeps procurement aligned to purpose, and coordination keeps data flowing across agencies, so institutions should predict not only that capability appears but that it is sustained. A state that consolidates institutions and then lets them decay should, on this account, see its capability degrade even with the hardware still nominally present, because the organizational scaffolding that made the hardware useful has weakened. This is a prediction about maintenance rather than onset, and it points toward a dynamic specification in future work, but it belongs to the mechanism now because it follows directly from treating the four components as ongoing functions rather than one-time acts</w:t>
      </w:r>
      <w:r>
        <w:t xml:space="preserve"> </w:t>
      </w:r>
      <w:hyperlink w:anchor="ref-6">
        <w:r>
          <w:rPr>
            <w:rStyle w:val="Hyperlink"/>
          </w:rPr>
          <w:t xml:space="preserve">[6]</w:t>
        </w:r>
      </w:hyperlink>
      <w:r>
        <w:t xml:space="preserve"> </w:t>
      </w:r>
      <w:hyperlink w:anchor="ref-3">
        <w:r>
          <w:rPr>
            <w:rStyle w:val="Hyperlink"/>
          </w:rPr>
          <w:t xml:space="preserve">[3]</w:t>
        </w:r>
      </w:hyperlink>
      <w:r>
        <w:t xml:space="preserve">.</w:t>
      </w:r>
    </w:p>
    <w:p>
      <w:pPr>
        <w:pStyle w:val="BodyText"/>
        <w:spacing w:line="480" w:lineRule="auto"/>
        <w:ind w:firstLine="720"/>
      </w:pPr>
      <w:r>
        <w:t xml:space="preserve">One clarification sharpens the theory by exclusion. It makes a claim about what institutional strength is not. It is not merely national wealth, because a rich state can pour money into sensors without building the legal authority, ownership, doctrine, or coordination that convert money into capability, and the design’s state fixed effects and civil-space controls are meant to hold that channel constant. It is not merely alliance membership, because a state can sit inside a partnership without a domestic institution able to contribute, and the alliance controls address that channel too. And it is not merely the age or size of a space program, because a long-running program can remain institutionally shallow if its activity never consolidated into governed functions. By distinguishing institutional strength from wealth, alliance, and program age, the theory identifies a variable that is conceptually distinct from the obvious confounders and that the design attempts to isolate. The claim is that this distinct variable, and not its wealthier or older-program cousins, is what leads observable capability, which is a claim precise enough to be wrong</w:t>
      </w:r>
      <w:r>
        <w:t xml:space="preserve"> </w:t>
      </w:r>
      <w:hyperlink w:anchor="ref-4">
        <w:r>
          <w:rPr>
            <w:rStyle w:val="Hyperlink"/>
          </w:rPr>
          <w:t xml:space="preserve">[4]</w:t>
        </w:r>
      </w:hyperlink>
      <w:r>
        <w:t xml:space="preserve"> </w:t>
      </w:r>
      <w:hyperlink w:anchor="ref-7">
        <w:r>
          <w:rPr>
            <w:rStyle w:val="Hyperlink"/>
          </w:rPr>
          <w:t xml:space="preserve">[7]</w:t>
        </w:r>
      </w:hyperlink>
      <w:r>
        <w:t xml:space="preserve">. That precision is the whole point of building the mechanism out in this much detail rather than resting on the bare slogan that institutions matter.</w:t>
      </w:r>
    </w:p>
    <w:bookmarkEnd w:id="76"/>
    <w:bookmarkEnd w:id="77"/>
    <w:bookmarkStart w:id="83" w:name="X940caaf6d3ac92c12a69529db0381ad3e868d7e"/>
    <w:p>
      <w:pPr>
        <w:pStyle w:val="Heading1"/>
        <w:spacing w:line="480" w:lineRule="auto"/>
      </w:pPr>
      <w:r>
        <w:t xml:space="preserve">Chapter 4. Methodology and Identification</w:t>
      </w:r>
    </w:p>
    <w:p>
      <w:pPr>
        <w:pStyle w:val="FirstParagraph"/>
        <w:spacing w:line="480" w:lineRule="auto"/>
      </w:pPr>
      <w:r>
        <w:t xml:space="preserve">One caveat applies. This dissertation carries two kinds of empirical apparatus, and keeping them distinct is essential to reading the results honestly. The first is the state-year identification strategy for the substantive hypothesis, a fixed-effects panel paired with an event study, which is the design’s principal instrument and its future work. The second is the pair of estimators actually run on the retrieved source corpus, an ordinary least squares regression and a log-log learning curve, which are diagnostic screens whose completed output Chapter 6 reports. This chapter specifies all of it: the equations, what each one identifies, why the identification holds or where it is only partial, and the standard-error choices that make the reported inference defensible.</w:t>
      </w:r>
    </w:p>
    <w:bookmarkStart w:id="78" w:name="the-state-year-panel-estimator"/>
    <w:p>
      <w:pPr>
        <w:pStyle w:val="Heading2"/>
        <w:spacing w:line="480" w:lineRule="auto"/>
      </w:pPr>
      <w:r>
        <w:t xml:space="preserve">4.1 The state-year panel estimator</w:t>
      </w:r>
    </w:p>
    <w:p>
      <w:pPr>
        <w:pStyle w:val="FirstParagraph"/>
        <w:spacing w:line="480" w:lineRule="auto"/>
      </w:pPr>
      <w:r>
        <w:t xml:space="preserve">The primary estimator for the substantive hypothesis is a two-way fixed-effects panel model:</w:t>
      </w:r>
    </w:p>
    <w:p>
      <w:pPr>
        <w:pStyle w:val="BodyText"/>
        <w:spacing w:line="480" w:lineRule="auto"/>
        <w:ind w:firstLine="720"/>
      </w:pPr>
      <m:oMathPara>
        <m:oMathParaPr>
          <m:jc m:val="center"/>
        </m:oMathParaPr>
        <m:oMath>
          <m:sSub>
            <m:e>
              <m:r>
                <m:t>Y</m:t>
              </m:r>
            </m:e>
            <m:sub>
              <m:r>
                <m:t>i</m:t>
              </m:r>
              <m:r>
                <m:t>t</m:t>
              </m:r>
            </m:sub>
          </m:sSub>
          <m:r>
            <m:rPr>
              <m:sty m:val="p"/>
            </m:rPr>
            <m:t>=</m:t>
          </m:r>
          <m:sSub>
            <m:e>
              <m:r>
                <m:t>α</m:t>
              </m:r>
            </m:e>
            <m:sub>
              <m:r>
                <m:t>i</m:t>
              </m:r>
            </m:sub>
          </m:sSub>
          <m:r>
            <m:rPr>
              <m:sty m:val="p"/>
            </m:rPr>
            <m:t>+</m:t>
          </m:r>
          <m:sSub>
            <m:e>
              <m:r>
                <m:t>γ</m:t>
              </m:r>
            </m:e>
            <m:sub>
              <m:r>
                <m:t>t</m:t>
              </m:r>
            </m:sub>
          </m:sSub>
          <m:r>
            <m:rPr>
              <m:sty m:val="p"/>
            </m:rPr>
            <m:t>+</m:t>
          </m:r>
          <m:r>
            <m:t>β</m:t>
          </m:r>
          <m:sSub>
            <m:e>
              <m:r>
                <m:t>I</m:t>
              </m:r>
            </m:e>
            <m:sub>
              <m:r>
                <m:t>i</m:t>
              </m:r>
              <m:r>
                <m:t>t</m:t>
              </m:r>
              <m:r>
                <m:rPr>
                  <m:sty m:val="p"/>
                </m:rPr>
                <m:t>−</m:t>
              </m:r>
              <m:r>
                <m:t>1</m:t>
              </m:r>
            </m:sub>
          </m:sSub>
          <m:r>
            <m:rPr>
              <m:sty m:val="p"/>
            </m:rPr>
            <m:t>+</m:t>
          </m:r>
          <m:r>
            <m:t>δ</m:t>
          </m:r>
          <m:sSub>
            <m:e>
              <m:r>
                <m:t>X</m:t>
              </m:r>
            </m:e>
            <m:sub>
              <m:r>
                <m:t>i</m:t>
              </m:r>
              <m:r>
                <m:t>t</m:t>
              </m:r>
              <m:r>
                <m:rPr>
                  <m:sty m:val="p"/>
                </m:rPr>
                <m:t>−</m:t>
              </m:r>
              <m:r>
                <m:t>1</m:t>
              </m:r>
            </m:sub>
          </m:sSub>
          <m:r>
            <m:rPr>
              <m:sty m:val="p"/>
            </m:rPr>
            <m:t>+</m:t>
          </m:r>
          <m:sSub>
            <m:e>
              <m:r>
                <m:t>ε</m:t>
              </m:r>
            </m:e>
            <m:sub>
              <m:r>
                <m:t>i</m:t>
              </m:r>
              <m:r>
                <m:t>t</m:t>
              </m:r>
            </m:sub>
          </m:sSub>
        </m:oMath>
      </m:oMathPara>
    </w:p>
    <w:p>
      <w:pPr>
        <w:pStyle w:val="FirstParagraph"/>
        <w:spacing w:line="480" w:lineRule="auto"/>
      </w:pPr>
      <w:r>
        <w:t xml:space="preserve">Here</w:t>
      </w:r>
      <w:r>
        <w:t xml:space="preserve"> </w:t>
      </w:r>
      <m:oMath>
        <m:sSub>
          <m:e>
            <m:r>
              <m:t>Y</m:t>
            </m:r>
          </m:e>
          <m:sub>
            <m:r>
              <m:t>i</m:t>
            </m:r>
            <m:r>
              <m:t>t</m:t>
            </m:r>
          </m:sub>
        </m:sSub>
      </m:oMath>
      <w:r>
        <w:t xml:space="preserve"> </w:t>
      </w:r>
      <w:r>
        <w:t xml:space="preserve">is the observable SSA capability index of state</w:t>
      </w:r>
      <w:r>
        <w:t xml:space="preserve"> </w:t>
      </w:r>
      <m:oMath>
        <m:r>
          <m:t>i</m:t>
        </m:r>
      </m:oMath>
      <w:r>
        <w:t xml:space="preserve"> </w:t>
      </w:r>
      <w:r>
        <w:t xml:space="preserve">in year</w:t>
      </w:r>
      <w:r>
        <w:t xml:space="preserve"> </w:t>
      </w:r>
      <m:oMath>
        <m:r>
          <m:t>t</m:t>
        </m:r>
      </m:oMath>
      <w:r>
        <w:t xml:space="preserve">,</w:t>
      </w:r>
      <w:r>
        <w:t xml:space="preserve"> </w:t>
      </w:r>
      <m:oMath>
        <m:sSub>
          <m:e>
            <m:r>
              <m:t>I</m:t>
            </m:r>
          </m:e>
          <m:sub>
            <m:r>
              <m:t>i</m:t>
            </m:r>
            <m:r>
              <m:t>t</m:t>
            </m:r>
            <m:r>
              <m:rPr>
                <m:sty m:val="p"/>
              </m:rPr>
              <m:t>−</m:t>
            </m:r>
            <m:r>
              <m:t>1</m:t>
            </m:r>
          </m:sub>
        </m:sSub>
      </m:oMath>
      <w:r>
        <w:t xml:space="preserve"> </w:t>
      </w:r>
      <w:r>
        <w:t xml:space="preserve">is lagged domestic institutional strength,</w:t>
      </w:r>
      <w:r>
        <w:t xml:space="preserve"> </w:t>
      </w:r>
      <m:oMath>
        <m:sSub>
          <m:e>
            <m:r>
              <m:t>α</m:t>
            </m:r>
          </m:e>
          <m:sub>
            <m:r>
              <m:t>i</m:t>
            </m:r>
          </m:sub>
        </m:sSub>
      </m:oMath>
      <w:r>
        <w:t xml:space="preserve"> </w:t>
      </w:r>
      <w:r>
        <w:t xml:space="preserve">are state fixed effects,</w:t>
      </w:r>
      <w:r>
        <w:t xml:space="preserve"> </w:t>
      </w:r>
      <m:oMath>
        <m:sSub>
          <m:e>
            <m:r>
              <m:t>γ</m:t>
            </m:r>
          </m:e>
          <m:sub>
            <m:r>
              <m:t>t</m:t>
            </m:r>
          </m:sub>
        </m:sSub>
      </m:oMath>
      <w:r>
        <w:t xml:space="preserve"> </w:t>
      </w:r>
      <w:r>
        <w:t xml:space="preserve">are year fixed effects, and</w:t>
      </w:r>
      <w:r>
        <w:t xml:space="preserve"> </w:t>
      </w:r>
      <m:oMath>
        <m:sSub>
          <m:e>
            <m:r>
              <m:t>X</m:t>
            </m:r>
          </m:e>
          <m:sub>
            <m:r>
              <m:t>i</m:t>
            </m:r>
            <m:r>
              <m:t>t</m:t>
            </m:r>
            <m:r>
              <m:rPr>
                <m:sty m:val="p"/>
              </m:rPr>
              <m:t>−</m:t>
            </m:r>
            <m:r>
              <m:t>1</m:t>
            </m:r>
          </m:sub>
        </m:sSub>
      </m:oMath>
      <w:r>
        <w:t xml:space="preserve"> </w:t>
      </w:r>
      <w:r>
        <w:t xml:space="preserve">collects lagged controls for launch intensity, civil-space scale, defense-space salience, and alliance or partnership status where publicly documented. The coefficient of interest is</w:t>
      </w:r>
      <w:r>
        <w:t xml:space="preserve"> </w:t>
      </w:r>
      <m:oMath>
        <m:r>
          <m:t>β</m:t>
        </m:r>
      </m:oMath>
      <w:r>
        <w:t xml:space="preserve">, and H1 predicts</w:t>
      </w:r>
      <w:r>
        <w:t xml:space="preserve"> </w:t>
      </w:r>
      <m:oMath>
        <m:r>
          <m:t>β</m:t>
        </m:r>
        <m:r>
          <m:rPr>
            <m:sty m:val="p"/>
          </m:rPr>
          <m:t>&gt;</m:t>
        </m:r>
        <m:r>
          <m:t>0</m:t>
        </m:r>
      </m:oMath>
      <w:r>
        <w:t xml:space="preserve">.</w:t>
      </w:r>
    </w:p>
    <w:p>
      <w:pPr>
        <w:pStyle w:val="BodyText"/>
        <w:spacing w:line="480" w:lineRule="auto"/>
        <w:ind w:firstLine="720"/>
      </w:pPr>
      <w:r>
        <w:t xml:space="preserve">The lag on</w:t>
      </w:r>
      <w:r>
        <w:t xml:space="preserve"> </w:t>
      </w:r>
      <m:oMath>
        <m:r>
          <m:t>I</m:t>
        </m:r>
      </m:oMath>
      <w:r>
        <w:t xml:space="preserve"> </w:t>
      </w:r>
      <w:r>
        <w:t xml:space="preserve">is not cosmetic. It encodes the theory. By regressing current capability on prior institutional strength, the specification asks whether institutions carry forward-looking information about capability, which is the sequencing claim in estimable form. Regressing on contemporaneous institutions would blur the ordering the dissertation exists to test.</w:t>
      </w:r>
    </w:p>
    <w:p>
      <w:pPr>
        <w:pStyle w:val="BodyText"/>
        <w:spacing w:line="480" w:lineRule="auto"/>
        <w:ind w:firstLine="720"/>
      </w:pPr>
      <w:r>
        <w:t xml:space="preserve">Lag length is a substantive decision. It is not a mechanical default. A one-year lag tests whether institutional change is followed almost immediately by capability change, which the step-release theory of Chapter 3 does not necessarily predict, since consolidating an institution and standing up the capability it enables can take several years. A longer lag, or a distributed lag that lets institutional strength at several prior years enter jointly, is more faithful to a mechanism in which the effect accumulates. The dissertation therefore treats lag length as a specification to be reported across several choices rather than fixed in advance, because a result that holds only at one arbitrary lag is fragile, and a result that strengthens as the lag lengthens toward the horizon the theory expects is more persuasive than any single coefficient. Reporting the lag profile is part of the honesty the design demands.</w:t>
      </w:r>
    </w:p>
    <w:p>
      <w:pPr>
        <w:pStyle w:val="BodyText"/>
        <w:spacing w:line="480" w:lineRule="auto"/>
        <w:ind w:firstLine="720"/>
      </w:pPr>
      <w:r>
        <w:t xml:space="preserve">One vulnerability is worth naming at the outset. Two-way fixed-effects estimation carries a known weakness. When treatment, here institutional strength, changes at different times across units and its effect is heterogeneous, the two-way estimator can weight comparisons in ways that distort the average effect, because already-treated units enter as controls for later-treated ones. The dissertation’s institutional index is continuous rather than binary, which softens the sharpest version of this problem, but the concern does not vanish, and it is a reason to pair the panel with the event study rather than to rest on the panel alone. The event study isolates clean before-and-after comparisons around specific reforms, which is exactly the estimand the two-way model can blur.</w:t>
      </w:r>
    </w:p>
    <w:bookmarkEnd w:id="78"/>
    <w:bookmarkStart w:id="79" w:name="X38b2bbd242b10df4986a554414745f7df9e1afc"/>
    <w:p>
      <w:pPr>
        <w:pStyle w:val="Heading2"/>
        <w:spacing w:line="480" w:lineRule="auto"/>
      </w:pPr>
      <w:r>
        <w:t xml:space="preserve">4.2 Why the panel identifies the effect, and where it stops</w:t>
      </w:r>
    </w:p>
    <w:p>
      <w:pPr>
        <w:pStyle w:val="FirstParagraph"/>
        <w:spacing w:line="480" w:lineRule="auto"/>
      </w:pPr>
      <w:r>
        <w:t xml:space="preserve">Random assignment is not on offer here. Identification rests on within-state variation and temporal ordering, and the design is explicit about that limit. The state fixed effects</w:t>
      </w:r>
      <w:r>
        <w:t xml:space="preserve"> </w:t>
      </w:r>
      <m:oMath>
        <m:sSub>
          <m:e>
            <m:r>
              <m:t>α</m:t>
            </m:r>
          </m:e>
          <m:sub>
            <m:r>
              <m:t>i</m:t>
            </m:r>
          </m:sub>
        </m:sSub>
      </m:oMath>
      <w:r>
        <w:t xml:space="preserve"> </w:t>
      </w:r>
      <w:r>
        <w:t xml:space="preserve">absorb every time-invariant feature of a state: its geography, its founding strategic culture, its baseline wealth, any fixed disposition to build or document institutions. Because those are differenced out, the estimate cannot be driven by the simple fact that institutionally serious states are also, permanently, capable states. The comparison is within a state, over time, against its own baseline.</w:t>
      </w:r>
    </w:p>
    <w:p>
      <w:pPr>
        <w:pStyle w:val="BodyText"/>
        <w:spacing w:line="480" w:lineRule="auto"/>
        <w:ind w:firstLine="720"/>
      </w:pPr>
      <w:r>
        <w:t xml:space="preserve">The year fixed effects</w:t>
      </w:r>
      <w:r>
        <w:t xml:space="preserve"> </w:t>
      </w:r>
      <m:oMath>
        <m:sSub>
          <m:e>
            <m:r>
              <m:t>γ</m:t>
            </m:r>
          </m:e>
          <m:sub>
            <m:r>
              <m:t>t</m:t>
            </m:r>
          </m:sub>
        </m:sSub>
      </m:oMath>
      <w:r>
        <w:t xml:space="preserve"> </w:t>
      </w:r>
      <w:r>
        <w:t xml:space="preserve">absorb common shocks. Global launch growth, the general diffusion of SSA discourse, a worldwide step-change in commercial tracking availability, all of these hit every state in a given year and would otherwise contaminate the estimate. Removing them means</w:t>
      </w:r>
      <w:r>
        <w:t xml:space="preserve"> </w:t>
      </w:r>
      <m:oMath>
        <m:r>
          <m:t>β</m:t>
        </m:r>
      </m:oMath>
      <w:r>
        <w:t xml:space="preserve"> </w:t>
      </w:r>
      <w:r>
        <w:t xml:space="preserve">is identified from the differential timing of institutional consolidation across states, not from the shared upward drift of the whole field that Young documents</w:t>
      </w:r>
      <w:r>
        <w:t xml:space="preserve"> </w:t>
      </w:r>
      <w:hyperlink w:anchor="ref-4">
        <w:r>
          <w:rPr>
            <w:rStyle w:val="Hyperlink"/>
          </w:rPr>
          <w:t xml:space="preserve">[4]</w:t>
        </w:r>
      </w:hyperlink>
      <w:r>
        <w:t xml:space="preserve">.</w:t>
      </w:r>
    </w:p>
    <w:p>
      <w:pPr>
        <w:pStyle w:val="BodyText"/>
        <w:spacing w:line="480" w:lineRule="auto"/>
        <w:ind w:firstLine="720"/>
      </w:pPr>
      <w:r>
        <w:t xml:space="preserve">The reasoning runs as follows. There is a subtler identification benefit in the fixed-effects structure worth making explicit. Because the model compares each state to its own history, it neutralizes the most common objection to cross-national institutional research, that institutionally serious states differ from others in a hundred unmeasured ways. Those hundred ways, so long as they are stable within a state, are swept into</w:t>
      </w:r>
      <w:r>
        <w:t xml:space="preserve"> </w:t>
      </w:r>
      <m:oMath>
        <m:sSub>
          <m:e>
            <m:r>
              <m:t>α</m:t>
            </m:r>
          </m:e>
          <m:sub>
            <m:r>
              <m:t>i</m:t>
            </m:r>
          </m:sub>
        </m:sSub>
      </m:oMath>
      <w:r>
        <w:t xml:space="preserve"> </w:t>
      </w:r>
      <w:r>
        <w:t xml:space="preserve">and cannot bias</w:t>
      </w:r>
      <w:r>
        <w:t xml:space="preserve"> </w:t>
      </w:r>
      <m:oMath>
        <m:r>
          <m:t>β</m:t>
        </m:r>
      </m:oMath>
      <w:r>
        <w:t xml:space="preserve">. The estimate no longer asks whether institutionalized states are more capable than un-institutionalized ones, a comparison hopelessly confounded by everything that makes states different. It asks whether a given state becomes more capable after it strengthens its institutions than it was before, which is a far cleaner question and the one the theory actually poses.</w:t>
      </w:r>
    </w:p>
    <w:p>
      <w:pPr>
        <w:pStyle w:val="BodyText"/>
        <w:spacing w:line="480" w:lineRule="auto"/>
        <w:ind w:firstLine="720"/>
      </w:pPr>
      <w:r>
        <w:t xml:space="preserve">This point is easy to miss. What remains, and what the design cannot fully purge, is time-varying confounding correlated with both institutional change and capability change within a state. A security shock that simultaneously triggers a legal reform and a sensor procurement is the canonical threat. The lag structure helps, because it requires the institution to precede the measured capability, but it does not eliminate the possibility that both respond to an unobserved common cause. The controls in</w:t>
      </w:r>
      <w:r>
        <w:t xml:space="preserve"> </w:t>
      </w:r>
      <m:oMath>
        <m:r>
          <m:t>X</m:t>
        </m:r>
      </m:oMath>
      <w:r>
        <w:t xml:space="preserve"> </w:t>
      </w:r>
      <w:r>
        <w:t xml:space="preserve">address the observable channels, launch intensity, alliance status, defense salience, but no set of controls closes the door entirely. The honest statement is that the panel tests whether the observed sequence is consistent with institutions leading capability, net of the largest confounders, and reports a conditional association rather than a randomized effect.</w:t>
      </w:r>
    </w:p>
    <w:bookmarkEnd w:id="79"/>
    <w:bookmarkStart w:id="80" w:name="the-event-study-complement"/>
    <w:p>
      <w:pPr>
        <w:pStyle w:val="Heading2"/>
        <w:spacing w:line="480" w:lineRule="auto"/>
      </w:pPr>
      <w:r>
        <w:t xml:space="preserve">4.3 The event-study complement</w:t>
      </w:r>
    </w:p>
    <w:p>
      <w:pPr>
        <w:pStyle w:val="FirstParagraph"/>
        <w:spacing w:line="480" w:lineRule="auto"/>
      </w:pPr>
      <w:r>
        <w:t xml:space="preserve">The distinction is not cosmetic. The event study sharpens the timing test where discrete reforms exist. Around a documented institutional reform at event time zero, such as passage of a national space law with operating authorities or the standup of a dedicated organization, the specification estimates capability relative to the reform date net of common trends. The logic tests H2: capability should rise more steeply after the reform than before it, and a pre-trend, capability already climbing before the reform, would undercut the sequencing story by suggesting the reform ratified change that was already underway. The event study buys a sharper visual and statistical read of timing at the cost of small numbers, because major reforms are infrequent, and Chapter 7 treats that small-N problem as a live limitation rather than a footnote.</w:t>
      </w:r>
    </w:p>
    <w:p>
      <w:pPr>
        <w:pStyle w:val="BodyText"/>
        <w:spacing w:line="480" w:lineRule="auto"/>
        <w:ind w:firstLine="720"/>
      </w:pPr>
      <w:r>
        <w:t xml:space="preserve">Read it carefully. One feature of the event study deserves emphasis: its pre-trend test. If capability indicators are flat in the years before a reform and rise after it, the sequencing story is supported in a way a simple panel coefficient cannot deliver, because the flatness rules out the possibility that the reform merely rode a wave already in motion. If instead capability is already climbing before the reform date, the reform looks like ratification rather than cause, and the theory should concede as much. This is a place where the design can lose cleanly and visibly, which is precisely its merit. The event study does not merely estimate an effect; it exposes the assumption on which the causal reading rests to direct inspection.</w:t>
      </w:r>
    </w:p>
    <w:p>
      <w:pPr>
        <w:pStyle w:val="BodyText"/>
        <w:spacing w:line="480" w:lineRule="auto"/>
        <w:ind w:firstLine="720"/>
      </w:pPr>
      <w:r>
        <w:t xml:space="preserve">Japan supplies a clean example. Its 2020 squadron establishment is the kind of dated, formal reform the event study is built around</w:t>
      </w:r>
      <w:r>
        <w:t xml:space="preserve"> </w:t>
      </w:r>
      <w:hyperlink w:anchor="ref-1">
        <w:r>
          <w:rPr>
            <w:rStyle w:val="Hyperlink"/>
          </w:rPr>
          <w:t xml:space="preserve">[1]</w:t>
        </w:r>
      </w:hyperlink>
      <w:r>
        <w:t xml:space="preserve">. It has a clean date, a clear institutional content, and a documented before-and-after that public sources can support. Korea’s move toward the integrated VISION architecture supplies a second candidate event, though its date is fuzzier because integration is a process rather than a single act</w:t>
      </w:r>
      <w:r>
        <w:t xml:space="preserve"> </w:t>
      </w:r>
      <w:hyperlink w:anchor="ref-3">
        <w:r>
          <w:rPr>
            <w:rStyle w:val="Hyperlink"/>
          </w:rPr>
          <w:t xml:space="preserve">[3]</w:t>
        </w:r>
      </w:hyperlink>
      <w:r>
        <w:t xml:space="preserve">. The contrast between a sharp event like Japan’s and a diffuse one like Korea’s is instructive for the design: sharp events give the event study its cleanest tests, while diffuse ones are better handled by the panel, and the dissertation uses each where it fits rather than forcing both into one estimator.</w:t>
      </w:r>
    </w:p>
    <w:p>
      <w:pPr>
        <w:pStyle w:val="BodyText"/>
        <w:spacing w:line="480" w:lineRule="auto"/>
        <w:ind w:firstLine="720"/>
      </w:pPr>
      <w:r>
        <w:t xml:space="preserve">So much for the design’s principal instrument. Now the two screens that were actually run.</w:t>
      </w:r>
    </w:p>
    <w:bookmarkEnd w:id="80"/>
    <w:bookmarkStart w:id="81" w:name="the-corpus-diagnostic-estimators"/>
    <w:p>
      <w:pPr>
        <w:pStyle w:val="Heading2"/>
        <w:spacing w:line="480" w:lineRule="auto"/>
      </w:pPr>
      <w:r>
        <w:t xml:space="preserve">4.4 The corpus diagnostic estimators</w:t>
      </w:r>
    </w:p>
    <w:p>
      <w:pPr>
        <w:pStyle w:val="FirstParagraph"/>
        <w:spacing w:line="480" w:lineRule="auto"/>
      </w:pPr>
      <w:r>
        <w:t xml:space="preserve">The two estimators actually run in this tranche do not touch the state-year panel. They interrogate the source literature, and their purpose is to justify how the review weights that literature. Both are estimated on the same thirty-record retrieved corpus.</w:t>
      </w:r>
    </w:p>
    <w:p>
      <w:pPr>
        <w:pStyle w:val="BodyText"/>
        <w:spacing w:line="480" w:lineRule="auto"/>
        <w:ind w:firstLine="720"/>
      </w:pPr>
      <w:r>
        <w:t xml:space="preserve">The first is ordinary least squares with robust HC1 standard errors:</w:t>
      </w:r>
    </w:p>
    <w:p>
      <w:pPr>
        <w:pStyle w:val="BodyText"/>
        <w:spacing w:line="480" w:lineRule="auto"/>
        <w:ind w:firstLine="720"/>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p>
      <w:pPr>
        <w:pStyle w:val="FirstParagraph"/>
        <w:spacing w:line="480" w:lineRule="auto"/>
      </w:pPr>
      <w:r>
        <w:t xml:space="preserve">The stakes are concrete. The dependent variable is a deterministic count of candidate-theme term hits in each record’s title, snippet, keyword field, and author metadata. The regressors are publication recency, indexed citation count, and an ordinal venue-family score. This estimator tests H3, whether the institutional topic signal is patterned by recency, citation attention, and venue rather than spread evenly across the corpus. Robust HC1 errors are used because the records differ in metadata density and in whether the local index reports a citation count at all, conditions under which homoskedasticity is not a safe assumption.</w:t>
      </w:r>
    </w:p>
    <w:p>
      <w:pPr>
        <w:pStyle w:val="BodyText"/>
        <w:spacing w:line="480" w:lineRule="auto"/>
        <w:ind w:firstLine="720"/>
      </w:pPr>
      <w:r>
        <w:t xml:space="preserve">The second is a log-log learning curve, also with robust HC1 errors:</w:t>
      </w:r>
    </w:p>
    <w:p>
      <w:pPr>
        <w:pStyle w:val="BodyText"/>
        <w:spacing w:line="480" w:lineRule="auto"/>
        <w:ind w:firstLine="720"/>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p>
      <w:pPr>
        <w:pStyle w:val="FirstParagraph"/>
        <w:spacing w:line="480" w:lineRule="auto"/>
      </w:pPr>
      <w:r>
        <w:t xml:space="preserve">The dependent variable is the local citation count plus one, so the logarithm is defined for uncited records, and the regressor is article age indexed as 2026 minus publication year plus one. The coefficient</w:t>
      </w:r>
      <w:r>
        <w:t xml:space="preserve"> </w:t>
      </w:r>
      <m:oMath>
        <m:sSub>
          <m:e>
            <m:r>
              <m:t>β</m:t>
            </m:r>
          </m:e>
          <m:sub>
            <m:r>
              <m:t>1</m:t>
            </m:r>
          </m:sub>
        </m:sSub>
      </m:oMath>
      <w:r>
        <w:t xml:space="preserve"> </w:t>
      </w:r>
      <w:r>
        <w:t xml:space="preserve">is an elasticity: the percentage change in expected citations for a one-percent change in age. This estimator tests H4, whether age organizes citation accumulation in the corpus.</w:t>
      </w:r>
    </w:p>
    <w:p>
      <w:pPr>
        <w:pStyle w:val="BodyText"/>
        <w:spacing w:line="480" w:lineRule="auto"/>
        <w:ind w:firstLine="720"/>
      </w:pPr>
      <w:r>
        <w:t xml:space="preserve">The learning-curve framing is borrowed deliberately. In a settled citation network, older papers accumulate citations roughly monotonically with age, and the log-log form recovers a stable elasticity that behaves like a progress ratio: each doubling of age multiplies expected citations by a constant factor. That framing gives the test a clear null and a clear alternative. A meaningful positive elasticity would say the corpus behaves like a conventional citation network in which age confers authority. An elasticity near zero would say the corpus does not behave that way, that its citation attention is organized by something other than age, most likely by topical salience and the differing circulation of the genres the corpus mixes. The plus-one transformation on the dependent variable is mechanical but consequential, because roughly two-thirds of the corpus records are uncited in the local index, and without the transformation the log would be undefined for most of the sample. The transformation lets every record contribute rather than discarding the uncited majority.</w:t>
      </w:r>
    </w:p>
    <w:bookmarkEnd w:id="81"/>
    <w:bookmarkStart w:id="82" w:name="Xa882b103b55220e94455d04013b1a992887f85b"/>
    <w:p>
      <w:pPr>
        <w:pStyle w:val="Heading2"/>
        <w:spacing w:line="480" w:lineRule="auto"/>
      </w:pPr>
      <w:r>
        <w:t xml:space="preserve">4.5 What the diagnostics identify, and what they do not</w:t>
      </w:r>
    </w:p>
    <w:p>
      <w:pPr>
        <w:pStyle w:val="FirstParagraph"/>
        <w:spacing w:line="480" w:lineRule="auto"/>
      </w:pPr>
      <w:r>
        <w:t xml:space="preserve">One nuance remains. Neither diagnostic claims causal identification, and both are transparent about being observational screens. Publication year, citation count, and venue assignment are not randomly assigned, so the OLS coefficients describe how the topic signal is patterned across these dimensions in the retrieved set, not what would happen if a paper were made newer or moved to another venue. The learning curve describes the age-citation relationship in this corpus, not a law of citation behavior in space studies at large. The value of both is diagnostic in the precise sense: they tell the dissertation whether recency and venue carry the institutional theme, and whether age is a usable proxy for authority, and those answers directly shape which sources the review trusts. The single-variable parsimony of the learning curve is deliberate, because the question is whether the simplest age-attention relationship holds before any controls are added</w:t>
      </w:r>
      <w:r>
        <w:t xml:space="preserve"> </w:t>
      </w:r>
      <w:hyperlink w:anchor="ref-1">
        <w:r>
          <w:rPr>
            <w:rStyle w:val="Hyperlink"/>
          </w:rPr>
          <w:t xml:space="preserve">[1]</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Adding venue or metadata controls to the learning curve would answer a different and more conditional question, and it would risk reading a null as a controlled-away effect rather than a genuine absence. Starting bare is the honest first move: if age does not organize citations even on its own, no set of controls will resurrect it, and the parsimonious specification says so cleanly.</w:t>
      </w:r>
    </w:p>
    <w:p>
      <w:pPr>
        <w:pStyle w:val="BodyText"/>
        <w:spacing w:line="480" w:lineRule="auto"/>
        <w:ind w:firstLine="720"/>
      </w:pPr>
      <w:r>
        <w:t xml:space="preserve">A reasonable reader will ask why two separate estimators are needed rather than one richer model. The answer is that they test different objects. The first asks how the theme is distributed across the corpus, a multivariate question that requires recency, citations, and venue in the same equation. The second asks whether age alone organizes attention, a deliberately univariate question whose whole point is to test the simplest possible relationship. Folding them together would blur two distinct diagnostic purposes into one coefficient soup in which neither question is answered cleanly. Keeping them separate lets each estimator do one job and report one interpretable result, which is what Chapter 6 delivers. Two clean answers to two sharp questions are worth more than one muddy answer to a compound one.</w:t>
      </w:r>
    </w:p>
    <w:p>
      <w:pPr>
        <w:pStyle w:val="BodyText"/>
        <w:spacing w:line="480" w:lineRule="auto"/>
        <w:ind w:firstLine="720"/>
      </w:pPr>
      <w:r>
        <w:t xml:space="preserve">The framing repays attention. The robust HC1 standard-error choice runs through all the completed estimation, and the reason is worth stating once plainly. Heteroskedasticity is the expectation, not the exception, in both corpus regressions. The records differ in metadata density, in whether the local index carries a citation count, and in the genre conventions of their venues, all of which make the error variance depend on the regressors. Classical standard errors would understate uncertainty under those conditions and lend the coefficients a false precision. HC1 errors, which apply a small-sample correction appropriate to a thirty-observation dataset, are the conservative choice, and they are what the reported p-values in Chapter 6 rest on. A reader who prefers a different variance estimator would reach different p-values, and the dissertation reports the HC1 values because they are the ones the analysis produced and because they err toward caution rather than confidence.</w:t>
      </w:r>
    </w:p>
    <w:p>
      <w:pPr>
        <w:pStyle w:val="BodyText"/>
        <w:spacing w:line="480" w:lineRule="auto"/>
        <w:ind w:firstLine="720"/>
      </w:pPr>
      <w:r>
        <w:t xml:space="preserve">This follows from the setup. A final methodological commitment ties the two apparatus together despite their different scales. Both are reported as they ran, with no coefficient rounded away, no unfavorable result suppressed, and no significance claimed beyond what the output supports. The value of a falsifiable design collapses the moment its author starts curating which numbers to show, and the corpus screens are a small proving ground for the discipline the full panel will demand. If the recency coefficient had come back null, Chapter 6 would report the null. If the age elasticity had come back strong, it would report that. The methodology is not only a set of estimators; it is a commitment to reporting them honestly, and that commitment is what the reader is entitled to check.</w:t>
      </w:r>
    </w:p>
    <w:p>
      <w:pPr>
        <w:pStyle w:val="BodyText"/>
        <w:spacing w:line="480" w:lineRule="auto"/>
        <w:ind w:firstLine="720"/>
      </w:pPr>
      <w:r>
        <w:t xml:space="preserve">One design choice deserves defense against an obvious objection: why report bibliometric screens at all in a dissertation about states, when they cannot test the state-level claim. The answer is that a review is not a neutral act. Every literature review privileges some sources over others, and the basis for that privileging is usually left implicit, resting on the reviewer’s sense of which work is authoritative. The two screens make that basis explicit and testable. They ask whether the usual proxies for authority, citation count and age, actually track relevance for this argument, and they find that they do not. That finding licenses a review built on topical fit rather than on the conventional shortcuts, and it does so with evidence rather than assertion. A reader who wants to know why the review weights recent proceedings literature over older, more-cited journal work can be shown a coefficient rather than asked to trust a judgment. That is a modest but real methodological gain, and it is the reason the screens earn their place.</w:t>
      </w:r>
    </w:p>
    <w:p>
      <w:pPr>
        <w:pStyle w:val="BodyText"/>
        <w:spacing w:line="480" w:lineRule="auto"/>
        <w:ind w:firstLine="720"/>
      </w:pPr>
      <w:r>
        <w:t xml:space="preserve">The consequence is direct. The methodological posture across both kinds of apparatus is the same. Report what the estimator returns, state the identifying assumptions plainly, and separate the conditional associations the design can support from the causal claims it cannot. Chapter 5 describes the data these estimators run on, and Chapter 6 reports the numbers without alteration. The reader should carry one distinction into that chapter above all others: the panel and event study identify a claim about states that has not yet been estimated, while the two corpus screens identify claims about the literature that have been estimated and are reported in full. Both are real parts of the design; only the second has produced completed output in this tranche, and the chapters keep that line visible throughout</w:t>
      </w:r>
      <w:r>
        <w:t xml:space="preserve"> </w:t>
      </w:r>
      <w:hyperlink w:anchor="ref-1">
        <w:r>
          <w:rPr>
            <w:rStyle w:val="Hyperlink"/>
          </w:rPr>
          <w:t xml:space="preserve">[1]</w:t>
        </w:r>
      </w:hyperlink>
      <w:r>
        <w:t xml:space="preserve"> </w:t>
      </w:r>
      <w:hyperlink w:anchor="ref-7">
        <w:r>
          <w:rPr>
            <w:rStyle w:val="Hyperlink"/>
          </w:rPr>
          <w:t xml:space="preserve">[7]</w:t>
        </w:r>
      </w:hyperlink>
      <w:r>
        <w:t xml:space="preserve">.</w:t>
      </w:r>
    </w:p>
    <w:bookmarkEnd w:id="82"/>
    <w:bookmarkEnd w:id="83"/>
    <w:bookmarkStart w:id="88" w:name="chapter-5.-data-and-measurement"/>
    <w:p>
      <w:pPr>
        <w:pStyle w:val="Heading1"/>
        <w:spacing w:line="480" w:lineRule="auto"/>
      </w:pPr>
      <w:r>
        <w:t xml:space="preserve">Chapter 5. Data and Measurement</w:t>
      </w:r>
    </w:p>
    <w:p>
      <w:pPr>
        <w:pStyle w:val="FirstParagraph"/>
        <w:spacing w:line="480" w:lineRule="auto"/>
      </w:pPr>
      <w:r>
        <w:t xml:space="preserve">Measurement is where a sequencing argument lives or dies. A theory about institutions preceding capability is only as good as the coding rules that decide what counts as an institution and what counts as capability, and only as credible as the sources those codes rest on. This chapter describes two data structures. The first is the planned state-year panel that the substantive hypothesis will run on, with its variables, construction rules, provenance, and conservative coding discipline. The second is the retrieved thirty-record source corpus that the two diagnostic estimators actually use, with its variables defined exactly as the analysis defines them. Keeping the two clearly separated matters, because only the second has produced the completed numbers reported in Chapter 6.</w:t>
      </w:r>
    </w:p>
    <w:bookmarkStart w:id="84" w:name="the-planned-state-year-panel"/>
    <w:p>
      <w:pPr>
        <w:pStyle w:val="Heading2"/>
        <w:spacing w:line="480" w:lineRule="auto"/>
      </w:pPr>
      <w:r>
        <w:t xml:space="preserve">5.1 The planned state-year panel</w:t>
      </w:r>
    </w:p>
    <w:p>
      <w:pPr>
        <w:pStyle w:val="FirstParagraph"/>
        <w:spacing w:line="480" w:lineRule="auto"/>
      </w:pPr>
      <w:r>
        <w:t xml:space="preserve">The unit of analysis for the substantive test is the state-year. Each observation is one country in one calendar year, drawn from a purposive sample of spacefaring states with publicly observable SSA-relevant activity rather than a universal set of all states. Purposive selection is appropriate because the mechanism concerns states that are plausibly on a capability trajectory at all; a state with no space activity contributes no variation to a test about how space institutions convert into space capability.</w:t>
      </w:r>
    </w:p>
    <w:p>
      <w:pPr>
        <w:pStyle w:val="BodyText"/>
        <w:spacing w:line="480" w:lineRule="auto"/>
        <w:ind w:firstLine="720"/>
      </w:pPr>
      <w:r>
        <w:t xml:space="preserve">An observable SSA capability index serves as the outcome,</w:t>
      </w:r>
      <w:r>
        <w:t xml:space="preserve"> </w:t>
      </w:r>
      <m:oMath>
        <m:sSub>
          <m:e>
            <m:r>
              <m:t>Y</m:t>
            </m:r>
          </m:e>
          <m:sub>
            <m:r>
              <m:t>i</m:t>
            </m:r>
            <m:r>
              <m:t>t</m:t>
            </m:r>
          </m:sub>
        </m:sSub>
      </m:oMath>
      <w:r>
        <w:t xml:space="preserve">. It aggregates publicly documented sensor assets, catalog-management functions, designated operating organizations, and formal participation in standing SSA or SDA data-sharing arrangements. The literature supplies concrete coding anchors for each dimension. Japan’s formal squadron creation anchors the organizational dimension</w:t>
      </w:r>
      <w:r>
        <w:t xml:space="preserve"> </w:t>
      </w:r>
      <w:hyperlink w:anchor="ref-1">
        <w:r>
          <w:rPr>
            <w:rStyle w:val="Hyperlink"/>
          </w:rPr>
          <w:t xml:space="preserve">[1]</w:t>
        </w:r>
      </w:hyperlink>
      <w:r>
        <w:t xml:space="preserve">. Korean optical tracking calibration anchors the sensor-asset dimension at the point where a sensor becomes trustworthy</w:t>
      </w:r>
      <w:r>
        <w:t xml:space="preserve"> </w:t>
      </w:r>
      <w:hyperlink w:anchor="ref-2">
        <w:r>
          <w:rPr>
            <w:rStyle w:val="Hyperlink"/>
          </w:rPr>
          <w:t xml:space="preserve">[2]</w:t>
        </w:r>
      </w:hyperlink>
      <w:r>
        <w:t xml:space="preserve">. The VISION architecture anchors integrated catalog and monitoring functions</w:t>
      </w:r>
      <w:r>
        <w:t xml:space="preserve"> </w:t>
      </w:r>
      <w:hyperlink w:anchor="ref-3">
        <w:r>
          <w:rPr>
            <w:rStyle w:val="Hyperlink"/>
          </w:rPr>
          <w:t xml:space="preserve">[3]</w:t>
        </w:r>
      </w:hyperlink>
      <w:r>
        <w:t xml:space="preserve">. Partnership-based arrangements anchor the data-sharing dimension</w:t>
      </w:r>
      <w:r>
        <w:t xml:space="preserve"> </w:t>
      </w:r>
      <w:hyperlink w:anchor="ref-7">
        <w:r>
          <w:rPr>
            <w:rStyle w:val="Hyperlink"/>
          </w:rPr>
          <w:t xml:space="preserve">[7]</w:t>
        </w:r>
      </w:hyperlink>
      <w:r>
        <w:t xml:space="preserve">.</w:t>
      </w:r>
    </w:p>
    <w:p>
      <w:pPr>
        <w:pStyle w:val="BodyText"/>
        <w:spacing w:line="480" w:lineRule="auto"/>
        <w:ind w:firstLine="720"/>
      </w:pPr>
      <w:r>
        <w:t xml:space="preserve">The principal explanatory variable,</w:t>
      </w:r>
      <w:r>
        <w:t xml:space="preserve"> </w:t>
      </w:r>
      <m:oMath>
        <m:sSub>
          <m:e>
            <m:r>
              <m:t>I</m:t>
            </m:r>
          </m:e>
          <m:sub>
            <m:r>
              <m:t>i</m:t>
            </m:r>
            <m:r>
              <m:t>t</m:t>
            </m:r>
            <m:r>
              <m:rPr>
                <m:sty m:val="p"/>
              </m:rPr>
              <m:t>−</m:t>
            </m:r>
            <m:r>
              <m:t>1</m:t>
            </m:r>
          </m:sub>
        </m:sSub>
      </m:oMath>
      <w:r>
        <w:t xml:space="preserve">, is a domestic institutional-strength index built from public legal, organizational, and policy instruments: national space legislation, official government and ministry publications, published national space strategies, defense white papers, and cabinet or parliamentary instruments establishing space organizations and interagency coordination. The lag reflects the theory, since institutions are hypothesized to precede capability.</w:t>
      </w:r>
    </w:p>
    <w:p>
      <w:pPr>
        <w:pStyle w:val="BodyText"/>
        <w:spacing w:line="480" w:lineRule="auto"/>
        <w:ind w:firstLine="720"/>
      </w:pPr>
      <w:r>
        <w:t xml:space="preserve">Construction is by component. The institutional index is built so that the aggregate never hides its parts. Each of the four components from Chapter 3, legal authority, organizational ownership, doctrine, and coordination capacity, receives its own sub-score coded from documented instruments, and the aggregate index is their sum. This construction serves two purposes. It keeps the coding auditable, because a reader can trace any state-year’s total back to the specific statutes, decrees, and strategy documents that produced each sub-score. And it enables the heterogeneity test the theory predicts, since a state-year with a given total can be decomposed to reveal which component is driving it. A state whose institutional strength rests entirely on a strong law but no coordination pathway is coded differently, at the component level, from a state whose strength rests on deep coordination but thin legal authority, even when their totals coincide.</w:t>
      </w:r>
    </w:p>
    <w:p>
      <w:pPr>
        <w:pStyle w:val="BodyText"/>
        <w:spacing w:line="480" w:lineRule="auto"/>
        <w:ind w:firstLine="720"/>
      </w:pPr>
      <w:r>
        <w:t xml:space="preserve">The capability index is constructed the same way, dimension by dimension, so that a state credited with a high capability score can be traced to documented sensors, catalog functions, an operating organization, and data-sharing participation rather than to an analyst’s overall impression. The coding anchors already named tie each dimension to real, published evidence: the squadron for organization</w:t>
      </w:r>
      <w:r>
        <w:t xml:space="preserve"> </w:t>
      </w:r>
      <w:hyperlink w:anchor="ref-1">
        <w:r>
          <w:rPr>
            <w:rStyle w:val="Hyperlink"/>
          </w:rPr>
          <w:t xml:space="preserve">[1]</w:t>
        </w:r>
      </w:hyperlink>
      <w:r>
        <w:t xml:space="preserve">, the calibration record for trustworthy sensing</w:t>
      </w:r>
      <w:r>
        <w:t xml:space="preserve"> </w:t>
      </w:r>
      <w:hyperlink w:anchor="ref-2">
        <w:r>
          <w:rPr>
            <w:rStyle w:val="Hyperlink"/>
          </w:rPr>
          <w:t xml:space="preserve">[2]</w:t>
        </w:r>
      </w:hyperlink>
      <w:r>
        <w:t xml:space="preserve">, the integrated architecture for catalog and monitoring functions</w:t>
      </w:r>
      <w:r>
        <w:t xml:space="preserve"> </w:t>
      </w:r>
      <w:hyperlink w:anchor="ref-3">
        <w:r>
          <w:rPr>
            <w:rStyle w:val="Hyperlink"/>
          </w:rPr>
          <w:t xml:space="preserve">[3]</w:t>
        </w:r>
      </w:hyperlink>
      <w:r>
        <w:t xml:space="preserve">, and formal agreements for data sharing</w:t>
      </w:r>
      <w:r>
        <w:t xml:space="preserve"> </w:t>
      </w:r>
      <w:hyperlink w:anchor="ref-7">
        <w:r>
          <w:rPr>
            <w:rStyle w:val="Hyperlink"/>
          </w:rPr>
          <w:t xml:space="preserve">[7]</w:t>
        </w:r>
      </w:hyperlink>
      <w:r>
        <w:t xml:space="preserve">. Where a dimension cannot be documented, it scores zero, per the conservative rule, and the appendices record the absence as documented-absent rather than unknown wherever the sources permit that distinction.</w:t>
      </w:r>
    </w:p>
    <w:bookmarkEnd w:id="84"/>
    <w:bookmarkStart w:id="85" w:name="Xc0ef43d3b5c93dd3c59c520efcb197cab4cd0cd"/>
    <w:p>
      <w:pPr>
        <w:pStyle w:val="Heading2"/>
        <w:spacing w:line="480" w:lineRule="auto"/>
      </w:pPr>
      <w:r>
        <w:t xml:space="preserve">5.2 Provenance and the conservative coding rule</w:t>
      </w:r>
    </w:p>
    <w:p>
      <w:pPr>
        <w:pStyle w:val="FirstParagraph"/>
        <w:spacing w:line="480" w:lineRule="auto"/>
      </w:pPr>
      <w:r>
        <w:t xml:space="preserve">Every positive institutional or capability claim in the planned panel requires a public, attributable source that can be archived as a source document or web capture. The rule is deliberately conservative: if a capability cannot be documented publicly, it is coded as absent rather than inferred. This trades sensitivity for replicability. A state may in fact operate a classified sensor that the coding misses, and the design accepts that cost, because a reproducible index built on public evidence is defensible where an analyst’s private inference is not. Chapter 7 returns to the bias this rule can introduce, since states differ in how much they disclose, and treats public-observability bias as a first-order threat rather than a technicality.</w:t>
      </w:r>
    </w:p>
    <w:p>
      <w:pPr>
        <w:pStyle w:val="BodyText"/>
        <w:spacing w:line="480" w:lineRule="auto"/>
        <w:ind w:firstLine="720"/>
      </w:pPr>
      <w:r>
        <w:t xml:space="preserve">Weigh it plainly. The lag on the institutional index also does quiet work on the measurement side, not only the theoretical side. Institutions and capability are both coded from documents that appear at particular dates, and a document announcing a reform often coincides with documents announcing new capability, because states publicize consolidations and buildouts together. Lagging the institutional index by design separates the timestamp of the institutional evidence from the timestamp of the capability evidence, which reduces the risk that a single burst of publicity inflates both indices in the same year and manufactures a spurious contemporaneous correlation. The lag is thus both a test of sequence and a guard against a specific measurement artifact.</w:t>
      </w:r>
    </w:p>
    <w:p>
      <w:pPr>
        <w:pStyle w:val="BodyText"/>
        <w:spacing w:line="480" w:lineRule="auto"/>
        <w:ind w:firstLine="720"/>
      </w:pPr>
      <w:r>
        <w:t xml:space="preserve">The controls in</w:t>
      </w:r>
      <w:r>
        <w:t xml:space="preserve"> </w:t>
      </w:r>
      <m:oMath>
        <m:sSub>
          <m:e>
            <m:r>
              <m:t>X</m:t>
            </m:r>
          </m:e>
          <m:sub>
            <m:r>
              <m:t>i</m:t>
            </m:r>
            <m:r>
              <m:t>t</m:t>
            </m:r>
            <m:r>
              <m:rPr>
                <m:sty m:val="p"/>
              </m:rPr>
              <m:t>−</m:t>
            </m:r>
            <m:r>
              <m:t>1</m:t>
            </m:r>
          </m:sub>
        </m:sSub>
      </m:oMath>
      <w:r>
        <w:t xml:space="preserve"> </w:t>
      </w:r>
      <w:r>
        <w:t xml:space="preserve">come from comparably public sources: launch-activity intensity from public launch manifests, civil-space and defense-space scale from budget and organizational records, and alliance or partnership status from official agreements and policy statements</w:t>
      </w:r>
      <w:r>
        <w:t xml:space="preserve"> </w:t>
      </w:r>
      <w:hyperlink w:anchor="ref-7">
        <w:r>
          <w:rPr>
            <w:rStyle w:val="Hyperlink"/>
          </w:rPr>
          <w:t xml:space="preserve">[7]</w:t>
        </w:r>
      </w:hyperlink>
      <w:r>
        <w:t xml:space="preserve">. Each control is lagged for the same reason the institutional index is lagged, so that the specification compares prior conditions to subsequent capability.</w:t>
      </w:r>
    </w:p>
    <w:p>
      <w:pPr>
        <w:pStyle w:val="BodyText"/>
        <w:spacing w:line="480" w:lineRule="auto"/>
        <w:ind w:firstLine="720"/>
      </w:pPr>
      <w:r>
        <w:t xml:space="preserve">The measure is deliberate. Launch intensity, as a control, deserves a note because it does double duty. It captures the sheer volume of activity a state must monitor, which drives demand for capability, and it proxies the general level of space engagement that might independently produce both institutions and capability. Including it therefore absorbs part of the common-cause channel that Chapter 3 flagged as the hardest rival to the sequencing story. It cannot absorb all of it, since a discrete security shock need not show up as a launch surge, but it removes the most obvious confound of a state simply doing more in space across every dimension at once. The alliance and partnership indicators do similar double duty, controlling both for the direct capability boost that data sharing provides and for the selection-into-visibility concern that internationally embedded states document themselves more thoroughly</w:t>
      </w:r>
      <w:r>
        <w:t xml:space="preserve"> </w:t>
      </w:r>
      <w:hyperlink w:anchor="ref-7">
        <w:r>
          <w:rPr>
            <w:rStyle w:val="Hyperlink"/>
          </w:rPr>
          <w:t xml:space="preserve">[7]</w:t>
        </w:r>
      </w:hyperlink>
      <w:r>
        <w:t xml:space="preserve">.</w:t>
      </w:r>
    </w:p>
    <w:p>
      <w:pPr>
        <w:pStyle w:val="BodyText"/>
        <w:spacing w:line="480" w:lineRule="auto"/>
        <w:ind w:firstLine="720"/>
      </w:pPr>
      <w:r>
        <w:t xml:space="preserve">Provenance is not merely a coding convenience; it is what makes the design replicable in principle. Because every positive claim rests on an archivable public document, a second analyst could in principle reconstruct the entire panel from the same sources and check the coding. That property is rare in comparative capability assessment, where much coding rests on expert judgment that cannot be audited. The cost of buying replicability this way is coverage, since classified or undocumented activity is invisible to the coding, and the dissertation pays that cost deliberately. A narrower, auditable panel is worth more to a falsifiable design than a broader one built on inference that no one can check.</w:t>
      </w:r>
    </w:p>
    <w:p>
      <w:pPr>
        <w:pStyle w:val="BodyText"/>
        <w:spacing w:line="480" w:lineRule="auto"/>
        <w:ind w:firstLine="720"/>
      </w:pPr>
      <w:r>
        <w:t xml:space="preserve">That is the planned panel. The completed work uses something smaller.</w:t>
      </w:r>
    </w:p>
    <w:bookmarkEnd w:id="85"/>
    <w:bookmarkStart w:id="86" w:name="the-retrieved-source-corpus"/>
    <w:p>
      <w:pPr>
        <w:pStyle w:val="Heading2"/>
        <w:spacing w:line="480" w:lineRule="auto"/>
      </w:pPr>
      <w:r>
        <w:t xml:space="preserve">5.3 The retrieved source corpus</w:t>
      </w:r>
    </w:p>
    <w:p>
      <w:pPr>
        <w:pStyle w:val="FirstParagraph"/>
        <w:spacing w:line="480" w:lineRule="auto"/>
      </w:pPr>
      <w:r>
        <w:t xml:space="preserve">The completed empirical work runs on a different and smaller structure: a retrieved corpus of thirty source-level records, each row one document, drawn from the literature the dissertation depends on. This is the dataset behind both estimators in Chapter 6, and its variables are defined precisely by the analysis configuration.</w:t>
      </w:r>
    </w:p>
    <w:p>
      <w:pPr>
        <w:pStyle w:val="BodyText"/>
        <w:spacing w:line="480" w:lineRule="auto"/>
        <w:ind w:firstLine="720"/>
      </w:pPr>
      <w:r>
        <w:t xml:space="preserve">The dependent variable in the first paper is</w:t>
      </w:r>
      <w:r>
        <w:t xml:space="preserve"> </w:t>
      </w:r>
      <w:r>
        <w:rPr>
          <w:rStyle w:val="VerbatimChar"/>
        </w:rPr>
        <w:t xml:space="preserve">signal_score</w:t>
      </w:r>
      <w:r>
        <w:t xml:space="preserve">, a deterministic count of candidate-theme term hits in each record’s title, snippet, keyword field, and author metadata. It is not an expert quality rating and does not claim to measure substantive agreement. It is a transparent, reproducible indicator of how closely a record’s metadata aligns with the dissertation’s focus on domestic institutions and SSA capability. Across the thirty records the score ranges from 1 to 10.</w:t>
      </w:r>
    </w:p>
    <w:p>
      <w:pPr>
        <w:pStyle w:val="BodyText"/>
        <w:spacing w:line="480" w:lineRule="auto"/>
        <w:ind w:firstLine="720"/>
      </w:pPr>
      <w:r>
        <w:t xml:space="preserve">Three explanatory variables enter the first paper.</w:t>
      </w:r>
      <w:r>
        <w:t xml:space="preserve"> </w:t>
      </w:r>
      <w:r>
        <w:rPr>
          <w:rStyle w:val="VerbatimChar"/>
        </w:rPr>
        <w:t xml:space="preserve">recency_index</w:t>
      </w:r>
      <w:r>
        <w:t xml:space="preserve"> </w:t>
      </w:r>
      <w:r>
        <w:t xml:space="preserve">is publication year minus the minimum publication year in the sample plus one, so a one-unit increase is one year of recency relative to the earliest record and no value is zero.</w:t>
      </w:r>
      <w:r>
        <w:t xml:space="preserve"> </w:t>
      </w:r>
      <w:r>
        <w:rPr>
          <w:rStyle w:val="VerbatimChar"/>
        </w:rPr>
        <w:t xml:space="preserve">cites_num</w:t>
      </w:r>
      <w:r>
        <w:t xml:space="preserve"> </w:t>
      </w:r>
      <w:r>
        <w:t xml:space="preserve">is the citation count reported in the local brain index, set to zero where the index reports none, and should be read as local indexed attention rather than a universal cross-database count; in this sample it ranges from 0 to 99.</w:t>
      </w:r>
      <w:r>
        <w:t xml:space="preserve"> </w:t>
      </w:r>
      <w:r>
        <w:rPr>
          <w:rStyle w:val="VerbatimChar"/>
        </w:rPr>
        <w:t xml:space="preserve">venue_score</w:t>
      </w:r>
      <w:r>
        <w:t xml:space="preserve"> </w:t>
      </w:r>
      <w:r>
        <w:t xml:space="preserve">is an ordinal venue-family code, AMOS equal to 1, Acta Astronautica equal to 2, and Space Economy equal to 3, included to absorb the metadata conventions that differ across publishing formats.</w:t>
      </w:r>
    </w:p>
    <w:p>
      <w:pPr>
        <w:pStyle w:val="BodyText"/>
        <w:spacing w:line="480" w:lineRule="auto"/>
        <w:ind w:firstLine="720"/>
      </w:pPr>
      <w:r>
        <w:t xml:space="preserve">The second paper reuses the same thirty records but changes the outcome. Its dependent variable is</w:t>
      </w:r>
      <w:r>
        <w:t xml:space="preserve"> </w:t>
      </w:r>
      <w:r>
        <w:rPr>
          <w:rStyle w:val="VerbatimChar"/>
        </w:rPr>
        <w:t xml:space="preserve">cites_plus1</w:t>
      </w:r>
      <w:r>
        <w:t xml:space="preserve">, the local citation count plus one, so the logarithm is defined even for uncited records. Its single regressor is</w:t>
      </w:r>
      <w:r>
        <w:t xml:space="preserve"> </w:t>
      </w:r>
      <w:r>
        <w:rPr>
          <w:rStyle w:val="VerbatimChar"/>
        </w:rPr>
        <w:t xml:space="preserve">age_index</w:t>
      </w:r>
      <w:r>
        <w:t xml:space="preserve">, defined as 2026 minus publication year plus one, where a larger value means an older record. Both variables enter in natural logs, which makes the age coefficient an elasticity.</w:t>
      </w:r>
    </w:p>
    <w:p>
      <w:pPr>
        <w:pStyle w:val="BodyText"/>
        <w:spacing w:line="480" w:lineRule="auto"/>
        <w:ind w:firstLine="720"/>
      </w:pPr>
      <w:r>
        <w:t xml:space="preserve">This choice is defensible. How the citation field is distributed is worth describing, because it explains why the two papers reach the conclusions they do. Most records in the corpus carry zero indexed citations, a scattering carry a handful, and a very small number carry large counts, with the largest at 99 and another at 82. This is a heavily right-skewed field with a large mass at zero, which is exactly the shape that makes both robust standard errors and the plus-one log transformation necessary rather than optional. It also means a few high-citation records exert outsized influence on any citation-based analysis, and the log transformation is partly a defense against letting those few records dominate. The recency field, by contrast, is spread more evenly across the sampled years, which gives the recency regressor in the first paper more usable variation to work with than the citation regressor has.</w:t>
      </w:r>
    </w:p>
    <w:bookmarkEnd w:id="86"/>
    <w:bookmarkStart w:id="87" w:name="X525ec61fdc7768553ca1d68b3a2f506e564b2c2"/>
    <w:p>
      <w:pPr>
        <w:pStyle w:val="Heading2"/>
        <w:spacing w:line="480" w:lineRule="auto"/>
      </w:pPr>
      <w:r>
        <w:t xml:space="preserve">5.4 What the corpus contains and why the mix matters</w:t>
      </w:r>
    </w:p>
    <w:p>
      <w:pPr>
        <w:pStyle w:val="FirstParagraph"/>
        <w:spacing w:line="480" w:lineRule="auto"/>
      </w:pPr>
      <w:r>
        <w:t xml:space="preserve">The thirty records span the strands the dissertation draws on. National case material on Japan and Korea sits alongside integrated monitoring-system development</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Global trend mapping, autonomous catalog construction, and strategic data-sharing analysis are present</w:t>
      </w:r>
      <w:r>
        <w:t xml:space="preserve"> </w:t>
      </w:r>
      <w:hyperlink w:anchor="ref-4">
        <w:r>
          <w:rPr>
            <w:rStyle w:val="Hyperlink"/>
          </w:rPr>
          <w:t xml:space="preserve">[4]</w:t>
        </w:r>
      </w:hyperlink>
      <w:r>
        <w:t xml:space="preserve"> </w:t>
      </w:r>
      <w:hyperlink w:anchor="ref-6">
        <w:r>
          <w:rPr>
            <w:rStyle w:val="Hyperlink"/>
          </w:rPr>
          <w:t xml:space="preserve">[6]</w:t>
        </w:r>
      </w:hyperlink>
      <w:r>
        <w:t xml:space="preserve"> </w:t>
      </w:r>
      <w:hyperlink w:anchor="ref-7">
        <w:r>
          <w:rPr>
            <w:rStyle w:val="Hyperlink"/>
          </w:rPr>
          <w:t xml:space="preserve">[7]</w:t>
        </w:r>
      </w:hyperlink>
      <w:r>
        <w:t xml:space="preserve">. So is explicitly institutional work on governance bottlenecks and socio-technical regimes</w:t>
      </w:r>
      <w:r>
        <w:t xml:space="preserve"> </w:t>
      </w:r>
      <w:hyperlink w:anchor="ref-9">
        <w:r>
          <w:rPr>
            <w:rStyle w:val="Hyperlink"/>
          </w:rPr>
          <w:t xml:space="preserve">[9]</w:t>
        </w:r>
      </w:hyperlink>
      <w:r>
        <w:t xml:space="preserve"> </w:t>
      </w:r>
      <w:hyperlink w:anchor="ref-10">
        <w:r>
          <w:rPr>
            <w:rStyle w:val="Hyperlink"/>
          </w:rPr>
          <w:t xml:space="preserve">[10]</w:t>
        </w:r>
      </w:hyperlink>
      <w:r>
        <w:t xml:space="preserve">. A block of Space Economy records, coded at venue score three, brings policy and economic framing into the corpus. These records include national space roadmaps, economic-statecraft framing, and forecasting work on the space economy, and they carry the argument that a state’s space trajectory is a matter of deliberate economic and policy strategy rather than an automatic function of technical means. Their presence widens the corpus beyond the sensor-and-governance axis into the economic conditions that shape what institutions a state can build and sustain. This heterogeneity is not incidental. It mirrors the mixed literature base the dissertation must rely on, and it is exactly why the diagnostic screens are informative: if the institutional theme were spread evenly across such a varied corpus, recency and venue would carry no signal, and the review would have no principled basis for weighting recent institutional work over older or more-cited technical work.</w:t>
      </w:r>
    </w:p>
    <w:p>
      <w:pPr>
        <w:pStyle w:val="BodyText"/>
        <w:spacing w:line="480" w:lineRule="auto"/>
        <w:ind w:firstLine="720"/>
      </w:pPr>
      <w:r>
        <w:t xml:space="preserve">The</w:t>
      </w:r>
      <w:r>
        <w:t xml:space="preserve"> </w:t>
      </w:r>
      <w:r>
        <w:rPr>
          <w:rStyle w:val="VerbatimChar"/>
        </w:rPr>
        <w:t xml:space="preserve">signal_score</w:t>
      </w:r>
      <w:r>
        <w:t xml:space="preserve"> </w:t>
      </w:r>
      <w:r>
        <w:t xml:space="preserve">construction deserves a closer look because the two diagnostic papers hinge on it. It is a deterministic count, which means it is fully reproducible: the same term list applied to the same title, snippet, keyword field, and author metadata will always yield the same score, with no coder discretion at the point of scoring. That reproducibility is its virtue. Its limitation is equally clear. A metadata count cannot tell whether a paper argues for or against the institutional thesis, whether it treats institutions as central or incidental, or whether its substance matches its vocabulary. A paper could score high because its title happens to use the theme’s terms while its argument runs elsewhere, or score low while making a deeply relevant point in different words. The score measures vocabulary alignment, nothing more, and Chapter 7 is careful to read every result about</w:t>
      </w:r>
      <w:r>
        <w:t xml:space="preserve"> </w:t>
      </w:r>
      <w:r>
        <w:rPr>
          <w:rStyle w:val="VerbatimChar"/>
        </w:rPr>
        <w:t xml:space="preserve">signal_score</w:t>
      </w:r>
      <w:r>
        <w:t xml:space="preserve"> </w:t>
      </w:r>
      <w:r>
        <w:t xml:space="preserve">as a result about metadata vocabulary rather than about substance.</w:t>
      </w:r>
    </w:p>
    <w:p>
      <w:pPr>
        <w:pStyle w:val="BodyText"/>
        <w:spacing w:line="480" w:lineRule="auto"/>
        <w:ind w:firstLine="720"/>
      </w:pPr>
      <w:r>
        <w:t xml:space="preserve">Venue coding carries its own interpretive weight. Assigning AMOS a one, Acta Astronautica a two, and Space Economy a three imposes an ordering that treats the families as points on a single scale, when they are really distinct publishing cultures with different vocabularies and audiences. The ordinal choice is a modeling convenience that lets a single coefficient summarize the venue association, and it buys parsimony at the cost of assuming the steps between families are comparable. A categorical coding with separate indicators for each family would relax that assumption and is an obvious refinement for later work. The dissertation uses the ordinal form because the diagnostic purpose is to detect whether venue matters at all, not to rank the families precisely, and for that narrow purpose the ordinal coefficient suffices.</w:t>
      </w:r>
    </w:p>
    <w:p>
      <w:pPr>
        <w:pStyle w:val="BodyText"/>
        <w:spacing w:line="480" w:lineRule="auto"/>
        <w:ind w:firstLine="720"/>
      </w:pPr>
      <w:r>
        <w:t xml:space="preserve">The threat is genuine. The corpus is small, thirty observations, and the analysis treats that as a real constraint on precision rather than hiding it. The</w:t>
      </w:r>
      <w:r>
        <w:t xml:space="preserve"> </w:t>
      </w:r>
      <w:r>
        <w:rPr>
          <w:rStyle w:val="VerbatimChar"/>
        </w:rPr>
        <w:t xml:space="preserve">cites_num</w:t>
      </w:r>
      <w:r>
        <w:t xml:space="preserve"> </w:t>
      </w:r>
      <w:r>
        <w:t xml:space="preserve">field comes from a local index rather than a universal bibliometric service, so it captures attention within a specific retrieval rather than global citation reality. The venue score imposes an ordinal structure that a later study could refine into categories. These limits are stated here so that Chapter 6 can report the estimator output cleanly and Chapter 7 can weigh it against exactly the right threats. The measurement design, for both the planned panel and the completed corpus, follows a single rule: define every variable so that another analyst with the same public sources would code it the same way.</w:t>
      </w:r>
    </w:p>
    <w:p>
      <w:pPr>
        <w:pStyle w:val="BodyText"/>
        <w:spacing w:line="480" w:lineRule="auto"/>
        <w:ind w:firstLine="720"/>
      </w:pPr>
      <w:r>
        <w:t xml:space="preserve">That rule has a cost worth naming a final time, because it recurs as a theme through the later chapters. Reproducibility and coverage trade off against each other. A coding rule loose enough to capture classified or undocumented capability would capture more of the truth but could not be checked, since it would rest on inference no second analyst could reconstruct. A rule tight enough to be reproducible, the one this dissertation adopts, captures only what the public record documents and therefore misses whatever states choose not to disclose. There is no coding scheme that is both fully reproducible and fully complete, and the design chooses reproducibility deliberately, accepting that its findings will be findings about documented institutions and documented capability. Chapter 7 treats the resulting disclosure gap as a first-order threat rather than a footnote, and the measurement chapter flags it here so that no reader mistakes documented capability for capability itself. The variables are built to be checkable, and checkability is worth the coverage it costs.</w:t>
      </w:r>
    </w:p>
    <w:p>
      <w:pPr>
        <w:pStyle w:val="BodyText"/>
        <w:spacing w:line="480" w:lineRule="auto"/>
        <w:ind w:firstLine="720"/>
      </w:pPr>
      <w:r>
        <w:t xml:space="preserve">One reading dominates. A brief comparison between the two data structures clarifies what each is for. The planned state-year panel is the instrument for the substantive claim, and it is evidentiary, source-heavy, and slow to build, because every cell must be documented. The retrieved corpus is the instrument for the review’s calibration, and it is fast, fully reproducible, and deliberately shallow, a metadata screen rather than a substantive reading. The two structures share the same conservative spirit, that every value trace to a real source a second analyst could inspect, but they answer different questions at different scales. Conflating them would be an error, and the chapter keeps them apart so that Chapter 6, which reports only the corpus results, cannot be mistaken for a report on the states. The panel remains specified and uncoded; the corpus is coded and analyzed. That asymmetry is the honest state of the project, and the measurement chapter is where it is set down plainly</w:t>
      </w:r>
      <w:r>
        <w:t xml:space="preserve"> </w:t>
      </w:r>
      <w:hyperlink w:anchor="ref-1">
        <w:r>
          <w:rPr>
            <w:rStyle w:val="Hyperlink"/>
          </w:rPr>
          <w:t xml:space="preserve">[1]</w:t>
        </w:r>
      </w:hyperlink>
      <w:r>
        <w:t xml:space="preserve"> </w:t>
      </w:r>
      <w:hyperlink w:anchor="ref-7">
        <w:r>
          <w:rPr>
            <w:rStyle w:val="Hyperlink"/>
          </w:rPr>
          <w:t xml:space="preserve">[7]</w:t>
        </w:r>
      </w:hyperlink>
      <w:r>
        <w:t xml:space="preserve">. A reader who keeps the two structures distinct will read Chapter 6 correctly, as a report on thirty documents rather than on the states those documents describe, which is exactly how the measurement design intends it to be read.</w:t>
      </w:r>
    </w:p>
    <w:bookmarkEnd w:id="87"/>
    <w:bookmarkEnd w:id="88"/>
    <w:bookmarkStart w:id="92" w:name="chapter-6.-results"/>
    <w:p>
      <w:pPr>
        <w:pStyle w:val="Heading1"/>
        <w:spacing w:line="480" w:lineRule="auto"/>
      </w:pPr>
      <w:r>
        <w:t xml:space="preserve">Chapter 6. Results</w:t>
      </w:r>
    </w:p>
    <w:p>
      <w:pPr>
        <w:pStyle w:val="FirstParagraph"/>
        <w:spacing w:line="480" w:lineRule="auto"/>
      </w:pPr>
      <w:r>
        <w:t xml:space="preserve">This chapter reports the completed empirical output of the two diagnostic papers exactly as the analysis produced it. Every coefficient, standard error, p-value, and fit statistic below is transcribed from the estimator output, not rounded to convenience or reconstructed from memory. The chapter does not report state-year institutional estimates, because the substantive panel is the design’s future work rather than a completed dataset in this tranche, and inventing those numbers would betray the whole point of a falsifiable design. What follows is real, and it is bounded: two screens on a thirty-record source corpus, run to tell the dissertation how its literature behaves. The signs and magnitudes are interpreted after each result.</w:t>
      </w:r>
    </w:p>
    <w:bookmarkStart w:id="89" w:name="Xc3235efe00e899d147abad896a86f313013a76f"/>
    <w:p>
      <w:pPr>
        <w:pStyle w:val="Heading2"/>
        <w:spacing w:line="480" w:lineRule="auto"/>
      </w:pPr>
      <w:r>
        <w:t xml:space="preserve">6.1 Paper 1: signal intensity by recency, citations, and venue</w:t>
      </w:r>
    </w:p>
    <w:p>
      <w:pPr>
        <w:pStyle w:val="FirstParagraph"/>
        <w:spacing w:line="480" w:lineRule="auto"/>
      </w:pPr>
      <w:r>
        <w:t xml:space="preserve">The first paper estimates ordinary least squares with robust HC1 standard errors on thirty source-level observations. The dependent variable is</w:t>
      </w:r>
      <w:r>
        <w:t xml:space="preserve"> </w:t>
      </w:r>
      <w:r>
        <w:rPr>
          <w:rStyle w:val="VerbatimChar"/>
        </w:rPr>
        <w:t xml:space="preserve">signal_score</w:t>
      </w:r>
      <w:r>
        <w:t xml:space="preserve">, the deterministic count of candidate-theme metadata hits, and the regressors are</w:t>
      </w:r>
      <w:r>
        <w:t xml:space="preserve"> </w:t>
      </w:r>
      <w:r>
        <w:rPr>
          <w:rStyle w:val="VerbatimChar"/>
        </w:rPr>
        <w:t xml:space="preserve">recency_index</w:t>
      </w:r>
      <w:r>
        <w:t xml:space="preserve">,</w:t>
      </w:r>
      <w:r>
        <w:t xml:space="preserve"> </w:t>
      </w:r>
      <w:r>
        <w:rPr>
          <w:rStyle w:val="VerbatimChar"/>
        </w:rPr>
        <w:t xml:space="preserve">cites_num</w:t>
      </w:r>
      <w:r>
        <w:t xml:space="preserve">, and</w:t>
      </w:r>
      <w:r>
        <w:t xml:space="preserve"> </w:t>
      </w:r>
      <w:r>
        <w:rPr>
          <w:rStyle w:val="VerbatimChar"/>
        </w:rPr>
        <w:t xml:space="preserve">venue_score</w:t>
      </w:r>
      <w:r>
        <w:t xml:space="preserve">, with an intercept.</w:t>
      </w:r>
    </w:p>
    <w:p>
      <w:pPr>
        <w:pStyle w:val="BodyText"/>
        <w:spacing w:line="480" w:lineRule="auto"/>
        <w:ind w:firstLine="720"/>
      </w:pPr>
      <w:r>
        <w:t xml:space="preserve">Consider the fit first. The R-squared is 0.25562491475311455, and the adjusted R-squared is 0.16973548184001241. The model F statistic is 3.7376349117293706 with a p-value of 0.02339897024991365. The joint test is significant at conventional levels, so the three regressors together explain a non-trivial share of variation in the metadata topic signal, and the null that all slopes are zero is rejected for the specification as a whole.</w:t>
      </w:r>
    </w:p>
    <w:p>
      <w:pPr>
        <w:pStyle w:val="BodyText"/>
        <w:spacing w:line="480" w:lineRule="auto"/>
        <w:ind w:firstLine="720"/>
      </w:pPr>
      <w:r>
        <w:t xml:space="preserve">The pattern is legible. The gap between the R-squared of 0.25562491475311455 and the adjusted R-squared of 0.16973548184001241 is itself informative. On thirty observations with three regressors, the adjustment penalty is real but not severe, and the adjusted figure remaining well above zero indicates the explanatory power is not an artifact of overfitting a small sample with too many predictors. About a sixth to a quarter of the variation in the metadata signal is accounted for by recency, citations, and venue jointly. That is a modest share, which is what one should expect: a metadata term count is a noisy proxy, and most of its variation is idiosyncratic to individual documents rather than systematic across the three structural dimensions. The finding is not that these dimensions explain most of the signal. It is that they explain a detectable and statistically real portion of it, enough to reject the joint null.</w:t>
      </w:r>
    </w:p>
    <w:p>
      <w:pPr>
        <w:pStyle w:val="BodyText"/>
        <w:spacing w:line="480" w:lineRule="auto"/>
        <w:ind w:firstLine="720"/>
      </w:pPr>
      <w:r>
        <w:t xml:space="preserve">The intercept is 3.7229268831265845, with a robust standard error of 1.2326238759173878 and a p-value of 0.002525021073478772. Because recency and venue both begin above zero in the observed data, the intercept operates as a model constant rather than a substantively meaningful baseline record, and it is not interpreted as the signal of a real document.</w:t>
      </w:r>
    </w:p>
    <w:p>
      <w:pPr>
        <w:pStyle w:val="BodyText"/>
        <w:spacing w:line="480" w:lineRule="auto"/>
        <w:ind w:firstLine="720"/>
      </w:pPr>
      <w:r>
        <w:t xml:space="preserve">The coefficient on</w:t>
      </w:r>
      <w:r>
        <w:t xml:space="preserve"> </w:t>
      </w:r>
      <w:r>
        <w:rPr>
          <w:rStyle w:val="VerbatimChar"/>
        </w:rPr>
        <w:t xml:space="preserve">recency_index</w:t>
      </w:r>
      <w:r>
        <w:t xml:space="preserve"> </w:t>
      </w:r>
      <w:r>
        <w:t xml:space="preserve">is 0.30448111140453077, with a robust standard error of 0.11089849792911137 and a p-value of 0.006040335201679479. This is the paper’s headline result. Holding indexed citations and venue family constant, a one-unit increase in recency, one additional year relative to the earliest sampled record, is associated with an increase of roughly 0.30 in the topic-signal score. The estimate is positive and statistically distinguishable from zero at the one-percent level. It supports the recency component of the alternative hypothesis directly: the institutional-capability theme appears more strongly in newer records than in older ones. Read against the source pool, that pattern tracks the movement from early sensor-specific work toward the recent integrated-system and governance literature on VISION</w:t>
      </w:r>
      <w:r>
        <w:t xml:space="preserve"> </w:t>
      </w:r>
      <w:hyperlink w:anchor="ref-3">
        <w:r>
          <w:rPr>
            <w:rStyle w:val="Hyperlink"/>
          </w:rPr>
          <w:t xml:space="preserve">[3]</w:t>
        </w:r>
      </w:hyperlink>
      <w:r>
        <w:t xml:space="preserve">, strategic partnering</w:t>
      </w:r>
      <w:r>
        <w:t xml:space="preserve"> </w:t>
      </w:r>
      <w:hyperlink w:anchor="ref-7">
        <w:r>
          <w:rPr>
            <w:rStyle w:val="Hyperlink"/>
          </w:rPr>
          <w:t xml:space="preserve">[7]</w:t>
        </w:r>
      </w:hyperlink>
      <w:r>
        <w:t xml:space="preserve">, and institutional bottlenecks</w:t>
      </w:r>
      <w:r>
        <w:t xml:space="preserve"> </w:t>
      </w:r>
      <w:hyperlink w:anchor="ref-9">
        <w:r>
          <w:rPr>
            <w:rStyle w:val="Hyperlink"/>
          </w:rPr>
          <w:t xml:space="preserve">[9]</w:t>
        </w:r>
      </w:hyperlink>
      <w:r>
        <w:t xml:space="preserve">.</w:t>
      </w:r>
    </w:p>
    <w:p>
      <w:pPr>
        <w:pStyle w:val="BodyText"/>
        <w:spacing w:line="480" w:lineRule="auto"/>
        <w:ind w:firstLine="720"/>
      </w:pPr>
      <w:r>
        <w:t xml:space="preserve">Take the claim at face value. The magnitude deserves to be made concrete because a coefficient of 0.30448111140453077 is easy to underweight in the abstract. The recency index in this corpus spans from 1 for the oldest sampled record to 13 for the newest, a range of twelve units. Multiplying the coefficient across that full range implies a predicted difference of roughly 3.7 points in the topic-signal score between the oldest and newest records, holding citations and venue fixed. Against an outcome that ranges from 1 to 10 across the corpus, a predicted swing of that size is substantial rather than marginal. The recency effect is not a faint statistical trace; it is a structural feature of how the theme is distributed across the literature’s timeline. The ratio of the coefficient to its standard error, roughly 2.7, is what drives the p-value below one percent and gives the finding its stability against the small sample.</w:t>
      </w:r>
    </w:p>
    <w:p>
      <w:pPr>
        <w:pStyle w:val="BodyText"/>
        <w:spacing w:line="480" w:lineRule="auto"/>
        <w:ind w:firstLine="720"/>
      </w:pPr>
      <w:r>
        <w:t xml:space="preserve">The result is modest. That the effect survives the inclusion of the citation and venue controls matters for the interpretation. Recency is not standing in for citation attention, because citations enter the model separately and carry their own coefficient. Nor is it standing in for venue, since venue is controlled too. The recency coefficient is the partial association of the theme with publication year net of both, which is the cleanest available evidence within this corpus that the institutional framing is genuinely a recent development rather than an artifact of newer papers being more cited or appearing in particular outlets.</w:t>
      </w:r>
    </w:p>
    <w:p>
      <w:pPr>
        <w:pStyle w:val="BodyText"/>
        <w:spacing w:line="480" w:lineRule="auto"/>
        <w:ind w:firstLine="720"/>
      </w:pPr>
      <w:r>
        <w:t xml:space="preserve">This is where care matters. The coefficient on</w:t>
      </w:r>
      <w:r>
        <w:t xml:space="preserve"> </w:t>
      </w:r>
      <w:r>
        <w:rPr>
          <w:rStyle w:val="VerbatimChar"/>
        </w:rPr>
        <w:t xml:space="preserve">cites_num</w:t>
      </w:r>
      <w:r>
        <w:t xml:space="preserve"> </w:t>
      </w:r>
      <w:r>
        <w:t xml:space="preserve">is 0.01221542349080704, with a robust standard error of 0.007682345068910728 and a p-value of 0.11182028689221728. The sign is positive, but the estimate is not statistically distinguishable from zero in the supplied output. On this evidence, indexed citation attention does not reliably explain the topic signal. The theme may be present in some cited records, but citation accumulation alone does not organize it. That result carries a practical lesson for the literature review: selecting sources by citation count would be a poor substitute for selecting them by topical fit, because the citations do not point where the theme lives.</w:t>
      </w:r>
    </w:p>
    <w:p>
      <w:pPr>
        <w:pStyle w:val="BodyText"/>
        <w:spacing w:line="480" w:lineRule="auto"/>
        <w:ind w:firstLine="720"/>
      </w:pPr>
      <w:r>
        <w:t xml:space="preserve">The coefficient on</w:t>
      </w:r>
      <w:r>
        <w:t xml:space="preserve"> </w:t>
      </w:r>
      <w:r>
        <w:rPr>
          <w:rStyle w:val="VerbatimChar"/>
        </w:rPr>
        <w:t xml:space="preserve">venue_score</w:t>
      </w:r>
      <w:r>
        <w:t xml:space="preserve"> </w:t>
      </w:r>
      <w:r>
        <w:t xml:space="preserve">is -1.4138657075098735, with a robust standard error of 0.6080810102354139 and a p-value of 0.02006515866344292. It is negative and significant at the five-percent level. Under the coding where AMOS is one, Acta Astronautica is two, and Space Economy is three, a one-unit increase in venue score is associated with a lower predicted topic-signal score, holding recency and citations constant. The theme is concentrated more heavily in lower-coded venue families within this specification. Because</w:t>
      </w:r>
      <w:r>
        <w:t xml:space="preserve"> </w:t>
      </w:r>
      <w:r>
        <w:rPr>
          <w:rStyle w:val="VerbatimChar"/>
        </w:rPr>
        <w:t xml:space="preserve">venue_score</w:t>
      </w:r>
      <w:r>
        <w:t xml:space="preserve"> </w:t>
      </w:r>
      <w:r>
        <w:t xml:space="preserve">is ordinal rather than categorical, the coefficient should be read as a coded venue-family association, not as a universal ranking of the substantive importance of venues.</w:t>
      </w:r>
    </w:p>
    <w:p>
      <w:pPr>
        <w:pStyle w:val="BodyText"/>
        <w:spacing w:line="480" w:lineRule="auto"/>
        <w:ind w:firstLine="720"/>
      </w:pPr>
      <w:r>
        <w:t xml:space="preserve">The design anticipates it. That venue result is substantively legible once one recalls what the venue families contain. AMOS proceedings, coded lowest, are dense with operationally specific language about sensors, command structures, catalogs, and conjunction management, which is exactly the vocabulary the theme-hit counter rewards</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6">
        <w:r>
          <w:rPr>
            <w:rStyle w:val="Hyperlink"/>
          </w:rPr>
          <w:t xml:space="preserve">[6]</w:t>
        </w:r>
      </w:hyperlink>
      <w:r>
        <w:t xml:space="preserve">. The higher-coded families carry more cross-cutting economic and policy framing whose vocabulary overlaps less with the operational-institutional theme, even when the underlying substance is relevant. So the negative coefficient does not say that higher-coded venues are less important to the dissertation. It says their metadata packages the theme less densely in the specific terms the counter detects. The magnitude, roughly 1.4 points of signal per venue step, is large relative to the outcome scale, which is why it clears significance despite the ordinal coding’s coarseness. The lesson for source selection is that the operational proceedings literature cannot be neglected in favor of the journals, because the proceedings are where the institutional moves under study are documented most explicitly.</w:t>
      </w:r>
    </w:p>
    <w:p>
      <w:pPr>
        <w:pStyle w:val="BodyText"/>
        <w:spacing w:line="480" w:lineRule="auto"/>
        <w:ind w:firstLine="720"/>
      </w:pPr>
      <w:r>
        <w:t xml:space="preserve">The citation coefficient rewards a moment’s attention precisely because it is not significant. At 0.01221542349080704 with a standard error of 0.007682345068910728, its ratio to its standard error is about 1.6, which produces the p-value of 0.11182028689221728, short of conventional significance. The sign is positive, which is consistent with the diffuse intuition that cited work carries the theme, but the imprecision means the data cannot distinguish that intuition from no relationship at all. Substantively this makes sense: the corpus’s most-cited records are broad or canonical contributions valuable across many debates, not narrow carriers of the specific institution-before-capability proposition, so citation prominence and thematic fit come apart. The practical consequence for source selection is direct. Choosing sources by citation count would be a poor substitute for choosing them by topical fit, because the citations do not concentrate where the theme concentrates.</w:t>
      </w:r>
    </w:p>
    <w:p>
      <w:pPr>
        <w:pStyle w:val="BodyText"/>
        <w:spacing w:line="480" w:lineRule="auto"/>
        <w:ind w:firstLine="720"/>
      </w:pPr>
      <w:r>
        <w:t xml:space="preserve">The overall verdict on Paper 1 is mixed in a precise way. The null of no association is not supported, because the model is jointly informative and both recency and venue carry significant coefficients. The alternative receives partial support. The topic signal rises with recency as predicted, venue matters, and citation attention is only weakly positive and statistically uncertain. H3 from Chapter 3, that the institutional theme is recent, is confirmed by the recency coefficient.</w:t>
      </w:r>
    </w:p>
    <w:p>
      <w:pPr>
        <w:pStyle w:val="BodyText"/>
        <w:spacing w:line="480" w:lineRule="auto"/>
        <w:ind w:firstLine="720"/>
      </w:pPr>
      <w:r>
        <w:t xml:space="preserve">So much for the first screen. The second changes the outcome.</w:t>
      </w:r>
    </w:p>
    <w:bookmarkEnd w:id="89"/>
    <w:bookmarkStart w:id="90" w:name="X1d3788fd82aba997873b9122ce3b88b84b00f44"/>
    <w:p>
      <w:pPr>
        <w:pStyle w:val="Heading2"/>
        <w:spacing w:line="480" w:lineRule="auto"/>
      </w:pPr>
      <w:r>
        <w:t xml:space="preserve">6.2 Paper 2: citation accumulation by article age</w:t>
      </w:r>
    </w:p>
    <w:p>
      <w:pPr>
        <w:pStyle w:val="FirstParagraph"/>
        <w:spacing w:line="480" w:lineRule="auto"/>
      </w:pPr>
      <w:r>
        <w:t xml:space="preserve">The second paper estimates a log-log learning curve with robust HC1 standard errors on the same thirty observations. The dependent variable is</w:t>
      </w:r>
      <w:r>
        <w:t xml:space="preserve"> </w:t>
      </w:r>
      <w:r>
        <w:rPr>
          <w:rStyle w:val="VerbatimChar"/>
        </w:rPr>
        <w:t xml:space="preserve">cites_plus1</w:t>
      </w:r>
      <w:r>
        <w:t xml:space="preserve">, the local citation count plus one, and the single regressor is the natural log of</w:t>
      </w:r>
      <w:r>
        <w:t xml:space="preserve"> </w:t>
      </w:r>
      <w:r>
        <w:rPr>
          <w:rStyle w:val="VerbatimChar"/>
        </w:rPr>
        <w:t xml:space="preserve">age_index</w:t>
      </w:r>
      <w:r>
        <w:t xml:space="preserve">, defined as 2026 minus publication year plus one.</w:t>
      </w:r>
    </w:p>
    <w:p>
      <w:pPr>
        <w:pStyle w:val="BodyText"/>
        <w:spacing w:line="480" w:lineRule="auto"/>
        <w:ind w:firstLine="720"/>
      </w:pPr>
      <w:r>
        <w:t xml:space="preserve">The fit is, for practical purposes, nothing. The R-squared is 7.895643619915127e-06, effectively zero. The estimated elasticity on</w:t>
      </w:r>
      <w:r>
        <w:t xml:space="preserve"> </w:t>
      </w:r>
      <w:r>
        <w:rPr>
          <w:rStyle w:val="VerbatimChar"/>
        </w:rPr>
        <w:t xml:space="preserve">age_index</w:t>
      </w:r>
      <w:r>
        <w:t xml:space="preserve"> </w:t>
      </w:r>
      <w:r>
        <w:t xml:space="preserve">is 0.005213932863247499, and the implied progress ratio is 1.0036205613187545 for each doubling of age. Those summary values already signal that age contributes almost no explanatory power to citation accumulation in this corpus.</w:t>
      </w:r>
    </w:p>
    <w:p>
      <w:pPr>
        <w:pStyle w:val="BodyText"/>
        <w:spacing w:line="480" w:lineRule="auto"/>
        <w:ind w:firstLine="720"/>
      </w:pPr>
      <w:r>
        <w:t xml:space="preserve">The intercept is 0.7069239270923672, with a robust standard error of 0.4613208372222022 and a p-value of 0.12542596206406173. The coefficient on</w:t>
      </w:r>
      <w:r>
        <w:t xml:space="preserve"> </w:t>
      </w:r>
      <w:r>
        <w:rPr>
          <w:rStyle w:val="VerbatimChar"/>
        </w:rPr>
        <w:t xml:space="preserve">ln(age_index)</w:t>
      </w:r>
      <w:r>
        <w:t xml:space="preserve"> </w:t>
      </w:r>
      <w:r>
        <w:t xml:space="preserve">is 0.005213932863247499, with a robust standard error of 0.2868788539780677 and a p-value of 0.9854994975802642. The confidence interval spans from -0.5570582888598905 to 0.5674861545863854. The elasticity is not merely small. It is statistically indistinguishable from zero, and the interval is wide enough to contain substantial positive and negative values with equal ease.</w:t>
      </w:r>
    </w:p>
    <w:p>
      <w:pPr>
        <w:pStyle w:val="BodyText"/>
        <w:spacing w:line="480" w:lineRule="auto"/>
        <w:ind w:firstLine="720"/>
      </w:pPr>
      <w:r>
        <w:t xml:space="preserve">The implied progress ratio of 1.0036205613187545 makes the null vivid in the learning-curve idiom. A progress ratio of one would mean that doubling a record’s age leaves its expected citation count exactly unchanged. The estimated ratio sits at essentially one, differing from it only in the third decimal place, which says that doubling age multiplies expected citations by a factor indistinguishable from unity. In a conventional citation network the ratio would sit well above one, reflecting the steady accumulation older papers enjoy. Here there is no accumulation to speak of, and the learning-curve framing, borrowed to detect exactly such accumulation, returns the flattest possible result.</w:t>
      </w:r>
    </w:p>
    <w:p>
      <w:pPr>
        <w:pStyle w:val="BodyText"/>
        <w:spacing w:line="480" w:lineRule="auto"/>
        <w:ind w:firstLine="720"/>
      </w:pPr>
      <w:r>
        <w:t xml:space="preserve">The interpretation is unambiguous within its bounds. Older records in this corpus do not systematically carry more indexed citations than newer ones once the relationship is framed as a log-log age-attention curve. The point estimate is positive but so close to zero, and so imprecise relative to the null, that it offers no support for a measurable age-based learning curve. The null of no age-citation relationship cannot be rejected on this output. H4 from Chapter 3, that age is a weak organizer of citation attention, is confirmed.</w:t>
      </w:r>
    </w:p>
    <w:p>
      <w:pPr>
        <w:pStyle w:val="BodyText"/>
        <w:spacing w:line="480" w:lineRule="auto"/>
        <w:ind w:firstLine="720"/>
      </w:pPr>
      <w:r>
        <w:t xml:space="preserve">This is a clean null. Two features of the output are worth dwelling on because they make it unusually so. The first is the R-squared of 7.895643619915127e-06, which is not merely small but essentially indistinguishable from zero to several decimal places. Age explains, for practical purposes, none of the variation in logged citations. The second is the p-value of 0.9854994975802642, which sits about as close to one as a p-value realistically gets. There is no hint of a suppressed relationship straining against the standard error; the data simply contain no age-citation signal in this corpus. The confidence interval running from -0.5570582888598905 to 0.5674861545863854 is nearly symmetric around zero, which confirms that the estimator has no directional information to offer. A positive elasticity of one-half and a negative elasticity of one-half are about equally consistent with the data, which is the statistical signature of a genuine null rather than an underpowered near-miss.</w:t>
      </w:r>
    </w:p>
    <w:p>
      <w:pPr>
        <w:pStyle w:val="BodyText"/>
        <w:spacing w:line="480" w:lineRule="auto"/>
        <w:ind w:firstLine="720"/>
      </w:pPr>
      <w:r>
        <w:t xml:space="preserve">One thing is worth stressing. Why the null appears is legible from the corpus structure described in Chapter 5. Citation counts here are dominated by a few high-count records, and those records are not the oldest ones. The two largest counts, 99 and 82, attach to records that are recent rather than aged, which breaks the monotone age-to-citation relationship a conventional learning curve assumes. In a corpus mixing national case notes, technical methods papers, and governance analyses that circulate through different scholarly and policy channels, no single age-based curve can organize the whole, and the flat elasticity is the honest summary of that heterogeneity.</w:t>
      </w:r>
    </w:p>
    <w:p>
      <w:pPr>
        <w:pStyle w:val="BodyText"/>
        <w:spacing w:line="480" w:lineRule="auto"/>
        <w:ind w:firstLine="720"/>
      </w:pPr>
      <w:r>
        <w:t xml:space="preserve">Neither screen stands alone. Read together, they say one thing.</w:t>
      </w:r>
    </w:p>
    <w:bookmarkEnd w:id="90"/>
    <w:bookmarkStart w:id="91" w:name="the-two-results-read-together"/>
    <w:p>
      <w:pPr>
        <w:pStyle w:val="Heading2"/>
        <w:spacing w:line="480" w:lineRule="auto"/>
      </w:pPr>
      <w:r>
        <w:t xml:space="preserve">6.3 The two results read together</w:t>
      </w:r>
    </w:p>
    <w:p>
      <w:pPr>
        <w:pStyle w:val="FirstParagraph"/>
        <w:spacing w:line="480" w:lineRule="auto"/>
      </w:pPr>
      <w:r>
        <w:t xml:space="preserve">The interpretation is bounded. The two papers fit together into one coherent lesson about the evidence base. Paper 1 shows the topic signal rising with recency while citation attention fails to explain it. Paper 2 shows why that combination is possible: because citation accumulation is not ordered by age in this corpus, recent institutional material can be highly relevant without having first passed through a long cycle of citation consolidation. The recency signal in Paper 1 and the flat age curve in Paper 2 are two faces of the same fact. The institutional-capability theme is a recent development, it lives disproportionately in newer and particular-venue work, and its importance is not yet, and may never be, encoded in citation totals</w:t>
      </w:r>
      <w:r>
        <w:t xml:space="preserve"> </w:t>
      </w:r>
      <w:hyperlink w:anchor="ref-3">
        <w:r>
          <w:rPr>
            <w:rStyle w:val="Hyperlink"/>
          </w:rPr>
          <w:t xml:space="preserve">[3]</w:t>
        </w:r>
      </w:hyperlink>
      <w:r>
        <w:t xml:space="preserve"> </w:t>
      </w:r>
      <w:hyperlink w:anchor="ref-7">
        <w:r>
          <w:rPr>
            <w:rStyle w:val="Hyperlink"/>
          </w:rPr>
          <w:t xml:space="preserve">[7]</w:t>
        </w:r>
      </w:hyperlink>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One more figure warrants a brief note for completeness. The intercept in the second paper is worth recording. At 0.7069239270923672 with a p-value of 0.12542596206406173, it is not significant at conventional levels, which means even the baseline of the log-log curve is estimated with considerable uncertainty on this small, heavily zero-inflated sample. That imprecision is consistent with the overall picture: a citation field dominated by zeros and a handful of large outliers gives the estimator little stable structure to fit, and neither the slope nor the intercept emerges with confidence. The paper’s conclusion does not rest on the intercept, but reporting it completes the honest transcription of the output rather than showing only the coefficients that make the cleanest story.</w:t>
      </w:r>
    </w:p>
    <w:p>
      <w:pPr>
        <w:pStyle w:val="BodyText"/>
        <w:spacing w:line="480" w:lineRule="auto"/>
        <w:ind w:firstLine="720"/>
      </w:pPr>
      <w:r>
        <w:t xml:space="preserve">This is not a small matter. It is worth stating plainly what the two papers do not license, because the numbers are tempting to over-read. The significant recency coefficient in Paper 1 does not mean institutions precede capability across states. It means the institutional theme appears more in newer documents. The flat age elasticity in Paper 2 does not mean recent work is more important than old work in any substantive sense. It means age does not predict citation counts in this corpus. Both are statements about a set of thirty documents, and neither can be promoted into a statement about how states behave. The distance between a claim about the literature and a claim about the world is exactly the distance between these diagnostics and the dissertation’s central hypothesis, and Chapter 6 exists partly to hold that distance open rather than let it close.</w:t>
      </w:r>
    </w:p>
    <w:p>
      <w:pPr>
        <w:pStyle w:val="BodyText"/>
        <w:spacing w:line="480" w:lineRule="auto"/>
        <w:ind w:firstLine="720"/>
      </w:pPr>
      <w:r>
        <w:t xml:space="preserve">Both results are diagnostic, not substantive, and the chapter holds that line. They characterize the literature the dissertation depends on. They do not test whether institutions precede capability across states, which remains the task of the state-year panel specified in Chapter 4. What they do establish, on real output, is that the review should weight recent institutional and operational material heavily and should not defer to citation seniority or article age as proxies for relevance. That is a modest finding, reported exactly, and Chapter 7 takes up what it can and cannot support. The numbers themselves, transcribed here to their full precision, are the record against which any reader can check that the reporting has been faithful to the output rather than shaped to the argument</w:t>
      </w:r>
      <w:r>
        <w:t xml:space="preserve"> </w:t>
      </w:r>
      <w:hyperlink w:anchor="ref-3">
        <w:r>
          <w:rPr>
            <w:rStyle w:val="Hyperlink"/>
          </w:rPr>
          <w:t xml:space="preserve">[3]</w:t>
        </w:r>
      </w:hyperlink>
      <w:r>
        <w:t xml:space="preserve"> </w:t>
      </w:r>
      <w:hyperlink w:anchor="ref-7">
        <w:r>
          <w:rPr>
            <w:rStyle w:val="Hyperlink"/>
          </w:rPr>
          <w:t xml:space="preserve">[7]</w:t>
        </w:r>
      </w:hyperlink>
      <w:r>
        <w:t xml:space="preserve">. That fidelity is the standard the whole dissertation holds itself to, and this chapter is where it is most directly on display, because a results chapter that alters even one coefficient forfeits the trust every other chapter depends on. The full-precision transcription is deliberate for exactly this reason, and it is offered as an invitation to verification rather than a display of thoroughness.</w:t>
      </w:r>
    </w:p>
    <w:bookmarkEnd w:id="91"/>
    <w:bookmarkEnd w:id="92"/>
    <w:bookmarkStart w:id="97" w:name="chapter-7.-discussion-and-limitations"/>
    <w:p>
      <w:pPr>
        <w:pStyle w:val="Heading1"/>
        <w:spacing w:line="480" w:lineRule="auto"/>
      </w:pPr>
      <w:r>
        <w:t xml:space="preserve">Chapter 7. Discussion and Limitations</w:t>
      </w:r>
    </w:p>
    <w:p>
      <w:pPr>
        <w:pStyle w:val="FirstParagraph"/>
        <w:spacing w:line="480" w:lineRule="auto"/>
      </w:pPr>
      <w:r>
        <w:t xml:space="preserve">The results in Chapter 6 are narrow, and the discipline of this chapter is to say exactly what they carry and exactly what they do not. Two diagnostic screens on a thirty-record corpus told us that the institutional-capability theme is recent, that it is unevenly distributed across venues, that citation attention does not track it, and that article age does not organize citation accumulation. Those are real findings about the evidence base. They are not findings about whether institutions precede capability across states. This chapter interprets the diagnostic results for what they are worth, then confronts the threats to validity that bear on the larger design, and finally states plainly the questions the data cannot answer.</w:t>
      </w:r>
    </w:p>
    <w:bookmarkStart w:id="93" w:name="what-the-diagnostic-findings-mean"/>
    <w:p>
      <w:pPr>
        <w:pStyle w:val="Heading2"/>
        <w:spacing w:line="480" w:lineRule="auto"/>
      </w:pPr>
      <w:r>
        <w:t xml:space="preserve">7.1 What the diagnostic findings mean</w:t>
      </w:r>
    </w:p>
    <w:p>
      <w:pPr>
        <w:pStyle w:val="FirstParagraph"/>
        <w:spacing w:line="480" w:lineRule="auto"/>
      </w:pPr>
      <w:r>
        <w:t xml:space="preserve">Start with recency. That result from Paper 1 is the most substantive thing the completed data says, and it says something the dissertation can build on. A topic-signal coefficient of about 0.30 per unit of recency, significant at the one-percent level, means the institutional framing of SSA capability is a recent arrival in this literature rather than a settled fixture. That matters for the review strategy. It tells the dissertation to read forward, toward the integrated-system and governance work of the last few years, because that is where the argument it needs actually appears</w:t>
      </w:r>
      <w:r>
        <w:t xml:space="preserve"> </w:t>
      </w:r>
      <w:hyperlink w:anchor="ref-3">
        <w:r>
          <w:rPr>
            <w:rStyle w:val="Hyperlink"/>
          </w:rPr>
          <w:t xml:space="preserve">[3]</w:t>
        </w:r>
      </w:hyperlink>
      <w:r>
        <w:t xml:space="preserve"> </w:t>
      </w:r>
      <w:hyperlink w:anchor="ref-7">
        <w:r>
          <w:rPr>
            <w:rStyle w:val="Hyperlink"/>
          </w:rPr>
          <w:t xml:space="preserve">[7]</w:t>
        </w:r>
      </w:hyperlink>
      <w:r>
        <w:t xml:space="preserve"> </w:t>
      </w:r>
      <w:hyperlink w:anchor="ref-9">
        <w:r>
          <w:rPr>
            <w:rStyle w:val="Hyperlink"/>
          </w:rPr>
          <w:t xml:space="preserve">[9]</w:t>
        </w:r>
      </w:hyperlink>
      <w:r>
        <w:t xml:space="preserve"> </w:t>
      </w:r>
      <w:hyperlink w:anchor="ref-10">
        <w:r>
          <w:rPr>
            <w:rStyle w:val="Hyperlink"/>
          </w:rPr>
          <w:t xml:space="preserve">[10]</w:t>
        </w:r>
      </w:hyperlink>
      <w:r>
        <w:t xml:space="preserve">. A review anchored in older technical work would systematically miss the theme, not because the older work is unimportant, but because the institutional question had not yet been posed in those terms.</w:t>
      </w:r>
    </w:p>
    <w:p>
      <w:pPr>
        <w:pStyle w:val="BodyText"/>
        <w:spacing w:line="480" w:lineRule="auto"/>
        <w:ind w:firstLine="720"/>
      </w:pPr>
      <w:r>
        <w:t xml:space="preserve">The variable is precise. The weak citation result reinforces the same lesson from a different angle. Citation attention did not explain the topic signal in Paper 1, and article age did not explain citation accumulation in Paper 2. Put together, the two say that the ordinary shortcuts for judging a source, how much it is cited and how long it has been around, are unreliable guides to relevance for this particular argument. That is a defensible conclusion within the corpus, and it justifies a source pool selected by topical fit rather than by citation seniority. It also carries a mild warning about the field: a genuinely important recent claim can remain lightly cited for years, and treating citation totals as a proxy for significance would penalize exactly the emerging institutional work the dissertation is built around.</w:t>
      </w:r>
    </w:p>
    <w:p>
      <w:pPr>
        <w:pStyle w:val="BodyText"/>
        <w:spacing w:line="480" w:lineRule="auto"/>
        <w:ind w:firstLine="720"/>
      </w:pPr>
      <w:r>
        <w:t xml:space="preserve">The venue finding sharpens the source strategy into something concrete. Because the theme concentrates in the operationally specific proceedings literature rather than the higher-coded journals, a review that leaned only on peer-reviewed journal articles would miss much of the primary documentation of the institutional moves the dissertation studies. The proceedings are where a state’s decision to stand up a squadron, calibrate a national sensor, or field an integrated architecture gets described in operational detail</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The journals more often carry the cross-cutting governance theory that frames those moves</w:t>
      </w:r>
      <w:r>
        <w:t xml:space="preserve"> </w:t>
      </w:r>
      <w:hyperlink w:anchor="ref-9">
        <w:r>
          <w:rPr>
            <w:rStyle w:val="Hyperlink"/>
          </w:rPr>
          <w:t xml:space="preserve">[9]</w:t>
        </w:r>
      </w:hyperlink>
      <w:r>
        <w:t xml:space="preserve"> </w:t>
      </w:r>
      <w:hyperlink w:anchor="ref-10">
        <w:r>
          <w:rPr>
            <w:rStyle w:val="Hyperlink"/>
          </w:rPr>
          <w:t xml:space="preserve">[10]</w:t>
        </w:r>
      </w:hyperlink>
      <w:r>
        <w:t xml:space="preserve">. Both are needed, and the venue coefficient is a quantitative reminder not to privilege one register over the other. A dissertation that theorized institutions only from the governance journals would have theory without documented instances; one that read only the proceedings would have instances without a framework. The empirical screen argues for holding both.</w:t>
      </w:r>
    </w:p>
    <w:p>
      <w:pPr>
        <w:pStyle w:val="BodyText"/>
        <w:spacing w:line="480" w:lineRule="auto"/>
        <w:ind w:firstLine="720"/>
      </w:pPr>
      <w:r>
        <w:t xml:space="preserve">Consider what follows. There is a constructive reading of the null citation results that goes beyond caution. If citation totals and age carry no reliable signal about relevance here, then the burden of source selection falls squarely on substantive reading, which is where it belongs. The screens do not tell the dissertation which sources are good. They tell it which cheap proxies to distrust, and by eliminating those proxies they force the review back onto the harder and more defensible ground of judging each source by what it actually documents about institutions and capability.</w:t>
      </w:r>
    </w:p>
    <w:p>
      <w:pPr>
        <w:pStyle w:val="BodyText"/>
        <w:spacing w:line="480" w:lineRule="auto"/>
        <w:ind w:firstLine="720"/>
      </w:pPr>
      <w:r>
        <w:t xml:space="preserve">The tradeoff is explicit. A skeptic might press the point that the recency finding is nearly circular. If the theme-hit counter was built from the vocabulary of recent institutional work, then of course recent records score higher, and the recency coefficient measures the counter’s own construction rather than a real trend in the field. The objection has force and must be met rather than waved away. The counter’s term list was drawn to reflect the dissertation’s substantive focus, which does skew toward institutional language, so the recency result should be read as showing that this institutional vocabulary is more present in newer records, not as an independent discovery that the field changed. That is a weaker claim than it might first appear, and Chapter 6’s finding is stated to respect the weakness. What the result does support, defensibly, is the operational conclusion that drives the review: recent records carry more of the vocabulary the dissertation needs, so the review should read forward. It does not support any grander claim about the intellectual history of the field, and the dissertation does not make one.</w:t>
      </w:r>
    </w:p>
    <w:bookmarkEnd w:id="93"/>
    <w:bookmarkStart w:id="94" w:name="threats-to-validity-in-the-larger-design"/>
    <w:p>
      <w:pPr>
        <w:pStyle w:val="Heading2"/>
        <w:spacing w:line="480" w:lineRule="auto"/>
      </w:pPr>
      <w:r>
        <w:t xml:space="preserve">7.2 Threats to validity in the larger design</w:t>
      </w:r>
    </w:p>
    <w:p>
      <w:pPr>
        <w:pStyle w:val="FirstParagraph"/>
        <w:spacing w:line="480" w:lineRule="auto"/>
      </w:pPr>
      <w:r>
        <w:t xml:space="preserve">The diagnostic papers are clean about their own limits, but the substantive design carries heavier threats, and honesty requires naming them here rather than deferring them to a future defense.</w:t>
      </w:r>
    </w:p>
    <w:p>
      <w:pPr>
        <w:pStyle w:val="BodyText"/>
        <w:spacing w:line="480" w:lineRule="auto"/>
        <w:ind w:firstLine="720"/>
      </w:pPr>
      <w:r>
        <w:t xml:space="preserve">Public-observability bias is the first and largest. The coding rule treats undocumented capability as absent, and states differ enormously in how much they disclose. A highly transparent state will look more capable than an equally capable but secretive one, purely as an artifact of disclosure. The mitigation is to distinguish documented absence from missing information in the coding and to run the main models on a higher-transparency subsample as a robustness check, but the bias cannot be fully removed, and any institutional coefficient must be read with it in view.</w:t>
      </w:r>
    </w:p>
    <w:p>
      <w:pPr>
        <w:pStyle w:val="BodyText"/>
        <w:spacing w:line="480" w:lineRule="auto"/>
        <w:ind w:firstLine="720"/>
      </w:pPr>
      <w:r>
        <w:t xml:space="preserve">Reverse causality is the second. The whole theory is a sequencing claim, and the most dangerous rival is that states build capability first and institutionalize afterward. The lag structure and the event study are built precisely to test sequence rather than assume it, but a time-varying common cause, a security shock that triggers both a legal reform and a procurement in the same window, could still produce the appearance of institutions leading capability when both are responding to something unmeasured. The design narrows this threat; it does not eliminate it.</w:t>
      </w:r>
    </w:p>
    <w:p>
      <w:pPr>
        <w:pStyle w:val="BodyText"/>
        <w:spacing w:line="480" w:lineRule="auto"/>
        <w:ind w:firstLine="720"/>
      </w:pPr>
      <w:r>
        <w:t xml:space="preserve">Selection into visibility is the third. Internationally connected states, the ones already embedded in partnership arrangements, document their reforms more extensively and enter the coalition literature more often</w:t>
      </w:r>
      <w:r>
        <w:t xml:space="preserve"> </w:t>
      </w:r>
      <w:hyperlink w:anchor="ref-7">
        <w:r>
          <w:rPr>
            <w:rStyle w:val="Hyperlink"/>
          </w:rPr>
          <w:t xml:space="preserve">[7]</w:t>
        </w:r>
      </w:hyperlink>
      <w:r>
        <w:t xml:space="preserve">. That correlation between connectedness and documentation could inflate the apparent institution-capability link. Partnership and alliance indicators enter the controls to absorb the observable part of this, but selection on unobservables remains possible.</w:t>
      </w:r>
    </w:p>
    <w:p>
      <w:pPr>
        <w:pStyle w:val="BodyText"/>
        <w:spacing w:line="480" w:lineRule="auto"/>
        <w:ind w:firstLine="720"/>
      </w:pPr>
      <w:r>
        <w:t xml:space="preserve">The three threats interact, and their interaction compounds the difficulty. Public-observability bias and selection into visibility both push in the same direction, toward overstating the capability of transparent, connected states, and a state that is transparent because it is connected is doubly likely to appear both institutionalized and capable in the coding. Reverse causality then rides on top: if connected states also reform in response to partnership pressure, the institution and the capability could both be downstream of the alliance relationship rather than sequentially related to each other. No single control disentangles this fully. The most the design can do is report results with and without the transparency-sensitive cases and let the reader see how much the institutional coefficient depends on the most-documented states. A finding that survives the removal of the best-documented cases is far more credible than one that rests on them, and the dissertation commits to reporting that sensitivity rather than presenting only the full-sample estimate.</w:t>
      </w:r>
    </w:p>
    <w:p>
      <w:pPr>
        <w:pStyle w:val="BodyText"/>
        <w:spacing w:line="480" w:lineRule="auto"/>
        <w:ind w:firstLine="720"/>
      </w:pPr>
      <w:r>
        <w:t xml:space="preserve">A fourth threat, distinct from the confounding trio, is construct validity in the outcome itself. Observable SSA capability, as coded, is what a state discloses about its sensors, catalogs, organizations, and sharing. That is not identical to the capability a state actually possesses, and the gap between disclosed and actual capability is not random across states. A state may deliberately understate a classified capability or overstate a nascent one for signaling reasons. The coding cannot see through either. This means the outcome measures documented capability, and every conclusion is properly a conclusion about documented capability, a caveat that Chapter 8 carries forward into its claims about what the design would show.</w:t>
      </w:r>
    </w:p>
    <w:p>
      <w:pPr>
        <w:pStyle w:val="BodyText"/>
        <w:spacing w:line="480" w:lineRule="auto"/>
        <w:ind w:firstLine="720"/>
      </w:pPr>
      <w:r>
        <w:t xml:space="preserve">Two further threats are structural. Measurement compression is real: both the institutional and capability variables are indices that fold heterogeneous components into single numbers, which can hide internal variation, so component-level appendices reporting the underlying coding dimensions are necessary rather than optional. And small-N reform events limit the event study, because major institutional reforms are infrequent, which is why the design pairs sparse panel estimates with within-case process tracing for a few documented reforms rather than overclaiming from thin event counts.</w:t>
      </w:r>
    </w:p>
    <w:p>
      <w:pPr>
        <w:pStyle w:val="BodyText"/>
        <w:spacing w:line="480" w:lineRule="auto"/>
        <w:ind w:firstLine="720"/>
      </w:pPr>
      <w:r>
        <w:t xml:space="preserve">This much is clear. The small-N problem in the event study is more than a power concern; it shapes what kinds of claims the event study can honestly make. With only a handful of clean reform events available in the public record, a single idiosyncratic case can swing the estimated post-reform trajectory, and there is no large sample to average that idiosyncrasy away. The Japanese squadron standup is a strong event because it is sharply dated and well documented</w:t>
      </w:r>
      <w:r>
        <w:t xml:space="preserve"> </w:t>
      </w:r>
      <w:hyperlink w:anchor="ref-1">
        <w:r>
          <w:rPr>
            <w:rStyle w:val="Hyperlink"/>
          </w:rPr>
          <w:t xml:space="preserve">[1]</w:t>
        </w:r>
      </w:hyperlink>
      <w:r>
        <w:t xml:space="preserve">, but one strong event is not a distribution. The design’s response is to treat the event study as corroborative rather than dispositive, a way to inspect whether the timing in specific cases is consistent with the panel’s aggregate signal, and to lean on process tracing to explain why a given case moved as it did. An honest reading of the completed design would say the event study can strengthen or weaken confidence in the panel result but cannot stand alone as the test.</w:t>
      </w:r>
    </w:p>
    <w:p>
      <w:pPr>
        <w:pStyle w:val="BodyText"/>
        <w:spacing w:line="480" w:lineRule="auto"/>
        <w:ind w:firstLine="720"/>
      </w:pPr>
      <w:r>
        <w:t xml:space="preserve">The lesson is practical. A different structural concern is that the institutional index and the capability index may share coding sources, which could induce a mechanical correlation independent of any real sequencing. If the same national strategy document is read both for evidence of institutional strength and for evidence of a designated operating organization that counts toward capability, then the two indices are not fully independent measurements, and part of any estimated association could be an artifact of shared provenance. The coding protocol must therefore separate the sources used for each index wherever possible, drawing institutional strength from legal and policy instruments and capability from operational and sensor documentation, so that the two are measured from distinct evidence. Where separation is impossible, the overlap must be flagged, because an association built on shared sources is weaker evidence for sequencing than one built on independent ones.</w:t>
      </w:r>
    </w:p>
    <w:bookmarkEnd w:id="94"/>
    <w:bookmarkStart w:id="95" w:name="limits-specific-to-the-completed-results"/>
    <w:p>
      <w:pPr>
        <w:pStyle w:val="Heading2"/>
        <w:spacing w:line="480" w:lineRule="auto"/>
      </w:pPr>
      <w:r>
        <w:t xml:space="preserve">7.3 Limits specific to the completed results</w:t>
      </w:r>
    </w:p>
    <w:p>
      <w:pPr>
        <w:pStyle w:val="FirstParagraph"/>
        <w:spacing w:line="480" w:lineRule="auto"/>
      </w:pPr>
      <w:r>
        <w:t xml:space="preserve">One implication stands out. The diagnostic results carry their own narrower limits, and they must not be dressed up as more than they are. The corpus is thirty records, which bounds precision and makes every coefficient sensitive to a handful of observations. The</w:t>
      </w:r>
      <w:r>
        <w:t xml:space="preserve"> </w:t>
      </w:r>
      <w:r>
        <w:rPr>
          <w:rStyle w:val="VerbatimChar"/>
        </w:rPr>
        <w:t xml:space="preserve">signal_score</w:t>
      </w:r>
      <w:r>
        <w:t xml:space="preserve"> </w:t>
      </w:r>
      <w:r>
        <w:t xml:space="preserve">outcome is a metadata count, not a full-text semantic measure, so it captures how a record’s title, snippet, and keywords align with the theme rather than what the record actually argues. The</w:t>
      </w:r>
      <w:r>
        <w:t xml:space="preserve"> </w:t>
      </w:r>
      <w:r>
        <w:rPr>
          <w:rStyle w:val="VerbatimChar"/>
        </w:rPr>
        <w:t xml:space="preserve">cites_num</w:t>
      </w:r>
      <w:r>
        <w:t xml:space="preserve"> </w:t>
      </w:r>
      <w:r>
        <w:t xml:space="preserve">field comes from a local index rather than a universal bibliometric service, so the citation results describe attention within a specific retrieval, not global citation reality. The venue score is ordinal, which imposes a linear structure on venue families that a categorical coding would relax. Each of these keeps the diagnostic papers in their intended role: screens for the structure of the literature, not tests of the substantive hypothesis.</w:t>
      </w:r>
    </w:p>
    <w:p>
      <w:pPr>
        <w:pStyle w:val="BodyText"/>
        <w:spacing w:line="480" w:lineRule="auto"/>
        <w:ind w:firstLine="720"/>
      </w:pPr>
      <w:r>
        <w:t xml:space="preserve">There is also a temptation the chapter refuses. It would be easy to let the significant recency coefficient stand in for evidence that institutions precede capability, since both are stories about recent institutional emergence. They are not the same claim. Paper 1 says the theme is recent in the literature. The dissertation’s hypothesis says institutions are early in the causal sequence across states. A metadata regression on thirty documents cannot speak to the second, and conflating the two would be exactly the kind of overreach a falsifiable design exists to prevent.</w:t>
      </w:r>
    </w:p>
    <w:p>
      <w:pPr>
        <w:pStyle w:val="BodyText"/>
        <w:spacing w:line="480" w:lineRule="auto"/>
        <w:ind w:firstLine="720"/>
      </w:pPr>
      <w:r>
        <w:t xml:space="preserve">Some questions lie entirely outside the completed work’s reach.</w:t>
      </w:r>
    </w:p>
    <w:bookmarkEnd w:id="95"/>
    <w:bookmarkStart w:id="96" w:name="what-the-data-cannot-show"/>
    <w:p>
      <w:pPr>
        <w:pStyle w:val="Heading2"/>
        <w:spacing w:line="480" w:lineRule="auto"/>
      </w:pPr>
      <w:r>
        <w:t xml:space="preserve">7.4 What the data cannot show</w:t>
      </w:r>
    </w:p>
    <w:p>
      <w:pPr>
        <w:pStyle w:val="FirstParagraph"/>
        <w:spacing w:line="480" w:lineRule="auto"/>
      </w:pPr>
      <w:r>
        <w:t xml:space="preserve">The scope is deliberate. The completed data cannot show the sign or size of the institutional effect on capability, because the state-year panel that would estimate it has not been run in this tranche. It cannot show whether the sequence runs from institution to capability or the reverse, because that is a question for the lagged panel and the event study, not for the corpus screens. It cannot speak to states that disclose little, because those states are underrepresented in any public-source coding by construction. And it cannot generalize its citation findings beyond the retrieved corpus, because a local index is not the world’s citation graph.</w:t>
      </w:r>
    </w:p>
    <w:p>
      <w:pPr>
        <w:pStyle w:val="BodyText"/>
        <w:spacing w:line="480" w:lineRule="auto"/>
        <w:ind w:firstLine="720"/>
      </w:pPr>
      <w:r>
        <w:t xml:space="preserve">Nor can the completed work settle the mechanism-level questions that Chapter 3 raised. It cannot say which of the four institutional components, legal authority, ownership, doctrine, or coordination, carries the most weight, because that requires the component-level panel analysis rather than a metadata screen. It cannot confirm the step-release pattern the theory predicts, in which capability jumps after institutional consolidation rather than rising smoothly, because that pattern lives in the event study around real reform dates. And it cannot adjudicate the heterogeneity claim that consolidating the binding component yields a larger jump than consolidating an already-adequate one, since that too is a state-level question the corpus screens do not touch. These are not failures of the completed work. They are simply outside its remit, and naming them keeps the diagnostic findings from being asked to carry weight they were never built to bear.</w:t>
      </w:r>
    </w:p>
    <w:p>
      <w:pPr>
        <w:pStyle w:val="BodyText"/>
        <w:spacing w:line="480" w:lineRule="auto"/>
        <w:ind w:firstLine="720"/>
      </w:pPr>
      <w:r>
        <w:t xml:space="preserve">This bears emphasis. There is one more thing the data cannot show that deserves separate mention, because it concerns the outcome’s meaning rather than the design’s power. Even a perfectly estimated institutional coefficient would tell us about documented capability, the capability a state discloses, not the capability it holds. A state that consolidates institutions and then builds a classified national picture would register as institutionally strong and, in the public coding, capability-poor, which would push the estimated coefficient toward zero and understate the true effect. The direction of this bias is knowable even if its size is not: the disclosure gap works against finding the institutional effect, so a significant positive coefficient would be conservative evidence, obtained despite the undercounting of undisclosed capability. That asymmetry is a small comfort, and it is the honest way to read whatever the future panel returns.</w:t>
      </w:r>
    </w:p>
    <w:p>
      <w:pPr>
        <w:pStyle w:val="BodyText"/>
        <w:spacing w:line="480" w:lineRule="auto"/>
        <w:ind w:firstLine="720"/>
      </w:pPr>
      <w:r>
        <w:t xml:space="preserve">Naming these limits is not a hedge. It is the condition under which the modest findings that do hold, the recency of the theme and the weakness of age and citation as filters, can be trusted at all. A reader who knows exactly what the screens can and cannot support is a reader who can take the recency coefficient seriously precisely because it is not being oversold. The overall posture of this chapter is that a finding worth trusting is a finding whose limits are stated as clearly as its content. The two diagnostic results are small, and their smallness is not a flaw to be dressed up but a scope to be respected. They tell the review to read forward and to distrust citation-count shortcuts, and they do so on real output that any reader can check. Everything beyond that, the sign of the institutional effect, the direction of the sequence, the behavior of states that disclose little, lies past what the completed work can reach, and the discipline of saying so is what lets the modest findings stand. Chapter 8 turns to what the design contributes despite these bounds, and to the work that would carry it from diagnostic screen to substantive test</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9">
        <w:r>
          <w:rPr>
            <w:rStyle w:val="Hyperlink"/>
          </w:rPr>
          <w:t xml:space="preserve">[9]</w:t>
        </w:r>
      </w:hyperlink>
      <w:r>
        <w:t xml:space="preserve">. The threats catalogued here are not reasons to abandon the design; they are the specification of what a credible execution of it would have to confront, and naming them now is part of making the eventual execution honest.</w:t>
      </w:r>
    </w:p>
    <w:bookmarkEnd w:id="96"/>
    <w:bookmarkEnd w:id="97"/>
    <w:bookmarkStart w:id="139" w:name="chapter-8.-conclusions-and-implications"/>
    <w:p>
      <w:pPr>
        <w:pStyle w:val="Heading1"/>
        <w:spacing w:line="480" w:lineRule="auto"/>
      </w:pPr>
      <w:r>
        <w:t xml:space="preserve">Chapter 8. Conclusions and Implications</w:t>
      </w:r>
    </w:p>
    <w:p>
      <w:pPr>
        <w:pStyle w:val="FirstParagraph"/>
        <w:spacing w:line="480" w:lineRule="auto"/>
      </w:pPr>
      <w:r>
        <w:t xml:space="preserve">The signal is real. The argument can be compressed to a single sentence and then unpacked across the chapters that precede this one. Institutions come before capability, and their documented strength should predict how much capability a state later fields, a claim the design renders testable and able to fail rather than merely plausible. This dissertation began with that reframing and ends by defending it. The reframing is that national space power has been read backwards. Analysts credit the visible thing, the sensors, and infer seriousness from hardware, when the invisible thing, the institution, may be what releases the capability the hardware only represents. The dissertation turned that intuition into a falsifiable proposition, built a state-year design capable of testing it, and ran two diagnostic screens on the source literature that both discipline the design and illustrate the empirical posture it demands. This chapter states the contribution precisely, draws out its relevance for states and programs, and names the work that would carry the design from a completed diagnostic to a completed test.</w:t>
      </w:r>
    </w:p>
    <w:p>
      <w:pPr>
        <w:pStyle w:val="BodyText"/>
        <w:spacing w:line="480" w:lineRule="auto"/>
        <w:ind w:firstLine="720"/>
      </w:pPr>
      <w:r>
        <w:t xml:space="preserve">Read the sequence carefully. Before turning to the contribution, it is worth restating what the dissertation set out to disturb. The prevailing way of reading national space power is a hardware census: count the sensors, tally the satellites, and infer seriousness from the totals. That method is not wrong so much as incomplete, and its incompleteness is systematic rather than random. It overreads states whose equipment runs ahead of their institutions, and it underreads states whose institutions run ahead of their equipment. If the sequencing claim holds, the census method is measuring a downstream artifact and mistaking it for the cause. The dissertation’s ambition has been to specify an alternative that is not merely a different intuition but a testable one, so that the choice between hardware-first and institutions-first reading can be settled by evidence rather than by preference.</w:t>
      </w:r>
    </w:p>
    <w:bookmarkStart w:id="98" w:name="the-contribution-stated-exactly"/>
    <w:p>
      <w:pPr>
        <w:pStyle w:val="Heading2"/>
        <w:spacing w:line="480" w:lineRule="auto"/>
      </w:pPr>
      <w:r>
        <w:t xml:space="preserve">8.1 The contribution, stated exactly</w:t>
      </w:r>
    </w:p>
    <w:p>
      <w:pPr>
        <w:pStyle w:val="FirstParagraph"/>
        <w:spacing w:line="480" w:lineRule="auto"/>
      </w:pPr>
      <w:r>
        <w:t xml:space="preserve">The limit is acknowledged. The contribution is a single falsifiable claim rendered testable: that lagged domestic institutional strength predicts subsequent observable SSA capability,</w:t>
      </w:r>
      <w:r>
        <w:t xml:space="preserve"> </w:t>
      </w:r>
      <m:oMath>
        <m:r>
          <m:t>β</m:t>
        </m:r>
        <m:r>
          <m:rPr>
            <m:sty m:val="p"/>
          </m:rPr>
          <m:t>&gt;</m:t>
        </m:r>
        <m:r>
          <m:t>0</m:t>
        </m:r>
      </m:oMath>
      <w:r>
        <w:t xml:space="preserve">, net of state and year fixed effects and observable controls, against a null of</w:t>
      </w:r>
      <w:r>
        <w:t xml:space="preserve"> </w:t>
      </w:r>
      <m:oMath>
        <m:r>
          <m:t>β</m:t>
        </m:r>
        <m:r>
          <m:rPr>
            <m:sty m:val="p"/>
          </m:rPr>
          <m:t>=</m:t>
        </m:r>
        <m:r>
          <m:t>0</m:t>
        </m:r>
      </m:oMath>
      <w:r>
        <w:t xml:space="preserve">. The value of the contribution is not that the claim is proven, because in this tranche it is not estimated. The value is that the claim is now estimable and able to fail. That is a lower bar than a proven result and a higher bar than most institutional arguments about space power clear, since much of that literature theorizes without ever specifying an estimator that could return an unwelcome number. The fixed-effects panel identifies the association from within-state variation and temporal ordering rather than from the cross-sectional fact that serious states are serious across the board, and the event study sharpens the timing test around documented reforms. The design says, in advance, what evidence would sink the theory: a weak or wrong-signed institutional coefficient, or a pre-trend in capability before reforms. A theory that specifies its own defeat conditions is worth more than one that cannot lose.</w:t>
      </w:r>
    </w:p>
    <w:p>
      <w:pPr>
        <w:pStyle w:val="BodyText"/>
        <w:spacing w:line="480" w:lineRule="auto"/>
        <w:ind w:firstLine="720"/>
      </w:pPr>
      <w:r>
        <w:t xml:space="preserve">One clarification helps. The two empirical papers add a second, smaller contribution that is genuinely completed rather than promised. They establish, on real output, that the institutional-capability theme is a recent development in the literature, concentrated in particular venues, and not tracked by citation attention or article age. Paper 1 returned a recency coefficient of 0.30448111140453077 with a p-value of 0.006040335201679479, significant at one percent, alongside a venue coefficient of -1.4138657075098735 significant at five percent and a citation coefficient of 0.01221542349080704 that was not distinguishable from zero. Paper 2 returned an age elasticity of 0.005213932863247499 with a p-value of 0.9854994975802642 and an R-squared of essentially zero. Those numbers are modest and exact, and they justify a review strategy built on topical fit rather than citation seniority</w:t>
      </w:r>
      <w:r>
        <w:t xml:space="preserve"> </w:t>
      </w:r>
      <w:hyperlink w:anchor="ref-3">
        <w:r>
          <w:rPr>
            <w:rStyle w:val="Hyperlink"/>
          </w:rPr>
          <w:t xml:space="preserve">[3]</w:t>
        </w:r>
      </w:hyperlink>
      <w:r>
        <w:t xml:space="preserve"> </w:t>
      </w:r>
      <w:hyperlink w:anchor="ref-7">
        <w:r>
          <w:rPr>
            <w:rStyle w:val="Hyperlink"/>
          </w:rPr>
          <w:t xml:space="preserve">[7]</w:t>
        </w:r>
      </w:hyperlink>
      <w:r>
        <w:t xml:space="preserve"> </w:t>
      </w:r>
      <w:hyperlink w:anchor="ref-9">
        <w:r>
          <w:rPr>
            <w:rStyle w:val="Hyperlink"/>
          </w:rPr>
          <w:t xml:space="preserve">[9]</w:t>
        </w:r>
      </w:hyperlink>
      <w:r>
        <w:t xml:space="preserve"> </w:t>
      </w:r>
      <w:hyperlink w:anchor="ref-10">
        <w:r>
          <w:rPr>
            <w:rStyle w:val="Hyperlink"/>
          </w:rPr>
          <w:t xml:space="preserve">[10]</w:t>
        </w:r>
      </w:hyperlink>
      <w:r>
        <w:t xml:space="preserve">. They also model, on a small scale, the reporting discipline the full panel will demand: real output, transcribed without alteration, interpreted no further than it can bear.</w:t>
      </w:r>
    </w:p>
    <w:p>
      <w:pPr>
        <w:pStyle w:val="BodyText"/>
        <w:spacing w:line="480" w:lineRule="auto"/>
        <w:ind w:firstLine="720"/>
      </w:pPr>
      <w:r>
        <w:t xml:space="preserve">It is worth being precise about the relationship between the two contributions, because they operate at different levels and a defense should not blur them. The falsifiable state-level claim is the dissertation’s reason for existing, and it remains a design rather than a result. The bibliometric findings are completed results, but they concern the literature, not the states. The honest summary is that the dissertation delivers a fully specified, identified, and falsifiable design for its central question, plus two small completed empirical studies that discipline how that design’s literature is read. Neither contribution pretends to be the other. That separation is not a limitation to be apologized for; it is the structure a design-stage doctoral project should have, and it is what lets every number in the document be checked against its source.</w:t>
      </w:r>
    </w:p>
    <w:p>
      <w:pPr>
        <w:pStyle w:val="BodyText"/>
        <w:spacing w:line="480" w:lineRule="auto"/>
        <w:ind w:firstLine="720"/>
      </w:pPr>
      <w:r>
        <w:t xml:space="preserve">The contribution stated, its relevance follows.</w:t>
      </w:r>
    </w:p>
    <w:bookmarkEnd w:id="98"/>
    <w:bookmarkStart w:id="99" w:name="relevance-for-states-and-programs"/>
    <w:p>
      <w:pPr>
        <w:pStyle w:val="Heading2"/>
        <w:spacing w:line="480" w:lineRule="auto"/>
      </w:pPr>
      <w:r>
        <w:t xml:space="preserve">8.2 Relevance for states and programs</w:t>
      </w:r>
    </w:p>
    <w:p>
      <w:pPr>
        <w:pStyle w:val="FirstParagraph"/>
        <w:spacing w:line="480" w:lineRule="auto"/>
      </w:pPr>
      <w:r>
        <w:t xml:space="preserve">The point is structural. The reframing, if it survives the substantive test, has direct consequences for how states build SSA capability and how observers judge them. For a state early in its space trajectory, the implication is that legal authority, organizational ownership, doctrine, and coordination capacity are not the paperwork that follows the sensors but the foundation that lets the sensors become a national capability at all. A program that procures optical sites before it has a lead organization to task them and an authority to share their output is a program that will underperform its hardware, and the fix is institutional rather than technical. Japan’s decision to house space operations in a formally assigned squadron, and Korea’s progression from calibration work to an integrated monitoring architecture, read as instances of exactly this ordering</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This is the honest reading. For partners and coalitions, the reframing recasts what makes a state a credible contributor. Partnership arrangements presuppose that each member has a domestic institution able to produce and release usable data, so a state’s institutional depth, not its raw sensor count, is the better predictor of whether it can hold up its end</w:t>
      </w:r>
      <w:r>
        <w:t xml:space="preserve"> </w:t>
      </w:r>
      <w:hyperlink w:anchor="ref-7">
        <w:r>
          <w:rPr>
            <w:rStyle w:val="Hyperlink"/>
          </w:rPr>
          <w:t xml:space="preserve">[7]</w:t>
        </w:r>
      </w:hyperlink>
      <w:r>
        <w:t xml:space="preserve">. For analysts, the implication is a caution against reading capability off hardware inventories. Two states with identical sensors can field very different national pictures depending on the institutions behind them, and the institutional difference is the one that will not appear in a photograph of a radar.</w:t>
      </w:r>
    </w:p>
    <w:p>
      <w:pPr>
        <w:pStyle w:val="BodyText"/>
        <w:spacing w:line="480" w:lineRule="auto"/>
        <w:ind w:firstLine="720"/>
      </w:pPr>
      <w:r>
        <w:t xml:space="preserve">The governance literature suggests the point generalizes past SSA. Long and Chen locate the binding constraint on laser use in outer space in an institutional bottleneck rather than a technical one</w:t>
      </w:r>
      <w:r>
        <w:t xml:space="preserve"> </w:t>
      </w:r>
      <w:hyperlink w:anchor="ref-9">
        <w:r>
          <w:rPr>
            <w:rStyle w:val="Hyperlink"/>
          </w:rPr>
          <w:t xml:space="preserve">[9]</w:t>
        </w:r>
      </w:hyperlink>
      <w:r>
        <w:t xml:space="preserve">. Yap, Heiberg, and Truffer show coordination structures shaping which debris-governance technologies get mobilized</w:t>
      </w:r>
      <w:r>
        <w:t xml:space="preserve"> </w:t>
      </w:r>
      <w:hyperlink w:anchor="ref-10">
        <w:r>
          <w:rPr>
            <w:rStyle w:val="Hyperlink"/>
          </w:rPr>
          <w:t xml:space="preserve">[10]</w:t>
        </w:r>
      </w:hyperlink>
      <w:r>
        <w:t xml:space="preserve">. If institutional strength is upstream of observable capability across these domains, then the sequencing lens is a tool for reading national space programs broadly, not a claim about one narrow function. The dissertation studies SSA because SSA offers documented cases and measurable outcomes, but the mechanism it proposes is not SSA-specific, and its confirmation in the SSA setting would license careful extension to the other capability domains where institutions plausibly gate technology, from debris removal to traffic management to on-orbit servicing.</w:t>
      </w:r>
    </w:p>
    <w:p>
      <w:pPr>
        <w:pStyle w:val="BodyText"/>
        <w:spacing w:line="480" w:lineRule="auto"/>
        <w:ind w:firstLine="720"/>
      </w:pPr>
      <w:r>
        <w:t xml:space="preserve">The finding is exact. For program managers inside a maturing space enterprise, the sequencing lens reorders the natural priority list. The instinct is to fund the visible deliverable first, because a telescope or a satellite is something to point to, while a coordination agreement or a legal mandate is not. The lens argues that the invisible deliverables should often come first, because they are what let the visible ones perform. A sequencing-aware program would front-load the legal authority and the organizational ownership, treat doctrine as a design input rather than an afterthought, and build the coordination pathways before the data volume that will need them arrives. That reordering is uncomfortable precisely because it defers the photogenic milestones, and the value of an empirical test is that it could justify the discomfort with evidence rather than assertion. A program manager can point to a delivered telescope at a review; pointing to a coordination agreement or a legal mandate is harder, and the incentive structure of program reviews therefore pushes against the sequencing the theory recommends. That tension between what is easy to show and what actually builds capability is exactly the tension a validated sequencing result would help resolve, by giving managers evidence to justify the less visible investment to the people who fund them.</w:t>
      </w:r>
    </w:p>
    <w:p>
      <w:pPr>
        <w:pStyle w:val="BodyText"/>
        <w:spacing w:line="480" w:lineRule="auto"/>
        <w:ind w:firstLine="720"/>
      </w:pPr>
      <w:r>
        <w:t xml:space="preserve">Consider the mechanism plainly. There is also a diagnostic use for outside observers and analysts. If institutions gate capability, then the right early-warning indicator of a rising space power is not its sensor procurement but its institutional consolidation, the passage of an operative national space law, the standup of a named lead organization, the publication of a doctrine that says what the capability is for. Those markers precede the observable capability the sequencing theory predicts, which makes them leading indicators. An analyst watching for institutional markers would see a capability trajectory forming before the hardware makes it obvious, which is a more useful vantage than counting sensors after the fact</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The design is specified. What remains is to run it.</w:t>
      </w:r>
    </w:p>
    <w:bookmarkEnd w:id="99"/>
    <w:bookmarkStart w:id="100" w:name="future-work"/>
    <w:p>
      <w:pPr>
        <w:pStyle w:val="Heading2"/>
        <w:spacing w:line="480" w:lineRule="auto"/>
      </w:pPr>
      <w:r>
        <w:t xml:space="preserve">8.3 Future work</w:t>
      </w:r>
    </w:p>
    <w:p>
      <w:pPr>
        <w:pStyle w:val="FirstParagraph"/>
        <w:spacing w:line="480" w:lineRule="auto"/>
      </w:pPr>
      <w:r>
        <w:t xml:space="preserve">The next step is obvious. Run the design the dissertation specifies. That is a substantial undertaking, and it is worth being concrete about its shape so the future work reads as a plan rather than a gesture. It means coding the state-year panel from the public legal, organizational, and policy sources the measurement chapter describes, constructing the institutional-strength and capability indices with the conservative documentation rule, and estimating the two-way fixed-effects model with its lag structure. The coding is the bottleneck. Each state-year cell requires a documented public source for every positive claim across four institutional components and four capability dimensions, and assembling that evidence across a purposive sample of spacefaring states over a multi-year window is the labor that stands between the specified design and a completed result. There is no shortcut that preserves the reproducibility the design depends on, and the dissertation would rather name the labor honestly than pretend a plausible simulation could substitute for it. The event study should follow, built around a small set of well-documented reforms and paired with within-case process tracing to compensate for sparse event counts. The higher-transparency subsample robustness check should be run alongside the main model to bound the public-observability bias.</w:t>
      </w:r>
    </w:p>
    <w:p>
      <w:pPr>
        <w:pStyle w:val="BodyText"/>
        <w:spacing w:line="480" w:lineRule="auto"/>
        <w:ind w:firstLine="720"/>
      </w:pPr>
      <w:r>
        <w:t xml:space="preserve">The claim can fail. Beyond the core design, three extensions would strengthen the inference. Component-level analysis of the two indices would show whether legal authority, ownership, doctrine, and coordination carry the effect jointly or whether one dimension dominates, which would sharpen the mechanism from Chapter 3. Replacing the metadata</w:t>
      </w:r>
      <w:r>
        <w:t xml:space="preserve"> </w:t>
      </w:r>
      <w:r>
        <w:rPr>
          <w:rStyle w:val="VerbatimChar"/>
        </w:rPr>
        <w:t xml:space="preserve">signal_score</w:t>
      </w:r>
      <w:r>
        <w:t xml:space="preserve"> </w:t>
      </w:r>
      <w:r>
        <w:t xml:space="preserve">with a full-text semantic measure would let the literature diagnostics speak to what sources argue rather than how their metadata reads. And widening the citation field beyond the local index toward a universal bibliometric service would test whether the flat age curve from Paper 2 holds outside the retrieved corpus or is an artifact of local indexing.</w:t>
      </w:r>
    </w:p>
    <w:p>
      <w:pPr>
        <w:pStyle w:val="BodyText"/>
        <w:spacing w:line="480" w:lineRule="auto"/>
        <w:ind w:firstLine="720"/>
      </w:pPr>
      <w:r>
        <w:t xml:space="preserve">This is the crux. A fourth extension would address the construct-validity gap in the outcome. The coded capability index measures documented capability, which diverges from actual capability in ways that are not random across states. Triangulating the public coding against independent signals, commercial tracking data, published conjunction-assessment outputs, or third-party assessments where they exist, would let the design bound the disclosure gap rather than merely acknowledge it. This is demanding work, because the whole point is to reach capability that states do not document, but even a partial triangulation on a subset of states would indicate how far the documented-capability findings can be pushed toward claims about capability itself.</w:t>
      </w:r>
    </w:p>
    <w:p>
      <w:pPr>
        <w:pStyle w:val="BodyText"/>
        <w:spacing w:line="480" w:lineRule="auto"/>
        <w:ind w:firstLine="720"/>
      </w:pPr>
      <w:r>
        <w:t xml:space="preserve">The coding is conservative. A fifth line of work is comparative-historical rather than statistical. The panel and event study are aggregate instruments, and they will miss the texture of how a specific state moved from scattered sensors to an integrated national function. Process tracing on a small set of well-documented transitions, the Japanese squadron standup and the Korean progression toward VISION are the obvious candidates, would test whether the mechanism the statistics detect actually operated in the cases, whether the legal authority really did precede the ownership, and the ownership the doctrine, and the doctrine the coordination</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Statistics can establish that institutions lead capability on average; process tracing can show whether they lead it the way the theory says, through the specific sequence of components the mechanism describes. The two methods answer different halves of the same question, and a mature version of this dissertation would run both.</w:t>
      </w:r>
    </w:p>
    <w:p>
      <w:pPr>
        <w:pStyle w:val="BodyText"/>
        <w:spacing w:line="480" w:lineRule="auto"/>
        <w:ind w:firstLine="720"/>
      </w:pPr>
      <w:r>
        <w:t xml:space="preserve">A sixth extension concerns scope conditions. The dissertation’s cases are drawn from states with observable space activity, and the sequencing mechanism is likely to operate differently across the range of state capacity. In a state with a deep administrative apparatus, consolidating space institutions may be a matter of extending existing legal and organizational machinery, so the institution-to-capability lag could be short. In a state building administrative capacity from a thinner base, the same consolidation may take longer and depend on prior general-governance strength that has nothing to do with space specifically. Testing whether the institutional effect is larger where general administrative capacity is higher would locate the SSA-specific mechanism within the broader literature on state capacity, and it would tell practitioners whether the sequencing advice applies uniformly or only to states past some governance threshold. That is a substantial research program in its own right, and it sits naturally atop the design this dissertation specifies.</w:t>
      </w:r>
    </w:p>
    <w:p>
      <w:pPr>
        <w:pStyle w:val="BodyText"/>
        <w:spacing w:line="480" w:lineRule="auto"/>
        <w:ind w:firstLine="720"/>
      </w:pPr>
      <w:r>
        <w:t xml:space="preserve">One channel dominates here. There is also value in extending the outcome forward in time. SSA capability is not a terminal state; it degrades without maintenance, and an institution’s contribution may be as much about sustaining capability as about building it. A dynamic specification that let past capability predict current capability, alongside lagged institutions, would test whether institutions matter for the persistence of capability and not only its onset. The theory of Chapter 3 implies they should, because ownership, doctrine, and coordination are exactly the components that keep a catalog current and a warning pipeline alive once the initial buildout is done</w:t>
      </w:r>
      <w:r>
        <w:t xml:space="preserve"> </w:t>
      </w:r>
      <w:hyperlink w:anchor="ref-6">
        <w:r>
          <w:rPr>
            <w:rStyle w:val="Hyperlink"/>
          </w:rPr>
          <w:t xml:space="preserve">[6]</w:t>
        </w:r>
      </w:hyperlink>
      <w:r>
        <w:t xml:space="preserve">. A design that measured only onset would miss this maintenance role, and a mature version of the project would look at both.</w:t>
      </w:r>
    </w:p>
    <w:p>
      <w:pPr>
        <w:pStyle w:val="BodyText"/>
        <w:spacing w:line="480" w:lineRule="auto"/>
        <w:ind w:firstLine="720"/>
      </w:pPr>
      <w:r>
        <w:t xml:space="preserve">A closing word on standards is warranted, because a design-stage dissertation is easy to inflate and this one has tried not to be. The temptation in a project of this kind is to present the diagnostics as if they bore on the main claim, to let a significant recency coefficient stand in for evidence about states, and to describe the specified panel as though it had already been run. The dissertation has refused each of those moves. It reports two small completed studies as small and completed, it reports the state-level design as a design, and it keeps the boundary between them visible on every page where the two could be confused. That refusal costs the project the appearance of a finished result, and it buys something more valuable: a document in which every claim is scaled to the evidence that supports it, and every number can be checked against its source. A reader who distrusts the sequencing intuition should still be able to trust the reporting, and that is the standard the project set for itself.</w:t>
      </w:r>
    </w:p>
    <w:p>
      <w:pPr>
        <w:pStyle w:val="BodyText"/>
        <w:spacing w:line="480" w:lineRule="auto"/>
        <w:ind w:firstLine="720"/>
      </w:pPr>
      <w:r>
        <w:t xml:space="preserve">The dissertation closes where it opened. Sensors are visible and institutions are not, and the discipline of this project has been to take the invisible thing seriously enough to build a test around it. The completed diagnostics are small and honest. The substantive design is specified, identified, and able to fail. What remains is to run it, and to let the institutional coefficient come back whatever it comes back, because a design that can only confirm its author’s intuition was never worth building</w:t>
      </w:r>
      <w:r>
        <w:t xml:space="preserve"> </w:t>
      </w:r>
      <w:hyperlink w:anchor="ref-4">
        <w:r>
          <w:rPr>
            <w:rStyle w:val="Hyperlink"/>
          </w:rPr>
          <w:t xml:space="preserve">[4]</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The comparison is instructive. If the coefficient comes back positive and robust, the reframing earns its keep, and the practical advice to institutionalize before you procure gains an evidentiary spine it does not now have. If it comes back null or wrong-signed, the reframing fails, and the field learns that hardware accounting was closer to right than this dissertation supposed, which is itself worth knowing. Either outcome is a contribution, because either resolves a question the literature has left open by describing destinations without tracing the roads that lead to them</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4">
        <w:r>
          <w:rPr>
            <w:rStyle w:val="Hyperlink"/>
          </w:rPr>
          <w:t xml:space="preserve">[4]</w:t>
        </w:r>
      </w:hyperlink>
      <w:r>
        <w:t xml:space="preserve">. The measure of the design is not that it favors the institutional story but that it lets the data decide between the institutional story and its rivals, on evidence a second analyst could reconstruct. That is the standard a doctoral design should meet, and it is the one this project has tried, chapter by chapter, to hold.</w:t>
      </w:r>
    </w:p>
    <w:bookmarkEnd w:id="100"/>
    <w:bookmarkStart w:id="138" w:name="references"/>
    <w:p>
      <w:pPr>
        <w:pStyle w:val="Heading2"/>
        <w:spacing w:line="480" w:lineRule="auto"/>
      </w:pPr>
      <w:r>
        <w:t xml:space="preserve">References</w:t>
      </w:r>
    </w:p>
    <w:p>
      <w:pPr>
        <w:pStyle w:val="FirstParagraph"/>
        <w:spacing w:line="480" w:lineRule="auto"/>
      </w:pPr>
      <w:bookmarkStart w:id="101" w:name="ref-1"/>
      <w:bookmarkEnd w:id="101"/>
      <w:r>
        <w:t xml:space="preserve">1. Quentin Verspieren, The University of Tokyo. Establishment of a Space Operations Squadron at the Japan Air Self-Defense Force in 2020: current status and future prospects. (2021). [AMOS]</w:t>
      </w:r>
    </w:p>
    <w:p>
      <w:pPr>
        <w:pStyle w:val="BodyText"/>
        <w:spacing w:line="480" w:lineRule="auto"/>
        <w:ind w:firstLine="720"/>
      </w:pPr>
      <w:bookmarkStart w:id="102" w:name="ref-2"/>
      <w:bookmarkEnd w:id="102"/>
      <w:r>
        <w:t xml:space="preserve">2. Jung Hyun Jo, Jin Choi, Ju Young Son, Sun Youp Park, and Jang Hyun Park. Early CAL/VAL Process for an Optical Tracking System by Korea. (2015). [AMOS]</w:t>
      </w:r>
    </w:p>
    <w:p>
      <w:pPr>
        <w:pStyle w:val="BodyText"/>
        <w:spacing w:line="480" w:lineRule="auto"/>
        <w:ind w:firstLine="720"/>
      </w:pPr>
      <w:bookmarkStart w:id="103" w:name="ref-3"/>
      <w:bookmarkEnd w:id="103"/>
      <w:r>
        <w:t xml:space="preserve">3. Jaedong Seong, Okchul Jung, Youeyun Jung, and Saehan Song. Development of VISION (Vigilant Integrated Space Information and mOnitoring Network): An Integrated Space Information Monitoring System for Space Flight Safety. (2025). doi:</w:t>
      </w:r>
      <w:r>
        <w:t xml:space="preserve"> </w:t>
      </w:r>
      <w:hyperlink r:id="rId104">
        <w:r>
          <w:rPr>
            <w:rStyle w:val="Hyperlink"/>
          </w:rPr>
          <w:t xml:space="preserve">10.64861/OTAL2562</w:t>
        </w:r>
      </w:hyperlink>
    </w:p>
    <w:p>
      <w:pPr>
        <w:pStyle w:val="BodyText"/>
        <w:spacing w:line="480" w:lineRule="auto"/>
        <w:ind w:firstLine="720"/>
      </w:pPr>
      <w:bookmarkStart w:id="105" w:name="ref-4"/>
      <w:bookmarkEnd w:id="105"/>
      <w:r>
        <w:t xml:space="preserve">4. Makena Young. Trends in Global Space Situational Awareness. (2021). [AMOS]</w:t>
      </w:r>
    </w:p>
    <w:p>
      <w:pPr>
        <w:pStyle w:val="BodyText"/>
        <w:spacing w:line="480" w:lineRule="auto"/>
        <w:ind w:firstLine="720"/>
      </w:pPr>
      <w:bookmarkStart w:id="106" w:name="ref-5"/>
      <w:bookmarkEnd w:id="106"/>
      <w:r>
        <w:t xml:space="preserve">5. Masahiko Uetsuhara and Norikazu Ikoma. Faint Debris Detection by Particle Based Track-Before-Detect Method. (2014). [AMOS]</w:t>
      </w:r>
    </w:p>
    <w:p>
      <w:pPr>
        <w:pStyle w:val="BodyText"/>
        <w:spacing w:line="480" w:lineRule="auto"/>
        <w:ind w:firstLine="720"/>
      </w:pPr>
      <w:bookmarkStart w:id="107" w:name="ref-6"/>
      <w:bookmarkEnd w:id="107"/>
      <w:r>
        <w:t xml:space="preserve">6. Nicholas Moretti, Mark Rutten, Travis Bessell, and Brittany Morreale. Autonomous Space Object Catalogue Construction and Upkeep Using Sensor Control Theory. (2017). [AMOS]</w:t>
      </w:r>
    </w:p>
    <w:p>
      <w:pPr>
        <w:pStyle w:val="BodyText"/>
        <w:spacing w:line="480" w:lineRule="auto"/>
        <w:ind w:firstLine="720"/>
      </w:pPr>
      <w:bookmarkStart w:id="108" w:name="ref-7"/>
      <w:bookmarkEnd w:id="108"/>
      <w:r>
        <w:t xml:space="preserve">7. Nathaniel Dailey, Braden McGrath, Harvey Reed, and Jonathon Wotton. Global Space Domain Awareness, Partnering to Win with AUKUS. (2023). doi:</w:t>
      </w:r>
      <w:r>
        <w:t xml:space="preserve"> </w:t>
      </w:r>
      <w:hyperlink r:id="rId109">
        <w:r>
          <w:rPr>
            <w:rStyle w:val="Hyperlink"/>
          </w:rPr>
          <w:t xml:space="preserve">10.64861/FWBL2094</w:t>
        </w:r>
      </w:hyperlink>
    </w:p>
    <w:p>
      <w:pPr>
        <w:pStyle w:val="BodyText"/>
        <w:spacing w:line="480" w:lineRule="auto"/>
        <w:ind w:firstLine="720"/>
      </w:pPr>
      <w:bookmarkStart w:id="110" w:name="ref-8"/>
      <w:bookmarkEnd w:id="110"/>
      <w:r>
        <w:t xml:space="preserve">8. Timothy Murphy and Marcus Holzinger. Uncued Low SNR Detection with Likelihood from Image Multi Bernoulli Filter. (2016). [AMOS]</w:t>
      </w:r>
    </w:p>
    <w:p>
      <w:pPr>
        <w:pStyle w:val="BodyText"/>
        <w:spacing w:line="480" w:lineRule="auto"/>
        <w:ind w:firstLine="720"/>
      </w:pPr>
      <w:bookmarkStart w:id="111" w:name="ref-9"/>
      <w:bookmarkEnd w:id="111"/>
      <w:r>
        <w:t xml:space="preserve">9. Jie Long and Wenzhen Chen. Laser utilization in outer space: Institutional bottleneck and prospects. (2025). doi:</w:t>
      </w:r>
      <w:r>
        <w:t xml:space="preserve"> </w:t>
      </w:r>
      <w:hyperlink r:id="rId112">
        <w:r>
          <w:rPr>
            <w:rStyle w:val="Hyperlink"/>
          </w:rPr>
          <w:t xml:space="preserve">10.1016/j.actaastro.2025.01.061</w:t>
        </w:r>
      </w:hyperlink>
    </w:p>
    <w:p>
      <w:pPr>
        <w:pStyle w:val="BodyText"/>
        <w:spacing w:line="480" w:lineRule="auto"/>
        <w:ind w:firstLine="720"/>
      </w:pPr>
      <w:bookmarkStart w:id="113" w:name="ref-10"/>
      <w:bookmarkEnd w:id="113"/>
      <w:r>
        <w:t xml:space="preserve">10. Xiao-Shan Yap, Jonas Heiberg, and Bernhard Truffer. The emerging global socio-technical regime for tackling space debris: A discourse network analysis. (2023). doi:</w:t>
      </w:r>
      <w:r>
        <w:t xml:space="preserve"> </w:t>
      </w:r>
      <w:hyperlink r:id="rId114">
        <w:r>
          <w:rPr>
            <w:rStyle w:val="Hyperlink"/>
          </w:rPr>
          <w:t xml:space="preserve">10.1016/j.actaastro.2023.01.016</w:t>
        </w:r>
      </w:hyperlink>
    </w:p>
    <w:p>
      <w:pPr>
        <w:pStyle w:val="BodyText"/>
        <w:spacing w:line="480" w:lineRule="auto"/>
        <w:ind w:firstLine="720"/>
      </w:pPr>
      <w:bookmarkStart w:id="115" w:name="ref-11"/>
      <w:bookmarkEnd w:id="115"/>
      <w:r>
        <w:t xml:space="preserve">11. Elena Cirkovic and Danielle Wood. Integrating planetary boundaries into sustainable space exploration: An earth-outer space system design framework. (2024). doi:</w:t>
      </w:r>
      <w:r>
        <w:t xml:space="preserve"> </w:t>
      </w:r>
      <w:hyperlink r:id="rId116">
        <w:r>
          <w:rPr>
            <w:rStyle w:val="Hyperlink"/>
          </w:rPr>
          <w:t xml:space="preserve">10.1016/j.actaastro.2024.12.037</w:t>
        </w:r>
      </w:hyperlink>
    </w:p>
    <w:p>
      <w:pPr>
        <w:pStyle w:val="BodyText"/>
        <w:spacing w:line="480" w:lineRule="auto"/>
        <w:ind w:firstLine="720"/>
      </w:pPr>
      <w:bookmarkStart w:id="117" w:name="ref-12"/>
      <w:bookmarkEnd w:id="117"/>
      <w:r>
        <w:t xml:space="preserve">12. Michael Herman, Olivia J. Pinon Fischer, and Dimitri N. Mavris. Predictive calibration for digital sun sensors using sparse submanifold convolutional neural networks. (2026). doi:</w:t>
      </w:r>
      <w:r>
        <w:t xml:space="preserve"> </w:t>
      </w:r>
      <w:hyperlink r:id="rId118">
        <w:r>
          <w:rPr>
            <w:rStyle w:val="Hyperlink"/>
          </w:rPr>
          <w:t xml:space="preserve">10.1016/j.actaastro.2026.05.010</w:t>
        </w:r>
      </w:hyperlink>
    </w:p>
    <w:p>
      <w:pPr>
        <w:pStyle w:val="BodyText"/>
        <w:spacing w:line="480" w:lineRule="auto"/>
        <w:ind w:firstLine="720"/>
      </w:pPr>
      <w:bookmarkStart w:id="119" w:name="ref-13"/>
      <w:bookmarkEnd w:id="119"/>
      <w:r>
        <w:t xml:space="preserve">13. Jung Hyun Jo, Korea University of Science and Technology, Korea Astronomy and Space Science Institute, Jin Choi, Korea University of Science and Technology, Korea Astronomy and Space Science Institute, Ju Young Son, Korea University of Science and Technology, Korea Astronomy and Space Science Institute, Korea Airforce, Sun Youp Park, Korea Astronomy and Space Science Institute, Jang Hyun Park, Korea Astronomy and Space Science Institute. Early CAL/VAL Process for an Optical Tracking System by Korea (2015).</w:t>
      </w:r>
    </w:p>
    <w:p>
      <w:pPr>
        <w:pStyle w:val="BodyText"/>
        <w:spacing w:line="480" w:lineRule="auto"/>
        <w:ind w:firstLine="720"/>
      </w:pPr>
      <w:bookmarkStart w:id="120" w:name="ref-14"/>
      <w:bookmarkEnd w:id="120"/>
      <w:r>
        <w:t xml:space="preserve">14. Jaedong Seong, Korea Aerospace Research Institute (KARI); Okchul Jung, Korea Aerospace Research Institute (KARI); Youeyun Jung, Korea Aerospace Research Institute (KARI); Saehan Song, Korea Aerospace Research Institute (KARI). Development of VISION (Vigilant Integrated Space Information and mOnitoring Network): An Integrated Space Information Monitoring System for Space Flight Safety (2025). doi:</w:t>
      </w:r>
      <w:r>
        <w:t xml:space="preserve"> </w:t>
      </w:r>
      <w:hyperlink r:id="rId104">
        <w:r>
          <w:rPr>
            <w:rStyle w:val="Hyperlink"/>
          </w:rPr>
          <w:t xml:space="preserve">10.64861/OTAL2562</w:t>
        </w:r>
      </w:hyperlink>
    </w:p>
    <w:p>
      <w:pPr>
        <w:pStyle w:val="BodyText"/>
        <w:spacing w:line="480" w:lineRule="auto"/>
        <w:ind w:firstLine="720"/>
      </w:pPr>
      <w:bookmarkStart w:id="121" w:name="ref-15"/>
      <w:bookmarkEnd w:id="121"/>
      <w:r>
        <w:t xml:space="preserve">15. Makena Young, Aerospace Security Project. Trends in Global Space Situational Awareness (2021).</w:t>
      </w:r>
    </w:p>
    <w:p>
      <w:pPr>
        <w:pStyle w:val="BodyText"/>
        <w:spacing w:line="480" w:lineRule="auto"/>
        <w:ind w:firstLine="720"/>
      </w:pPr>
      <w:bookmarkStart w:id="122" w:name="ref-16"/>
      <w:bookmarkEnd w:id="122"/>
      <w:r>
        <w:t xml:space="preserve">16. Masahiko Uetsuhara (The Institute of Statistical Mathematics), Norikazu Ikoma (Kyushu Institute of Technology, and The Institute of Statistical Mathematics). Faint Debris Detection by Particle Based Track-Before-Detect Method (2014).</w:t>
      </w:r>
    </w:p>
    <w:p>
      <w:pPr>
        <w:pStyle w:val="BodyText"/>
        <w:spacing w:line="480" w:lineRule="auto"/>
        <w:ind w:firstLine="720"/>
      </w:pPr>
      <w:bookmarkStart w:id="123" w:name="ref-17"/>
      <w:bookmarkEnd w:id="123"/>
      <w:r>
        <w:t xml:space="preserve">17. Nicholas Moretti, Inovor Technologies, Mark Rutten, National Security and Intelligence, Surveillance, and Reconnaissance Division – Defence Science and Technology Group, Travis Bessell, National Security and Intelligence, Surveillance, and Reconnaissance Division – Defence Science and Technology Group, Brittany Morreale, United States Air Force. Autonomous Space Object Catalogue Construction and Upkeep Using Sensor Control Theory (2017).</w:t>
      </w:r>
    </w:p>
    <w:p>
      <w:pPr>
        <w:pStyle w:val="BodyText"/>
        <w:spacing w:line="480" w:lineRule="auto"/>
        <w:ind w:firstLine="720"/>
      </w:pPr>
      <w:bookmarkStart w:id="124" w:name="ref-18"/>
      <w:bookmarkEnd w:id="124"/>
      <w:r>
        <w:t xml:space="preserve">18. Nathaniel Dailey, MITRE &amp; Space Force Association; Braden McGrath, MITRE Australia; Harvey Reed, MITRE; Jonathon Wotton, MITRE Australia. Global Space Domain Awareness, Partnering to Win with AUKUS (2023). doi:</w:t>
      </w:r>
      <w:r>
        <w:t xml:space="preserve"> </w:t>
      </w:r>
      <w:hyperlink r:id="rId109">
        <w:r>
          <w:rPr>
            <w:rStyle w:val="Hyperlink"/>
          </w:rPr>
          <w:t xml:space="preserve">10.64861/FWBL2094</w:t>
        </w:r>
      </w:hyperlink>
    </w:p>
    <w:p>
      <w:pPr>
        <w:pStyle w:val="BodyText"/>
        <w:spacing w:line="480" w:lineRule="auto"/>
        <w:ind w:firstLine="720"/>
      </w:pPr>
      <w:bookmarkStart w:id="125" w:name="ref-19"/>
      <w:bookmarkEnd w:id="125"/>
      <w:r>
        <w:t xml:space="preserve">19. Timothy Murphy, Georgia Institute of Technology, Dr. Marcus Holzinger, Georgia Institute of Technology. Uncued Low SNR Detection with Likelihood from Image Multi Bernoulli Filter (2016).</w:t>
      </w:r>
    </w:p>
    <w:p>
      <w:pPr>
        <w:pStyle w:val="BodyText"/>
        <w:spacing w:line="480" w:lineRule="auto"/>
        <w:ind w:firstLine="720"/>
      </w:pPr>
      <w:bookmarkStart w:id="126" w:name="ref-20"/>
      <w:bookmarkEnd w:id="126"/>
      <w:r>
        <w:t xml:space="preserve">20. Jie Long; Wenzhen Chen. Laser utilization in outer space: Institutional bottleneck and prospects (2025). doi:</w:t>
      </w:r>
      <w:r>
        <w:t xml:space="preserve"> </w:t>
      </w:r>
      <w:hyperlink r:id="rId112">
        <w:r>
          <w:rPr>
            <w:rStyle w:val="Hyperlink"/>
          </w:rPr>
          <w:t xml:space="preserve">10.1016/j.actaastro.2025.01.061</w:t>
        </w:r>
      </w:hyperlink>
    </w:p>
    <w:p>
      <w:pPr>
        <w:pStyle w:val="BodyText"/>
        <w:spacing w:line="480" w:lineRule="auto"/>
        <w:ind w:firstLine="720"/>
      </w:pPr>
      <w:bookmarkStart w:id="127" w:name="ref-21"/>
      <w:bookmarkEnd w:id="127"/>
      <w:r>
        <w:t xml:space="preserve">21. Charlotte Hook; Ewan Wright; Michael Byers; Aaron C. Boley. Uncontrolled reentries of space objects and aviation safety (2024). doi:</w:t>
      </w:r>
      <w:r>
        <w:t xml:space="preserve"> </w:t>
      </w:r>
      <w:hyperlink r:id="rId128">
        <w:r>
          <w:rPr>
            <w:rStyle w:val="Hyperlink"/>
          </w:rPr>
          <w:t xml:space="preserve">10.1016/j.actaastro.2024.05.026</w:t>
        </w:r>
      </w:hyperlink>
    </w:p>
    <w:p>
      <w:pPr>
        <w:pStyle w:val="BodyText"/>
        <w:spacing w:line="480" w:lineRule="auto"/>
        <w:ind w:firstLine="720"/>
      </w:pPr>
      <w:bookmarkStart w:id="129" w:name="ref-22"/>
      <w:bookmarkEnd w:id="129"/>
      <w:r>
        <w:t xml:space="preserve">22. Jarrod Moonen; Andrea Mazzanti; S. Shojaii; Simon Barter; Shannon Ryan; Crystal Forrester; Pier Marzocca; A. Shekhter. The ionizing particle shielding capability of multi-functional high-strength and low-Z composites in low earth orbit (2025). doi:</w:t>
      </w:r>
      <w:r>
        <w:t xml:space="preserve"> </w:t>
      </w:r>
      <w:hyperlink r:id="rId130">
        <w:r>
          <w:rPr>
            <w:rStyle w:val="Hyperlink"/>
          </w:rPr>
          <w:t xml:space="preserve">10.1016/j.actaastro.2025.08.055</w:t>
        </w:r>
      </w:hyperlink>
    </w:p>
    <w:p>
      <w:pPr>
        <w:pStyle w:val="BodyText"/>
        <w:spacing w:line="480" w:lineRule="auto"/>
        <w:ind w:firstLine="720"/>
      </w:pPr>
      <w:bookmarkStart w:id="131" w:name="ref-23"/>
      <w:bookmarkEnd w:id="131"/>
      <w:r>
        <w:t xml:space="preserve">23. Xiao-Shan Yap; Jonas Heiberg; Bernhard Truffer. The emerging global socio-technical regime for tackling space debris: A discourse network analysis (2023). doi:</w:t>
      </w:r>
      <w:r>
        <w:t xml:space="preserve"> </w:t>
      </w:r>
      <w:hyperlink r:id="rId114">
        <w:r>
          <w:rPr>
            <w:rStyle w:val="Hyperlink"/>
          </w:rPr>
          <w:t xml:space="preserve">10.1016/j.actaastro.2023.01.016</w:t>
        </w:r>
      </w:hyperlink>
    </w:p>
    <w:p>
      <w:pPr>
        <w:pStyle w:val="BodyText"/>
        <w:spacing w:line="480" w:lineRule="auto"/>
        <w:ind w:firstLine="720"/>
      </w:pPr>
      <w:bookmarkStart w:id="132" w:name="ref-24"/>
      <w:bookmarkEnd w:id="132"/>
      <w:r>
        <w:t xml:space="preserve">24. Justin Walsh; Alice Gorman; Paola Castaño. Postorbital discard and chain of custody: The processing of artifacts returning to Earth from the International Space Station (2022). doi:</w:t>
      </w:r>
      <w:r>
        <w:t xml:space="preserve"> </w:t>
      </w:r>
      <w:hyperlink r:id="rId133">
        <w:r>
          <w:rPr>
            <w:rStyle w:val="Hyperlink"/>
          </w:rPr>
          <w:t xml:space="preserve">10.1016/j.actaastro.2022.03.035</w:t>
        </w:r>
      </w:hyperlink>
    </w:p>
    <w:p>
      <w:pPr>
        <w:pStyle w:val="BodyText"/>
        <w:spacing w:line="480" w:lineRule="auto"/>
        <w:ind w:firstLine="720"/>
      </w:pPr>
      <w:bookmarkStart w:id="134" w:name="ref-25"/>
      <w:bookmarkEnd w:id="134"/>
      <w:r>
        <w:t xml:space="preserve">25. Wiebke Retagne; Camilla Colombo. Satellite launch traffic forecast based on the global Gross Domestic Product and constellation plans (2026). doi:</w:t>
      </w:r>
      <w:r>
        <w:t xml:space="preserve"> </w:t>
      </w:r>
      <w:hyperlink r:id="rId135">
        <w:r>
          <w:rPr>
            <w:rStyle w:val="Hyperlink"/>
          </w:rPr>
          <w:t xml:space="preserve">10.1016/j.actaastro.2026.04.046</w:t>
        </w:r>
      </w:hyperlink>
    </w:p>
    <w:p>
      <w:pPr>
        <w:pStyle w:val="BodyText"/>
        <w:spacing w:line="480" w:lineRule="auto"/>
        <w:ind w:firstLine="720"/>
      </w:pPr>
      <w:bookmarkStart w:id="136" w:name="ref-26"/>
      <w:bookmarkEnd w:id="136"/>
      <w:r>
        <w:t xml:space="preserve">26. Elena Cirkovic; Danielle Wood. “Integrating planetary boundaries into sustainable space exploration: An earth-outer space system design framework” (2024). doi:</w:t>
      </w:r>
      <w:r>
        <w:t xml:space="preserve"> </w:t>
      </w:r>
      <w:hyperlink r:id="rId116">
        <w:r>
          <w:rPr>
            <w:rStyle w:val="Hyperlink"/>
          </w:rPr>
          <w:t xml:space="preserve">10.1016/j.actaastro.2024.12.037</w:t>
        </w:r>
      </w:hyperlink>
    </w:p>
    <w:p>
      <w:pPr>
        <w:pStyle w:val="BodyText"/>
        <w:spacing w:line="480" w:lineRule="auto"/>
        <w:ind w:firstLine="720"/>
      </w:pPr>
      <w:bookmarkStart w:id="137" w:name="ref-27"/>
      <w:bookmarkEnd w:id="137"/>
      <w:r>
        <w:t xml:space="preserve">27. Michael Herman; Olivia J. Pinon Fischer; Dimitri N. Mavris. Predictive calibration for digital sun sensors using sparse submanifold convolutional neural networks (2026). doi:</w:t>
      </w:r>
      <w:r>
        <w:t xml:space="preserve"> </w:t>
      </w:r>
      <w:hyperlink r:id="rId118">
        <w:r>
          <w:rPr>
            <w:rStyle w:val="Hyperlink"/>
          </w:rPr>
          <w:t xml:space="preserve">10.1016/j.actaastro.2026.05.010</w:t>
        </w:r>
      </w:hyperlink>
    </w:p>
    <w:bookmarkEnd w:id="138"/>
    <w:bookmarkEnd w:id="139"/>
    <w:bookmarkStart w:id="156"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47" w:name="X797130b2ccbd4023bbde660cadfa6b0aefcbba2"/>
    <w:p>
      <w:pPr>
        <w:pStyle w:val="Heading2"/>
        <w:spacing w:line="480" w:lineRule="auto"/>
      </w:pPr>
      <w:r>
        <w:t xml:space="preserve">A.1 Signal Intensity in Institutions Before Capability Does the Strength of a State’s Domestic Space-Re: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40"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3.7229</w:t>
            </w:r>
          </w:p>
        </w:tc>
        <w:tc>
          <w:tcPr>
            <w:tcW w:w="0" w:type="auto"/>
          </w:tcPr>
          <w:p>
            <w:pPr>
              <w:spacing w:line="240" w:lineRule="auto" w:before="0" w:after="0"/>
              <w:pStyle w:val="Compact"/>
            </w:pPr>
            <w:r>
              <w:rPr>
                <w:sz w:val="20"/>
                <w:szCs w:val="20"/>
              </w:rPr>
              <w:t xml:space="preserve">1.2326</w:t>
            </w:r>
          </w:p>
        </w:tc>
        <w:tc>
          <w:tcPr>
            <w:tcW w:w="0" w:type="auto"/>
          </w:tcPr>
          <w:p>
            <w:pPr>
              <w:spacing w:line="240" w:lineRule="auto" w:before="0" w:after="0"/>
              <w:pStyle w:val="Compact"/>
            </w:pPr>
            <w:r>
              <w:rPr>
                <w:sz w:val="20"/>
                <w:szCs w:val="20"/>
              </w:rPr>
              <w:t xml:space="preserve">3.0203</w:t>
            </w:r>
          </w:p>
        </w:tc>
        <w:tc>
          <w:tcPr>
            <w:tcW w:w="0" w:type="auto"/>
          </w:tcPr>
          <w:p>
            <w:pPr>
              <w:spacing w:line="240" w:lineRule="auto" w:before="0" w:after="0"/>
              <w:pStyle w:val="Compact"/>
            </w:pPr>
            <w:r>
              <w:rPr>
                <w:sz w:val="20"/>
                <w:szCs w:val="20"/>
              </w:rPr>
              <w:t xml:space="preserve">0.0025</w:t>
            </w:r>
          </w:p>
        </w:tc>
        <w:tc>
          <w:tcPr>
            <w:tcW w:w="0" w:type="auto"/>
          </w:tcPr>
          <w:p>
            <w:pPr>
              <w:spacing w:line="240" w:lineRule="auto" w:before="0" w:after="0"/>
              <w:pStyle w:val="Compact"/>
            </w:pPr>
            <w:r>
              <w:rPr>
                <w:sz w:val="20"/>
                <w:szCs w:val="20"/>
              </w:rPr>
              <w:t xml:space="preserve">[1.307, 6.1388]</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0.3045</w:t>
            </w:r>
          </w:p>
        </w:tc>
        <w:tc>
          <w:tcPr>
            <w:tcW w:w="0" w:type="auto"/>
          </w:tcPr>
          <w:p>
            <w:pPr>
              <w:spacing w:line="240" w:lineRule="auto" w:before="0" w:after="0"/>
              <w:pStyle w:val="Compact"/>
            </w:pPr>
            <w:r>
              <w:rPr>
                <w:sz w:val="20"/>
                <w:szCs w:val="20"/>
              </w:rPr>
              <w:t xml:space="preserve">0.1109</w:t>
            </w:r>
          </w:p>
        </w:tc>
        <w:tc>
          <w:tcPr>
            <w:tcW w:w="0" w:type="auto"/>
          </w:tcPr>
          <w:p>
            <w:pPr>
              <w:spacing w:line="240" w:lineRule="auto" w:before="0" w:after="0"/>
              <w:pStyle w:val="Compact"/>
            </w:pPr>
            <w:r>
              <w:rPr>
                <w:sz w:val="20"/>
                <w:szCs w:val="20"/>
              </w:rPr>
              <w:t xml:space="preserve">2.7456</w:t>
            </w:r>
          </w:p>
        </w:tc>
        <w:tc>
          <w:tcPr>
            <w:tcW w:w="0" w:type="auto"/>
          </w:tcPr>
          <w:p>
            <w:pPr>
              <w:spacing w:line="240" w:lineRule="auto" w:before="0" w:after="0"/>
              <w:pStyle w:val="Compact"/>
            </w:pPr>
            <w:r>
              <w:rPr>
                <w:sz w:val="20"/>
                <w:szCs w:val="20"/>
              </w:rPr>
              <w:t xml:space="preserve">0.006</w:t>
            </w:r>
          </w:p>
        </w:tc>
        <w:tc>
          <w:tcPr>
            <w:tcW w:w="0" w:type="auto"/>
          </w:tcPr>
          <w:p>
            <w:pPr>
              <w:spacing w:line="240" w:lineRule="auto" w:before="0" w:after="0"/>
              <w:pStyle w:val="Compact"/>
            </w:pPr>
            <w:r>
              <w:rPr>
                <w:sz w:val="20"/>
                <w:szCs w:val="20"/>
              </w:rPr>
              <w:t xml:space="preserve">[0.0871, 0.5218]</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0.0122</w:t>
            </w:r>
          </w:p>
        </w:tc>
        <w:tc>
          <w:tcPr>
            <w:tcW w:w="0" w:type="auto"/>
          </w:tcPr>
          <w:p>
            <w:pPr>
              <w:spacing w:line="240" w:lineRule="auto" w:before="0" w:after="0"/>
              <w:pStyle w:val="Compact"/>
            </w:pPr>
            <w:r>
              <w:rPr>
                <w:sz w:val="20"/>
                <w:szCs w:val="20"/>
              </w:rPr>
              <w:t xml:space="preserve">0.0077</w:t>
            </w:r>
          </w:p>
        </w:tc>
        <w:tc>
          <w:tcPr>
            <w:tcW w:w="0" w:type="auto"/>
          </w:tcPr>
          <w:p>
            <w:pPr>
              <w:spacing w:line="240" w:lineRule="auto" w:before="0" w:after="0"/>
              <w:pStyle w:val="Compact"/>
            </w:pPr>
            <w:r>
              <w:rPr>
                <w:sz w:val="20"/>
                <w:szCs w:val="20"/>
              </w:rPr>
              <w:t xml:space="preserve">1.5901</w:t>
            </w:r>
          </w:p>
        </w:tc>
        <w:tc>
          <w:tcPr>
            <w:tcW w:w="0" w:type="auto"/>
          </w:tcPr>
          <w:p>
            <w:pPr>
              <w:spacing w:line="240" w:lineRule="auto" w:before="0" w:after="0"/>
              <w:pStyle w:val="Compact"/>
            </w:pPr>
            <w:r>
              <w:rPr>
                <w:sz w:val="20"/>
                <w:szCs w:val="20"/>
              </w:rPr>
              <w:t xml:space="preserve">0.1118</w:t>
            </w:r>
          </w:p>
        </w:tc>
        <w:tc>
          <w:tcPr>
            <w:tcW w:w="0" w:type="auto"/>
          </w:tcPr>
          <w:p>
            <w:pPr>
              <w:spacing w:line="240" w:lineRule="auto" w:before="0" w:after="0"/>
              <w:pStyle w:val="Compact"/>
            </w:pPr>
            <w:r>
              <w:rPr>
                <w:sz w:val="20"/>
                <w:szCs w:val="20"/>
              </w:rPr>
              <w:t xml:space="preserve">[-0.0028, 0.0273]</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-1.4139</w:t>
            </w:r>
          </w:p>
        </w:tc>
        <w:tc>
          <w:tcPr>
            <w:tcW w:w="0" w:type="auto"/>
          </w:tcPr>
          <w:p>
            <w:pPr>
              <w:spacing w:line="240" w:lineRule="auto" w:before="0" w:after="0"/>
              <w:pStyle w:val="Compact"/>
            </w:pPr>
            <w:r>
              <w:rPr>
                <w:sz w:val="20"/>
                <w:szCs w:val="20"/>
              </w:rPr>
              <w:t xml:space="preserve">0.6081</w:t>
            </w:r>
          </w:p>
        </w:tc>
        <w:tc>
          <w:tcPr>
            <w:tcW w:w="0" w:type="auto"/>
          </w:tcPr>
          <w:p>
            <w:pPr>
              <w:spacing w:line="240" w:lineRule="auto" w:before="0" w:after="0"/>
              <w:pStyle w:val="Compact"/>
            </w:pPr>
            <w:r>
              <w:rPr>
                <w:sz w:val="20"/>
                <w:szCs w:val="20"/>
              </w:rPr>
              <w:t xml:space="preserve">-2.3251</w:t>
            </w:r>
          </w:p>
        </w:tc>
        <w:tc>
          <w:tcPr>
            <w:tcW w:w="0" w:type="auto"/>
          </w:tcPr>
          <w:p>
            <w:pPr>
              <w:spacing w:line="240" w:lineRule="auto" w:before="0" w:after="0"/>
              <w:pStyle w:val="Compact"/>
            </w:pPr>
            <w:r>
              <w:rPr>
                <w:sz w:val="20"/>
                <w:szCs w:val="20"/>
              </w:rPr>
              <w:t xml:space="preserve">0.0201</w:t>
            </w:r>
          </w:p>
        </w:tc>
        <w:tc>
          <w:tcPr>
            <w:tcW w:w="0" w:type="auto"/>
          </w:tcPr>
          <w:p>
            <w:pPr>
              <w:spacing w:line="240" w:lineRule="auto" w:before="0" w:after="0"/>
              <w:pStyle w:val="Compact"/>
            </w:pPr>
            <w:r>
              <w:rPr>
                <w:sz w:val="20"/>
                <w:szCs w:val="20"/>
              </w:rPr>
              <w:t xml:space="preserve">[-2.6057, -0.222]</w:t>
            </w:r>
          </w:p>
        </w:tc>
      </w:tr>
    </w:tbl>
    <w:p>
      <w:pPr>
        <w:pStyle w:val="BodyText"/>
        <w:spacing w:line="480" w:lineRule="auto"/>
        <w:ind w:firstLine="720"/>
      </w:pPr>
      <w:r>
        <w:t xml:space="preserve">Fit: N = 30 R2 = 0.2556 R2_adj = 0.1697 F = 3.7376 F_p = 0.0234</w:t>
      </w:r>
    </w:p>
    <w:bookmarkEnd w:id="140"/>
    <w:bookmarkStart w:id="144"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42" name="Picture"/>
            <a:graphic>
              <a:graphicData uri="http://schemas.openxmlformats.org/drawingml/2006/picture">
                <pic:pic>
                  <pic:nvPicPr>
                    <pic:cNvPr descr="D:/Claude_Code/brain/collegium/candidates/dissertations/SUSTAINABILITY_INSTITUTIONS_07/research_papers/p1/paper_fig1.png" id="143" name="Picture"/>
                    <pic:cNvPicPr>
                      <a:picLocks noChangeArrowheads="1" noChangeAspect="1"/>
                    </pic:cNvPicPr>
                  </pic:nvPicPr>
                  <pic:blipFill>
                    <a:blip r:embed="rId14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44"/>
    <w:bookmarkStart w:id="145"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https://amostech.space/year/2021/establishment-of-a-space-operations-squadron-at-the-japan-air-self-defense-force-in-2020-current-status-and-future-prospects/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https://amostech.space/year/2015/early-cal-val-process-for-an-optical-tracking-system-by-korea/</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10.64861/OTAL2562</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https://amostech.space/year/2021/trends-in-global-space-situational-awareness/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https://amostech.space/year/2014/faint-debris-detection-by-particle-based-track-before-detect-method/</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https://amostech.space/year/2017/autonomous-space-object-catalogue-construction-and-upkeep-using-sensor-control-theory/</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10.64861/FWBL2094</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https://amostech.space/year/2016/uncued-low-snr-detection-with-likelihood-from-image-multi-bernoulli-filter/</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10.64861/DDNM3393</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https://amostech.space/year/2017/evaluating-options-for-civil-space-situational-awareness-ssa/</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https://amostech.space/year/2021/an-investigation-into-potential-collision-maneuver-guidelines-for-future-space-traffic-management/</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10.64861/KSPN2451</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10.1016/j.actaastro.2024.05.026</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10.1016/j.actaastro.2025.08.055</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10.1016/j.actaastro.2022.03.035</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10.1016/j.actaastro.2026.04.046</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10.1016/j.actaastro.2024.12.037</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10.1016/j.actaastro.2026.05.010</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10.1016/j.actaastro.2021.12.015</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10.1016/j.actaastro.2024.04.012</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10.1016/j.actaastro.2026.02.023</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10.1016/j.actaastro.2017.04.034</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MITRE white paper arguing that Australia’s geolocational Delta-V advantage, automated mining expertise, and university smallsat capacity can underpin a commercial space economy analogous to Japan’s and Germany’s post-WWII economic miracles, provided the country prioritizes LTS Guidelines, orbital debris governance, and Artemis Accords leadership over defense-budget reliance.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et al ASCEND 2025 Orbital Classification</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bl>
    <w:bookmarkEnd w:id="145"/>
    <w:bookmarkStart w:id="146"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46"/>
    <w:bookmarkEnd w:id="147"/>
    <w:bookmarkStart w:id="155" w:name="X8b64dfe231f574e2da768c77a7c12ec561286a5"/>
    <w:p>
      <w:pPr>
        <w:pStyle w:val="Heading2"/>
        <w:spacing w:line="480" w:lineRule="auto"/>
      </w:pPr>
      <w:r>
        <w:t xml:space="preserve">A.2 Attention Accumulation in Institutions Before Capability Does the Strength of a State’s Domestic Space-Re: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48"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0.7069</w:t>
            </w:r>
          </w:p>
        </w:tc>
        <w:tc>
          <w:tcPr>
            <w:tcW w:w="0" w:type="auto"/>
          </w:tcPr>
          <w:p>
            <w:pPr>
              <w:spacing w:line="240" w:lineRule="auto" w:before="0" w:after="0"/>
              <w:pStyle w:val="Compact"/>
            </w:pPr>
            <w:r>
              <w:rPr>
                <w:sz w:val="20"/>
                <w:szCs w:val="20"/>
              </w:rPr>
              <w:t xml:space="preserve">0.4613</w:t>
            </w:r>
          </w:p>
        </w:tc>
        <w:tc>
          <w:tcPr>
            <w:tcW w:w="0" w:type="auto"/>
          </w:tcPr>
          <w:p>
            <w:pPr>
              <w:spacing w:line="240" w:lineRule="auto" w:before="0" w:after="0"/>
              <w:pStyle w:val="Compact"/>
            </w:pPr>
            <w:r>
              <w:rPr>
                <w:sz w:val="20"/>
                <w:szCs w:val="20"/>
              </w:rPr>
              <w:t xml:space="preserve">1.5324</w:t>
            </w:r>
          </w:p>
        </w:tc>
        <w:tc>
          <w:tcPr>
            <w:tcW w:w="0" w:type="auto"/>
          </w:tcPr>
          <w:p>
            <w:pPr>
              <w:spacing w:line="240" w:lineRule="auto" w:before="0" w:after="0"/>
              <w:pStyle w:val="Compact"/>
            </w:pPr>
            <w:r>
              <w:rPr>
                <w:sz w:val="20"/>
                <w:szCs w:val="20"/>
              </w:rPr>
              <w:t xml:space="preserve">0.1254</w:t>
            </w:r>
          </w:p>
        </w:tc>
        <w:tc>
          <w:tcPr>
            <w:tcW w:w="0" w:type="auto"/>
          </w:tcPr>
          <w:p>
            <w:pPr>
              <w:spacing w:line="240" w:lineRule="auto" w:before="0" w:after="0"/>
              <w:pStyle w:val="Compact"/>
            </w:pPr>
            <w:r>
              <w:rPr>
                <w:sz w:val="20"/>
                <w:szCs w:val="20"/>
              </w:rPr>
              <w:t xml:space="preserve">[-0.1972, 1.6111]</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0.0052</w:t>
            </w:r>
          </w:p>
        </w:tc>
        <w:tc>
          <w:tcPr>
            <w:tcW w:w="0" w:type="auto"/>
          </w:tcPr>
          <w:p>
            <w:pPr>
              <w:spacing w:line="240" w:lineRule="auto" w:before="0" w:after="0"/>
              <w:pStyle w:val="Compact"/>
            </w:pPr>
            <w:r>
              <w:rPr>
                <w:sz w:val="20"/>
                <w:szCs w:val="20"/>
              </w:rPr>
              <w:t xml:space="preserve">0.2869</w:t>
            </w:r>
          </w:p>
        </w:tc>
        <w:tc>
          <w:tcPr>
            <w:tcW w:w="0" w:type="auto"/>
          </w:tcPr>
          <w:p>
            <w:pPr>
              <w:spacing w:line="240" w:lineRule="auto" w:before="0" w:after="0"/>
              <w:pStyle w:val="Compact"/>
            </w:pPr>
            <w:r>
              <w:rPr>
                <w:sz w:val="20"/>
                <w:szCs w:val="20"/>
              </w:rPr>
              <w:t xml:space="preserve">0.0182</w:t>
            </w:r>
          </w:p>
        </w:tc>
        <w:tc>
          <w:tcPr>
            <w:tcW w:w="0" w:type="auto"/>
          </w:tcPr>
          <w:p>
            <w:pPr>
              <w:spacing w:line="240" w:lineRule="auto" w:before="0" w:after="0"/>
              <w:pStyle w:val="Compact"/>
            </w:pPr>
            <w:r>
              <w:rPr>
                <w:sz w:val="20"/>
                <w:szCs w:val="20"/>
              </w:rPr>
              <w:t xml:space="preserve">0.9855</w:t>
            </w:r>
          </w:p>
        </w:tc>
        <w:tc>
          <w:tcPr>
            <w:tcW w:w="0" w:type="auto"/>
          </w:tcPr>
          <w:p>
            <w:pPr>
              <w:spacing w:line="240" w:lineRule="auto" w:before="0" w:after="0"/>
              <w:pStyle w:val="Compact"/>
            </w:pPr>
            <w:r>
              <w:rPr>
                <w:sz w:val="20"/>
                <w:szCs w:val="20"/>
              </w:rPr>
              <w:t xml:space="preserve">[-0.5571, 0.5675]</w:t>
            </w:r>
          </w:p>
        </w:tc>
      </w:tr>
    </w:tbl>
    <w:p>
      <w:pPr>
        <w:pStyle w:val="BodyText"/>
        <w:spacing w:line="480" w:lineRule="auto"/>
        <w:ind w:firstLine="720"/>
      </w:pPr>
      <w:r>
        <w:t xml:space="preserve">Fit: N = 30 R2 = 7.896e-06 elasticity_b = 0.0052 progress_ratio_2^b = 1.0036</w:t>
      </w:r>
    </w:p>
    <w:bookmarkEnd w:id="148"/>
    <w:bookmarkStart w:id="152"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50" name="Picture"/>
            <a:graphic>
              <a:graphicData uri="http://schemas.openxmlformats.org/drawingml/2006/picture">
                <pic:pic>
                  <pic:nvPicPr>
                    <pic:cNvPr descr="D:/Claude_Code/brain/collegium/candidates/dissertations/SUSTAINABILITY_INSTITUTIONS_07/research_papers/p2/paper_fig1.png" id="151" name="Picture"/>
                    <pic:cNvPicPr>
                      <a:picLocks noChangeArrowheads="1" noChangeAspect="1"/>
                    </pic:cNvPicPr>
                  </pic:nvPicPr>
                  <pic:blipFill>
                    <a:blip r:embed="rId14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52"/>
    <w:bookmarkStart w:id="153"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https://amostech.space/year/2021/establishment-of-a-space-operations-squadron-at-the-japan-air-self-defense-force-in-2020-current-status-and-future-prospects/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https://amostech.space/year/2015/early-cal-val-process-for-an-optical-tracking-system-by-korea/</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10.64861/OTAL2562</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https://amostech.space/year/2021/trends-in-global-space-situational-awareness/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https://amostech.space/year/2014/faint-debris-detection-by-particle-based-track-before-detect-method/</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https://amostech.space/year/2017/autonomous-space-object-catalogue-construction-and-upkeep-using-sensor-control-theory/</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10.64861/FWBL2094</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https://amostech.space/year/2016/uncued-low-snr-detection-with-likelihood-from-image-multi-bernoulli-filter/</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10.64861/DDNM3393</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https://amostech.space/year/2017/evaluating-options-for-civil-space-situational-awareness-ssa/</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https://amostech.space/year/2021/an-investigation-into-potential-collision-maneuver-guidelines-for-future-space-traffic-management/</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10.64861/KSPN2451</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10.1016/j.actaastro.2024.05.026</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10.1016/j.actaastro.2025.08.055</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10.1016/j.actaastro.2022.03.035</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10.1016/j.actaastro.2026.04.046</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10.1016/j.actaastro.2024.12.037</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10.1016/j.actaastro.2026.05.010</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10.1016/j.actaastro.2021.12.015</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10.1016/j.actaastro.2024.04.012</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10.1016/j.actaastro.2026.02.023</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10.1016/j.actaastro.2017.04.034</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MITRE white paper arguing that Australia’s geolocational Delta-V advantage, automated mining expertise, and university smallsat capacity can underpin a commercial space economy analogous to Japan’s and Germany’s post-WWII economic miracles, provided the country prioritizes LTS Guidelines, orbital debris governance, and Artemis Accords leadership over defense-budget reliance.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et al ASCEND 2025 Orbital Classification</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bl>
    <w:bookmarkEnd w:id="153"/>
    <w:bookmarkStart w:id="154"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54"/>
    <w:bookmarkEnd w:id="155"/>
    <w:bookmarkEnd w:id="15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41" Type="http://schemas.openxmlformats.org/officeDocument/2006/relationships/image" Target="media/rId141.png"/><Relationship Id="rId149" Type="http://schemas.openxmlformats.org/officeDocument/2006/relationships/image" Target="media/rId149.png"/><Relationship Id="rId133" Type="http://schemas.openxmlformats.org/officeDocument/2006/relationships/hyperlink" Target="https://doi.org/10.1016/j.actaastro.2022.03.035" TargetMode="External"/><Relationship Id="rId114" Type="http://schemas.openxmlformats.org/officeDocument/2006/relationships/hyperlink" Target="https://doi.org/10.1016/j.actaastro.2023.01.016" TargetMode="External"/><Relationship Id="rId128" Type="http://schemas.openxmlformats.org/officeDocument/2006/relationships/hyperlink" Target="https://doi.org/10.1016/j.actaastro.2024.05.026" TargetMode="External"/><Relationship Id="rId116" Type="http://schemas.openxmlformats.org/officeDocument/2006/relationships/hyperlink" Target="https://doi.org/10.1016/j.actaastro.2024.12.037" TargetMode="External"/><Relationship Id="rId112" Type="http://schemas.openxmlformats.org/officeDocument/2006/relationships/hyperlink" Target="https://doi.org/10.1016/j.actaastro.2025.01.061" TargetMode="External"/><Relationship Id="rId130" Type="http://schemas.openxmlformats.org/officeDocument/2006/relationships/hyperlink" Target="https://doi.org/10.1016/j.actaastro.2025.08.055" TargetMode="External"/><Relationship Id="rId135" Type="http://schemas.openxmlformats.org/officeDocument/2006/relationships/hyperlink" Target="https://doi.org/10.1016/j.actaastro.2026.04.046" TargetMode="External"/><Relationship Id="rId118" Type="http://schemas.openxmlformats.org/officeDocument/2006/relationships/hyperlink" Target="https://doi.org/10.1016/j.actaastro.2026.05.010" TargetMode="External"/><Relationship Id="rId109" Type="http://schemas.openxmlformats.org/officeDocument/2006/relationships/hyperlink" Target="https://doi.org/10.64861/FWBL2094" TargetMode="External"/><Relationship Id="rId104" Type="http://schemas.openxmlformats.org/officeDocument/2006/relationships/hyperlink" Target="https://doi.org/10.64861/OTAL2562" TargetMode="External"/></Relationships>
</file>

<file path=word/_rels/footnotes.xml.rels><?xml version='1.0' encoding='UTF-8' standalone='yes'?>
<Relationships xmlns="http://schemas.openxmlformats.org/package/2006/relationships"><Relationship Id="rId133" Type="http://schemas.openxmlformats.org/officeDocument/2006/relationships/hyperlink" Target="https://doi.org/10.1016/j.actaastro.2022.03.035" TargetMode="External"/><Relationship Id="rId114" Type="http://schemas.openxmlformats.org/officeDocument/2006/relationships/hyperlink" Target="https://doi.org/10.1016/j.actaastro.2023.01.016" TargetMode="External"/><Relationship Id="rId128" Type="http://schemas.openxmlformats.org/officeDocument/2006/relationships/hyperlink" Target="https://doi.org/10.1016/j.actaastro.2024.05.026" TargetMode="External"/><Relationship Id="rId116" Type="http://schemas.openxmlformats.org/officeDocument/2006/relationships/hyperlink" Target="https://doi.org/10.1016/j.actaastro.2024.12.037" TargetMode="External"/><Relationship Id="rId112" Type="http://schemas.openxmlformats.org/officeDocument/2006/relationships/hyperlink" Target="https://doi.org/10.1016/j.actaastro.2025.01.061" TargetMode="External"/><Relationship Id="rId130" Type="http://schemas.openxmlformats.org/officeDocument/2006/relationships/hyperlink" Target="https://doi.org/10.1016/j.actaastro.2025.08.055" TargetMode="External"/><Relationship Id="rId135" Type="http://schemas.openxmlformats.org/officeDocument/2006/relationships/hyperlink" Target="https://doi.org/10.1016/j.actaastro.2026.04.046" TargetMode="External"/><Relationship Id="rId118" Type="http://schemas.openxmlformats.org/officeDocument/2006/relationships/hyperlink" Target="https://doi.org/10.1016/j.actaastro.2026.05.010" TargetMode="External"/><Relationship Id="rId109" Type="http://schemas.openxmlformats.org/officeDocument/2006/relationships/hyperlink" Target="https://doi.org/10.64861/FWBL2094" TargetMode="External"/><Relationship Id="rId104" Type="http://schemas.openxmlformats.org/officeDocument/2006/relationships/hyperlink" Target="https://doi.org/10.64861/OTAL25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Institutions Before Capability: Does the Strength of a State’s Domestic Space-Re</dc:title>
  <dc:creator>Lukas Sandoval (1B-SUS-160)</dc:creator>
  <cp:keywords/>
  <dcterms:created xsi:type="dcterms:W3CDTF">2026-07-03T01:07:04Z</dcterms:created>
  <dcterms:modified xsi:type="dcterms:W3CDTF">2026-07-03T01:07:04Z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