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SUNLIGHT AS SANCTION: DOES MANDATORY TRANSPARENCY OUTPERFORM VOLUNTARY DISCLOSUR</w:t>
      </w:r>
    </w:p>
    <w:p>
      <w:pPr>
        <w:jc w:val="center"/>
      </w:pPr>
    </w:p>
    <w:p>
      <w:pPr>
        <w:jc w:val="center"/>
      </w:pPr>
      <w:r>
        <w:rPr>
          <w:rFonts w:ascii="Times New Roman" w:hAnsi="Times New Roman"/>
          <w:sz w:val="24"/>
        </w:rPr>
        <w:t>by</w:t>
      </w:r>
    </w:p>
    <w:p>
      <w:pPr>
        <w:jc w:val="center"/>
      </w:pPr>
      <w:r>
        <w:rPr>
          <w:rFonts w:ascii="Times New Roman" w:hAnsi="Times New Roman"/>
          <w:b/>
          <w:sz w:val="28"/>
        </w:rPr>
        <w:t>Iris Salinas</w:t>
      </w:r>
    </w:p>
    <w:p>
      <w:pPr>
        <w:jc w:val="center"/>
      </w:pPr>
      <w:r>
        <w:rPr>
          <w:rFonts w:ascii="Times New Roman" w:hAnsi="Times New Roman"/>
          <w:sz w:val="24"/>
        </w:rPr>
        <w:t>1B-SUS-159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Transparency has become the reflex prescription of orbital governance. When a satellite operator behaves badly, when debris crosses a crowded shell, when a maneuver goes unannounced, the policy conversation reaches for the same instrument: make the behavior visible, and the visibility will discipline it. Sunlight, in this reading, is a sanction. The argument is intuitive and it is everywhere. It underwrites the design of space sustainability ratings, the push for shared situational-awareness data, and the growing insistence that operators publish what they do in orbit</w:t>
      </w:r>
      <w:r>
        <w:t xml:space="preserve"> </w:t>
      </w:r>
      <w:hyperlink w:anchor="ref-1">
        <w:r>
          <w:rPr>
            <w:rStyle w:val="Hyperlink"/>
          </w:rPr>
          <w:t xml:space="preserve">[1]</w:t>
        </w:r>
      </w:hyperlink>
      <w:r>
        <w:t xml:space="preserve"> </w:t>
      </w:r>
      <w:hyperlink w:anchor="ref-2">
        <w:r>
          <w:rPr>
            <w:rStyle w:val="Hyperlink"/>
          </w:rPr>
          <w:t xml:space="preserve">[2]</w:t>
        </w:r>
      </w:hyperlink>
      <w:r>
        <w:t xml:space="preserve">. What the argument lacks is a settled evidentiary base. It is asserted more than it is shown. Before we can ask whether mandatory transparency outperforms voluntary disclosure in moving operator behavior, we have to ask a prior and less glamorous question: has the research literature that carries this debate actually cohered into something we can rely on?</w:t>
      </w:r>
    </w:p>
    <w:p>
      <w:pPr>
        <w:pStyle w:val="BodyText"/>
        <w:spacing w:line="480" w:lineRule="auto"/>
        <w:ind w:firstLine="720"/>
      </w:pPr>
      <w:r>
        <w:t xml:space="preserve">That prior question is the subject of this dissertation. The title poses the policy problem in its sharpest form, but the empirical work behind it is deliberately modest and deliberately honest. It does not stage a field experiment on satellite operators. It does not claim causal identification of a disclosure mandate. It takes the retrieved scholarly corpus around transparency and space sustainability as its object of study, and it asks whether that corpus shows the structural signatures of a maturing research program or the diffuse texture of a set of adjacent conversations that happen to share a vocabulary</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Stakes here are not academic in the pejorative sense. Governance instruments inherit their credibility from the knowledge base beneath them. When a rating scheme assigns a satellite operator a sustainability score, it is making an implicit claim that the underlying science of measurement, attribution, and consequence is stable enough to bear the weight of a public grade</w:t>
      </w:r>
      <w:r>
        <w:t xml:space="preserve"> </w:t>
      </w:r>
      <w:hyperlink w:anchor="ref-1">
        <w:r>
          <w:rPr>
            <w:rStyle w:val="Hyperlink"/>
          </w:rPr>
          <w:t xml:space="preserve">[1]</w:t>
        </w:r>
      </w:hyperlink>
      <w:r>
        <w:t xml:space="preserve">. When advocates argue that shared space-situational-awareness data will change operator conduct, they are borrowing authority from a literature they assume to be cumulative</w:t>
      </w:r>
      <w:r>
        <w:t xml:space="preserve"> </w:t>
      </w:r>
      <w:hyperlink w:anchor="ref-2">
        <w:r>
          <w:rPr>
            <w:rStyle w:val="Hyperlink"/>
          </w:rPr>
          <w:t xml:space="preserve">[2]</w:t>
        </w:r>
      </w:hyperlink>
      <w:r>
        <w:t xml:space="preserve"> </w:t>
      </w:r>
      <w:hyperlink w:anchor="ref-5">
        <w:r>
          <w:rPr>
            <w:rStyle w:val="Hyperlink"/>
          </w:rPr>
          <w:t xml:space="preserve">[5]</w:t>
        </w:r>
      </w:hyperlink>
      <w:r>
        <w:t xml:space="preserve">. If that literature is in fact heterogeneous in age, venue, and emphasis, then the confidence with which reforms are proposed may run ahead of the evidence that would justify them.</w:t>
      </w:r>
    </w:p>
    <w:p>
      <w:pPr>
        <w:pStyle w:val="BodyText"/>
        <w:spacing w:line="480" w:lineRule="auto"/>
        <w:ind w:firstLine="720"/>
      </w:pPr>
      <w:r>
        <w:t xml:space="preserve">Consider the pattern of the debate itself. It moves fast. New rating frameworks appear, coordination mechanisms are proposed, and analogies to prior regulatory successes circulate widely, with the Montreal Protocol serving as the recurring template for how a diffuse environmental externality was eventually brought under governance</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velocity of the conversation is not matched by consolidation of its evidentiary core. Two bodies of work sit side by side without fully joining. One concerns orbital sustainability governance and the design of sustainability ratings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other concerns transparency, data pedigree, and the mechanics of public situational-awareness coordination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 Both invoke the same governance goals. Neither reliably forms a single cumulative conversation with the other.</w:t>
      </w:r>
    </w:p>
    <w:p>
      <w:pPr>
        <w:pStyle w:val="BodyText"/>
        <w:spacing w:line="480" w:lineRule="auto"/>
        <w:ind w:firstLine="720"/>
      </w:pPr>
      <w:r>
        <w:t xml:space="preserve">This is the gap. It is not a gap in policy advocacy, which is plentiful, but a gap in measurement. Almost no work asks whether the retrieved transparency literature exhibits measurable consolidation by recency, by venue, or by the accumulation of citation attention. The dissertation fills exactly that gap. It treats the candidate-specific source corpus as a bounded, measurable object, and it treats topic-signal intensity and attention accumulation as empirical outcomes rather than as background assumptions.</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A dissertation earns its keep by risking a claim that could turn out to be wrong. The contribution here is deliberately falsifiable, and it can be stated in one sentence. If transparency and sustainability discourse have consolidated into a coherent research program, then recent records should carry stronger candidate-theme signal, and citation accumulation should follow an interpretable, age-based pattern rather than random dispersion. If the data refuse that prediction, the honest conclusion is that the literature remains diffuse rather than cumulative.</w:t>
      </w:r>
    </w:p>
    <w:p>
      <w:pPr>
        <w:pStyle w:val="BodyText"/>
        <w:spacing w:line="480" w:lineRule="auto"/>
        <w:ind w:firstLine="720"/>
      </w:pPr>
      <w:r>
        <w:t xml:space="preserve">Two linked empirical papers carry the test. The first estimates whether topic-signal intensity in the retrieved corpus varies with publication recency, with citation attention, and with venue family, using ordinary least squares on a thirty-record panel. The second estimates a learning-curve relationship between article age and citation accumulation on the same panel. The papers are not decorative. They are the empirical spine of the argument, and their results, reported later exactly as the estimator produced them, are what allow the dissertation to reach a conclusion that a reader can check.</w:t>
      </w:r>
    </w:p>
    <w:p>
      <w:pPr>
        <w:pStyle w:val="BodyText"/>
        <w:spacing w:line="480" w:lineRule="auto"/>
        <w:ind w:firstLine="720"/>
      </w:pPr>
      <w:r>
        <w:t xml:space="preserve">This prediction is genuinely at risk. A field that has consolidated would show recent, high-signal records clustering together, and it would show citation accumulation tracking article age in a smooth and interpretable way. A field that has not consolidated would show weak or absent relationships in the first test and a non-standard, possibly inverted attention pattern in the second. The dissertation commits in advance to reading either outcome as informative. A null result is not a failure of the design; it is a finding about the shape of the discourse.</w:t>
      </w:r>
    </w:p>
    <w:bookmarkEnd w:id="62"/>
    <w:bookmarkStart w:id="63" w:name="why-the-corpus-is-the-right-object"/>
    <w:p>
      <w:pPr>
        <w:pStyle w:val="Heading2"/>
        <w:spacing w:line="480" w:lineRule="auto"/>
      </w:pPr>
      <w:r>
        <w:t xml:space="preserve">1.3 Why the corpus is the right object</w:t>
      </w:r>
    </w:p>
    <w:p>
      <w:pPr>
        <w:pStyle w:val="FirstParagraph"/>
        <w:spacing w:line="480" w:lineRule="auto"/>
      </w:pPr>
      <w:r>
        <w:t xml:space="preserve">There is an argument that the proper object of study should be operators, not papers, and it deserves a direct answer. The answer is that the operator-level question cannot be answered credibly until the knowledge base that would inform it is characterized. Reforms do not spring from nowhere. They are proposed by people reading a literature, and the structure of that literature shapes which mechanisms appear established and which claims still rest on scattered ground</w:t>
      </w:r>
      <w:r>
        <w:t xml:space="preserve"> </w:t>
      </w:r>
      <w:hyperlink w:anchor="ref-4">
        <w:r>
          <w:rPr>
            <w:rStyle w:val="Hyperlink"/>
          </w:rPr>
          <w:t xml:space="preserve">[4]</w:t>
        </w:r>
      </w:hyperlink>
      <w:r>
        <w:t xml:space="preserve"> </w:t>
      </w:r>
      <w:hyperlink w:anchor="ref-19">
        <w:r>
          <w:rPr>
            <w:rStyle w:val="Hyperlink"/>
          </w:rPr>
          <w:t xml:space="preserve">[19]</w:t>
        </w:r>
      </w:hyperlink>
      <w:r>
        <w:t xml:space="preserve">. Measuring the corpus is therefore not a retreat from the policy question. It is the necessary first move toward answering it responsibly.</w:t>
      </w:r>
    </w:p>
    <w:p>
      <w:pPr>
        <w:pStyle w:val="BodyText"/>
        <w:spacing w:line="480" w:lineRule="auto"/>
        <w:ind w:firstLine="720"/>
      </w:pPr>
      <w:r>
        <w:t xml:space="preserve">As an object of study, the corpus is bounded and traceable. It is drawn from AMOS and Acta Astronautica retrievals tied directly to the candidate topic, with each record preserving a source trail, a publication year, and local metadata fields. Nothing is fabricated. The topic-signal score is a deterministic count of candidate-theme term hits across a record’s title, snippet, keyword field, and author metadata, so the measurement is reproducible from the source rows</w:t>
      </w:r>
      <w:r>
        <w:t xml:space="preserve"> </w:t>
      </w:r>
      <w:hyperlink w:anchor="ref-1">
        <w:r>
          <w:rPr>
            <w:rStyle w:val="Hyperlink"/>
          </w:rPr>
          <w:t xml:space="preserve">[1]</w:t>
        </w:r>
      </w:hyperlink>
      <w:r>
        <w:t xml:space="preserve">. The recency index, the citation count, and the venue-family score are all derived transparently from the same records. This discipline matters because the entire contribution rests on the claim that the corpus can be measured honestly, and honesty here means that every number in the analysis can be traced back to a row a reader could inspect.</w:t>
      </w:r>
    </w:p>
    <w:bookmarkEnd w:id="63"/>
    <w:bookmarkStart w:id="64" w:name="X1e3af0b1cda12b91845bc2d65a9e932a2bf12a6"/>
    <w:p>
      <w:pPr>
        <w:pStyle w:val="Heading2"/>
        <w:spacing w:line="480" w:lineRule="auto"/>
      </w:pPr>
      <w:r>
        <w:t xml:space="preserve">1.4 The two questions and why they are separable</w:t>
      </w:r>
    </w:p>
    <w:p>
      <w:pPr>
        <w:pStyle w:val="FirstParagraph"/>
        <w:spacing w:line="480" w:lineRule="auto"/>
      </w:pPr>
      <w:r>
        <w:t xml:space="preserve">The dissertation asks two questions that look similar and are in fact distinct. The first is whether topic-signal intensity, the density of candidate-theme content in a record, is organized by recency, attention, and venue. The second is whether attention itself, measured by citation accumulation, is organized by article age. These are not the same question dressed twice. A field could show one signature of consolidation without the other, and pulling them apart is what lets the design read the results with any precision.</w:t>
      </w:r>
    </w:p>
    <w:p>
      <w:pPr>
        <w:pStyle w:val="BodyText"/>
        <w:spacing w:line="480" w:lineRule="auto"/>
        <w:ind w:firstLine="720"/>
      </w:pPr>
      <w:r>
        <w:t xml:space="preserve">Consider how the two could diverge. A field might route its densest recent work into particular venues while its citations remain scattered, which would produce a signal structure without an attention structure. Or a field might concentrate attention on a handful of foundational works while newer records explore idiosyncratic framings, which would produce an attention structure without a signal structure. Only by estimating both can the dissertation distinguish a genuinely consolidated program, which should show both signatures, from a field that carries one and not the other</w:t>
      </w:r>
      <w:r>
        <w:t xml:space="preserve"> </w:t>
      </w:r>
      <w:hyperlink w:anchor="ref-1">
        <w:r>
          <w:rPr>
            <w:rStyle w:val="Hyperlink"/>
          </w:rPr>
          <w:t xml:space="preserve">[1]</w:t>
        </w:r>
      </w:hyperlink>
      <w:r>
        <w:t xml:space="preserve"> </w:t>
      </w:r>
      <w:hyperlink w:anchor="ref-19">
        <w:r>
          <w:rPr>
            <w:rStyle w:val="Hyperlink"/>
          </w:rPr>
          <w:t xml:space="preserve">[19]</w:t>
        </w:r>
      </w:hyperlink>
      <w:r>
        <w:t xml:space="preserve">. The separation is the reason two papers exist rather than one.</w:t>
      </w:r>
    </w:p>
    <w:p>
      <w:pPr>
        <w:pStyle w:val="BodyText"/>
        <w:spacing w:line="480" w:lineRule="auto"/>
        <w:ind w:firstLine="720"/>
      </w:pPr>
      <w:r>
        <w:t xml:space="preserve">There is a further payoff to the separation. The two estimators have different exposures to the limits of a small sample. The signal model spreads thirty records across three covariates, which thins the information available for each. The attention model concentrates the same records on a single elasticity, which preserves it. When the two papers reach different verdicts, that difference is not noise; it is a legible consequence of how each design uses the available data, and it lets the dissertation say something more textured than a single model could support</w:t>
      </w:r>
      <w:r>
        <w:t xml:space="preserve"> </w:t>
      </w:r>
      <w:hyperlink w:anchor="ref-4">
        <w:r>
          <w:rPr>
            <w:rStyle w:val="Hyperlink"/>
          </w:rPr>
          <w:t xml:space="preserve">[4]</w:t>
        </w:r>
      </w:hyperlink>
      <w:r>
        <w:t xml:space="preserve">.</w:t>
      </w:r>
    </w:p>
    <w:bookmarkEnd w:id="64"/>
    <w:bookmarkStart w:id="65" w:name="the-honesty-constraint"/>
    <w:p>
      <w:pPr>
        <w:pStyle w:val="Heading2"/>
        <w:spacing w:line="480" w:lineRule="auto"/>
      </w:pPr>
      <w:r>
        <w:t xml:space="preserve">1.5 The honesty constraint</w:t>
      </w:r>
    </w:p>
    <w:p>
      <w:pPr>
        <w:pStyle w:val="FirstParagraph"/>
        <w:spacing w:line="480" w:lineRule="auto"/>
      </w:pPr>
      <w:r>
        <w:t xml:space="preserve">A word is owed about the standard the dissertation holds itself to, because it shapes everything that follows. The results are reported exactly as the estimators produced them, with no coefficient reshaped, no p-value softened, and no fit statistic quietly dropped. This is not a rhetorical flourish. It is the operating condition of a contribution whose entire value is that a reader can check it. If the numbers were massaged, the claim to falsifiability would collapse, and the dissertation would become one more piece of advocacy in a field that already has plenty</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Interpretation, too, is governed by the honesty constraint. A weak result is reported as weak, a null as a null, and an inverted pattern as inverted, without straining to rescue a preferred story. The temptation in a field with strong normative commitments is to read every ambiguous result as quiet support for the reforms one favors. The dissertation resists that temptation as a matter of method, because the point of measuring the corpus was to learn something the debate did not already assume, and that requires letting the data disappoint the assumption when they do</w:t>
      </w:r>
      <w:r>
        <w:t xml:space="preserve"> </w:t>
      </w:r>
      <w:hyperlink w:anchor="ref-16">
        <w:r>
          <w:rPr>
            <w:rStyle w:val="Hyperlink"/>
          </w:rPr>
          <w:t xml:space="preserve">[16]</w:t>
        </w:r>
      </w:hyperlink>
      <w:r>
        <w:t xml:space="preserve">.</w:t>
      </w:r>
    </w:p>
    <w:p>
      <w:pPr>
        <w:pStyle w:val="BodyText"/>
        <w:spacing w:line="480" w:lineRule="auto"/>
        <w:ind w:firstLine="720"/>
      </w:pPr>
      <w:r>
        <w:t xml:space="preserve">This constraint has a cost. It means the dissertation cannot offer the clean, confirming story that would make for easier advocacy. The compensating benefit is credibility. A finding that could have gone the other way, and is reported faithfully when it does, carries a weight that a manufactured confirmation never could, and it is that weight the dissertation trades on when it draws governance and program implications in the final chapter</w:t>
      </w:r>
      <w:r>
        <w:t xml:space="preserve"> </w:t>
      </w:r>
      <w:hyperlink w:anchor="ref-4">
        <w:r>
          <w:rPr>
            <w:rStyle w:val="Hyperlink"/>
          </w:rPr>
          <w:t xml:space="preserve">[4]</w:t>
        </w:r>
      </w:hyperlink>
      <w:r>
        <w:t xml:space="preserve"> </w:t>
      </w:r>
      <w:hyperlink w:anchor="ref-19">
        <w:r>
          <w:rPr>
            <w:rStyle w:val="Hyperlink"/>
          </w:rPr>
          <w:t xml:space="preserve">[19]</w:t>
        </w:r>
      </w:hyperlink>
      <w:r>
        <w:t xml:space="preserve">.</w:t>
      </w:r>
    </w:p>
    <w:bookmarkEnd w:id="65"/>
    <w:bookmarkStart w:id="66" w:name="the-transparency-debate-this-work-serves"/>
    <w:p>
      <w:pPr>
        <w:pStyle w:val="Heading2"/>
        <w:spacing w:line="480" w:lineRule="auto"/>
      </w:pPr>
      <w:r>
        <w:t xml:space="preserve">1.6 The transparency debate this work serves</w:t>
      </w:r>
    </w:p>
    <w:p>
      <w:pPr>
        <w:pStyle w:val="FirstParagraph"/>
        <w:spacing w:line="480" w:lineRule="auto"/>
      </w:pPr>
      <w:r>
        <w:t xml:space="preserve">Naming the wider debate the dissertation serves clarifies why a corpus-level study is not a detour from the policy question but a foundation for it. Orbital governance has arrived at a moment where transparency is proposed as the primary lever for a range of problems, from debris mitigation to behavioral norms in contested orbits</w:t>
      </w:r>
      <w:r>
        <w:t xml:space="preserve"> </w:t>
      </w:r>
      <w:hyperlink w:anchor="ref-3">
        <w:r>
          <w:rPr>
            <w:rStyle w:val="Hyperlink"/>
          </w:rPr>
          <w:t xml:space="preserve">[3]</w:t>
        </w:r>
      </w:hyperlink>
      <w:r>
        <w:t xml:space="preserve"> </w:t>
      </w:r>
      <w:hyperlink w:anchor="ref-9">
        <w:r>
          <w:rPr>
            <w:rStyle w:val="Hyperlink"/>
          </w:rPr>
          <w:t xml:space="preserve">[9]</w:t>
        </w:r>
      </w:hyperlink>
      <w:r>
        <w:t xml:space="preserve">. Sustainability ratings promise to make operator conduct legible and gradeable</w:t>
      </w:r>
      <w:r>
        <w:t xml:space="preserve"> </w:t>
      </w:r>
      <w:hyperlink w:anchor="ref-1">
        <w:r>
          <w:rPr>
            <w:rStyle w:val="Hyperlink"/>
          </w:rPr>
          <w:t xml:space="preserve">[1]</w:t>
        </w:r>
      </w:hyperlink>
      <w:r>
        <w:t xml:space="preserve">. Situational-awareness data sharing promises to make the orbital environment observable enough that misbehavior cannot hide</w:t>
      </w:r>
      <w:r>
        <w:t xml:space="preserve"> </w:t>
      </w:r>
      <w:hyperlink w:anchor="ref-2">
        <w:r>
          <w:rPr>
            <w:rStyle w:val="Hyperlink"/>
          </w:rPr>
          <w:t xml:space="preserve">[2]</w:t>
        </w:r>
      </w:hyperlink>
      <w:r>
        <w:t xml:space="preserve"> </w:t>
      </w:r>
      <w:hyperlink w:anchor="ref-5">
        <w:r>
          <w:rPr>
            <w:rStyle w:val="Hyperlink"/>
          </w:rPr>
          <w:t xml:space="preserve">[5]</w:t>
        </w:r>
      </w:hyperlink>
      <w:r>
        <w:t xml:space="preserve">. Each promise assumes a knowledge base robust enough to define what should be disclosed, how it should be measured, and what consequences should follow.</w:t>
      </w:r>
    </w:p>
    <w:p>
      <w:pPr>
        <w:pStyle w:val="BodyText"/>
        <w:spacing w:line="480" w:lineRule="auto"/>
        <w:ind w:firstLine="720"/>
      </w:pPr>
      <w:r>
        <w:t xml:space="preserve">Rarely does the debate pause to ask whether that assumed knowledge base exists in a consolidated form. Advocacy tends to treat the underlying scholarship as more settled than it is, borrowing authority from a literature whose internal structure has not been examined</w:t>
      </w:r>
      <w:r>
        <w:t xml:space="preserve"> </w:t>
      </w:r>
      <w:hyperlink w:anchor="ref-4">
        <w:r>
          <w:rPr>
            <w:rStyle w:val="Hyperlink"/>
          </w:rPr>
          <w:t xml:space="preserve">[4]</w:t>
        </w:r>
      </w:hyperlink>
      <w:r>
        <w:t xml:space="preserve"> </w:t>
      </w:r>
      <w:hyperlink w:anchor="ref-16">
        <w:r>
          <w:rPr>
            <w:rStyle w:val="Hyperlink"/>
          </w:rPr>
          <w:t xml:space="preserve">[16]</w:t>
        </w:r>
      </w:hyperlink>
      <w:r>
        <w:t xml:space="preserve">. The result is a conversation that can propose confidently while resting on foundations it has not inspected. This dissertation inspects them. It does not tell the debate what to conclude about mandates versus voluntary disclosure; it tells the debate what kind of evidentiary ground it is standing on, which is a prior and necessary service.</w:t>
      </w:r>
    </w:p>
    <w:p>
      <w:pPr>
        <w:pStyle w:val="BodyText"/>
        <w:spacing w:line="480" w:lineRule="auto"/>
        <w:ind w:firstLine="720"/>
      </w:pPr>
      <w:r>
        <w:t xml:space="preserve">A security dimension sharpens the stakes further. Transparency in a contested domain is not an unalloyed good, since disclosure can expose vulnerabilities as readily as it disciplines conduct, and the governance of cyber operations and data-driven systems in orbit makes this tension explicit</w:t>
      </w:r>
      <w:r>
        <w:t xml:space="preserve"> </w:t>
      </w:r>
      <w:hyperlink w:anchor="ref-15">
        <w:r>
          <w:rPr>
            <w:rStyle w:val="Hyperlink"/>
          </w:rPr>
          <w:t xml:space="preserve">[15]</w:t>
        </w:r>
      </w:hyperlink>
      <w:r>
        <w:t xml:space="preserve"> </w:t>
      </w:r>
      <w:hyperlink w:anchor="ref-17">
        <w:r>
          <w:rPr>
            <w:rStyle w:val="Hyperlink"/>
          </w:rPr>
          <w:t xml:space="preserve">[17]</w:t>
        </w:r>
      </w:hyperlink>
      <w:r>
        <w:t xml:space="preserve">. A field grappling with such tensions needs to know whether its own scholarship has cohered enough to guide the hard tradeoffs, and that is precisely the question the empirical chapters answer for the retrieved corpus.</w:t>
      </w:r>
    </w:p>
    <w:bookmarkEnd w:id="66"/>
    <w:bookmarkStart w:id="67" w:name="how-to-read-this-dissertation"/>
    <w:p>
      <w:pPr>
        <w:pStyle w:val="Heading2"/>
        <w:spacing w:line="480" w:lineRule="auto"/>
      </w:pPr>
      <w:r>
        <w:t xml:space="preserve">1.7 How to read this dissertation</w:t>
      </w:r>
    </w:p>
    <w:p>
      <w:pPr>
        <w:pStyle w:val="FirstParagraph"/>
        <w:spacing w:line="480" w:lineRule="auto"/>
      </w:pPr>
      <w:r>
        <w:t xml:space="preserve">A brief orientation will help the reader hold the argument together across eight chapters. The spine is empirical: two estimators on one thirty-record panel, whose exact output appears in Chapter 6 and is interpreted there without alteration. Everything before Chapter 6 builds toward those results, and everything after interprets them. The literature chapter establishes why consolidation is worth measuring, the theory chapter states what consolidation would look like in the data, the methodology chapter explains how the estimators recover it, and the data chapter describes the panel the estimators run on</w:t>
      </w:r>
      <w:r>
        <w:t xml:space="preserve"> </w:t>
      </w:r>
      <w:hyperlink w:anchor="ref-1">
        <w:r>
          <w:rPr>
            <w:rStyle w:val="Hyperlink"/>
          </w:rPr>
          <w:t xml:space="preserve">[1]</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A reader should keep two numbers in mind as anchors, because the whole argument turns on them. The first is the near-zero fit of the signal-intensity model, which says that topic density is not organized by recency, attention, or venue. The second is the precisely estimated negative age elasticity of the learning-curve model, which says that attention flows toward newer records rather than older ones. These two results, one a null and one a precise inversion, are the evidence on which every downstream claim rests, and holding them in view keeps the interpretation honest</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p>
      <w:pPr>
        <w:pStyle w:val="BodyText"/>
        <w:spacing w:line="480" w:lineRule="auto"/>
        <w:ind w:firstLine="720"/>
      </w:pPr>
      <w:r>
        <w:t xml:space="preserve">Above all, the reader should hold the dissertation to its own standard. Every claim in the chapters that follow should be traceable either to a cited source or to a row in the panel, and where it is not, the dissertation has overreached. That standard is the reason the work is worth reading: not because it settles the transparency debate, which it does not attempt, but because it offers the debate a characterization of its own foundations that anyone can check</w:t>
      </w:r>
      <w:r>
        <w:t xml:space="preserve"> </w:t>
      </w:r>
      <w:hyperlink w:anchor="ref-2">
        <w:r>
          <w:rPr>
            <w:rStyle w:val="Hyperlink"/>
          </w:rPr>
          <w:t xml:space="preserve">[2]</w:t>
        </w:r>
      </w:hyperlink>
      <w:r>
        <w:t xml:space="preserve"> </w:t>
      </w:r>
      <w:hyperlink w:anchor="ref-16">
        <w:r>
          <w:rPr>
            <w:rStyle w:val="Hyperlink"/>
          </w:rPr>
          <w:t xml:space="preserve">[16]</w:t>
        </w:r>
      </w:hyperlink>
      <w:r>
        <w:t xml:space="preserve">.</w:t>
      </w:r>
    </w:p>
    <w:bookmarkEnd w:id="67"/>
    <w:bookmarkStart w:id="68" w:name="why-a-bounded-corpus-can-still-teach"/>
    <w:p>
      <w:pPr>
        <w:pStyle w:val="Heading2"/>
        <w:spacing w:line="480" w:lineRule="auto"/>
      </w:pPr>
      <w:r>
        <w:t xml:space="preserve">1.8 Why a bounded corpus can still teach</w:t>
      </w:r>
    </w:p>
    <w:p>
      <w:pPr>
        <w:pStyle w:val="FirstParagraph"/>
        <w:spacing w:line="480" w:lineRule="auto"/>
      </w:pPr>
      <w:r>
        <w:t xml:space="preserve">A skeptic might grant everything so far and still ask what a thirty-record corpus can teach that a larger study would not teach better. The answer has two parts. The first is that boundedness and traceability are virtues in their own right for a first characterization. A small, fully traceable panel can be inspected row by row, its every variable checked against a source, which a corpus of thousands never permits for any single reader</w:t>
      </w:r>
      <w:r>
        <w:t xml:space="preserve"> </w:t>
      </w:r>
      <w:hyperlink w:anchor="ref-2">
        <w:r>
          <w:rPr>
            <w:rStyle w:val="Hyperlink"/>
          </w:rPr>
          <w:t xml:space="preserve">[2]</w:t>
        </w:r>
      </w:hyperlink>
      <w:r>
        <w:t xml:space="preserve">. The dissertation trades breadth for verifiability, and for a study whose central value is checkability, that is the right trade.</w:t>
      </w:r>
    </w:p>
    <w:p>
      <w:pPr>
        <w:pStyle w:val="BodyText"/>
        <w:spacing w:line="480" w:lineRule="auto"/>
        <w:ind w:firstLine="720"/>
      </w:pPr>
      <w:r>
        <w:t xml:space="preserve">The second part is that a bounded corpus can falsify a general claim even when it cannot fully characterize a field. The claim under test, that the transparency literature has consolidated into a cumulative program, predicts consolidation signatures wherever the field is retrieved, including in this bounded core drawn from its principal venues</w:t>
      </w:r>
      <w:r>
        <w:t xml:space="preserve"> </w:t>
      </w:r>
      <w:hyperlink w:anchor="ref-1">
        <w:r>
          <w:rPr>
            <w:rStyle w:val="Hyperlink"/>
          </w:rPr>
          <w:t xml:space="preserve">[1]</w:t>
        </w:r>
      </w:hyperlink>
      <w:r>
        <w:t xml:space="preserve"> </w:t>
      </w:r>
      <w:hyperlink w:anchor="ref-16">
        <w:r>
          <w:rPr>
            <w:rStyle w:val="Hyperlink"/>
          </w:rPr>
          <w:t xml:space="preserve">[16]</w:t>
        </w:r>
      </w:hyperlink>
      <w:r>
        <w:t xml:space="preserve">. If those signatures are absent even here, in the retrieved center of the field, the general claim of consolidation is in trouble, because a consolidated program should show its signatures most clearly at its core, not least. A bounded corpus is thus a fair and even demanding test of the consolidation claim, whatever its limits as a census</w:t>
      </w:r>
      <w:r>
        <w:t xml:space="preserve"> </w:t>
      </w:r>
      <w:hyperlink w:anchor="ref-19">
        <w:r>
          <w:rPr>
            <w:rStyle w:val="Hyperlink"/>
          </w:rPr>
          <w:t xml:space="preserve">[19]</w:t>
        </w:r>
      </w:hyperlink>
      <w:r>
        <w:t xml:space="preserve">.</w:t>
      </w:r>
    </w:p>
    <w:p>
      <w:pPr>
        <w:pStyle w:val="BodyText"/>
        <w:spacing w:line="480" w:lineRule="auto"/>
        <w:ind w:firstLine="720"/>
      </w:pPr>
      <w:r>
        <w:t xml:space="preserve">This logic does not make the small sample costless, and later chapters are explicit about the power it sacrifices. What it does establish is that the study is worth running: a bounded, traceable panel drawn from the field’s core can genuinely test whether the field shows the signatures a consolidated program would produce, and that test is informative whichever way it comes out</w:t>
      </w:r>
      <w:r>
        <w:t xml:space="preserve"> </w:t>
      </w:r>
      <w:hyperlink w:anchor="ref-4">
        <w:r>
          <w:rPr>
            <w:rStyle w:val="Hyperlink"/>
          </w:rPr>
          <w:t xml:space="preserve">[4]</w:t>
        </w:r>
      </w:hyperlink>
      <w:r>
        <w:t xml:space="preserve">. The dissertation proceeds on that footing, and the chapters that follow make good on it.</w:t>
      </w:r>
    </w:p>
    <w:bookmarkEnd w:id="68"/>
    <w:bookmarkStart w:id="69" w:name="roadmap"/>
    <w:p>
      <w:pPr>
        <w:pStyle w:val="Heading2"/>
        <w:spacing w:line="480" w:lineRule="auto"/>
      </w:pPr>
      <w:r>
        <w:t xml:space="preserve">1.9 Roadmap</w:t>
      </w:r>
    </w:p>
    <w:p>
      <w:pPr>
        <w:pStyle w:val="FirstParagraph"/>
        <w:spacing w:line="480" w:lineRule="auto"/>
      </w:pPr>
      <w:r>
        <w:t xml:space="preserve">Eight chapters carry the argument. Each answers to the same thirty rows.</w:t>
      </w:r>
    </w:p>
    <w:p>
      <w:pPr>
        <w:pStyle w:val="BodyText"/>
        <w:spacing w:line="480" w:lineRule="auto"/>
        <w:ind w:firstLine="720"/>
      </w:pPr>
      <w:r>
        <w:t xml:space="preserve">The dissertation proceeds in eight chapters. This introduction has set out the problem, the stakes, and the falsifiable contribution. Chapter 2 situates the work against prior scholarship on sustainability ratings, situational-awareness data sharing, transparency and pedigree, and the discourse-network analyses that have begun to treat the debris and sustainability field as a socio-technical regime</w:t>
      </w:r>
      <w:r>
        <w:t xml:space="preserve"> </w:t>
      </w:r>
      <w:hyperlink w:anchor="ref-16">
        <w:r>
          <w:rPr>
            <w:rStyle w:val="Hyperlink"/>
          </w:rPr>
          <w:t xml:space="preserve">[16]</w:t>
        </w:r>
      </w:hyperlink>
      <w:r>
        <w:t xml:space="preserve"> </w:t>
      </w:r>
      <w:hyperlink w:anchor="ref-19">
        <w:r>
          <w:rPr>
            <w:rStyle w:val="Hyperlink"/>
          </w:rPr>
          <w:t xml:space="preserve">[19]</w:t>
        </w:r>
      </w:hyperlink>
      <w:r>
        <w:t xml:space="preserve">. Chapter 3 develops the theory and states the testable predictions, tracing the mechanism by which a consolidating field would leave measurable traces in recency, venue, and citation structure. Chapter 4 presents the methodology and the identification logic behind both estimators, explaining what ordinary least squares and the log-log learning curve can and cannot recover from a bounded panel. Chapter 5 describes the data and measurement in detail, including variable construction, sources, and the thirty-record sample. Chapter 6 reports the results of both papers exactly as estimated and interprets the signs and magnitudes. Chapter 7 turns to discussion and limitations, taking the threats to validity seriously rather than waving them away. Chapter 8 states the conclusions, the governance and program relevance, and the future work the findings invite.</w:t>
      </w:r>
    </w:p>
    <w:p>
      <w:pPr>
        <w:pStyle w:val="BodyText"/>
        <w:spacing w:line="480" w:lineRule="auto"/>
        <w:ind w:firstLine="720"/>
      </w:pPr>
      <w:r>
        <w:t xml:space="preserve">One discipline runs through all of it. Say what the corpus shows, not what the debate wishes it showed. If the sunlight-as-sanction thesis is to become more than a reflex, the field that carries it must be characterized as it actually is, and that characterization is the work this dissertation undertakes. The chapters that follow build the case one layer at a time, and each layer is answerable to the same thirty rows of evidence.</w:t>
      </w:r>
    </w:p>
    <w:bookmarkEnd w:id="69"/>
    <w:bookmarkEnd w:id="70"/>
    <w:bookmarkStart w:id="81" w:name="chapter-2.-literature-review"/>
    <w:p>
      <w:pPr>
        <w:pStyle w:val="Heading1"/>
        <w:spacing w:line="480" w:lineRule="auto"/>
      </w:pPr>
      <w:r>
        <w:t xml:space="preserve">Chapter 2. Literature Review</w:t>
      </w:r>
    </w:p>
    <w:p>
      <w:pPr>
        <w:pStyle w:val="FirstParagraph"/>
        <w:spacing w:line="480" w:lineRule="auto"/>
      </w:pPr>
      <w:r>
        <w:t xml:space="preserve">Scholarship that this dissertation measures is also the literature it must situate itself within. That doubling is worth naming at the outset. The corpus of AMOS and Acta Astronautica records on transparency and orbital sustainability is at once the object of analysis in the empirical chapters and the intellectual context that gives the analysis its meaning. This chapter reads that literature the way a fieldworker reads a landscape, looking for where the ground is firm, where it is soft, and where two paths that should meet run parallel without joining.</w:t>
      </w:r>
    </w:p>
    <w:p>
      <w:pPr>
        <w:pStyle w:val="BodyText"/>
        <w:spacing w:line="480" w:lineRule="auto"/>
        <w:ind w:firstLine="720"/>
      </w:pPr>
      <w:r>
        <w:t xml:space="preserve">Four strands organize the review. The first concerns sustainability ratings as governance instruments. The second concerns situational-awareness data and its contribution to measurement. The third concerns transparency, pedigree, and attribution. The fourth, more recent, concerns the field’s own structure, studied through discourse-network and regime-formation lenses. Each strand is real and productive. The argument of the chapter is that they have not yet fused into a single cumulative program, and that this non-fusion is precisely what the empirical papers set out to detect.</w:t>
      </w:r>
    </w:p>
    <w:bookmarkStart w:id="71" w:name="ratings-as-governance-instruments"/>
    <w:p>
      <w:pPr>
        <w:pStyle w:val="Heading2"/>
        <w:spacing w:line="480" w:lineRule="auto"/>
      </w:pPr>
      <w:r>
        <w:t xml:space="preserve">2.1 Ratings as governance instruments</w:t>
      </w:r>
    </w:p>
    <w:p>
      <w:pPr>
        <w:pStyle w:val="FirstParagraph"/>
        <w:spacing w:line="480" w:lineRule="auto"/>
      </w:pPr>
      <w:r>
        <w:t xml:space="preserve">The design of a space sustainability rating is the most concrete expression of the sunlight-as-sanction thesis. A rating takes diffuse operator behavior and compresses it into a legible grade, on the theory that a visible score creates reputational and commercial pressure toward better conduct</w:t>
      </w:r>
      <w:r>
        <w:t xml:space="preserve"> </w:t>
      </w:r>
      <w:hyperlink w:anchor="ref-1">
        <w:r>
          <w:rPr>
            <w:rStyle w:val="Hyperlink"/>
          </w:rPr>
          <w:t xml:space="preserve">[1]</w:t>
        </w:r>
      </w:hyperlink>
      <w:r>
        <w:t xml:space="preserve">. The composite-indicator approach is now well developed. Its architects have worked through the problem of aggregating heterogeneous behaviors, from collision-avoidance capability to data sharing, into a single incentive-bearing number</w:t>
      </w:r>
      <w:r>
        <w:t xml:space="preserve"> </w:t>
      </w:r>
      <w:hyperlink w:anchor="ref-16">
        <w:r>
          <w:rPr>
            <w:rStyle w:val="Hyperlink"/>
          </w:rPr>
          <w:t xml:space="preserve">[16]</w:t>
        </w:r>
      </w:hyperlink>
      <w:r>
        <w:t xml:space="preserve">. The intellectual lineage is explicit: a rating is meant to do for orbit what environmental ratings have done for buildings and firms, converting an externality into a signal that markets and regulators can act on.</w:t>
      </w:r>
    </w:p>
    <w:p>
      <w:pPr>
        <w:pStyle w:val="BodyText"/>
        <w:spacing w:line="480" w:lineRule="auto"/>
        <w:ind w:firstLine="720"/>
      </w:pPr>
      <w:r>
        <w:t xml:space="preserve">What the ratings literature establishes is a design vocabulary. What it does not yet establish, because the instruments are young, is a settled body of evidence that the grades move behavior. The move from indicator design to demonstrated behavioral effect is the hard part, and it is the part the broader debate tends to assume rather than show. The incentive-mechanism work that extends the rating idea toward multi-stakeholder collaboration is candid about this, framing the rating not as a proven lever but as a mechanism whose adoption depends on aligning the interests of operators, insurers, launch providers, and states</w:t>
      </w:r>
      <w:r>
        <w:t xml:space="preserve"> </w:t>
      </w:r>
      <w:hyperlink w:anchor="ref-4">
        <w:r>
          <w:rPr>
            <w:rStyle w:val="Hyperlink"/>
          </w:rPr>
          <w:t xml:space="preserve">[4]</w:t>
        </w:r>
      </w:hyperlink>
      <w:r>
        <w:t xml:space="preserve"> </w:t>
      </w:r>
      <w:hyperlink w:anchor="ref-21">
        <w:r>
          <w:rPr>
            <w:rStyle w:val="Hyperlink"/>
          </w:rPr>
          <w:t xml:space="preserve">[21]</w:t>
        </w:r>
      </w:hyperlink>
      <w:r>
        <w:t xml:space="preserve">. That candor is a strength. It also confirms the review’s central worry: the rating strand is a design literature seeking an evidence literature to stand on.</w:t>
      </w:r>
    </w:p>
    <w:bookmarkEnd w:id="71"/>
    <w:bookmarkStart w:id="72" w:name="X11bfef5bfe3cab3f51a0997ee5c9390bc6a6865"/>
    <w:p>
      <w:pPr>
        <w:pStyle w:val="Heading2"/>
        <w:spacing w:line="480" w:lineRule="auto"/>
      </w:pPr>
      <w:r>
        <w:t xml:space="preserve">2.2 Situational-awareness data and measurement</w:t>
      </w:r>
    </w:p>
    <w:p>
      <w:pPr>
        <w:pStyle w:val="FirstParagraph"/>
        <w:spacing w:line="480" w:lineRule="auto"/>
      </w:pPr>
      <w:r>
        <w:t xml:space="preserve">A rating is only as credible as the data that feed it. The second strand addresses that dependency directly. Contributions from situational-awareness data to the definition of a sustainability rating have shown how tracking information, conjunction assessment, and behavioral observation can be marshaled to populate the indicators a rating requires</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problem this strand confronts is not conceptual but infrastructural. Situational-awareness data are uneven in coverage, contested in ownership, and variable in quality, and any rating built on them inherits those weaknesses.</w:t>
      </w:r>
    </w:p>
    <w:p>
      <w:pPr>
        <w:pStyle w:val="BodyText"/>
        <w:spacing w:line="480" w:lineRule="auto"/>
        <w:ind w:firstLine="720"/>
      </w:pPr>
      <w:r>
        <w:t xml:space="preserve">An enterprise-level view of situational awareness sharpens the point. Analyses of the global situational-awareness enterprise document a landscape of proliferating sensors, non-traditional data sources, and diverging national architectures, none of which coordinate automatically into a common operating picture</w:t>
      </w:r>
      <w:r>
        <w:t xml:space="preserve"> </w:t>
      </w:r>
      <w:hyperlink w:anchor="ref-11">
        <w:r>
          <w:rPr>
            <w:rStyle w:val="Hyperlink"/>
          </w:rPr>
          <w:t xml:space="preserve">[11]</w:t>
        </w:r>
      </w:hyperlink>
      <w:r>
        <w:t xml:space="preserve">. The pedigree and automation literature responds by asking how data provenance can be tracked and how confidence in a measurement can itself be measured</w:t>
      </w:r>
      <w:r>
        <w:t xml:space="preserve"> </w:t>
      </w:r>
      <w:hyperlink w:anchor="ref-5">
        <w:r>
          <w:rPr>
            <w:rStyle w:val="Hyperlink"/>
          </w:rPr>
          <w:t xml:space="preserve">[5]</w:t>
        </w:r>
      </w:hyperlink>
      <w:r>
        <w:t xml:space="preserve"> </w:t>
      </w:r>
      <w:hyperlink w:anchor="ref-7">
        <w:r>
          <w:rPr>
            <w:rStyle w:val="Hyperlink"/>
          </w:rPr>
          <w:t xml:space="preserve">[7]</w:t>
        </w:r>
      </w:hyperlink>
      <w:r>
        <w:t xml:space="preserve">. This is transparency turned inward: before an operator’s behavior can be made transparent to the public, the data that describe that behavior must be made transparent to the analyst. The strand is technically mature and institutionally unresolved, and its unresolved status matters for anyone who would build a mandatory disclosure regime on top of it.</w:t>
      </w:r>
    </w:p>
    <w:bookmarkEnd w:id="72"/>
    <w:bookmarkStart w:id="73" w:name="transparency-attribution-and-compliance"/>
    <w:p>
      <w:pPr>
        <w:pStyle w:val="Heading2"/>
        <w:spacing w:line="480" w:lineRule="auto"/>
      </w:pPr>
      <w:r>
        <w:t xml:space="preserve">2.3 Transparency, attribution, and compliance</w:t>
      </w:r>
    </w:p>
    <w:p>
      <w:pPr>
        <w:pStyle w:val="FirstParagraph"/>
        <w:spacing w:line="480" w:lineRule="auto"/>
      </w:pPr>
      <w:r>
        <w:t xml:space="preserve">The third strand takes transparency as its explicit subject and asks the uncomfortable operational questions. Who did what, to whom, and can it be independently verified? Work on assessing harmful interference and compliance in geostationary orbit develops independent methods for attributing behavior without relying solely on the actor’s own disclosures</w:t>
      </w:r>
      <w:r>
        <w:t xml:space="preserve"> </w:t>
      </w:r>
      <w:hyperlink w:anchor="ref-9">
        <w:r>
          <w:rPr>
            <w:rStyle w:val="Hyperlink"/>
          </w:rPr>
          <w:t xml:space="preserve">[9]</w:t>
        </w:r>
      </w:hyperlink>
      <w:r>
        <w:t xml:space="preserve">. That is a significant move, because it shifts transparency from a voluntary act of the observed to a capability held by the observer. If interference can be independently assessed, then the value of an operator’s voluntary disclosure changes, and the relative merits of mandatory versus voluntary regimes become an empirical question rather than a normative preference.</w:t>
      </w:r>
    </w:p>
    <w:p>
      <w:pPr>
        <w:pStyle w:val="BodyText"/>
        <w:spacing w:line="480" w:lineRule="auto"/>
        <w:ind w:firstLine="720"/>
      </w:pPr>
      <w:r>
        <w:t xml:space="preserve">Compliance work also connects transparency to security. Studies of space-weapons perceptions and the governance of cyber operations in orbit show that transparency is not a neutral good in a contested domain; it can expose vulnerabilities as readily as it disciplines behavior</w:t>
      </w:r>
      <w:r>
        <w:t xml:space="preserve"> </w:t>
      </w:r>
      <w:hyperlink w:anchor="ref-10">
        <w:r>
          <w:rPr>
            <w:rStyle w:val="Hyperlink"/>
          </w:rPr>
          <w:t xml:space="preserve">[10]</w:t>
        </w:r>
      </w:hyperlink>
      <w:r>
        <w:t xml:space="preserve"> </w:t>
      </w:r>
      <w:hyperlink w:anchor="ref-17">
        <w:r>
          <w:rPr>
            <w:rStyle w:val="Hyperlink"/>
          </w:rPr>
          <w:t xml:space="preserve">[17]</w:t>
        </w:r>
      </w:hyperlink>
      <w:r>
        <w:t xml:space="preserve">. Governance of data-driven and artificial-intelligence-based space systems raises the same tension from a different angle, asking how systems whose behavior is partly opaque even to their operators can be held to transparency norms at all</w:t>
      </w:r>
      <w:r>
        <w:t xml:space="preserve"> </w:t>
      </w:r>
      <w:hyperlink w:anchor="ref-15">
        <w:r>
          <w:rPr>
            <w:rStyle w:val="Hyperlink"/>
          </w:rPr>
          <w:t xml:space="preserve">[15]</w:t>
        </w:r>
      </w:hyperlink>
      <w:r>
        <w:t xml:space="preserve">. The strand is intellectually rich. It is also fragmented across security, law, and systems engineering, which is part of why it has not consolidated with the ratings and data strands into a single conversation.</w:t>
      </w:r>
    </w:p>
    <w:bookmarkEnd w:id="73"/>
    <w:bookmarkStart w:id="74" w:name="the-field-studying-itself"/>
    <w:p>
      <w:pPr>
        <w:pStyle w:val="Heading2"/>
        <w:spacing w:line="480" w:lineRule="auto"/>
      </w:pPr>
      <w:r>
        <w:t xml:space="preserve">2.4 The field studying itself</w:t>
      </w:r>
    </w:p>
    <w:p>
      <w:pPr>
        <w:pStyle w:val="FirstParagraph"/>
        <w:spacing w:line="480" w:lineRule="auto"/>
      </w:pPr>
      <w:r>
        <w:t xml:space="preserve">The fourth strand is the newest and the most directly relevant to this dissertation’s method. Rather than proposing another instrument, it studies the structure of the field. Discourse-network analysis of the emerging socio-technical regime for tackling space debris maps how actors, frames, and coalitions have organized around the problem, and it finds a regime that is coalescing but not yet stable</w:t>
      </w:r>
      <w:r>
        <w:t xml:space="preserve"> </w:t>
      </w:r>
      <w:hyperlink w:anchor="ref-19">
        <w:r>
          <w:rPr>
            <w:rStyle w:val="Hyperlink"/>
          </w:rPr>
          <w:t xml:space="preserve">[19]</w:t>
        </w:r>
      </w:hyperlink>
      <w:r>
        <w:t xml:space="preserve">. That finding is the qualitative sibling of the quantitative test this dissertation runs. Where the discourse-network work reads coalitions and frames, the empirical papers here read recency, venue, and citation accumulation, but both are asking the same underlying question about consolidation.</w:t>
      </w:r>
    </w:p>
    <w:p>
      <w:pPr>
        <w:pStyle w:val="BodyText"/>
        <w:spacing w:line="480" w:lineRule="auto"/>
        <w:ind w:firstLine="720"/>
      </w:pPr>
      <w:r>
        <w:t xml:space="preserve">Comparative and historical work reinforces the theme. The recurrent invocation of the Montreal Protocol as a template for orbital governance is itself a sign of a field searching for a stabilizing analogy, borrowing coherence from a settled precedent because its own coherence is still forming</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lessons-learned framing is useful, but it also reveals that the transparency field does not yet have its own canonical success story, only an adopted one. National and regional legal developments, such as evolving debris-mitigation and remediation law, add further texture without yet adding closure, since each jurisdiction develops its own instruments on its own timeline</w:t>
      </w:r>
      <w:r>
        <w:t xml:space="preserve"> </w:t>
      </w:r>
      <w:hyperlink w:anchor="ref-12">
        <w:r>
          <w:rPr>
            <w:rStyle w:val="Hyperlink"/>
          </w:rPr>
          <w:t xml:space="preserve">[12]</w:t>
        </w:r>
      </w:hyperlink>
      <w:r>
        <w:t xml:space="preserve">.</w:t>
      </w:r>
    </w:p>
    <w:bookmarkEnd w:id="74"/>
    <w:bookmarkStart w:id="75" w:name="the-unjoined-literatures-and-the-gap"/>
    <w:p>
      <w:pPr>
        <w:pStyle w:val="Heading2"/>
        <w:spacing w:line="480" w:lineRule="auto"/>
      </w:pPr>
      <w:r>
        <w:t xml:space="preserve">2.5 The unjoined literatures and the gap</w:t>
      </w:r>
    </w:p>
    <w:p>
      <w:pPr>
        <w:pStyle w:val="FirstParagraph"/>
        <w:spacing w:line="480" w:lineRule="auto"/>
      </w:pPr>
      <w:r>
        <w:t xml:space="preserve">Pulling the strands together produces a clear picture and a clear gap. The ratings strand supplies design, the data strand supplies measurement infrastructure, the transparency strand supplies attribution and compliance methods, and the reflexive strand supplies a map of the field’s own coalitions</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9">
        <w:r>
          <w:rPr>
            <w:rStyle w:val="Hyperlink"/>
          </w:rPr>
          <w:t xml:space="preserve">[9]</w:t>
        </w:r>
      </w:hyperlink>
      <w:r>
        <w:t xml:space="preserve"> </w:t>
      </w:r>
      <w:hyperlink w:anchor="ref-19">
        <w:r>
          <w:rPr>
            <w:rStyle w:val="Hyperlink"/>
          </w:rPr>
          <w:t xml:space="preserve">[19]</w:t>
        </w:r>
      </w:hyperlink>
      <w:r>
        <w:t xml:space="preserve">. Each cites the shared goal of a sustainable orbital environment. None reliably closes the loop with the others into a cumulative program in which a design claim rests on a measurement result that rests on an attribution method that the field collectively treats as established.</w:t>
      </w:r>
    </w:p>
    <w:p>
      <w:pPr>
        <w:pStyle w:val="BodyText"/>
        <w:spacing w:line="480" w:lineRule="auto"/>
        <w:ind w:firstLine="720"/>
      </w:pPr>
      <w:r>
        <w:t xml:space="preserve">Adjacency of technical work that touches transparency only tangentially deepens the diffuseness. Studies of laser ranging and adaptive optics for debris characterization, of solar-sail dynamics, of lunar-resource feasibility, and of institutional bottlenecks in space laser use all appear in the same retrieval space because they share sustainability and space-environment vocabulary, yet they are not part of the transparency argument in any load-bearing way</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8">
        <w:r>
          <w:rPr>
            <w:rStyle w:val="Hyperlink"/>
          </w:rPr>
          <w:t xml:space="preserve">[18]</w:t>
        </w:r>
      </w:hyperlink>
      <w:r>
        <w:t xml:space="preserve"> </w:t>
      </w:r>
      <w:hyperlink w:anchor="ref-20">
        <w:r>
          <w:rPr>
            <w:rStyle w:val="Hyperlink"/>
          </w:rPr>
          <w:t xml:space="preserve">[20]</w:t>
        </w:r>
      </w:hyperlink>
      <w:r>
        <w:t xml:space="preserve">. Their presence in the corpus is itself a datum. It suggests that the retrieved literature is organized more by shared terminology than by a tight causal conversation, which is exactly the condition the empirical papers are built to test.</w:t>
      </w:r>
    </w:p>
    <w:p>
      <w:pPr>
        <w:pStyle w:val="BodyText"/>
        <w:spacing w:line="480" w:lineRule="auto"/>
        <w:ind w:firstLine="720"/>
      </w:pPr>
      <w:r>
        <w:t xml:space="preserve">Stated plainly, the gap is measurement of consolidation. The field has been described, advocated, and mapped qualitatively, but the question of whether its retrieved record shows quantitative signatures of a cumulative program, stronger signal in recent work and interpretable citation accumulation by age, has not been asked directly. This dissertation asks it. The literature reviewed here is the reason the question is worth asking, and the reason a null answer would be informative rather than disappointing.</w:t>
      </w:r>
    </w:p>
    <w:bookmarkEnd w:id="75"/>
    <w:bookmarkStart w:id="76" w:name="ratings-as-the-fields-boundary-object"/>
    <w:p>
      <w:pPr>
        <w:pStyle w:val="Heading2"/>
        <w:spacing w:line="480" w:lineRule="auto"/>
      </w:pPr>
      <w:r>
        <w:t xml:space="preserve">2.6 Ratings as the field’s boundary object</w:t>
      </w:r>
    </w:p>
    <w:p>
      <w:pPr>
        <w:pStyle w:val="FirstParagraph"/>
        <w:spacing w:line="480" w:lineRule="auto"/>
      </w:pPr>
      <w:r>
        <w:t xml:space="preserve">It is worth dwelling on why the sustainability rating occupies so central a place in the review, because its role illuminates the diffuseness the dissertation measures. A rating is a boundary object. It sits at the meeting point of the design strand, the data strand, the transparency strand, and the reflexive strand, and each strand relates to it differently. Designers treat the rating as an instrument to be built</w:t>
      </w:r>
      <w:r>
        <w:t xml:space="preserve"> </w:t>
      </w:r>
      <w:hyperlink w:anchor="ref-1">
        <w:r>
          <w:rPr>
            <w:rStyle w:val="Hyperlink"/>
          </w:rPr>
          <w:t xml:space="preserve">[1]</w:t>
        </w:r>
      </w:hyperlink>
      <w:r>
        <w:t xml:space="preserve"> </w:t>
      </w:r>
      <w:hyperlink w:anchor="ref-16">
        <w:r>
          <w:rPr>
            <w:rStyle w:val="Hyperlink"/>
          </w:rPr>
          <w:t xml:space="preserve">[16]</w:t>
        </w:r>
      </w:hyperlink>
      <w:r>
        <w:t xml:space="preserve">. Data specialists treat it as a consumer of situational-awareness inputs whose quality it inherits</w:t>
      </w:r>
      <w:r>
        <w:t xml:space="preserve"> </w:t>
      </w:r>
      <w:hyperlink w:anchor="ref-2">
        <w:r>
          <w:rPr>
            <w:rStyle w:val="Hyperlink"/>
          </w:rPr>
          <w:t xml:space="preserve">[2]</w:t>
        </w:r>
      </w:hyperlink>
      <w:r>
        <w:t xml:space="preserve"> </w:t>
      </w:r>
      <w:hyperlink w:anchor="ref-6">
        <w:r>
          <w:rPr>
            <w:rStyle w:val="Hyperlink"/>
          </w:rPr>
          <w:t xml:space="preserve">[6]</w:t>
        </w:r>
      </w:hyperlink>
      <w:r>
        <w:t xml:space="preserve">. Transparency scholars treat it as a mechanism whose credibility depends on independent verification</w:t>
      </w:r>
      <w:r>
        <w:t xml:space="preserve"> </w:t>
      </w:r>
      <w:hyperlink w:anchor="ref-9">
        <w:r>
          <w:rPr>
            <w:rStyle w:val="Hyperlink"/>
          </w:rPr>
          <w:t xml:space="preserve">[9]</w:t>
        </w:r>
      </w:hyperlink>
      <w:r>
        <w:t xml:space="preserve">. Regime analysts treat it as an actor around which coalitions form</w:t>
      </w:r>
      <w:r>
        <w:t xml:space="preserve"> </w:t>
      </w:r>
      <w:hyperlink w:anchor="ref-19">
        <w:r>
          <w:rPr>
            <w:rStyle w:val="Hyperlink"/>
          </w:rPr>
          <w:t xml:space="preserve">[19]</w:t>
        </w:r>
      </w:hyperlink>
      <w:r>
        <w:t xml:space="preserve">.</w:t>
      </w:r>
    </w:p>
    <w:p>
      <w:pPr>
        <w:pStyle w:val="BodyText"/>
        <w:spacing w:line="480" w:lineRule="auto"/>
        <w:ind w:firstLine="720"/>
      </w:pPr>
      <w:r>
        <w:t xml:space="preserve">That a single instrument means such different things to different strands is itself evidence of a field that has not fully joined. In a consolidated program, the rating would carry a shared meaning, and the strands would agree on what it measures, what it requires, and what it can achieve. The retrieved literature shows instead a rating pulled in several directions, celebrated as a design achievement, questioned as a data-dependent construct, and mapped as a coalition anchor, without a settled synthesis that reconciles those views</w:t>
      </w:r>
      <w:r>
        <w:t xml:space="preserve"> </w:t>
      </w:r>
      <w:hyperlink w:anchor="ref-4">
        <w:r>
          <w:rPr>
            <w:rStyle w:val="Hyperlink"/>
          </w:rPr>
          <w:t xml:space="preserve">[4]</w:t>
        </w:r>
      </w:hyperlink>
      <w:r>
        <w:t xml:space="preserve"> </w:t>
      </w:r>
      <w:hyperlink w:anchor="ref-21">
        <w:r>
          <w:rPr>
            <w:rStyle w:val="Hyperlink"/>
          </w:rPr>
          <w:t xml:space="preserve">[21]</w:t>
        </w:r>
      </w:hyperlink>
      <w:r>
        <w:t xml:space="preserve">. The boundary-object character of the rating is not a criticism of any single contribution; it is a symptom of a discourse still negotiating its own center.</w:t>
      </w:r>
    </w:p>
    <w:p>
      <w:pPr>
        <w:pStyle w:val="BodyText"/>
        <w:spacing w:line="480" w:lineRule="auto"/>
        <w:ind w:firstLine="720"/>
      </w:pPr>
      <w:r>
        <w:t xml:space="preserve">Incentive-mechanism work is the clearest attempt to move from boundary object to shared instrument. By framing the rating as a device for aligning operators, insurers, launch providers, and states, it tries to give the rating a single, coordinating meaning across stakeholders</w:t>
      </w:r>
      <w:r>
        <w:t xml:space="preserve"> </w:t>
      </w:r>
      <w:hyperlink w:anchor="ref-21">
        <w:r>
          <w:rPr>
            <w:rStyle w:val="Hyperlink"/>
          </w:rPr>
          <w:t xml:space="preserve">[21]</w:t>
        </w:r>
      </w:hyperlink>
      <w:r>
        <w:t xml:space="preserve">. The attempt is instructive precisely because it is still an attempt. The fact that the field is actively working to stabilize the rating’s meaning confirms that the meaning is not yet stable, which is the condition the empirical chapters set out to detect quantitatively.</w:t>
      </w:r>
    </w:p>
    <w:bookmarkEnd w:id="76"/>
    <w:bookmarkStart w:id="77" w:name="X3b8588d8444799444e6f35aa59a12098ad7fcc5"/>
    <w:p>
      <w:pPr>
        <w:pStyle w:val="Heading2"/>
        <w:spacing w:line="480" w:lineRule="auto"/>
      </w:pPr>
      <w:r>
        <w:t xml:space="preserve">2.7 What the adjacent technical literatures reveal</w:t>
      </w:r>
    </w:p>
    <w:p>
      <w:pPr>
        <w:pStyle w:val="FirstParagraph"/>
        <w:spacing w:line="480" w:lineRule="auto"/>
      </w:pPr>
      <w:r>
        <w:t xml:space="preserve">The technically adjacent records in the corpus deserve more than a passing mention, because their presence is diagnostic. Work on adaptive optics for satellite imaging and debris ranging, on reflective and transmissive solar-sail dynamics, on lunar-resource mining feasibility, and on institutional bottlenecks in the use of lasers in outer space all appear in the retrieval space alongside the transparency and sustainability core</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8">
        <w:r>
          <w:rPr>
            <w:rStyle w:val="Hyperlink"/>
          </w:rPr>
          <w:t xml:space="preserve">[18]</w:t>
        </w:r>
      </w:hyperlink>
      <w:r>
        <w:t xml:space="preserve"> </w:t>
      </w:r>
      <w:hyperlink w:anchor="ref-20">
        <w:r>
          <w:rPr>
            <w:rStyle w:val="Hyperlink"/>
          </w:rPr>
          <w:t xml:space="preserve">[20]</w:t>
        </w:r>
      </w:hyperlink>
      <w:r>
        <w:t xml:space="preserve">. None of them carries the transparency argument. They share the corpus because they share environmental and space-systems vocabulary, not because they participate in a common conversation about disclosure and operator behavior.</w:t>
      </w:r>
    </w:p>
    <w:p>
      <w:pPr>
        <w:pStyle w:val="BodyText"/>
        <w:spacing w:line="480" w:lineRule="auto"/>
        <w:ind w:firstLine="720"/>
      </w:pPr>
      <w:r>
        <w:t xml:space="preserve">This adjacency is a feature of the object, not a flaw in the retrieval. It tells us that the field’s terminological boundaries are wider than its argumentative boundaries. A record can use the language of sustainability and the space environment without engaging the specific question of whether transparency moves behavior, and the corpus is full of such records. For the empirical papers, this matters directly: it predicts that topic signal will be spread across a wider and noisier set of records than a tight, consolidated program would produce, which is one reason the signal-intensity model has weak associations to work with</w:t>
      </w:r>
      <w:r>
        <w:t xml:space="preserve"> </w:t>
      </w:r>
      <w:hyperlink w:anchor="ref-19">
        <w:r>
          <w:rPr>
            <w:rStyle w:val="Hyperlink"/>
          </w:rPr>
          <w:t xml:space="preserve">[19]</w:t>
        </w:r>
      </w:hyperlink>
      <w:r>
        <w:t xml:space="preserve">.</w:t>
      </w:r>
    </w:p>
    <w:p>
      <w:pPr>
        <w:pStyle w:val="BodyText"/>
        <w:spacing w:line="480" w:lineRule="auto"/>
        <w:ind w:firstLine="720"/>
      </w:pPr>
      <w:r>
        <w:t xml:space="preserve">This pattern is anticipated by the reflexive strand. Discourse-network analysis of the debris regime finds coalitions organized around frames rather than around a single tight problem definition, which is exactly what a terminologically wide, argumentatively narrow field would look like from the inside</w:t>
      </w:r>
      <w:r>
        <w:t xml:space="preserve"> </w:t>
      </w:r>
      <w:hyperlink w:anchor="ref-19">
        <w:r>
          <w:rPr>
            <w:rStyle w:val="Hyperlink"/>
          </w:rPr>
          <w:t xml:space="preserve">[19]</w:t>
        </w:r>
      </w:hyperlink>
      <w:r>
        <w:t xml:space="preserve">. The qualitative and quantitative readings converge: the field’s vocabulary has spread faster than its argument has consolidated, and the retrieved corpus carries the marks of that gap.</w:t>
      </w:r>
    </w:p>
    <w:bookmarkEnd w:id="77"/>
    <w:bookmarkStart w:id="78" w:name="positioning-the-dissertation"/>
    <w:p>
      <w:pPr>
        <w:pStyle w:val="Heading2"/>
        <w:spacing w:line="480" w:lineRule="auto"/>
      </w:pPr>
      <w:r>
        <w:t xml:space="preserve">2.8 Positioning the dissertation</w:t>
      </w:r>
    </w:p>
    <w:p>
      <w:pPr>
        <w:pStyle w:val="FirstParagraph"/>
        <w:spacing w:line="480" w:lineRule="auto"/>
      </w:pPr>
      <w:r>
        <w:t xml:space="preserve">Against this landscape, the dissertation occupies a specific and largely unoccupied position. It does not add another rating design, another data-pedigree method, or another compliance framework. It steps back and measures the structure of the retrieved discourse itself, treating consolidation as an empirical outcome rather than an assumption. The closest neighbor is the discourse-network work, which also studies the field’s structure, but that work reads coalitions and frames qualitatively, while this dissertation reads recency, venue, and citation accumulation quantitatively</w:t>
      </w:r>
      <w:r>
        <w:t xml:space="preserve"> </w:t>
      </w:r>
      <w:hyperlink w:anchor="ref-19">
        <w:r>
          <w:rPr>
            <w:rStyle w:val="Hyperlink"/>
          </w:rPr>
          <w:t xml:space="preserve">[19]</w:t>
        </w:r>
      </w:hyperlink>
      <w:r>
        <w:t xml:space="preserve">.</w:t>
      </w:r>
    </w:p>
    <w:p>
      <w:pPr>
        <w:pStyle w:val="BodyText"/>
        <w:spacing w:line="480" w:lineRule="auto"/>
        <w:ind w:firstLine="720"/>
      </w:pPr>
      <w:r>
        <w:t xml:space="preserve">This positioning is deliberately narrow because narrowness is what makes the contribution checkable. A dissertation that tried to adjudicate the whole transparency debate would inherit all of the field’s unresolved tensions and settle none of them. By restricting itself to a measurable question about a bounded corpus, this project can reach a conclusion that stands on its own evidence, and it can hand the field a characterization it did not have before: not whether transparency reforms should proceed, but whether the literature beneath them shows the signatures of a cumulative program</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The chapters that follow build that characterization from the theory outward.</w:t>
      </w:r>
    </w:p>
    <w:bookmarkEnd w:id="78"/>
    <w:bookmarkStart w:id="79" w:name="Xb6c300223857d16fd4fcef5e585f3916ac7575e"/>
    <w:p>
      <w:pPr>
        <w:pStyle w:val="Heading2"/>
        <w:spacing w:line="480" w:lineRule="auto"/>
      </w:pPr>
      <w:r>
        <w:t xml:space="preserve">2.9 The Montreal Protocol analogy and its limits</w:t>
      </w:r>
    </w:p>
    <w:p>
      <w:pPr>
        <w:pStyle w:val="FirstParagraph"/>
        <w:spacing w:line="480" w:lineRule="auto"/>
      </w:pPr>
      <w:r>
        <w:t xml:space="preserve">No single reference recurs in this literature as often as the Montreal Protocol, and the pattern of its invocation is worth reading closely because it reveals something about the field’s self-understanding. The protocol is the canonical case of a diffuse environmental externality brought under effective international governance, and orbital-sustainability scholars reach for it as a template for how the debris and transparency problem might be solved</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analogy is doing real intellectual work: it supplies a narrative of eventual success that the orbital field cannot yet supply from its own history.</w:t>
      </w:r>
    </w:p>
    <w:p>
      <w:pPr>
        <w:pStyle w:val="BodyText"/>
        <w:spacing w:line="480" w:lineRule="auto"/>
        <w:ind w:firstLine="720"/>
      </w:pPr>
      <w:r>
        <w:t xml:space="preserve">That the field borrows its success story is diagnostic. A consolidated program tends to have its own canonical achievements, its own settled cases that later work builds on. The transparency and sustainability field, by contrast, imports its exemplar from atmospheric chemistry, which suggests that its own internal case base has not yet cohered into a shared narrative of what works</w:t>
      </w:r>
      <w:r>
        <w:t xml:space="preserve"> </w:t>
      </w:r>
      <w:hyperlink w:anchor="ref-19">
        <w:r>
          <w:rPr>
            <w:rStyle w:val="Hyperlink"/>
          </w:rPr>
          <w:t xml:space="preserve">[19]</w:t>
        </w:r>
      </w:hyperlink>
      <w:r>
        <w:t xml:space="preserve">. The Montreal analogy is illuminating and also revealing of a gap, and the lessons-learned framing that structures its use is candid about the disanalogies between a chemical externality with a clear technical fix and an orbital commons with contested attribution and dual-use technology</w:t>
      </w:r>
      <w:r>
        <w:t xml:space="preserve"> </w:t>
      </w:r>
      <w:hyperlink w:anchor="ref-3">
        <w:r>
          <w:rPr>
            <w:rStyle w:val="Hyperlink"/>
          </w:rPr>
          <w:t xml:space="preserve">[3]</w:t>
        </w:r>
      </w:hyperlink>
      <w:r>
        <w:t xml:space="preserve">.</w:t>
      </w:r>
    </w:p>
    <w:p>
      <w:pPr>
        <w:pStyle w:val="BodyText"/>
        <w:spacing w:line="480" w:lineRule="auto"/>
        <w:ind w:firstLine="720"/>
      </w:pPr>
      <w:r>
        <w:t xml:space="preserve">Limits of the analogy also bear on the transparency question specifically. The Montreal regime worked partly because compliance was verifiable through atmospheric measurement, whereas orbital behavior is harder to attribute, and independent verification of interference and compliance remains an active research problem rather than a settled capability</w:t>
      </w:r>
      <w:r>
        <w:t xml:space="preserve"> </w:t>
      </w:r>
      <w:hyperlink w:anchor="ref-9">
        <w:r>
          <w:rPr>
            <w:rStyle w:val="Hyperlink"/>
          </w:rPr>
          <w:t xml:space="preserve">[9]</w:t>
        </w:r>
      </w:hyperlink>
      <w:r>
        <w:t xml:space="preserve">. Borrowing the protocol’s optimism without inheriting its verification tractability is a move the field makes often and should make carefully, and the unsettled state of the verification strand is one more sign of a literature still assembling its foundations</w:t>
      </w:r>
      <w:r>
        <w:t xml:space="preserve"> </w:t>
      </w:r>
      <w:hyperlink w:anchor="ref-5">
        <w:r>
          <w:rPr>
            <w:rStyle w:val="Hyperlink"/>
          </w:rPr>
          <w:t xml:space="preserve">[5]</w:t>
        </w:r>
      </w:hyperlink>
      <w:r>
        <w:t xml:space="preserve">.</w:t>
      </w:r>
    </w:p>
    <w:bookmarkEnd w:id="79"/>
    <w:bookmarkStart w:id="80" w:name="reading-the-four-strands-as-a-whole"/>
    <w:p>
      <w:pPr>
        <w:pStyle w:val="Heading2"/>
        <w:spacing w:line="480" w:lineRule="auto"/>
      </w:pPr>
      <w:r>
        <w:t xml:space="preserve">2.10 Reading the four strands as a whole</w:t>
      </w:r>
    </w:p>
    <w:p>
      <w:pPr>
        <w:pStyle w:val="FirstParagraph"/>
        <w:spacing w:line="480" w:lineRule="auto"/>
      </w:pPr>
      <w:r>
        <w:t xml:space="preserve">Four strands, one field. That is the composite the empirical work inherits.</w:t>
      </w:r>
    </w:p>
    <w:p>
      <w:pPr>
        <w:pStyle w:val="BodyText"/>
        <w:spacing w:line="480" w:lineRule="auto"/>
        <w:ind w:firstLine="720"/>
      </w:pPr>
      <w:r>
        <w:t xml:space="preserve">Standing back from the four strands produces a composite judgment that motivates the empirical work. One strand, on design, is productive but seeks an evidence base</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The data strand is technically mature but institutionally unresolved</w:t>
      </w:r>
      <w:r>
        <w:t xml:space="preserve"> </w:t>
      </w:r>
      <w:hyperlink w:anchor="ref-2">
        <w:r>
          <w:rPr>
            <w:rStyle w:val="Hyperlink"/>
          </w:rPr>
          <w:t xml:space="preserve">[2]</w:t>
        </w:r>
      </w:hyperlink>
      <w:r>
        <w:t xml:space="preserve"> </w:t>
      </w:r>
      <w:hyperlink w:anchor="ref-11">
        <w:r>
          <w:rPr>
            <w:rStyle w:val="Hyperlink"/>
          </w:rPr>
          <w:t xml:space="preserve">[11]</w:t>
        </w:r>
      </w:hyperlink>
      <w:r>
        <w:t xml:space="preserve">. The transparency strand is intellectually rich but fragmented across security, law, and systems engineering</w:t>
      </w:r>
      <w:r>
        <w:t xml:space="preserve"> </w:t>
      </w:r>
      <w:hyperlink w:anchor="ref-9">
        <w:r>
          <w:rPr>
            <w:rStyle w:val="Hyperlink"/>
          </w:rPr>
          <w:t xml:space="preserve">[9]</w:t>
        </w:r>
      </w:hyperlink>
      <w:r>
        <w:t xml:space="preserve"> </w:t>
      </w:r>
      <w:hyperlink w:anchor="ref-17">
        <w:r>
          <w:rPr>
            <w:rStyle w:val="Hyperlink"/>
          </w:rPr>
          <w:t xml:space="preserve">[17]</w:t>
        </w:r>
      </w:hyperlink>
      <w:r>
        <w:t xml:space="preserve">. The reflexive strand offers the most direct precedent for this dissertation, finding a coalescing but unstable regime</w:t>
      </w:r>
      <w:r>
        <w:t xml:space="preserve"> </w:t>
      </w:r>
      <w:hyperlink w:anchor="ref-19">
        <w:r>
          <w:rPr>
            <w:rStyle w:val="Hyperlink"/>
          </w:rPr>
          <w:t xml:space="preserve">[19]</w:t>
        </w:r>
      </w:hyperlink>
      <w:r>
        <w:t xml:space="preserve">. No strand is weak on its own terms. The weakness is in the joints between them.</w:t>
      </w:r>
    </w:p>
    <w:p>
      <w:pPr>
        <w:pStyle w:val="BodyText"/>
        <w:spacing w:line="480" w:lineRule="auto"/>
        <w:ind w:firstLine="720"/>
      </w:pPr>
      <w:r>
        <w:t xml:space="preserve">This composite judgment is a hypothesis about structure, and hypotheses about structure can be tested. If the four strands had fused into a cumulative program, the retrieved corpus should show the consolidation signatures the theory chapter will specify: recent records denser in shared signal, attention anchored on foundational works. If they have not fused, those signatures should be weak or inverted. The literature review thus does more than survey; it generates the very prediction the empirical chapters evaluate, and it does so from a reading of the field that any scholar of this literature could recognize</w:t>
      </w:r>
      <w:r>
        <w:t xml:space="preserve"> </w:t>
      </w:r>
      <w:hyperlink w:anchor="ref-4">
        <w:r>
          <w:rPr>
            <w:rStyle w:val="Hyperlink"/>
          </w:rPr>
          <w:t xml:space="preserve">[4]</w:t>
        </w:r>
      </w:hyperlink>
      <w:r>
        <w:t xml:space="preserve">. The move from qualitative composite judgment to quantitative test is the bridge the next chapter builds.</w:t>
      </w:r>
    </w:p>
    <w:bookmarkEnd w:id="80"/>
    <w:bookmarkEnd w:id="81"/>
    <w:bookmarkStart w:id="94" w:name="chapter-3.-theory-and-hypotheses"/>
    <w:p>
      <w:pPr>
        <w:pStyle w:val="Heading1"/>
        <w:spacing w:line="480" w:lineRule="auto"/>
      </w:pPr>
      <w:r>
        <w:t xml:space="preserve">Chapter 3. Theory and Hypotheses</w:t>
      </w:r>
    </w:p>
    <w:p>
      <w:pPr>
        <w:pStyle w:val="FirstParagraph"/>
        <w:spacing w:line="480" w:lineRule="auto"/>
      </w:pPr>
      <w:r>
        <w:t xml:space="preserve">Theory in this dissertation does a specific and limited job. It connects an abstract claim about how research fields mature to a set of measurable predictions about a bounded corpus. The abstract claim is that a consolidating field leaves fingerprints in the metadata of its own record. If that claim is right, then recency, venue, and citation accumulation should carry information about topic signal and attention. If it is wrong, or if the field has not consolidated, those relationships should be weak or absent. The chapter builds the mechanism, states the predictions, and is explicit about what would falsify each one.</w:t>
      </w:r>
    </w:p>
    <w:bookmarkStart w:id="82" w:name="the-mechanism-of-consolidation"/>
    <w:p>
      <w:pPr>
        <w:pStyle w:val="Heading2"/>
        <w:spacing w:line="480" w:lineRule="auto"/>
      </w:pPr>
      <w:r>
        <w:t xml:space="preserve">3.1 The mechanism of consolidation</w:t>
      </w:r>
    </w:p>
    <w:p>
      <w:pPr>
        <w:pStyle w:val="FirstParagraph"/>
        <w:spacing w:line="480" w:lineRule="auto"/>
      </w:pPr>
      <w:r>
        <w:t xml:space="preserve">Research programs do not mature all at once. They accrete. They mature by accretion, as later authors inherit and stabilize the vocabulary, framing, and problem definitions of earlier ones. When a field is consolidating, three things tend to happen together. The shared conceptual apparatus tightens, so that a paper written later can assume more and gesture at less. The linkage among a field’s core themes strengthens, so that transparency, sustainability, and coordination stop being separate topics and become facets of one problem</w:t>
      </w:r>
      <w:r>
        <w:t xml:space="preserve"> </w:t>
      </w:r>
      <w:hyperlink w:anchor="ref-1">
        <w:r>
          <w:rPr>
            <w:rStyle w:val="Hyperlink"/>
          </w:rPr>
          <w:t xml:space="preserve">[1]</w:t>
        </w:r>
      </w:hyperlink>
      <w:r>
        <w:t xml:space="preserve"> </w:t>
      </w:r>
      <w:hyperlink w:anchor="ref-4">
        <w:r>
          <w:rPr>
            <w:rStyle w:val="Hyperlink"/>
          </w:rPr>
          <w:t xml:space="preserve">[4]</w:t>
        </w:r>
      </w:hyperlink>
      <w:r>
        <w:t xml:space="preserve">. And attention concentrates, so that the works establishing the shared apparatus accumulate citations that mark them as load-bearing.</w:t>
      </w:r>
    </w:p>
    <w:p>
      <w:pPr>
        <w:pStyle w:val="BodyText"/>
        <w:spacing w:line="480" w:lineRule="auto"/>
        <w:ind w:firstLine="720"/>
      </w:pPr>
      <w:r>
        <w:t xml:space="preserve">One of these has a measurable implication in this corpus. If the transparency and sustainability field is consolidating, then more recent records should carry denser topic signal, because their authors write inside a more stabilized vocabulary and are more likely to hit the candidate-theme terms that the signal score counts. This is the recency mechanism. It predicts a positive association between the recency index and the topic-signal score. The prediction is not trivial, because it would fail in a field that remains diffuse, where recent records are just as likely to explore idiosyncratic framings as to reinforce a shared one.</w:t>
      </w:r>
    </w:p>
    <w:p>
      <w:pPr>
        <w:pStyle w:val="BodyText"/>
        <w:spacing w:line="480" w:lineRule="auto"/>
        <w:ind w:firstLine="720"/>
      </w:pPr>
      <w:r>
        <w:t xml:space="preserve">A second mechanism, linkage, operates through venue. AMOS and Acta Astronautica organize discourse differently. One is a conference proceedings venue oriented toward observational and situational-awareness technique; the other is an archival journal oriented toward systems, governance, and analysis</w:t>
      </w:r>
      <w:r>
        <w:t xml:space="preserve"> </w:t>
      </w:r>
      <w:hyperlink w:anchor="ref-2">
        <w:r>
          <w:rPr>
            <w:rStyle w:val="Hyperlink"/>
          </w:rPr>
          <w:t xml:space="preserve">[2]</w:t>
        </w:r>
      </w:hyperlink>
      <w:r>
        <w:t xml:space="preserve"> </w:t>
      </w:r>
      <w:hyperlink w:anchor="ref-16">
        <w:r>
          <w:rPr>
            <w:rStyle w:val="Hyperlink"/>
          </w:rPr>
          <w:t xml:space="preserve">[16]</w:t>
        </w:r>
      </w:hyperlink>
      <w:r>
        <w:t xml:space="preserve">. If the field has consolidated, the venue family in which a record appears should carry information about its topic density, because a consolidated field routes its core conceptual work toward particular venues. The venue-family score, ordered from AMOS through Acta Astronautica to Space Economy, encodes that expectation as a testable covariate.</w:t>
      </w:r>
    </w:p>
    <w:bookmarkEnd w:id="82"/>
    <w:bookmarkStart w:id="83" w:name="attention-as-a-second-signature"/>
    <w:p>
      <w:pPr>
        <w:pStyle w:val="Heading2"/>
        <w:spacing w:line="480" w:lineRule="auto"/>
      </w:pPr>
      <w:r>
        <w:t xml:space="preserve">3.2 Attention as a second signature</w:t>
      </w:r>
    </w:p>
    <w:p>
      <w:pPr>
        <w:pStyle w:val="FirstParagraph"/>
        <w:spacing w:line="480" w:lineRule="auto"/>
      </w:pPr>
      <w:r>
        <w:t xml:space="preserve">Consolidation should also show in how attention accumulates. Citation is the field’s own vote on what matters, and the temporal shape of that vote is informative. In a cumulative program, older foundational works accumulate citations steadily as later work builds on them, producing a relationship in which age and citation count rise together in an interpretable way. This is the attention mechanism, and it is the subject of the second empirical paper.</w:t>
      </w:r>
    </w:p>
    <w:p>
      <w:pPr>
        <w:pStyle w:val="BodyText"/>
        <w:spacing w:line="480" w:lineRule="auto"/>
        <w:ind w:firstLine="720"/>
      </w:pPr>
      <w:r>
        <w:t xml:space="preserve">A learning-curve framing makes the prediction precise. A learning curve asks whether an outcome follows a regular elasticity with respect to an input. Here the outcome is citation accumulation and the input is article age. If the field is cumulative and foundational works dominate, the elasticity of citation accumulation with respect to age should be positive: older records, having had more time to become load-bearing, should carry more attention</w:t>
      </w:r>
      <w:r>
        <w:t xml:space="preserve"> </w:t>
      </w:r>
      <w:hyperlink w:anchor="ref-1">
        <w:r>
          <w:rPr>
            <w:rStyle w:val="Hyperlink"/>
          </w:rPr>
          <w:t xml:space="preserve">[1]</w:t>
        </w:r>
      </w:hyperlink>
      <w:r>
        <w:t xml:space="preserve"> </w:t>
      </w:r>
      <w:hyperlink w:anchor="ref-8">
        <w:r>
          <w:rPr>
            <w:rStyle w:val="Hyperlink"/>
          </w:rPr>
          <w:t xml:space="preserve">[8]</w:t>
        </w:r>
      </w:hyperlink>
      <w:r>
        <w:t xml:space="preserve">. If instead the field is selective and fast-moving, favoring currently salient recent work over older foundations, the elasticity could be flat or even negative, with newer records capturing attention that older ones never accumulated.</w:t>
      </w:r>
    </w:p>
    <w:p>
      <w:pPr>
        <w:pStyle w:val="BodyText"/>
        <w:spacing w:line="480" w:lineRule="auto"/>
        <w:ind w:firstLine="720"/>
      </w:pPr>
      <w:r>
        <w:t xml:space="preserve">Both outcomes are theoretically meaningful, and the design commits to interpreting whichever appears. A positive age elasticity would support the cumulative-program reading. A negative one would support a different but equally coherent picture: an active, selective discourse in which attention chases the current frontier rather than settling on an aging canon. The point of the theory is not to guarantee one result but to make each result legible.</w:t>
      </w:r>
    </w:p>
    <w:bookmarkEnd w:id="83"/>
    <w:bookmarkStart w:id="84" w:name="the-hypotheses"/>
    <w:p>
      <w:pPr>
        <w:pStyle w:val="Heading2"/>
        <w:spacing w:line="480" w:lineRule="auto"/>
      </w:pPr>
      <w:r>
        <w:t xml:space="preserve">3.3 The hypotheses</w:t>
      </w:r>
    </w:p>
    <w:p>
      <w:pPr>
        <w:pStyle w:val="FirstParagraph"/>
        <w:spacing w:line="480" w:lineRule="auto"/>
      </w:pPr>
      <w:r>
        <w:t xml:space="preserve">These predictions reduce to two pairs of hypotheses, one pair per empirical paper, stated so that a reader can check them against the results.</w:t>
      </w:r>
    </w:p>
    <w:p>
      <w:pPr>
        <w:pStyle w:val="BodyText"/>
        <w:spacing w:line="480" w:lineRule="auto"/>
        <w:ind w:firstLine="720"/>
      </w:pPr>
      <w:r>
        <w:t xml:space="preserve">For the signal-intensity paper, the null hypothesis H0 holds that the topic-signal score is unrelated to publication recency, citation attention, and venue family. The alternative H1 holds that the topic-signal score increases with recency and citation attention. A consolidating field predicts H1, specifically a positive coefficient on the recency index and a positive coefficient on citation count, with venue family carrying additional information about topic density</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For the attention-accumulation paper, the null hypothesis H0 holds that citation accumulation is unrelated to article age in the retrieved topic literature. The alternative H1 holds that citation accumulation follows a measurable age-based attention curve. The cumulative-program reading predicts a positive age elasticity; the selective-discourse reading predicts a negative one; H0 predicts no interpretable relationship at all</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84"/>
    <w:bookmarkStart w:id="85" w:name="what-would-falsify-the-contribution"/>
    <w:p>
      <w:pPr>
        <w:pStyle w:val="Heading2"/>
        <w:spacing w:line="480" w:lineRule="auto"/>
      </w:pPr>
      <w:r>
        <w:t xml:space="preserve">3.4 What would falsify the contribution</w:t>
      </w:r>
    </w:p>
    <w:p>
      <w:pPr>
        <w:pStyle w:val="FirstParagraph"/>
        <w:spacing w:line="480" w:lineRule="auto"/>
      </w:pPr>
      <w:r>
        <w:t xml:space="preserve">The dissertation’s single contribution is falsifiable, and the theory pins down exactly how. The claim is that a consolidated field would show stronger signal in recent work and interpretable citation accumulation by age. Two kinds of result would bear on it.</w:t>
      </w:r>
    </w:p>
    <w:p>
      <w:pPr>
        <w:pStyle w:val="BodyText"/>
        <w:spacing w:line="480" w:lineRule="auto"/>
        <w:ind w:firstLine="720"/>
      </w:pPr>
      <w:r>
        <w:t xml:space="preserve">The first is a clean confirmation. If the signal-intensity model returned positive, precisely estimated coefficients on recency and citation count, and the learning-curve model returned a positive age elasticity, the corpus would look like a consolidating program, and the sunlight-as-sanction literature could be said to rest on a maturing base. The second is a refusal. If the signal-intensity model returned weak, imprecise coefficients that could not be distinguished from zero, the recency mechanism would be unsupported, and the field would look diffuse rather than cumulative on that dimension. The learning-curve model could still return a structured elasticity, but its sign would then tell us what kind of non-cumulative structure the field has.</w:t>
      </w:r>
    </w:p>
    <w:p>
      <w:pPr>
        <w:pStyle w:val="BodyText"/>
        <w:spacing w:line="480" w:lineRule="auto"/>
        <w:ind w:firstLine="720"/>
      </w:pPr>
      <w:r>
        <w:t xml:space="preserve">This theory is deliberately generous about which of these it expects, because a bounded corpus of thirty records drawn from two venues over roughly a decade and a half is not obviously a consolidated program in the first place. The honest prior is that the field is still forming. The value of stating the mechanism precisely is that it lets the data speak against the consolidation reading if that is what they do</w:t>
      </w:r>
      <w:r>
        <w:t xml:space="preserve"> </w:t>
      </w:r>
      <w:hyperlink w:anchor="ref-19">
        <w:r>
          <w:rPr>
            <w:rStyle w:val="Hyperlink"/>
          </w:rPr>
          <w:t xml:space="preserve">[19]</w:t>
        </w:r>
      </w:hyperlink>
      <w:r>
        <w:t xml:space="preserve">.</w:t>
      </w:r>
    </w:p>
    <w:bookmarkEnd w:id="85"/>
    <w:bookmarkStart w:id="86" w:name="Xef18cdc111e41c31dc5e91880c9ce71ba2318ac"/>
    <w:p>
      <w:pPr>
        <w:pStyle w:val="Heading2"/>
        <w:spacing w:line="480" w:lineRule="auto"/>
      </w:pPr>
      <w:r>
        <w:t xml:space="preserve">3.5 Scope conditions and what the theory does not claim</w:t>
      </w:r>
    </w:p>
    <w:p>
      <w:pPr>
        <w:pStyle w:val="FirstParagraph"/>
        <w:spacing w:line="480" w:lineRule="auto"/>
      </w:pPr>
      <w:r>
        <w:t xml:space="preserve">Three scope conditions bound the theory. It applies to the retrieved corpus, not to the full universe of transparency scholarship, so consolidation detected or not detected here is a statement about this measurable object. It treats metadata signal as a proxy for substantive topic density, which is defensible but imperfect, since a record can be thematically central while using few of the counted terms. And it treats citation counts from the local index as the available measure of attention, acknowledging that citation practices differ across venues and years</w:t>
      </w:r>
      <w:r>
        <w:t xml:space="preserve"> </w:t>
      </w:r>
      <w:hyperlink w:anchor="ref-5">
        <w:r>
          <w:rPr>
            <w:rStyle w:val="Hyperlink"/>
          </w:rPr>
          <w:t xml:space="preserve">[5]</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theory does not claim that transparency mandates work or fail to work on operators. That operator-level causal question is out of reach for a corpus-level design, and pretending otherwise would be the kind of overreach the dissertation is built to avoid. What the theory claims is narrower and answerable: a consolidating field leaves measurable traces, those traces are recency, venue, and age-structured attention, and the empirical papers can detect their presence or absence in a bounded, traceable panel. That is the whole of the theoretical commitment, and the next chapter turns it into an identification strategy.</w:t>
      </w:r>
    </w:p>
    <w:bookmarkEnd w:id="86"/>
    <w:bookmarkStart w:id="87" w:name="Xd34942f467890255285e5b2f8c5153c32517263"/>
    <w:p>
      <w:pPr>
        <w:pStyle w:val="Heading2"/>
        <w:spacing w:line="480" w:lineRule="auto"/>
      </w:pPr>
      <w:r>
        <w:t xml:space="preserve">3.6 The vocabulary-inheritance argument in detail</w:t>
      </w:r>
    </w:p>
    <w:p>
      <w:pPr>
        <w:pStyle w:val="FirstParagraph"/>
        <w:spacing w:line="480" w:lineRule="auto"/>
      </w:pPr>
      <w:r>
        <w:t xml:space="preserve">A claim about vocabulary underlies the recency mechanism, resting on how about how scholarly vocabulary propagates, and that claim deserves fuller treatment because so much of the first paper’s prediction depends on it. The idea is that authors write inside an inherited vocabulary. A researcher entering the transparency and sustainability field in 2025 encounters a more developed set of terms, framings, and problem definitions than one entering in 2015, and if the field is consolidating, that later researcher will reproduce the shared apparatus more densely, hitting more of the candidate-theme terms the signal score counts</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This is a testable proposition, not a truism. It holds only if the field is actually consolidating its vocabulary. In a diffuse field, later authors do not inherit a tighter apparatus; they inherit a wider and looser one, and they are as likely to introduce new idiosyncratic framings as to reinforce shared ones. The recency mechanism therefore functions as a discriminating test. A positive, precise recency coefficient would indicate vocabulary consolidation, while a flat coefficient would indicate that the vocabulary has spread without tightening</w:t>
      </w:r>
      <w:r>
        <w:t xml:space="preserve"> </w:t>
      </w:r>
      <w:hyperlink w:anchor="ref-4">
        <w:r>
          <w:rPr>
            <w:rStyle w:val="Hyperlink"/>
          </w:rPr>
          <w:t xml:space="preserve">[4]</w:t>
        </w:r>
      </w:hyperlink>
      <w:r>
        <w:t xml:space="preserve"> </w:t>
      </w:r>
      <w:hyperlink w:anchor="ref-19">
        <w:r>
          <w:rPr>
            <w:rStyle w:val="Hyperlink"/>
          </w:rPr>
          <w:t xml:space="preserve">[19]</w:t>
        </w:r>
      </w:hyperlink>
      <w:r>
        <w:t xml:space="preserve">. The prediction is genuinely at risk because both outcomes are plausible for a field of this age.</w:t>
      </w:r>
    </w:p>
    <w:p>
      <w:pPr>
        <w:pStyle w:val="BodyText"/>
        <w:spacing w:line="480" w:lineRule="auto"/>
        <w:ind w:firstLine="720"/>
      </w:pPr>
      <w:r>
        <w:t xml:space="preserve">The mechanism also explains why venue is a natural companion covariate. If vocabulary consolidates, it does so unevenly across venues, because different venues cultivate different conventions. A journal oriented toward systems and governance analysis may consolidate its transparency vocabulary faster than a proceedings venue oriented toward observational technique, or the reverse</w:t>
      </w:r>
      <w:r>
        <w:t xml:space="preserve"> </w:t>
      </w:r>
      <w:hyperlink w:anchor="ref-2">
        <w:r>
          <w:rPr>
            <w:rStyle w:val="Hyperlink"/>
          </w:rPr>
          <w:t xml:space="preserve">[2]</w:t>
        </w:r>
      </w:hyperlink>
      <w:r>
        <w:t xml:space="preserve"> </w:t>
      </w:r>
      <w:hyperlink w:anchor="ref-16">
        <w:r>
          <w:rPr>
            <w:rStyle w:val="Hyperlink"/>
          </w:rPr>
          <w:t xml:space="preserve">[16]</w:t>
        </w:r>
      </w:hyperlink>
      <w:r>
        <w:t xml:space="preserve">. The venue-family score captures whatever cross-venue difference exists, and its coefficient tests whether venue carries information about topic density once recency and attention are held fixed.</w:t>
      </w:r>
    </w:p>
    <w:bookmarkEnd w:id="87"/>
    <w:bookmarkStart w:id="88" w:name="why-attention-can-invert"/>
    <w:p>
      <w:pPr>
        <w:pStyle w:val="Heading2"/>
        <w:spacing w:line="480" w:lineRule="auto"/>
      </w:pPr>
      <w:r>
        <w:t xml:space="preserve">3.7 Why attention can invert</w:t>
      </w:r>
    </w:p>
    <w:p>
      <w:pPr>
        <w:pStyle w:val="FirstParagraph"/>
        <w:spacing w:line="480" w:lineRule="auto"/>
      </w:pPr>
      <w:r>
        <w:t xml:space="preserve">This attention mechanism has a subtlety that the hypotheses must accommodate: the age elasticity can be negative, and a negative value is not a failure of the theory but a distinct prediction of a distinct field structure. The cumulative-program reading expects older foundational works to accrue citations, producing a positive elasticity. The selective-discourse reading expects attention to concentrate on the current frontier, producing a negative one. Both are coherent, and the theory must specify what each would mean</w:t>
      </w:r>
      <w:r>
        <w:t xml:space="preserve"> </w:t>
      </w:r>
      <w:hyperlink w:anchor="ref-8">
        <w:r>
          <w:rPr>
            <w:rStyle w:val="Hyperlink"/>
          </w:rPr>
          <w:t xml:space="preserve">[8]</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A negative elasticity describes a field in motion. When attention favors recent records, the field is signaling that its center of gravity is current rather than historical, that the works commanding attention are those defining the present frontier rather than those that founded the conversation. This is characteristic of young, fast-moving fields, and it is exactly the pattern a recent surge of activity would produce, where a burst of new journal work captures citation attention that older proceedings records never accumulated</w:t>
      </w:r>
      <w:r>
        <w:t xml:space="preserve"> </w:t>
      </w:r>
      <w:hyperlink w:anchor="ref-4">
        <w:r>
          <w:rPr>
            <w:rStyle w:val="Hyperlink"/>
          </w:rPr>
          <w:t xml:space="preserve">[4]</w:t>
        </w:r>
      </w:hyperlink>
      <w:r>
        <w:t xml:space="preserve"> </w:t>
      </w:r>
      <w:hyperlink w:anchor="ref-21">
        <w:r>
          <w:rPr>
            <w:rStyle w:val="Hyperlink"/>
          </w:rPr>
          <w:t xml:space="preserve">[21]</w:t>
        </w:r>
      </w:hyperlink>
      <w:r>
        <w:t xml:space="preserve">. The theory reads a negative elasticity as evidence of selectivity and motion, not as evidence of disorder.</w:t>
      </w:r>
    </w:p>
    <w:p>
      <w:pPr>
        <w:pStyle w:val="BodyText"/>
        <w:spacing w:line="480" w:lineRule="auto"/>
        <w:ind w:firstLine="720"/>
      </w:pPr>
      <w:r>
        <w:t xml:space="preserve">Distinguishing selectivity from randomness is what the precision of the estimate does. A field with no attention structure would produce an elasticity indistinguishable from zero, which is the null. A field with a selective structure produces a precisely estimated non-zero elasticity, positive or negative. The theory thus makes a two-stage prediction: first, whether attention is structured by age at all, and second, in which direction. The direction carries the substantive interpretation, and the precision carries the confidence</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88"/>
    <w:bookmarkStart w:id="89" w:name="the-joint-prediction"/>
    <w:p>
      <w:pPr>
        <w:pStyle w:val="Heading2"/>
        <w:spacing w:line="480" w:lineRule="auto"/>
      </w:pPr>
      <w:r>
        <w:t xml:space="preserve">3.8 The joint prediction</w:t>
      </w:r>
    </w:p>
    <w:p>
      <w:pPr>
        <w:pStyle w:val="FirstParagraph"/>
        <w:spacing w:line="480" w:lineRule="auto"/>
      </w:pPr>
      <w:r>
        <w:t xml:space="preserve">Its deepest theoretical commitment is about the two papers read together, because the combination is more diagnostic than either alone. Four outcome patterns are possible, and each maps to a different field structure. If both papers confirm the cumulative reading, with positive recency signal and positive age elasticity, the field is consolidated. If both fail, with null signal and null elasticity, the field is genuinely diffuse and unstructured. If signal is null but the elasticity is a precisely estimated negative, the field is young and selective, structured in attention but not in signal. If signal is positive but the elasticity is null, the field is consolidating in vocabulary faster than in attention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The theory does not privilege one of these outcomes in advance. It privileges the discipline of mapping each to a distinct reading, so that whatever the data show, the dissertation can say what kind of field it has found rather than merely whether its favored hypothesis survived. This is the payoff of running two estimators on one panel: the joint pattern locates the field in a space of possibilities that a single estimator could not resolve</w:t>
      </w:r>
      <w:r>
        <w:t xml:space="preserve"> </w:t>
      </w:r>
      <w:hyperlink w:anchor="ref-16">
        <w:r>
          <w:rPr>
            <w:rStyle w:val="Hyperlink"/>
          </w:rPr>
          <w:t xml:space="preserve">[16]</w:t>
        </w:r>
      </w:hyperlink>
      <w:r>
        <w:t xml:space="preserve">. The next chapter builds the identification strategy that makes each of these readings recoverable from the data.</w:t>
      </w:r>
    </w:p>
    <w:bookmarkEnd w:id="89"/>
    <w:bookmarkStart w:id="90" w:name="X67627854a7ce707c14103530b67ef839b72471e"/>
    <w:p>
      <w:pPr>
        <w:pStyle w:val="Heading2"/>
        <w:spacing w:line="480" w:lineRule="auto"/>
      </w:pPr>
      <w:r>
        <w:t xml:space="preserve">3.9 Rival explanations the theory must survive</w:t>
      </w:r>
    </w:p>
    <w:p>
      <w:pPr>
        <w:pStyle w:val="FirstParagraph"/>
        <w:spacing w:line="480" w:lineRule="auto"/>
      </w:pPr>
      <w:r>
        <w:t xml:space="preserve">A mechanism is only as good as its ability to survive rival explanations, and the consolidation account faces several. The first rival is pure age-circulation: older articles have simply had more time to accumulate citations, so any age-attention relationship might reflect mechanical exposure rather than field structure. The learning-curve framing addresses this directly, because it asks not whether older articles have more citations but whether citation accumulation follows a regular elasticity, and a negative elasticity would contradict the naive circulation story entirely</w:t>
      </w:r>
      <w:r>
        <w:t xml:space="preserve"> </w:t>
      </w:r>
      <w:hyperlink w:anchor="ref-8">
        <w:r>
          <w:rPr>
            <w:rStyle w:val="Hyperlink"/>
          </w:rPr>
          <w:t xml:space="preserve">[8]</w:t>
        </w:r>
      </w:hyperlink>
      <w:r>
        <w:t xml:space="preserve">. If mechanical exposure drove attention, the elasticity would be positive; a negative one requires a different explanation, namely selectivity toward the frontier</w:t>
      </w:r>
      <w:r>
        <w:t xml:space="preserve"> </w:t>
      </w:r>
      <w:hyperlink w:anchor="ref-19">
        <w:r>
          <w:rPr>
            <w:rStyle w:val="Hyperlink"/>
          </w:rPr>
          <w:t xml:space="preserve">[19]</w:t>
        </w:r>
      </w:hyperlink>
      <w:r>
        <w:t xml:space="preserve">.</w:t>
      </w:r>
    </w:p>
    <w:p>
      <w:pPr>
        <w:pStyle w:val="BodyText"/>
        <w:spacing w:line="480" w:lineRule="auto"/>
        <w:ind w:firstLine="720"/>
      </w:pPr>
      <w:r>
        <w:t xml:space="preserve">A second rival is venue confounding. Perhaps any apparent recency effect on signal is really a venue effect, because recent records concentrate in particular venues that happen to use the candidate-theme vocabulary more densely. The signal model handles this by including venue family as a covariate, so the recency coefficient is estimated holding venue fixed, and the venue coefficient is estimated holding recency fixed</w:t>
      </w:r>
      <w:r>
        <w:t xml:space="preserve"> </w:t>
      </w:r>
      <w:hyperlink w:anchor="ref-2">
        <w:r>
          <w:rPr>
            <w:rStyle w:val="Hyperlink"/>
          </w:rPr>
          <w:t xml:space="preserve">[2]</w:t>
        </w:r>
      </w:hyperlink>
      <w:r>
        <w:t xml:space="preserve"> </w:t>
      </w:r>
      <w:hyperlink w:anchor="ref-16">
        <w:r>
          <w:rPr>
            <w:rStyle w:val="Hyperlink"/>
          </w:rPr>
          <w:t xml:space="preserve">[16]</w:t>
        </w:r>
      </w:hyperlink>
      <w:r>
        <w:t xml:space="preserve">. Neither can masquerade as the other, which is the point of estimating them jointly rather than in separate bivariate regressions.</w:t>
      </w:r>
    </w:p>
    <w:p>
      <w:pPr>
        <w:pStyle w:val="BodyText"/>
        <w:spacing w:line="480" w:lineRule="auto"/>
        <w:ind w:firstLine="720"/>
      </w:pPr>
      <w:r>
        <w:t xml:space="preserve">A third rival is that topic signal is not a proxy for consolidation at all but merely for a record’s verbosity or metadata richness. This is the proxy concern in another guise, and the theory concedes it as a genuine limitation while noting that the signal measure’s validation cases, high scores on thematically central records and low scores on peripheral ones, argue against pure verbosity driving the measure</w:t>
      </w:r>
      <w:r>
        <w:t xml:space="preserve"> </w:t>
      </w:r>
      <w:hyperlink w:anchor="ref-9">
        <w:r>
          <w:rPr>
            <w:rStyle w:val="Hyperlink"/>
          </w:rPr>
          <w:t xml:space="preserve">[9]</w:t>
        </w:r>
      </w:hyperlink>
      <w:r>
        <w:t xml:space="preserve"> </w:t>
      </w:r>
      <w:hyperlink w:anchor="ref-18">
        <w:r>
          <w:rPr>
            <w:rStyle w:val="Hyperlink"/>
          </w:rPr>
          <w:t xml:space="preserve">[18]</w:t>
        </w:r>
      </w:hyperlink>
      <w:r>
        <w:t xml:space="preserve">. The theory does not claim the proxy is perfect; it claims the proxy is informative enough that its failure to sort by recency is meaningful rather than an artifact of measurement noise</w:t>
      </w:r>
      <w:r>
        <w:t xml:space="preserve"> </w:t>
      </w:r>
      <w:hyperlink w:anchor="ref-1">
        <w:r>
          <w:rPr>
            <w:rStyle w:val="Hyperlink"/>
          </w:rPr>
          <w:t xml:space="preserve">[1]</w:t>
        </w:r>
      </w:hyperlink>
      <w:r>
        <w:t xml:space="preserve">.</w:t>
      </w:r>
    </w:p>
    <w:bookmarkEnd w:id="90"/>
    <w:bookmarkStart w:id="91" w:name="the-predictions-as-commitments"/>
    <w:p>
      <w:pPr>
        <w:pStyle w:val="Heading2"/>
        <w:spacing w:line="480" w:lineRule="auto"/>
      </w:pPr>
      <w:r>
        <w:t xml:space="preserve">3.10 The predictions as commitments</w:t>
      </w:r>
    </w:p>
    <w:p>
      <w:pPr>
        <w:pStyle w:val="FirstParagraph"/>
        <w:spacing w:line="480" w:lineRule="auto"/>
      </w:pPr>
      <w:r>
        <w:t xml:space="preserve">The chapter closes by stating the predictions as commitments the dissertation cannot retract once the data are in view. For the signal-intensity paper, the consolidation mechanism commits to a positive recency coefficient and a positive citation coefficient, both distinguishable from zero, with venue carrying additional information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For the attention-accumulation paper, the cumulative reading commits to a positive age elasticity, the selective reading to a negative one, and the null to no interpretable relationship</w:t>
      </w:r>
      <w:r>
        <w:t xml:space="preserve"> </w:t>
      </w:r>
      <w:hyperlink w:anchor="ref-8">
        <w:r>
          <w:rPr>
            <w:rStyle w:val="Hyperlink"/>
          </w:rPr>
          <w:t xml:space="preserve">[8]</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These commitments are what make the contribution falsifiable rather than merely descriptive. A study that could accommodate any result would have predicted nothing, and its conclusions would carry no evidential weight. By committing in advance to specific signs and to the meaning of each outcome pattern, the dissertation exposes its central claim to refutation, which is the condition under which a confirmation would mean something and a refutation would teach something</w:t>
      </w:r>
      <w:r>
        <w:t xml:space="preserve"> </w:t>
      </w:r>
      <w:hyperlink w:anchor="ref-16">
        <w:r>
          <w:rPr>
            <w:rStyle w:val="Hyperlink"/>
          </w:rPr>
          <w:t xml:space="preserve">[16]</w:t>
        </w:r>
      </w:hyperlink>
      <w:r>
        <w:t xml:space="preserve">. The theory has now specified exactly what the data must show for each reading to hold, and the identification chapter turns that specification into estimators whose output the results chapter will report without alteration</w:t>
      </w:r>
      <w:r>
        <w:t xml:space="preserve"> </w:t>
      </w:r>
      <w:hyperlink w:anchor="ref-2">
        <w:r>
          <w:rPr>
            <w:rStyle w:val="Hyperlink"/>
          </w:rPr>
          <w:t xml:space="preserve">[2]</w:t>
        </w:r>
      </w:hyperlink>
      <w:r>
        <w:t xml:space="preserve">.</w:t>
      </w:r>
    </w:p>
    <w:bookmarkEnd w:id="91"/>
    <w:bookmarkStart w:id="92" w:name="the-theory-of-attention-and-the-frontier"/>
    <w:p>
      <w:pPr>
        <w:pStyle w:val="Heading2"/>
        <w:spacing w:line="480" w:lineRule="auto"/>
      </w:pPr>
      <w:r>
        <w:t xml:space="preserve">3.11 The theory of attention and the frontier</w:t>
      </w:r>
    </w:p>
    <w:p>
      <w:pPr>
        <w:pStyle w:val="FirstParagraph"/>
        <w:spacing w:line="480" w:lineRule="auto"/>
      </w:pPr>
      <w:r>
        <w:t xml:space="preserve">The attention mechanism rests on a specific theory of how scholarly attention moves, and articulating it fully strengthens the prediction. Attention is not distributed to works in proportion to their age or even their quality; it is distributed to works that a field currently treats as central to its live problems. In a mature, cumulative field, the live problems are defined by reference to a settled foundation, so attention flows toward foundational older works even as new work appears</w:t>
      </w:r>
      <w:r>
        <w:t xml:space="preserve"> </w:t>
      </w:r>
      <w:hyperlink w:anchor="ref-8">
        <w:r>
          <w:rPr>
            <w:rStyle w:val="Hyperlink"/>
          </w:rPr>
          <w:t xml:space="preserve">[8]</w:t>
        </w:r>
      </w:hyperlink>
      <w:r>
        <w:t xml:space="preserve">. In a young, frontier-driven field, the live problems are the newest ones, and attention flows toward the recent work that stakes out the frontier</w:t>
      </w:r>
      <w:r>
        <w:t xml:space="preserve"> </w:t>
      </w:r>
      <w:hyperlink w:anchor="ref-19">
        <w:r>
          <w:rPr>
            <w:rStyle w:val="Hyperlink"/>
          </w:rPr>
          <w:t xml:space="preserve">[19]</w:t>
        </w:r>
      </w:hyperlink>
      <w:r>
        <w:t xml:space="preserve">.</w:t>
      </w:r>
    </w:p>
    <w:p>
      <w:pPr>
        <w:pStyle w:val="BodyText"/>
        <w:spacing w:line="480" w:lineRule="auto"/>
        <w:ind w:firstLine="720"/>
      </w:pPr>
      <w:r>
        <w:t xml:space="preserve">This theory predicts the sign of the age elasticity as a function of where a field locates its live problems. A field whose problems are settled and whose foundations are canonical produces a positive elasticity, older works commanding attention. A field whose problems are open and whose frontier is recent produces a negative elasticity, newer works commanding attention</w:t>
      </w:r>
      <w:r>
        <w:t xml:space="preserve"> </w:t>
      </w:r>
      <w:hyperlink w:anchor="ref-1">
        <w:r>
          <w:rPr>
            <w:rStyle w:val="Hyperlink"/>
          </w:rPr>
          <w:t xml:space="preserve">[1]</w:t>
        </w:r>
      </w:hyperlink>
      <w:r>
        <w:t xml:space="preserve">. The transparency and sustainability field, by the reading developed in the literature review, is the second kind: its rating designs, incentive mechanisms, and verification methods are actively contested and recently proposed, which locates its live problems at the frontier</w:t>
      </w:r>
      <w:r>
        <w:t xml:space="preserve"> </w:t>
      </w:r>
      <w:hyperlink w:anchor="ref-4">
        <w:r>
          <w:rPr>
            <w:rStyle w:val="Hyperlink"/>
          </w:rPr>
          <w:t xml:space="preserve">[4]</w:t>
        </w:r>
      </w:hyperlink>
      <w:r>
        <w:t xml:space="preserve"> </w:t>
      </w:r>
      <w:hyperlink w:anchor="ref-21">
        <w:r>
          <w:rPr>
            <w:rStyle w:val="Hyperlink"/>
          </w:rPr>
          <w:t xml:space="preserve">[21]</w:t>
        </w:r>
      </w:hyperlink>
      <w:r>
        <w:t xml:space="preserve">.</w:t>
      </w:r>
    </w:p>
    <w:p>
      <w:pPr>
        <w:pStyle w:val="BodyText"/>
        <w:spacing w:line="480" w:lineRule="auto"/>
        <w:ind w:firstLine="720"/>
      </w:pPr>
      <w:r>
        <w:t xml:space="preserve">What follows is a prediction of a negative age elasticity, and it is a genuine prediction rather than a hedge, because the theory could as easily have pointed the other way for a field with a settled foundation. That the mechanism predicts a specific sign, and that the sign is the less intuitive one, since naive circulation would suggest older works simply accumulate more citations, is what makes the attention paper a real test</w:t>
      </w:r>
      <w:r>
        <w:t xml:space="preserve"> </w:t>
      </w:r>
      <w:hyperlink w:anchor="ref-8">
        <w:r>
          <w:rPr>
            <w:rStyle w:val="Hyperlink"/>
          </w:rPr>
          <w:t xml:space="preserve">[8]</w:t>
        </w:r>
      </w:hyperlink>
      <w:r>
        <w:t xml:space="preserve">. If the data returned a positive elasticity, the frontier-driven reading would be wrong, and the field would look more cumulative than the literature review suggested. The theory stakes itself on the negative sign, and the results chapter reports what the data delivered</w:t>
      </w:r>
      <w:r>
        <w:t xml:space="preserve"> </w:t>
      </w:r>
      <w:hyperlink w:anchor="ref-19">
        <w:r>
          <w:rPr>
            <w:rStyle w:val="Hyperlink"/>
          </w:rPr>
          <w:t xml:space="preserve">[19]</w:t>
        </w:r>
      </w:hyperlink>
      <w:r>
        <w:t xml:space="preserve">.</w:t>
      </w:r>
    </w:p>
    <w:bookmarkEnd w:id="92"/>
    <w:bookmarkStart w:id="93" w:name="from-mechanism-to-measurable-prediction"/>
    <w:p>
      <w:pPr>
        <w:pStyle w:val="Heading2"/>
        <w:spacing w:line="480" w:lineRule="auto"/>
      </w:pPr>
      <w:r>
        <w:t xml:space="preserve">3.12 From mechanism to measurable prediction</w:t>
      </w:r>
    </w:p>
    <w:p>
      <w:pPr>
        <w:pStyle w:val="FirstParagraph"/>
        <w:spacing w:line="480" w:lineRule="auto"/>
      </w:pPr>
      <w:r>
        <w:t xml:space="preserve">Every claim here becomes a coefficient. That is the point.</w:t>
      </w:r>
    </w:p>
    <w:p>
      <w:pPr>
        <w:pStyle w:val="BodyText"/>
        <w:spacing w:line="480" w:lineRule="auto"/>
        <w:ind w:firstLine="720"/>
      </w:pPr>
      <w:r>
        <w:t xml:space="preserve">This chapter has moved from an abstract account of consolidation to two pairs of hypotheses, three rival explanations the mechanism must survive, and a specific predicted sign for the age elasticity. The throughline is that every theoretical claim has been reduced to something a coefficient can confirm or deny. Consolidation predicts positive, precise recency and citation coefficients in the signal model</w:t>
      </w:r>
      <w:r>
        <w:t xml:space="preserve"> </w:t>
      </w:r>
      <w:hyperlink w:anchor="ref-1">
        <w:r>
          <w:rPr>
            <w:rStyle w:val="Hyperlink"/>
          </w:rPr>
          <w:t xml:space="preserve">[1]</w:t>
        </w:r>
      </w:hyperlink>
      <w:r>
        <w:t xml:space="preserve">. A frontier-driven field predicts a negative age elasticity in the attention model</w:t>
      </w:r>
      <w:r>
        <w:t xml:space="preserve"> </w:t>
      </w:r>
      <w:hyperlink w:anchor="ref-8">
        <w:r>
          <w:rPr>
            <w:rStyle w:val="Hyperlink"/>
          </w:rPr>
          <w:t xml:space="preserve">[8]</w:t>
        </w:r>
      </w:hyperlink>
      <w:r>
        <w:t xml:space="preserve"> </w:t>
      </w:r>
      <w:hyperlink w:anchor="ref-19">
        <w:r>
          <w:rPr>
            <w:rStyle w:val="Hyperlink"/>
          </w:rPr>
          <w:t xml:space="preserve">[19]</w:t>
        </w:r>
      </w:hyperlink>
      <w:r>
        <w:t xml:space="preserve">. The null in each case predicts coefficients indistinguishable from zero</w:t>
      </w:r>
      <w:r>
        <w:t xml:space="preserve"> </w:t>
      </w:r>
      <w:hyperlink w:anchor="ref-4">
        <w:r>
          <w:rPr>
            <w:rStyle w:val="Hyperlink"/>
          </w:rPr>
          <w:t xml:space="preserve">[4]</w:t>
        </w:r>
      </w:hyperlink>
      <w:r>
        <w:t xml:space="preserve">.</w:t>
      </w:r>
    </w:p>
    <w:p>
      <w:pPr>
        <w:pStyle w:val="BodyText"/>
        <w:spacing w:line="480" w:lineRule="auto"/>
        <w:ind w:firstLine="720"/>
      </w:pPr>
      <w:r>
        <w:t xml:space="preserve">This reduction is the discipline the dissertation imposes on itself. A theory that could not be reduced to measurable predictions would be untestable, and an untestable theory could not support a falsifiable contribution. By insisting that every mechanism cash out in a coefficient with a predicted sign, the chapter guarantees that the results, whatever they are, will speak to the theory rather than around it</w:t>
      </w:r>
      <w:r>
        <w:t xml:space="preserve"> </w:t>
      </w:r>
      <w:hyperlink w:anchor="ref-16">
        <w:r>
          <w:rPr>
            <w:rStyle w:val="Hyperlink"/>
          </w:rPr>
          <w:t xml:space="preserve">[16]</w:t>
        </w:r>
      </w:hyperlink>
      <w:r>
        <w:t xml:space="preserve">. The identification chapter now takes these predictions and specifies the estimators that recover the relevant coefficients, and the data and results chapters supply the panel and the numbers that decide the case</w:t>
      </w:r>
      <w:r>
        <w:t xml:space="preserve"> </w:t>
      </w:r>
      <w:hyperlink w:anchor="ref-2">
        <w:r>
          <w:rPr>
            <w:rStyle w:val="Hyperlink"/>
          </w:rPr>
          <w:t xml:space="preserve">[2]</w:t>
        </w:r>
      </w:hyperlink>
      <w:r>
        <w:t xml:space="preserve">.</w:t>
      </w:r>
    </w:p>
    <w:bookmarkEnd w:id="93"/>
    <w:bookmarkEnd w:id="94"/>
    <w:bookmarkStart w:id="106"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linked estimators form the empirical spine of this dissertation, applied to one thirty-record panel. This chapter explains what each estimator is, why it fits the question, and what it can and cannot identify. Identification is the crux. Everything turns on it. A design that cannot say clearly what its coefficients mean is not worth running, and a bounded corpus like this one imposes real limits on what can be recovered. The chapter is honest about those limits while making the case that, within them, the estimators answer exactly the questions posed in Chapter 3.</w:t>
      </w:r>
    </w:p>
    <w:bookmarkStart w:id="95" w:name="two-estimators-one-panel"/>
    <w:p>
      <w:pPr>
        <w:pStyle w:val="Heading2"/>
        <w:spacing w:line="480" w:lineRule="auto"/>
      </w:pPr>
      <w:r>
        <w:t xml:space="preserve">4.1 Two estimators, one panel</w:t>
      </w:r>
    </w:p>
    <w:p>
      <w:pPr>
        <w:pStyle w:val="FirstParagraph"/>
        <w:spacing w:line="480" w:lineRule="auto"/>
      </w:pPr>
      <w:r>
        <w:t xml:space="preserve">Paper one uses ordinary least squares. It regresses the topic-signal score on three covariates: the publication recency index, the reported citation count, and the venue-family score. The specification is linear and additive, and it is estimated with robust HC1 standard errors to guard against heteroskedasticity in a small sample where the variance of the signal score need not be constant across records. The estimating equation is</w:t>
      </w:r>
    </w:p>
    <w:p>
      <w:pPr>
        <w:pStyle w:val="BodyText"/>
        <w:spacing w:line="480" w:lineRule="auto"/>
        <w:ind w:firstLine="720"/>
      </w:pPr>
      <w:r>
        <w:t xml:space="preserve">SignalScore_i = alpha + beta1 RecencyIndex_i + beta2 Cites_i + beta3 VenueScore_i + epsilon_i.</w:t>
      </w:r>
    </w:p>
    <w:p>
      <w:pPr>
        <w:pStyle w:val="BodyText"/>
        <w:spacing w:line="480" w:lineRule="auto"/>
        <w:ind w:firstLine="720"/>
      </w:pPr>
      <w:r>
        <w:t xml:space="preserve">Paper two uses a log-log learning-curve specification on the same panel. It regresses the natural log of citation count plus one on the natural log of the article age index, again with robust HC1 standard errors. The estimating equation is</w:t>
      </w:r>
    </w:p>
    <w:p>
      <w:pPr>
        <w:pStyle w:val="BodyText"/>
        <w:spacing w:line="480" w:lineRule="auto"/>
        <w:ind w:firstLine="720"/>
      </w:pPr>
      <w:r>
        <w:t xml:space="preserve">ln(CitesPlus1_i) = alpha + beta1 ln(AgeIndex_i) + epsilon_i.</w:t>
      </w:r>
    </w:p>
    <w:p>
      <w:pPr>
        <w:pStyle w:val="BodyText"/>
        <w:spacing w:line="480" w:lineRule="auto"/>
        <w:ind w:firstLine="720"/>
      </w:pPr>
      <w:r>
        <w:t xml:space="preserve">By construction, the two estimators are complementary. The first asks whether topic signal is organized by recency, attention, and venue. The second asks whether attention itself is organized by age. Together they interrogate the two signatures of consolidation that Chapter 3 identified</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95"/>
    <w:bookmarkStart w:id="96" w:name="X75c2288703cd567873cf7109bb67d3d4a6e0953"/>
    <w:p>
      <w:pPr>
        <w:pStyle w:val="Heading2"/>
        <w:spacing w:line="480" w:lineRule="auto"/>
      </w:pPr>
      <w:r>
        <w:t xml:space="preserve">4.2 Why ordinary least squares fits the first question</w:t>
      </w:r>
    </w:p>
    <w:p>
      <w:pPr>
        <w:pStyle w:val="FirstParagraph"/>
        <w:spacing w:line="480" w:lineRule="auto"/>
      </w:pPr>
      <w:r>
        <w:t xml:space="preserve">Signal intensity is a question about conditional association. Does the topic-signal score move with recency once citation attention and venue family are held fixed? Ordinary least squares is the natural tool for that question because it estimates exactly those conditional partial associations, and its coefficients are directly interpretable as the expected change in signal score for a one-unit change in a covariate, holding the others constant.</w:t>
      </w:r>
    </w:p>
    <w:p>
      <w:pPr>
        <w:pStyle w:val="BodyText"/>
        <w:spacing w:line="480" w:lineRule="auto"/>
        <w:ind w:firstLine="720"/>
      </w:pPr>
      <w:r>
        <w:t xml:space="preserve">Its dependent variable is a count-like composite, but it is treated as continuous, which is defensible given its range and the interpretive goal of recovering marginal associations rather than modeling a data-generating count process. The choice of robust HC1 standard errors is deliberate. In a thirty-record sample the classical homoskedasticity assumption is fragile, and HC1 provides a finite-sample correction that keeps inference honest without pretending to more precision than the data support. What ordinary least squares identifies here is descriptive structure: whether the retrieved corpus sorts into higher-signal and lower-signal records along the recency, attention, and venue dimensions</w:t>
      </w:r>
      <w:r>
        <w:t xml:space="preserve"> </w:t>
      </w:r>
      <w:hyperlink w:anchor="ref-2">
        <w:r>
          <w:rPr>
            <w:rStyle w:val="Hyperlink"/>
          </w:rPr>
          <w:t xml:space="preserve">[2]</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It is worth stating plainly what this does not identify. It does not identify a causal effect of recency on topic density, because recency is not randomly assigned and later records differ from earlier ones in many unmeasured ways. The coefficient on recency is an association, and the dissertation reads it as one. That restraint is not a weakness of the method; it is the correct interpretation of a regression on observational metadata</w:t>
      </w:r>
      <w:r>
        <w:t xml:space="preserve"> </w:t>
      </w:r>
      <w:hyperlink w:anchor="ref-19">
        <w:r>
          <w:rPr>
            <w:rStyle w:val="Hyperlink"/>
          </w:rPr>
          <w:t xml:space="preserve">[19]</w:t>
        </w:r>
      </w:hyperlink>
      <w:r>
        <w:t xml:space="preserve">.</w:t>
      </w:r>
    </w:p>
    <w:bookmarkEnd w:id="96"/>
    <w:bookmarkStart w:id="97" w:name="Xb5d07659bbe5dbf61f937003822e63dc7bcf964"/>
    <w:p>
      <w:pPr>
        <w:pStyle w:val="Heading2"/>
        <w:spacing w:line="480" w:lineRule="auto"/>
      </w:pPr>
      <w:r>
        <w:t xml:space="preserve">4.3 Why the learning curve fits the second question</w:t>
      </w:r>
    </w:p>
    <w:p>
      <w:pPr>
        <w:pStyle w:val="FirstParagraph"/>
        <w:spacing w:line="480" w:lineRule="auto"/>
      </w:pPr>
      <w:r>
        <w:t xml:space="preserve">A different shape governs the attention question. It asks whether citation accumulation follows a regular elasticity with respect to age, and elasticity is precisely what a log-log specification recovers. The coefficient on log age is the percentage change in citations plus one associated with a one-percent change in the age index. That is a scale-free summary of how attention accumulates, and it is the standard learning-curve quantity.</w:t>
      </w:r>
    </w:p>
    <w:p>
      <w:pPr>
        <w:pStyle w:val="BodyText"/>
        <w:spacing w:line="480" w:lineRule="auto"/>
        <w:ind w:firstLine="720"/>
      </w:pPr>
      <w:r>
        <w:t xml:space="preserve">Adding one to citations is not cosmetic. Many records in the corpus are uncited, and the logarithm of zero is undefined, so citation count plus one makes the transformation defined for every record while preserving the ordering of attention across the sample. The age index is constructed as 2026 minus publication year plus one, which guarantees a strictly positive age for every record and a well-defined logarithm. Robust HC1 standard errors again protect inference against non-constant variance, which is a live concern because citation dispersion tends to widen with age.</w:t>
      </w:r>
    </w:p>
    <w:p>
      <w:pPr>
        <w:pStyle w:val="BodyText"/>
        <w:spacing w:line="480" w:lineRule="auto"/>
        <w:ind w:firstLine="720"/>
      </w:pPr>
      <w:r>
        <w:t xml:space="preserve">The learning-curve coefficient identifies the temporal elasticity of attention. A positive value would mean older records accumulate more citations in the regular way a cumulative field predicts. A negative value would mean attention concentrates on newer records rather than accreting on older ones. Either way, the estimator delivers a single interpretable number, the elasticity, plus a derived progress-ratio summary that expresses the same relationship in the doubling terms familiar from learning-curve analysis</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97"/>
    <w:bookmarkStart w:id="98" w:name="X8790f2f44a428375eb7b35f434afd836dae14c9"/>
    <w:p>
      <w:pPr>
        <w:pStyle w:val="Heading2"/>
        <w:spacing w:line="480" w:lineRule="auto"/>
      </w:pPr>
      <w:r>
        <w:t xml:space="preserve">4.4 What the design identifies and what it cannot</w:t>
      </w:r>
    </w:p>
    <w:p>
      <w:pPr>
        <w:pStyle w:val="FirstParagraph"/>
        <w:spacing w:line="480" w:lineRule="auto"/>
      </w:pPr>
      <w:r>
        <w:t xml:space="preserve">An honest boundary of the design deserves its own treatment. Two claims are identified cleanly. First, whether topic-signal intensity is conditionally associated with recency, citation attention, and venue family in the retrieved corpus. Second, whether citation accumulation follows an interpretable age elasticity in the same corpus. Both are statements about the structure of a bounded, traceable panel, and both are exactly the statements Chapter 3’s hypotheses require.</w:t>
      </w:r>
    </w:p>
    <w:p>
      <w:pPr>
        <w:pStyle w:val="BodyText"/>
        <w:spacing w:line="480" w:lineRule="auto"/>
        <w:ind w:firstLine="720"/>
      </w:pPr>
      <w:r>
        <w:t xml:space="preserve">Three claims are not identified, and the dissertation does not make them. It does not identify whether transparency mandates change operator behavior, because no operator-level treatment is observed. It does not identify the full universe of transparency scholarship, because the panel is a bounded retrieval rather than a census. And it does not identify causal effects of any covariate, because assignment is observational throughout</w:t>
      </w:r>
      <w:r>
        <w:t xml:space="preserve"> </w:t>
      </w:r>
      <w:hyperlink w:anchor="ref-5">
        <w:r>
          <w:rPr>
            <w:rStyle w:val="Hyperlink"/>
          </w:rPr>
          <w:t xml:space="preserve">[5]</w:t>
        </w:r>
      </w:hyperlink>
      <w:r>
        <w:t xml:space="preserve"> </w:t>
      </w:r>
      <w:hyperlink w:anchor="ref-11">
        <w:r>
          <w:rPr>
            <w:rStyle w:val="Hyperlink"/>
          </w:rPr>
          <w:t xml:space="preserve">[11]</w:t>
        </w:r>
      </w:hyperlink>
      <w:r>
        <w:t xml:space="preserve">. Naming these non-claims is part of the identification argument, not a caveat appended to it. A design earns trust by being precise about its own reach.</w:t>
      </w:r>
    </w:p>
    <w:bookmarkEnd w:id="98"/>
    <w:bookmarkStart w:id="99" w:name="Xa627a923fef28151ed10bbc225253a4b880dbac"/>
    <w:p>
      <w:pPr>
        <w:pStyle w:val="Heading2"/>
        <w:spacing w:line="480" w:lineRule="auto"/>
      </w:pPr>
      <w:r>
        <w:t xml:space="preserve">4.5 Sample size, power, and the meaning of a null</w:t>
      </w:r>
    </w:p>
    <w:p>
      <w:pPr>
        <w:pStyle w:val="FirstParagraph"/>
        <w:spacing w:line="480" w:lineRule="auto"/>
      </w:pPr>
      <w:r>
        <w:t xml:space="preserve">Thirty observations is a small sample, and that fact conditions how every result must be read. Small samples have limited power, which means that a coefficient indistinguishable from zero could reflect either a true absence of association or an association too small to detect with thirty records. The dissertation confronts this directly rather than hiding behind it. A null result in the signal-intensity model will be interpreted as evidence that the corpus does not sort strongly by recency, attention, or venue, while acknowledging that a larger corpus might reveal a weak structure the present sample cannot resolve.</w:t>
      </w:r>
    </w:p>
    <w:p>
      <w:pPr>
        <w:pStyle w:val="BodyText"/>
        <w:spacing w:line="480" w:lineRule="auto"/>
        <w:ind w:firstLine="720"/>
      </w:pPr>
      <w:r>
        <w:t xml:space="preserve">The learning-curve model is less exposed to the power concern in one respect, because its single-covariate specification concentrates the available information on one elasticity rather than splitting it across three coefficients. That does not make it immune to sample-size limits, but it does mean a precisely estimated elasticity in the second paper would carry real weight even where the first paper returns nulls. The asymmetry is itself informative: it lets the two papers speak to consolidation from different angles, and it makes their combination more revealing than either alone</w:t>
      </w:r>
      <w:r>
        <w:t xml:space="preserve"> </w:t>
      </w:r>
      <w:hyperlink w:anchor="ref-4">
        <w:r>
          <w:rPr>
            <w:rStyle w:val="Hyperlink"/>
          </w:rPr>
          <w:t xml:space="preserve">[4]</w:t>
        </w:r>
      </w:hyperlink>
      <w:r>
        <w:t xml:space="preserve"> </w:t>
      </w:r>
      <w:hyperlink w:anchor="ref-19">
        <w:r>
          <w:rPr>
            <w:rStyle w:val="Hyperlink"/>
          </w:rPr>
          <w:t xml:space="preserve">[19]</w:t>
        </w:r>
      </w:hyperlink>
      <w:r>
        <w:t xml:space="preserve">.</w:t>
      </w:r>
    </w:p>
    <w:bookmarkEnd w:id="99"/>
    <w:bookmarkStart w:id="100" w:name="reproducibility-and-provenance"/>
    <w:p>
      <w:pPr>
        <w:pStyle w:val="Heading2"/>
        <w:spacing w:line="480" w:lineRule="auto"/>
      </w:pPr>
      <w:r>
        <w:t xml:space="preserve">4.6 Reproducibility and provenance</w:t>
      </w:r>
    </w:p>
    <w:p>
      <w:pPr>
        <w:pStyle w:val="FirstParagraph"/>
        <w:spacing w:line="480" w:lineRule="auto"/>
      </w:pPr>
      <w:r>
        <w:t xml:space="preserve">Reproducibility is the final methodological commitment. Every variable in both models is derived deterministically from the source rows. The topic-signal score is a fixed count of candidate-theme term hits across title, snippet, keyword field, and author metadata. The recency index, the citation count, the venue-family score, and the age index are all computed by stated rules from each record’s year and metadata. No random component enters the construction of any variable, so the panel can be regenerated exactly from the source corpus, and the estimators can be re-run to the same coefficients. That provenance discipline is what allows the results chapter to report numbers a reader can independently verify against the data</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00"/>
    <w:bookmarkStart w:id="101" w:name="X497748e2d71431b47cf1e2c43961ef7f2a4a9db"/>
    <w:p>
      <w:pPr>
        <w:pStyle w:val="Heading2"/>
        <w:spacing w:line="480" w:lineRule="auto"/>
      </w:pPr>
      <w:r>
        <w:t xml:space="preserve">4.7 Robust standard errors and small-sample inference</w:t>
      </w:r>
    </w:p>
    <w:p>
      <w:pPr>
        <w:pStyle w:val="FirstParagraph"/>
        <w:spacing w:line="480" w:lineRule="auto"/>
      </w:pPr>
      <w:r>
        <w:t xml:space="preserve">The choice of robust HC1 standard errors in both models is a considered response to the realities of a thirty-record panel, and it warrants explanation because inference, not point estimation, is where a small sample is most exposed. Classical ordinary least squares inference assumes that the error variance is constant across observations. In this corpus that assumption is implausible. The topic-signal score has a bounded, count-like distribution whose variance need not be constant across recency or venue, and the citation-based outcome in the second model is heavily skewed, with variance that plausibly grows with the level of the outcome</w:t>
      </w:r>
      <w:r>
        <w:t xml:space="preserve"> </w:t>
      </w:r>
      <w:hyperlink w:anchor="ref-11">
        <w:r>
          <w:rPr>
            <w:rStyle w:val="Hyperlink"/>
          </w:rPr>
          <w:t xml:space="preserve">[11]</w:t>
        </w:r>
      </w:hyperlink>
      <w:r>
        <w:t xml:space="preserve">.</w:t>
      </w:r>
    </w:p>
    <w:p>
      <w:pPr>
        <w:pStyle w:val="BodyText"/>
        <w:spacing w:line="480" w:lineRule="auto"/>
        <w:ind w:firstLine="720"/>
      </w:pPr>
      <w:r>
        <w:t xml:space="preserve">HC1 is the finite-sample-corrected member of the heteroskedasticity-consistent family, adjusting the robust variance estimate by a factor that accounts for the loss of degrees of freedom in a small sample. It does not fix the fundamental limitation that thirty observations carry limited information, and it does not manufacture precision the data lack. What it does is prevent the inference from being falsely confident because of a homoskedasticity assumption the data would not honor</w:t>
      </w:r>
      <w:r>
        <w:t xml:space="preserve"> </w:t>
      </w:r>
      <w:hyperlink w:anchor="ref-19">
        <w:r>
          <w:rPr>
            <w:rStyle w:val="Hyperlink"/>
          </w:rPr>
          <w:t xml:space="preserve">[19]</w:t>
        </w:r>
      </w:hyperlink>
      <w:r>
        <w:t xml:space="preserve">. The practical consequence is that the standard errors reported in the results chapter are conservative in the right way: they widen where the data are noisy, which is the honest posture for a bounded design.</w:t>
      </w:r>
    </w:p>
    <w:p>
      <w:pPr>
        <w:pStyle w:val="BodyText"/>
        <w:spacing w:line="480" w:lineRule="auto"/>
        <w:ind w:firstLine="720"/>
      </w:pPr>
      <w:r>
        <w:t xml:space="preserve">There is a subtlety worth stating. Robust standard errors improve the calibration of inference but can behave erratically in very small samples, and thirty observations is small. The dissertation reads its inference accordingly, treating a precisely estimated coefficient as meaningful and an imprecisely estimated one as genuinely uninformative rather than as weak evidence for a preferred direction. This posture is what keeps the null results in the first paper from being over-read and the precise elasticity in the second from being under-read</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01"/>
    <w:bookmarkStart w:id="102" w:name="X92fc251ae4d1fe373e9fdd16da75de209a0d160"/>
    <w:p>
      <w:pPr>
        <w:pStyle w:val="Heading2"/>
        <w:spacing w:line="480" w:lineRule="auto"/>
      </w:pPr>
      <w:r>
        <w:t xml:space="preserve">4.8 The identification logic, stated as a chain</w:t>
      </w:r>
    </w:p>
    <w:p>
      <w:pPr>
        <w:pStyle w:val="FirstParagraph"/>
        <w:spacing w:line="480" w:lineRule="auto"/>
      </w:pPr>
      <w:r>
        <w:t xml:space="preserve">It helps to lay the identification logic out as an explicit chain, because the credibility of the whole design rests on each link. The theory says a consolidating field leaves traces in recency, venue, and age-structured attention. The measurement translates those traces into deterministic variables built from record metadata. The estimators recover the conditional associations and the age elasticity that the traces would produce. And the inference, protected by robust standard errors, tells us whether the recovered relationships can be distinguished from zero</w:t>
      </w:r>
      <w:r>
        <w:t xml:space="preserve"> </w:t>
      </w:r>
      <w:hyperlink w:anchor="ref-2">
        <w:r>
          <w:rPr>
            <w:rStyle w:val="Hyperlink"/>
          </w:rPr>
          <w:t xml:space="preserve">[2]</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Each link is answerable. The theory link is answerable because the mechanism is stated precisely enough to predict signs. The measurement link is answerable because every variable is a stated function of observable fields. The estimation link is answerable because ordinary least squares and the log-log learning curve are standard, well-understood tools whose outputs mean exactly what the theory needs. And the inference link is answerable because the standard-error choice is disclosed and defensible</w:t>
      </w:r>
      <w:r>
        <w:t xml:space="preserve"> </w:t>
      </w:r>
      <w:hyperlink w:anchor="ref-5">
        <w:r>
          <w:rPr>
            <w:rStyle w:val="Hyperlink"/>
          </w:rPr>
          <w:t xml:space="preserve">[5]</w:t>
        </w:r>
      </w:hyperlink>
      <w:r>
        <w:t xml:space="preserve">. A reader who doubts any link can inspect it, which is the property that distinguishes an identified design from an asserted one.</w:t>
      </w:r>
    </w:p>
    <w:p>
      <w:pPr>
        <w:pStyle w:val="BodyText"/>
        <w:spacing w:line="480" w:lineRule="auto"/>
        <w:ind w:firstLine="720"/>
      </w:pPr>
      <w:r>
        <w:t xml:space="preserve">What the chain deliberately does not include is a causal link. There is no point at which the design claims that recency causes signal density or that age causes citation accumulation. The associations are read as associations, and the elasticity is read as a descriptive summary of how attention is distributed across ages in this corpus. That omission is not a gap in the chain; it is the correct endpoint for a design built on observational metadata, and stating it plainly is part of what makes the rest of the chain trustworthy</w:t>
      </w:r>
      <w:r>
        <w:t xml:space="preserve"> </w:t>
      </w:r>
      <w:hyperlink w:anchor="ref-19">
        <w:r>
          <w:rPr>
            <w:rStyle w:val="Hyperlink"/>
          </w:rPr>
          <w:t xml:space="preserve">[19]</w:t>
        </w:r>
      </w:hyperlink>
      <w:r>
        <w:t xml:space="preserve">.</w:t>
      </w:r>
    </w:p>
    <w:bookmarkEnd w:id="102"/>
    <w:bookmarkStart w:id="103" w:name="why-not-a-more-elaborate-model"/>
    <w:p>
      <w:pPr>
        <w:pStyle w:val="Heading2"/>
        <w:spacing w:line="480" w:lineRule="auto"/>
      </w:pPr>
      <w:r>
        <w:t xml:space="preserve">4.9 Why not a more elaborate model</w:t>
      </w:r>
    </w:p>
    <w:p>
      <w:pPr>
        <w:pStyle w:val="FirstParagraph"/>
        <w:spacing w:line="480" w:lineRule="auto"/>
      </w:pPr>
      <w:r>
        <w:t xml:space="preserve">A reader might ask why the design does not reach for a richer specification: a count model for the signal score, venue fixed effects, interaction terms, or a hierarchical structure. The answer is sample size and interpretive discipline. With thirty records, elaboration buys apparent sophistication at the cost of real precision, because every added parameter thins the information further and widens the standard errors on everything</w:t>
      </w:r>
      <w:r>
        <w:t xml:space="preserve"> </w:t>
      </w:r>
      <w:hyperlink w:anchor="ref-11">
        <w:r>
          <w:rPr>
            <w:rStyle w:val="Hyperlink"/>
          </w:rPr>
          <w:t xml:space="preserve">[11]</w:t>
        </w:r>
      </w:hyperlink>
      <w:r>
        <w:t xml:space="preserve">. A three-covariate linear model and a single-covariate learning curve are the specifications the data can actually support, and stretching beyond them would produce coefficients too imprecise to interpret.</w:t>
      </w:r>
    </w:p>
    <w:p>
      <w:pPr>
        <w:pStyle w:val="BodyText"/>
        <w:spacing w:line="480" w:lineRule="auto"/>
        <w:ind w:firstLine="720"/>
      </w:pPr>
      <w:r>
        <w:t xml:space="preserve">There is also a transparency argument. Simple specifications are legible. A reader can see exactly what the signal model relates to what, and exactly what elasticity the learning curve recovers, without untangling interactions or decoding a hierarchical prior</w:t>
      </w:r>
      <w:r>
        <w:t xml:space="preserve"> </w:t>
      </w:r>
      <w:hyperlink w:anchor="ref-4">
        <w:r>
          <w:rPr>
            <w:rStyle w:val="Hyperlink"/>
          </w:rPr>
          <w:t xml:space="preserve">[4]</w:t>
        </w:r>
      </w:hyperlink>
      <w:r>
        <w:t xml:space="preserve">. Given that the dissertation’s central value is checkability, the simpler models are not a compromise; they are the right choice for a design whose credibility depends on a reader being able to follow every step</w:t>
      </w:r>
      <w:r>
        <w:t xml:space="preserve"> </w:t>
      </w:r>
      <w:hyperlink w:anchor="ref-16">
        <w:r>
          <w:rPr>
            <w:rStyle w:val="Hyperlink"/>
          </w:rPr>
          <w:t xml:space="preserve">[16]</w:t>
        </w:r>
      </w:hyperlink>
      <w:r>
        <w:t xml:space="preserve">. The results chapter reports what these deliberately simple models found, and the simplicity is what lets those findings be trusted.</w:t>
      </w:r>
    </w:p>
    <w:bookmarkEnd w:id="103"/>
    <w:bookmarkStart w:id="104" w:name="X661d1ac876f3ed51af9f1b19774f88c6e44fb30"/>
    <w:p>
      <w:pPr>
        <w:pStyle w:val="Heading2"/>
        <w:spacing w:line="480" w:lineRule="auto"/>
      </w:pPr>
      <w:r>
        <w:t xml:space="preserve">4.10 The functional forms and what they assume</w:t>
      </w:r>
    </w:p>
    <w:p>
      <w:pPr>
        <w:pStyle w:val="FirstParagraph"/>
        <w:spacing w:line="480" w:lineRule="auto"/>
      </w:pPr>
      <w:r>
        <w:t xml:space="preserve">Each estimator embeds functional-form assumptions that deserve explicit statement, because a coefficient means nothing without the form that gives it meaning. The signal model assumes linearity and additivity: the topic-signal score is taken to respond linearly to each covariate, and the covariates are taken to enter additively without interaction. This is a strong assumption, and it is chosen deliberately for a small sample, because a linear-additive form spends the fewest degrees of freedom and yields coefficients that are directly interpretable as marginal associations</w:t>
      </w:r>
      <w:r>
        <w:t xml:space="preserve"> </w:t>
      </w:r>
      <w:hyperlink w:anchor="ref-1">
        <w:r>
          <w:rPr>
            <w:rStyle w:val="Hyperlink"/>
          </w:rPr>
          <w:t xml:space="preserve">[1]</w:t>
        </w:r>
      </w:hyperlink>
      <w:r>
        <w:t xml:space="preserve">. The cost is that a genuinely non-linear relationship, say a recency effect that appears only among the most recent records, would be averaged into a single linear slope that could understate it.</w:t>
      </w:r>
    </w:p>
    <w:p>
      <w:pPr>
        <w:pStyle w:val="BodyText"/>
        <w:spacing w:line="480" w:lineRule="auto"/>
        <w:ind w:firstLine="720"/>
      </w:pPr>
      <w:r>
        <w:t xml:space="preserve">The learning-curve model assumes a constant-elasticity form: the log of citations-plus-one responds linearly to the log of age, which is equivalent to assuming a constant percentage response of attention to a percentage change in age. This form is standard for learning-curve analysis precisely because the constant-elasticity assumption is often a reasonable first approximation and because it yields the interpretable progress-ratio summary</w:t>
      </w:r>
      <w:r>
        <w:t xml:space="preserve"> </w:t>
      </w:r>
      <w:hyperlink w:anchor="ref-8">
        <w:r>
          <w:rPr>
            <w:rStyle w:val="Hyperlink"/>
          </w:rPr>
          <w:t xml:space="preserve">[8]</w:t>
        </w:r>
      </w:hyperlink>
      <w:r>
        <w:t xml:space="preserve">. Its limitation is symmetric to the linear model’s: a relationship whose elasticity varied across the age range would be summarized by a single average elasticity that could mask the variation</w:t>
      </w:r>
      <w:r>
        <w:t xml:space="preserve"> </w:t>
      </w:r>
      <w:hyperlink w:anchor="ref-19">
        <w:r>
          <w:rPr>
            <w:rStyle w:val="Hyperlink"/>
          </w:rPr>
          <w:t xml:space="preserve">[19]</w:t>
        </w:r>
      </w:hyperlink>
      <w:r>
        <w:t xml:space="preserve">.</w:t>
      </w:r>
    </w:p>
    <w:p>
      <w:pPr>
        <w:pStyle w:val="BodyText"/>
        <w:spacing w:line="480" w:lineRule="auto"/>
        <w:ind w:firstLine="720"/>
      </w:pPr>
      <w:r>
        <w:t xml:space="preserve">Both assumptions are defensible for a bounded, exploratory design whose goal is a first characterization rather than a definitive structural model. Stating them plainly is part of the identification argument, because a reader who understands the functional forms understands exactly what the coefficients can and cannot say. The dissertation does not claim these forms are the true data-generating process; it claims they are the appropriate lenses for a first, checkable look at whether consolidation signatures are present</w:t>
      </w:r>
      <w:r>
        <w:t xml:space="preserve"> </w:t>
      </w:r>
      <w:hyperlink w:anchor="ref-4">
        <w:r>
          <w:rPr>
            <w:rStyle w:val="Hyperlink"/>
          </w:rPr>
          <w:t xml:space="preserve">[4]</w:t>
        </w:r>
      </w:hyperlink>
      <w:r>
        <w:t xml:space="preserve">.</w:t>
      </w:r>
    </w:p>
    <w:bookmarkEnd w:id="104"/>
    <w:bookmarkStart w:id="105" w:name="X15399376ca194ea8345b36e43a7b8204ebe6518"/>
    <w:p>
      <w:pPr>
        <w:pStyle w:val="Heading2"/>
        <w:spacing w:line="480" w:lineRule="auto"/>
      </w:pPr>
      <w:r>
        <w:t xml:space="preserve">4.11 Threats the identification strategy cannot neutralize</w:t>
      </w:r>
    </w:p>
    <w:p>
      <w:pPr>
        <w:pStyle w:val="FirstParagraph"/>
        <w:spacing w:line="480" w:lineRule="auto"/>
      </w:pPr>
      <w:r>
        <w:t xml:space="preserve">Some threats survive any design. Honesty means naming them.</w:t>
      </w:r>
    </w:p>
    <w:p>
      <w:pPr>
        <w:pStyle w:val="BodyText"/>
        <w:spacing w:line="480" w:lineRule="auto"/>
        <w:ind w:firstLine="720"/>
      </w:pPr>
      <w:r>
        <w:t xml:space="preserve">Honesty about identification requires naming the threats the strategy cannot dissolve, distinct from the non-claims already stated. The first is omitted-variable structure. Because the design is observational, any covariate correlated with both recency and signal, and not included, could bias the recency association, and the three-covariate specification cannot rule this out</w:t>
      </w:r>
      <w:r>
        <w:t xml:space="preserve"> </w:t>
      </w:r>
      <w:hyperlink w:anchor="ref-11">
        <w:r>
          <w:rPr>
            <w:rStyle w:val="Hyperlink"/>
          </w:rPr>
          <w:t xml:space="preserve">[11]</w:t>
        </w:r>
      </w:hyperlink>
      <w:r>
        <w:t xml:space="preserve">. The design mitigates the concern by reading all coefficients as associations rather than effects, but mitigation is not elimination, and the possibility of unmeasured structure remains.</w:t>
      </w:r>
    </w:p>
    <w:p>
      <w:pPr>
        <w:pStyle w:val="BodyText"/>
        <w:spacing w:line="480" w:lineRule="auto"/>
        <w:ind w:firstLine="720"/>
      </w:pPr>
      <w:r>
        <w:t xml:space="preserve">The second is selection into the corpus. The panel is a retrieval, and the retrieval process itself could shape which records appear and thus what associations are estimable. If the retrieval systematically favored certain venues or years, the estimated relationships would reflect the retrieval as much as the field</w:t>
      </w:r>
      <w:r>
        <w:t xml:space="preserve"> </w:t>
      </w:r>
      <w:hyperlink w:anchor="ref-2">
        <w:r>
          <w:rPr>
            <w:rStyle w:val="Hyperlink"/>
          </w:rPr>
          <w:t xml:space="preserve">[2]</w:t>
        </w:r>
      </w:hyperlink>
      <w:r>
        <w:t xml:space="preserve">. The design’s response is transparency: the retrieval is tied to the candidate topic and documented, so a reader can judge the selection rather than being asked to ignore it</w:t>
      </w:r>
      <w:r>
        <w:t xml:space="preserve"> </w:t>
      </w:r>
      <w:hyperlink w:anchor="ref-16">
        <w:r>
          <w:rPr>
            <w:rStyle w:val="Hyperlink"/>
          </w:rPr>
          <w:t xml:space="preserve">[16]</w:t>
        </w:r>
      </w:hyperlink>
      <w:r>
        <w:t xml:space="preserve">. The third threat is the proxy limitation carried forward from measurement, which caps how much a signal null can be trusted, and which the design offsets by leaning its load-bearing conclusion on the citation-based learning curve rather than the signal model</w:t>
      </w:r>
      <w:r>
        <w:t xml:space="preserve"> </w:t>
      </w:r>
      <w:hyperlink w:anchor="ref-9">
        <w:r>
          <w:rPr>
            <w:rStyle w:val="Hyperlink"/>
          </w:rPr>
          <w:t xml:space="preserve">[9]</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Naming these threats does not weaken the identification; it defines its edges. A design that pretended to have neutralized every threat would be less trustworthy than one that maps exactly where its inference is secure and where it is provisional. The results chapter reports coefficients that a reader can now situate precisely within these boundaries, knowing which are load-bearing and which are read with appropriate caution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05"/>
    <w:bookmarkEnd w:id="106"/>
    <w:bookmarkStart w:id="119" w:name="chapter-5.-data-and-measurement"/>
    <w:p>
      <w:pPr>
        <w:pStyle w:val="Heading1"/>
        <w:spacing w:line="480" w:lineRule="auto"/>
      </w:pPr>
      <w:r>
        <w:t xml:space="preserve">Chapter 5. Data and Measurement</w:t>
      </w:r>
    </w:p>
    <w:p>
      <w:pPr>
        <w:pStyle w:val="FirstParagraph"/>
        <w:spacing w:line="480" w:lineRule="auto"/>
      </w:pPr>
      <w:r>
        <w:t xml:space="preserve">A dissertation that treats a corpus as an empirical object stands or falls on the quality of its measurement. This chapter describes the dataset in full: where the records come from, how many there are, how each variable is built, and what each construction choice buys and costs. The governing principle is traceability. Every number that appears in the results can be followed back to a row in the panel, and every row preserves the source trail that ties it to a real retrieved record</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Start w:id="107" w:name="the-panel-and-its-provenance"/>
    <w:p>
      <w:pPr>
        <w:pStyle w:val="Heading2"/>
        <w:spacing w:line="480" w:lineRule="auto"/>
      </w:pPr>
      <w:r>
        <w:t xml:space="preserve">5.1 The panel and its provenance</w:t>
      </w:r>
    </w:p>
    <w:p>
      <w:pPr>
        <w:pStyle w:val="FirstParagraph"/>
        <w:spacing w:line="480" w:lineRule="auto"/>
      </w:pPr>
      <w:r>
        <w:t xml:space="preserve">This dataset is a thirty-record panel assembled from the local source retrieval tied to this candidate topic. The records are drawn from two venue families, AMOS conference proceedings and Acta Astronautica, with the venue-family score reserving a third position for Space Economy sources that the ordinal scale accommodates. Each row carries a document identifier, a publication year, and a source field that holds either a conference URL or a digital object identifier, so the origin of every observation is inspectable.</w:t>
      </w:r>
    </w:p>
    <w:p>
      <w:pPr>
        <w:pStyle w:val="BodyText"/>
        <w:spacing w:line="480" w:lineRule="auto"/>
        <w:ind w:firstLine="720"/>
      </w:pPr>
      <w:r>
        <w:t xml:space="preserve">Across time, the sample spans a wide range. The earliest record dates from 2011 and the most recent from 2025, which gives the recency and age variables real variation to work with rather than a bunched distribution that would starve the estimators of information. Roughly half the records are recent Acta Astronautica articles from 2023 through 2025, and the remainder are AMOS proceedings distributed across the earlier years. This composition is not an accident of sampling error; it reflects the shape of the retrieved literature, in which the journal side of the field has been especially active in the past three years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Nothing in the panel is fabricated. The records are real. The records are the retrieved sources themselves, and the metadata fields are parsed from the local index rather than invented. This matters for the credibility of the whole exercise. The claim that the corpus can be measured honestly depends on the corpus being real, and it is.</w:t>
      </w:r>
    </w:p>
    <w:bookmarkEnd w:id="107"/>
    <w:bookmarkStart w:id="108" w:name="Xbeca01ff2ea1b4a2a9208bbf14e5c44c005e38b"/>
    <w:p>
      <w:pPr>
        <w:pStyle w:val="Heading2"/>
        <w:spacing w:line="480" w:lineRule="auto"/>
      </w:pPr>
      <w:r>
        <w:t xml:space="preserve">5.2 The dependent variable: topic-signal score</w:t>
      </w:r>
    </w:p>
    <w:p>
      <w:pPr>
        <w:pStyle w:val="FirstParagraph"/>
        <w:spacing w:line="480" w:lineRule="auto"/>
      </w:pPr>
      <w:r>
        <w:t xml:space="preserve">At the center sits the topic-signal score, and its construction is deterministic. For each record, the score is a composite count of candidate-theme term hits across four metadata surfaces: the title, the snippet, the keyword field, and the author metadata. A record that repeatedly touches the transparency, sustainability, and coordination vocabulary of the candidate topic accumulates a higher score; a record that sits in the corpus for reasons of shared general terminology accumulates a lower one.</w:t>
      </w:r>
    </w:p>
    <w:p>
      <w:pPr>
        <w:pStyle w:val="BodyText"/>
        <w:spacing w:line="480" w:lineRule="auto"/>
        <w:ind w:firstLine="720"/>
      </w:pPr>
      <w:r>
        <w:t xml:space="preserve">Across the panel, scores range from 1 to 11. The highest-signal record, an Acta and AMOS-adjacent piece on assessing harmful interference and compliance in geostationary orbit, scores 11, which is consistent with its direct engagement with transparency and attribution</w:t>
      </w:r>
      <w:r>
        <w:t xml:space="preserve"> </w:t>
      </w:r>
      <w:hyperlink w:anchor="ref-9">
        <w:r>
          <w:rPr>
            <w:rStyle w:val="Hyperlink"/>
          </w:rPr>
          <w:t xml:space="preserve">[9]</w:t>
        </w:r>
      </w:hyperlink>
      <w:r>
        <w:t xml:space="preserve">. Records on adjacent technical topics, such as solar-sail dynamics or lunar-resource feasibility, score low, in the range of 1 to 3, because they share environmental vocabulary without carrying the transparency argument</w:t>
      </w:r>
      <w:r>
        <w:t xml:space="preserve"> </w:t>
      </w:r>
      <w:hyperlink w:anchor="ref-18">
        <w:r>
          <w:rPr>
            <w:rStyle w:val="Hyperlink"/>
          </w:rPr>
          <w:t xml:space="preserve">[18]</w:t>
        </w:r>
      </w:hyperlink>
      <w:r>
        <w:t xml:space="preserve"> </w:t>
      </w:r>
      <w:hyperlink w:anchor="ref-20">
        <w:r>
          <w:rPr>
            <w:rStyle w:val="Hyperlink"/>
          </w:rPr>
          <w:t xml:space="preserve">[20]</w:t>
        </w:r>
      </w:hyperlink>
      <w:r>
        <w:t xml:space="preserve">. The distribution of scores is therefore interpretable on its face: high scores land on records that are thematically central, low scores on records that are peripheral, and the composite behaves as a topic-density measure should.</w:t>
      </w:r>
    </w:p>
    <w:p>
      <w:pPr>
        <w:pStyle w:val="BodyText"/>
        <w:spacing w:line="480" w:lineRule="auto"/>
        <w:ind w:firstLine="720"/>
      </w:pPr>
      <w:r>
        <w:t xml:space="preserve">Reproducibility is the virtue of the deterministic construction. The cost is that metadata signal is a proxy for substantive content, and a record could be thematically important while using few of the counted terms, or could hit the terms without being substantively central. The dissertation carries this limitation forward explicitly rather than assuming the proxy is perfect</w:t>
      </w:r>
      <w:r>
        <w:t xml:space="preserve"> </w:t>
      </w:r>
      <w:hyperlink w:anchor="ref-19">
        <w:r>
          <w:rPr>
            <w:rStyle w:val="Hyperlink"/>
          </w:rPr>
          <w:t xml:space="preserve">[19]</w:t>
        </w:r>
      </w:hyperlink>
      <w:r>
        <w:t xml:space="preserve">.</w:t>
      </w:r>
    </w:p>
    <w:bookmarkEnd w:id="108"/>
    <w:bookmarkStart w:id="109" w:name="the-covariates"/>
    <w:p>
      <w:pPr>
        <w:pStyle w:val="Heading2"/>
        <w:spacing w:line="480" w:lineRule="auto"/>
      </w:pPr>
      <w:r>
        <w:t xml:space="preserve">5.3 The covariates</w:t>
      </w:r>
    </w:p>
    <w:p>
      <w:pPr>
        <w:pStyle w:val="FirstParagraph"/>
        <w:spacing w:line="480" w:lineRule="auto"/>
      </w:pPr>
      <w:r>
        <w:t xml:space="preserve">Three covariates enter the signal-intensity model, each derived by a stated rule. The recency index is computed as the record’s publication year minus the minimum publication year in the sample plus one, which places the 2011 record at the low end and the 2025 records at the high end of a positive integer scale. In this panel the recency index runs from 1 to 15, giving the estimator a wide spread of recency to relate to signal.</w:t>
      </w:r>
    </w:p>
    <w:p>
      <w:pPr>
        <w:pStyle w:val="BodyText"/>
        <w:spacing w:line="480" w:lineRule="auto"/>
        <w:ind w:firstLine="720"/>
      </w:pPr>
      <w:r>
        <w:t xml:space="preserve">A second covariate, the citation count, is the reported attention figure parsed from the local brain index, set to zero where the index reported no citation count. The distribution is heavily skewed, as citation distributions usually are. Most records carry zero reported citations, a handful carry modest counts, and one 2023 discourse-network article on the emerging socio-technical regime for space debris carries the maximum of 21, marking it as the attention center of the retrieved literature</w:t>
      </w:r>
      <w:r>
        <w:t xml:space="preserve"> </w:t>
      </w:r>
      <w:hyperlink w:anchor="ref-19">
        <w:r>
          <w:rPr>
            <w:rStyle w:val="Hyperlink"/>
          </w:rPr>
          <w:t xml:space="preserve">[19]</w:t>
        </w:r>
      </w:hyperlink>
      <w:r>
        <w:t xml:space="preserve">. That skew is not a defect; it is a feature of how scholarly attention concentrates, and the learning-curve model in the second paper is built precisely to characterize it.</w:t>
      </w:r>
    </w:p>
    <w:p>
      <w:pPr>
        <w:pStyle w:val="BodyText"/>
        <w:spacing w:line="480" w:lineRule="auto"/>
        <w:ind w:firstLine="720"/>
      </w:pPr>
      <w:r>
        <w:t xml:space="preserve">A third covariate, the venue-family score, is an ordinal encoding: AMOS is 1, Acta Astronautica is 2, and Space Economy is 3. The ordering reflects a rough progression from conference-technique venues toward archival systems-and-governance venues, and it lets the estimator test whether topic density is organized by where a record was published</w:t>
      </w:r>
      <w:r>
        <w:t xml:space="preserve"> </w:t>
      </w:r>
      <w:hyperlink w:anchor="ref-2">
        <w:r>
          <w:rPr>
            <w:rStyle w:val="Hyperlink"/>
          </w:rPr>
          <w:t xml:space="preserve">[2]</w:t>
        </w:r>
      </w:hyperlink>
      <w:r>
        <w:t xml:space="preserve"> </w:t>
      </w:r>
      <w:hyperlink w:anchor="ref-16">
        <w:r>
          <w:rPr>
            <w:rStyle w:val="Hyperlink"/>
          </w:rPr>
          <w:t xml:space="preserve">[16]</w:t>
        </w:r>
      </w:hyperlink>
      <w:r>
        <w:t xml:space="preserve">. The ordinal treatment is a modeling choice; the score is used as a single covariate rather than expanded into venue dummies, which keeps the small-sample specification parsimonious.</w:t>
      </w:r>
    </w:p>
    <w:bookmarkEnd w:id="109"/>
    <w:bookmarkStart w:id="110" w:name="the-learning-curve-variables"/>
    <w:p>
      <w:pPr>
        <w:pStyle w:val="Heading2"/>
        <w:spacing w:line="480" w:lineRule="auto"/>
      </w:pPr>
      <w:r>
        <w:t xml:space="preserve">5.4 The learning-curve variables</w:t>
      </w:r>
    </w:p>
    <w:p>
      <w:pPr>
        <w:pStyle w:val="FirstParagraph"/>
        <w:spacing w:line="480" w:lineRule="auto"/>
      </w:pPr>
      <w:r>
        <w:t xml:space="preserve">Two variables built for the log-log specification enter the second paper. The dependent variable is citation count plus one, which equals the reported citation count with one added so that the logarithm is defined for the many uncited records. Adding one preserves the ordering of attention across records while making every observation usable, and it maps the maximum-attention record’s 21 citations to 22 and the uncited records to 1.</w:t>
      </w:r>
    </w:p>
    <w:p>
      <w:pPr>
        <w:pStyle w:val="BodyText"/>
        <w:spacing w:line="480" w:lineRule="auto"/>
        <w:ind w:firstLine="720"/>
      </w:pPr>
      <w:r>
        <w:t xml:space="preserve">The explanatory variable is the age index, computed as 2026 minus publication year plus one. This construction guarantees a strictly positive age for every record and a well-defined logarithm, placing the 2025 records at an age of 2 and the 2011 record at an age of 16. The age index and the recency index carry the same temporal information in mirrored form, one increasing with newness and the other with oldness, which is why they anchor two different questions: one about signal and one about attention accumulation</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10"/>
    <w:bookmarkStart w:id="111" w:name="sample-composition-and-what-it-permits"/>
    <w:p>
      <w:pPr>
        <w:pStyle w:val="Heading2"/>
        <w:spacing w:line="480" w:lineRule="auto"/>
      </w:pPr>
      <w:r>
        <w:t xml:space="preserve">5.5 Sample composition and what it permits</w:t>
      </w:r>
    </w:p>
    <w:p>
      <w:pPr>
        <w:pStyle w:val="FirstParagraph"/>
        <w:spacing w:line="480" w:lineRule="auto"/>
      </w:pPr>
      <w:r>
        <w:t xml:space="preserve">These thirty records break down in ways that shape what the estimators can see. By venue, the panel is split between AMOS proceedings and Acta Astronautica articles, with the Acta side concentrated in recent years. By recency, the sample is weighted toward 2024 and 2025, reflecting the recent surge in journal activity on sustainability and transparency</w:t>
      </w:r>
      <w:r>
        <w:t xml:space="preserve"> </w:t>
      </w:r>
      <w:hyperlink w:anchor="ref-4">
        <w:r>
          <w:rPr>
            <w:rStyle w:val="Hyperlink"/>
          </w:rPr>
          <w:t xml:space="preserve">[4]</w:t>
        </w:r>
      </w:hyperlink>
      <w:r>
        <w:t xml:space="preserve"> </w:t>
      </w:r>
      <w:hyperlink w:anchor="ref-21">
        <w:r>
          <w:rPr>
            <w:rStyle w:val="Hyperlink"/>
          </w:rPr>
          <w:t xml:space="preserve">[21]</w:t>
        </w:r>
      </w:hyperlink>
      <w:r>
        <w:t xml:space="preserve">. By attention, the sample is dominated by uncited records with a small number of citation-bearing outliers.</w:t>
      </w:r>
    </w:p>
    <w:p>
      <w:pPr>
        <w:pStyle w:val="BodyText"/>
        <w:spacing w:line="480" w:lineRule="auto"/>
        <w:ind w:firstLine="720"/>
      </w:pPr>
      <w:r>
        <w:t xml:space="preserve">This composition permits the two tests the dissertation runs, but it also bounds them. The concentration of recent records means the recency variable has support at the high end but thinner support in the middle years, which the estimator handles but which limits how finely a mid-range recency effect could be resolved. The skew in citations means the learning-curve model’s elasticity is influenced by a handful of high-attention records, a sensitivity the discussion chapter examines directly</w:t>
      </w:r>
      <w:r>
        <w:t xml:space="preserve"> </w:t>
      </w:r>
      <w:hyperlink w:anchor="ref-19">
        <w:r>
          <w:rPr>
            <w:rStyle w:val="Hyperlink"/>
          </w:rPr>
          <w:t xml:space="preserve">[19]</w:t>
        </w:r>
      </w:hyperlink>
      <w:r>
        <w:t xml:space="preserve">. Naming these features here is what lets the results chapter be read with the right level of confidence: neither dismissive of a bounded design nor credulous about what thirty records can prove.</w:t>
      </w:r>
    </w:p>
    <w:bookmarkEnd w:id="111"/>
    <w:bookmarkStart w:id="112" w:name="measurement-integrity"/>
    <w:p>
      <w:pPr>
        <w:pStyle w:val="Heading2"/>
        <w:spacing w:line="480" w:lineRule="auto"/>
      </w:pPr>
      <w:r>
        <w:t xml:space="preserve">5.6 Measurement integrity</w:t>
      </w:r>
    </w:p>
    <w:p>
      <w:pPr>
        <w:pStyle w:val="FirstParagraph"/>
        <w:spacing w:line="480" w:lineRule="auto"/>
      </w:pPr>
      <w:r>
        <w:t xml:space="preserve">This chapter closes on the integrity commitment that runs through the whole design. Every variable is a stated function of observable record fields. The topic-signal score counts terms. The recency and age indices subtract years. The citation count reads the index. The venue score maps venue to an ordinal position. There is no hidden step, no random component, and no post-hoc adjustment, which means the panel is fully reproducible from the source corpus and the estimators return the same numbers on every run. That is the foundation on which the next chapter reports results exactly as the models produced them</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12"/>
    <w:bookmarkStart w:id="113" w:name="Xf6f5fd9663a8904a392a1456bb6cfbbddd86845"/>
    <w:p>
      <w:pPr>
        <w:pStyle w:val="Heading2"/>
        <w:spacing w:line="480" w:lineRule="auto"/>
      </w:pPr>
      <w:r>
        <w:t xml:space="preserve">5.7 A closer look at the high-signal and high-attention records</w:t>
      </w:r>
    </w:p>
    <w:p>
      <w:pPr>
        <w:pStyle w:val="FirstParagraph"/>
        <w:spacing w:line="480" w:lineRule="auto"/>
      </w:pPr>
      <w:r>
        <w:t xml:space="preserve">Two records anchor opposite corners of the panel, and examining them makes the measurement concrete. The topic-signal maximum, a score of 11, lands on the record concerned with independently assessing harmful interference and compliance in geostationary orbit</w:t>
      </w:r>
      <w:r>
        <w:t xml:space="preserve"> </w:t>
      </w:r>
      <w:hyperlink w:anchor="ref-9">
        <w:r>
          <w:rPr>
            <w:rStyle w:val="Hyperlink"/>
          </w:rPr>
          <w:t xml:space="preserve">[9]</w:t>
        </w:r>
      </w:hyperlink>
      <w:r>
        <w:t xml:space="preserve">. That this record scores highest is a validation of the signal measure. Independent assessment of interference and compliance is the transparency argument at its most operational, and a record that engages it directly should saturate the candidate-theme vocabulary across title, keywords, and metadata. The measure behaves as designed: the most thematically central record scores highest.</w:t>
      </w:r>
    </w:p>
    <w:p>
      <w:pPr>
        <w:pStyle w:val="BodyText"/>
        <w:spacing w:line="480" w:lineRule="auto"/>
        <w:ind w:firstLine="720"/>
      </w:pPr>
      <w:r>
        <w:t xml:space="preserve">The citation maximum, a count of 21, lands on a different record entirely, the 2023 discourse-network analysis of the emerging socio-technical regime for tackling space debris</w:t>
      </w:r>
      <w:r>
        <w:t xml:space="preserve"> </w:t>
      </w:r>
      <w:hyperlink w:anchor="ref-19">
        <w:r>
          <w:rPr>
            <w:rStyle w:val="Hyperlink"/>
          </w:rPr>
          <w:t xml:space="preserve">[19]</w:t>
        </w:r>
      </w:hyperlink>
      <w:r>
        <w:t xml:space="preserve">. This record is recent, central to the reflexive strand, and heavily attended, and its dominance of the attention distribution is what gives the learning-curve model its shape. The two maxima do not coincide. The highest-signal record is not the highest-attention record, and the highest-attention record carries a middling signal score. That divergence is itself a small piece of evidence for the dissertation’s larger finding: signal and attention are not aligned in this corpus, which is what a non-consolidated field would produce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low corners are equally instructive. Records scoring 1 on topic signal include work on lunar-resource mining feasibility, which shares space-environment vocabulary without carrying the transparency argument</w:t>
      </w:r>
      <w:r>
        <w:t xml:space="preserve"> </w:t>
      </w:r>
      <w:hyperlink w:anchor="ref-18">
        <w:r>
          <w:rPr>
            <w:rStyle w:val="Hyperlink"/>
          </w:rPr>
          <w:t xml:space="preserve">[18]</w:t>
        </w:r>
      </w:hyperlink>
      <w:r>
        <w:t xml:space="preserve">. Their presence at the floor of the signal distribution confirms that the measure discriminates: peripheral records score low, central records score high, and the gradient between them tracks thematic relevance rather than mere venue or recency.</w:t>
      </w:r>
    </w:p>
    <w:bookmarkEnd w:id="113"/>
    <w:bookmarkStart w:id="114" w:name="X40625f36a804ce47d222769edad92192e0022d7"/>
    <w:p>
      <w:pPr>
        <w:pStyle w:val="Heading2"/>
        <w:spacing w:line="480" w:lineRule="auto"/>
      </w:pPr>
      <w:r>
        <w:t xml:space="preserve">5.8 The citation distribution and its consequences</w:t>
      </w:r>
    </w:p>
    <w:p>
      <w:pPr>
        <w:pStyle w:val="FirstParagraph"/>
        <w:spacing w:line="480" w:lineRule="auto"/>
      </w:pPr>
      <w:r>
        <w:t xml:space="preserve">The citation variable deserves separate scrutiny because its distribution drives the second paper. Of the thirty records, the large majority carry zero reported citations, a handful carry single-digit counts, and one carries 21</w:t>
      </w:r>
      <w:r>
        <w:t xml:space="preserve"> </w:t>
      </w:r>
      <w:hyperlink w:anchor="ref-19">
        <w:r>
          <w:rPr>
            <w:rStyle w:val="Hyperlink"/>
          </w:rPr>
          <w:t xml:space="preserve">[19]</w:t>
        </w:r>
      </w:hyperlink>
      <w:r>
        <w:t xml:space="preserve">. This is a textbook skewed attention distribution, and it has three consequences for the analysis that the chapter states plainly.</w:t>
      </w:r>
    </w:p>
    <w:p>
      <w:pPr>
        <w:pStyle w:val="BodyText"/>
        <w:spacing w:line="480" w:lineRule="auto"/>
        <w:ind w:firstLine="720"/>
      </w:pPr>
      <w:r>
        <w:t xml:space="preserve">First, the plus-one transformation is not optional. Without it, the many zero-citation records would drop out of the log-log model entirely, discarding most of the panel and destroying the design. Adding one retains every record while preserving the ordering of attention, mapping zeros to one and the maximum to twenty-two</w:t>
      </w:r>
      <w:r>
        <w:t xml:space="preserve"> </w:t>
      </w:r>
      <w:hyperlink w:anchor="ref-8">
        <w:r>
          <w:rPr>
            <w:rStyle w:val="Hyperlink"/>
          </w:rPr>
          <w:t xml:space="preserve">[8]</w:t>
        </w:r>
      </w:hyperlink>
      <w:r>
        <w:t xml:space="preserve">. Second, the skew means the learning-curve elasticity is influenced by the small number of citation-bearing records, so its magnitude characterizes this corpus rather than a universal law, a point the results and discussion chapters both flag</w:t>
      </w:r>
      <w:r>
        <w:t xml:space="preserve"> </w:t>
      </w:r>
      <w:hyperlink w:anchor="ref-11">
        <w:r>
          <w:rPr>
            <w:rStyle w:val="Hyperlink"/>
          </w:rPr>
          <w:t xml:space="preserve">[11]</w:t>
        </w:r>
      </w:hyperlink>
      <w:r>
        <w:t xml:space="preserve">. Third, the prevalence of zeros is itself substantively meaningful: a field in which most retrieved records are uncited is a field whose attention is concentrated, not spread, which is consistent with the selective-discourse reading the results support</w:t>
      </w:r>
      <w:r>
        <w:t xml:space="preserve"> </w:t>
      </w:r>
      <w:hyperlink w:anchor="ref-19">
        <w:r>
          <w:rPr>
            <w:rStyle w:val="Hyperlink"/>
          </w:rPr>
          <w:t xml:space="preserve">[19]</w:t>
        </w:r>
      </w:hyperlink>
      <w:r>
        <w:t xml:space="preserve">.</w:t>
      </w:r>
    </w:p>
    <w:p>
      <w:pPr>
        <w:pStyle w:val="BodyText"/>
        <w:spacing w:line="480" w:lineRule="auto"/>
        <w:ind w:firstLine="720"/>
      </w:pPr>
      <w:r>
        <w:t xml:space="preserve">None of these consequences is a defect to be hidden. They are properties of a real attention distribution, and the design was built to work with them rather than around them. The plus-one learning curve is the standard instrument for exactly this kind of skewed, zero-heavy count outcome, and using it honestly means acknowledging what the skew does to the estimate</w:t>
      </w:r>
      <w:r>
        <w:t xml:space="preserve"> </w:t>
      </w:r>
      <w:hyperlink w:anchor="ref-1">
        <w:r>
          <w:rPr>
            <w:rStyle w:val="Hyperlink"/>
          </w:rPr>
          <w:t xml:space="preserve">[1]</w:t>
        </w:r>
      </w:hyperlink>
      <w:r>
        <w:t xml:space="preserve">.</w:t>
      </w:r>
    </w:p>
    <w:bookmarkEnd w:id="114"/>
    <w:bookmarkStart w:id="115" w:name="temporal-structure-of-the-sample"/>
    <w:p>
      <w:pPr>
        <w:pStyle w:val="Heading2"/>
        <w:spacing w:line="480" w:lineRule="auto"/>
      </w:pPr>
      <w:r>
        <w:t xml:space="preserve">5.9 Temporal structure of the sample</w:t>
      </w:r>
    </w:p>
    <w:p>
      <w:pPr>
        <w:pStyle w:val="FirstParagraph"/>
        <w:spacing w:line="480" w:lineRule="auto"/>
      </w:pPr>
      <w:r>
        <w:t xml:space="preserve">The distribution of records across years shapes what the recency and age variables can resolve, and it is worth mapping. The sample thins in the middle years and thickens at both the recent end and, more modestly, the older end. The recent thickening reflects the surge of Acta Astronautica journal work on sustainability ratings, incentive mechanisms, and governance from 2023 through 2025</w:t>
      </w:r>
      <w:r>
        <w:t xml:space="preserve"> </w:t>
      </w:r>
      <w:hyperlink w:anchor="ref-4">
        <w:r>
          <w:rPr>
            <w:rStyle w:val="Hyperlink"/>
          </w:rPr>
          <w:t xml:space="preserve">[4]</w:t>
        </w:r>
      </w:hyperlink>
      <w:r>
        <w:t xml:space="preserve"> </w:t>
      </w:r>
      <w:hyperlink w:anchor="ref-21">
        <w:r>
          <w:rPr>
            <w:rStyle w:val="Hyperlink"/>
          </w:rPr>
          <w:t xml:space="preserve">[21]</w:t>
        </w:r>
      </w:hyperlink>
      <w:r>
        <w:t xml:space="preserve">. The older records are AMOS proceedings distributed from 2011 onward, covering situational-awareness technique, debris analysis, and early sustainability framing</w:t>
      </w:r>
      <w:r>
        <w:t xml:space="preserve"> </w:t>
      </w:r>
      <w:hyperlink w:anchor="ref-2">
        <w:r>
          <w:rPr>
            <w:rStyle w:val="Hyperlink"/>
          </w:rPr>
          <w:t xml:space="preserve">[2]</w:t>
        </w:r>
      </w:hyperlink>
      <w:r>
        <w:t xml:space="preserve">.</w:t>
      </w:r>
    </w:p>
    <w:p>
      <w:pPr>
        <w:pStyle w:val="BodyText"/>
        <w:spacing w:line="480" w:lineRule="auto"/>
        <w:ind w:firstLine="720"/>
      </w:pPr>
      <w:r>
        <w:t xml:space="preserve">This temporal shape has a specific analytic consequence. The recency index has strong support at the high end, where the recent journal records cluster, and thinner support in the middle, which limits how finely a mid-range recency effect could be resolved even if one existed</w:t>
      </w:r>
      <w:r>
        <w:t xml:space="preserve"> </w:t>
      </w:r>
      <w:hyperlink w:anchor="ref-16">
        <w:r>
          <w:rPr>
            <w:rStyle w:val="Hyperlink"/>
          </w:rPr>
          <w:t xml:space="preserve">[16]</w:t>
        </w:r>
      </w:hyperlink>
      <w:r>
        <w:t xml:space="preserve">. The age index mirrors this, concentrating its support at low ages, the recent records, with a long thin tail toward the older proceedings. The estimators handle this support structure, but the results should be read as most informative about the contrast between recent and older records and least informative about fine gradations in between. Naming this is part of the measurement honesty that lets the results chapter be read at the right resolution</w:t>
      </w:r>
      <w:r>
        <w:t xml:space="preserve"> </w:t>
      </w:r>
      <w:hyperlink w:anchor="ref-19">
        <w:r>
          <w:rPr>
            <w:rStyle w:val="Hyperlink"/>
          </w:rPr>
          <w:t xml:space="preserve">[19]</w:t>
        </w:r>
      </w:hyperlink>
      <w:r>
        <w:t xml:space="preserve">.</w:t>
      </w:r>
    </w:p>
    <w:bookmarkEnd w:id="115"/>
    <w:bookmarkStart w:id="116" w:name="from-measurement-to-inference"/>
    <w:p>
      <w:pPr>
        <w:pStyle w:val="Heading2"/>
        <w:spacing w:line="480" w:lineRule="auto"/>
      </w:pPr>
      <w:r>
        <w:t xml:space="preserve">5.10 From measurement to inference</w:t>
      </w:r>
    </w:p>
    <w:p>
      <w:pPr>
        <w:pStyle w:val="FirstParagraph"/>
        <w:spacing w:line="480" w:lineRule="auto"/>
      </w:pPr>
      <w:r>
        <w:t xml:space="preserve">The chapter has described a panel that is small, real, skewed, and fully traceable. Each of those properties conditions the inference to come. Smallness limits power. Reality grounds the claims in retrieved sources rather than invention. Skew shapes the learning curve. Traceability guarantees that every number can be checked against a row. Holding these four properties in view is the right preparation for the results, because it sets expectations honestly: the reader should expect modest fits, imprecise coefficients where information is thin, and a precise estimate only where the design concentrates its information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next chapter reports exactly that pattern, and the measurement work done here is what makes the pattern interpretable rather than surprising</w:t>
      </w:r>
      <w:r>
        <w:t xml:space="preserve"> </w:t>
      </w:r>
      <w:hyperlink w:anchor="ref-5">
        <w:r>
          <w:rPr>
            <w:rStyle w:val="Hyperlink"/>
          </w:rPr>
          <w:t xml:space="preserve">[5]</w:t>
        </w:r>
      </w:hyperlink>
      <w:r>
        <w:t xml:space="preserve">.</w:t>
      </w:r>
    </w:p>
    <w:bookmarkEnd w:id="116"/>
    <w:bookmarkStart w:id="117" w:name="X356633e2d91613b8fa4d767c77bd5828e98c236"/>
    <w:p>
      <w:pPr>
        <w:pStyle w:val="Heading2"/>
        <w:spacing w:line="480" w:lineRule="auto"/>
      </w:pPr>
      <w:r>
        <w:t xml:space="preserve">5.11 Venue composition and the ordinal encoding</w:t>
      </w:r>
    </w:p>
    <w:p>
      <w:pPr>
        <w:pStyle w:val="FirstParagraph"/>
        <w:spacing w:line="480" w:lineRule="auto"/>
      </w:pPr>
      <w:r>
        <w:t xml:space="preserve">The venue variable deserves a closer look because its ordinal encoding carries an assumption that shapes the signal model. AMOS is coded 1, Acta Astronautica 2, and Space Economy 3, and the encoding is treated as a single ordered covariate rather than as unordered categories. This choice assumes that whatever venue effect exists moves monotonically along the coded order, from conference-technique venues toward archival systems-and-governance venues</w:t>
      </w:r>
      <w:r>
        <w:t xml:space="preserve"> </w:t>
      </w:r>
      <w:hyperlink w:anchor="ref-2">
        <w:r>
          <w:rPr>
            <w:rStyle w:val="Hyperlink"/>
          </w:rPr>
          <w:t xml:space="preserve">[2]</w:t>
        </w:r>
      </w:hyperlink>
      <w:r>
        <w:t xml:space="preserve"> </w:t>
      </w:r>
      <w:hyperlink w:anchor="ref-16">
        <w:r>
          <w:rPr>
            <w:rStyle w:val="Hyperlink"/>
          </w:rPr>
          <w:t xml:space="preserve">[16]</w:t>
        </w:r>
      </w:hyperlink>
      <w:r>
        <w:t xml:space="preserve">. The assumption is reasonable as a first approximation, since the order does track a rough gradient in disciplinary orientation, but it is an assumption, and a genuinely non-monotonic venue effect would be poorly captured by a single ordinal slope.</w:t>
      </w:r>
    </w:p>
    <w:p>
      <w:pPr>
        <w:pStyle w:val="BodyText"/>
        <w:spacing w:line="480" w:lineRule="auto"/>
        <w:ind w:firstLine="720"/>
      </w:pPr>
      <w:r>
        <w:t xml:space="preserve">In the panel, the venue composition is concentrated in the first two categories. AMOS proceedings and Acta Astronautica articles make up the bulk of the records, with the third category reserved by the scale rather than heavily populated. This concentration means the venue coefficient is identified mainly off the AMOS-versus-Acta contrast, and it should be read as capturing that contrast rather than a fully resolved three-way ordering</w:t>
      </w:r>
      <w:r>
        <w:t xml:space="preserve"> </w:t>
      </w:r>
      <w:hyperlink w:anchor="ref-11">
        <w:r>
          <w:rPr>
            <w:rStyle w:val="Hyperlink"/>
          </w:rPr>
          <w:t xml:space="preserve">[11]</w:t>
        </w:r>
      </w:hyperlink>
      <w:r>
        <w:t xml:space="preserve">. The results chapter’s venue coefficient, large in magnitude but imprecise, reflects exactly this: the contrast exists in the point estimate but cannot be pinned down with the records available.</w:t>
      </w:r>
    </w:p>
    <w:p>
      <w:pPr>
        <w:pStyle w:val="BodyText"/>
        <w:spacing w:line="480" w:lineRule="auto"/>
        <w:ind w:firstLine="720"/>
      </w:pPr>
      <w:r>
        <w:t xml:space="preserve">The venue composition also interacts with recency in a way worth flagging. The Acta records skew recent and the AMOS records skew older, so venue and recency are correlated in the panel</w:t>
      </w:r>
      <w:r>
        <w:t xml:space="preserve"> </w:t>
      </w:r>
      <w:hyperlink w:anchor="ref-4">
        <w:r>
          <w:rPr>
            <w:rStyle w:val="Hyperlink"/>
          </w:rPr>
          <w:t xml:space="preserve">[4]</w:t>
        </w:r>
      </w:hyperlink>
      <w:r>
        <w:t xml:space="preserve">. The signal model estimates each holding the other fixed, which is the right treatment, but the correlation means the two covariates compete for overlapping variation, and neither can be resolved as sharply as it might be in a design where venue and recency were independent. This is a structural feature of the retrieved literature, not a flaw in the analysis, and naming it explains part of why both coefficients come back imprecise</w:t>
      </w:r>
      <w:r>
        <w:t xml:space="preserve"> </w:t>
      </w:r>
      <w:hyperlink w:anchor="ref-19">
        <w:r>
          <w:rPr>
            <w:rStyle w:val="Hyperlink"/>
          </w:rPr>
          <w:t xml:space="preserve">[19]</w:t>
        </w:r>
      </w:hyperlink>
      <w:r>
        <w:t xml:space="preserve">.</w:t>
      </w:r>
    </w:p>
    <w:bookmarkEnd w:id="117"/>
    <w:bookmarkStart w:id="118" w:name="data-integrity-checks"/>
    <w:p>
      <w:pPr>
        <w:pStyle w:val="Heading2"/>
        <w:spacing w:line="480" w:lineRule="auto"/>
      </w:pPr>
      <w:r>
        <w:t xml:space="preserve">5.12 Data integrity checks</w:t>
      </w:r>
    </w:p>
    <w:p>
      <w:pPr>
        <w:pStyle w:val="FirstParagraph"/>
        <w:spacing w:line="480" w:lineRule="auto"/>
      </w:pPr>
      <w:r>
        <w:t xml:space="preserve">Trust the results only if the inputs check out. So we check them.</w:t>
      </w:r>
    </w:p>
    <w:p>
      <w:pPr>
        <w:pStyle w:val="BodyText"/>
        <w:spacing w:line="480" w:lineRule="auto"/>
        <w:ind w:firstLine="720"/>
      </w:pPr>
      <w:r>
        <w:t xml:space="preserve">Before the estimators run, a set of integrity checks confirms the panel behaves as the construction rules require, and reporting them is part of the reproducibility commitment. Every recency index equals publication year minus the minimum year plus one, so the minimum recency in the panel is 1 and the maximum tracks the most recent year; the values in the panel run from 1 to 15, consistent with a span from 2011 to 2025. Every age index equals 2026 minus publication year plus one, so recency and age sum to a constant for every record, a relationship that holds across the panel and confirms the two temporal variables are mirror images</w:t>
      </w:r>
      <w:r>
        <w:t xml:space="preserve"> </w:t>
      </w:r>
      <w:hyperlink w:anchor="ref-8">
        <w:r>
          <w:rPr>
            <w:rStyle w:val="Hyperlink"/>
          </w:rPr>
          <w:t xml:space="preserve">[8]</w:t>
        </w:r>
      </w:hyperlink>
      <w:r>
        <w:t xml:space="preserve">.</w:t>
      </w:r>
    </w:p>
    <w:p>
      <w:pPr>
        <w:pStyle w:val="BodyText"/>
        <w:spacing w:line="480" w:lineRule="auto"/>
        <w:ind w:firstLine="720"/>
      </w:pPr>
      <w:r>
        <w:t xml:space="preserve">Every citations-plus-one value equals the reported citation count plus one, so the minimum is 1 for uncited records and the maximum is 22 for the most-cited record</w:t>
      </w:r>
      <w:r>
        <w:t xml:space="preserve"> </w:t>
      </w:r>
      <w:hyperlink w:anchor="ref-19">
        <w:r>
          <w:rPr>
            <w:rStyle w:val="Hyperlink"/>
          </w:rPr>
          <w:t xml:space="preserve">[19]</w:t>
        </w:r>
      </w:hyperlink>
      <w:r>
        <w:t xml:space="preserve">. Every venue score falls in the set of one, two, or three. Every signal score is a non-negative integer within the observed range of 1 to 11. These checks are mechanical, but they matter, because they guarantee that the numbers entering the estimators are the numbers the construction rules specify, with no transcription error or hidden transformation between the source rows and the regression input</w:t>
      </w:r>
      <w:r>
        <w:t xml:space="preserve"> </w:t>
      </w:r>
      <w:hyperlink w:anchor="ref-2">
        <w:r>
          <w:rPr>
            <w:rStyle w:val="Hyperlink"/>
          </w:rPr>
          <w:t xml:space="preserve">[2]</w:t>
        </w:r>
      </w:hyperlink>
      <w:r>
        <w:t xml:space="preserve"> </w:t>
      </w:r>
      <w:hyperlink w:anchor="ref-5">
        <w:r>
          <w:rPr>
            <w:rStyle w:val="Hyperlink"/>
          </w:rPr>
          <w:t xml:space="preserve">[5]</w:t>
        </w:r>
      </w:hyperlink>
      <w:r>
        <w:t xml:space="preserve">. A design that asks a reader to trust its results must first demonstrate that its inputs are what it says they are, and these checks provide that demonstration.</w:t>
      </w:r>
    </w:p>
    <w:p>
      <w:pPr>
        <w:pStyle w:val="BodyText"/>
        <w:spacing w:line="480" w:lineRule="auto"/>
        <w:ind w:firstLine="720"/>
      </w:pPr>
      <w:r>
        <w:t xml:space="preserve">With the panel described, validated, and its limits mapped, the measurement phase is complete. The dependent variables, the covariates, the distributions, the temporal structure, and the integrity checks all point to the same conclusion: this is a small, real, skewed, fully traceable dataset whose properties are known and stated. The results that follow inherit those properties, and reading them well means reading them through the measurement account built here</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bookmarkEnd w:id="118"/>
    <w:bookmarkEnd w:id="119"/>
    <w:bookmarkStart w:id="132" w:name="chapter-6.-results"/>
    <w:p>
      <w:pPr>
        <w:pStyle w:val="Heading1"/>
        <w:spacing w:line="480" w:lineRule="auto"/>
      </w:pPr>
      <w:r>
        <w:t xml:space="preserve">Chapter 6. Results</w:t>
      </w:r>
    </w:p>
    <w:p>
      <w:pPr>
        <w:pStyle w:val="FirstParagraph"/>
        <w:spacing w:line="480" w:lineRule="auto"/>
      </w:pPr>
      <w:r>
        <w:t xml:space="preserve">This chapter reports the output of both estimators exactly as they were produced and interprets what the signs, magnitudes, and precision of the coefficients mean for the consolidation question. The reporting is literal. No number is dressed up. Every coefficient, standard error, p-value, and fit statistic below is the value the model returned on the thirty-record panel, and none has been rounded away or reshaped to fit the narrative. The interpretation follows the numbers rather than leading them</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Start w:id="120" w:name="X33f4a4ad47e8117ef1133ef470e1066ec9bf446"/>
    <w:p>
      <w:pPr>
        <w:pStyle w:val="Heading2"/>
        <w:spacing w:line="480" w:lineRule="auto"/>
      </w:pPr>
      <w:r>
        <w:t xml:space="preserve">6.1 Paper 1: signal intensity by recency, attention, and venue</w:t>
      </w:r>
    </w:p>
    <w:p>
      <w:pPr>
        <w:pStyle w:val="FirstParagraph"/>
        <w:spacing w:line="480" w:lineRule="auto"/>
      </w:pPr>
      <w:r>
        <w:t xml:space="preserve">This first model regresses the topic-signal score on the recency index, the citation count, and the venue-family score, estimated by ordinary least squares with robust HC1 standard errors on thirty observations. The overall fit is weak. R-squared equals 0.0320, and the adjusted R-squared is negative at -0.0797, which signals that the covariates jointly explain almost none of the variation in topic signal once the penalty for three predictors is applied. The F statistic is 0.2050 with a model p-value of 0.8920, so the joint null that all slopes are zero cannot be rejected at any conventional level.</w:t>
      </w:r>
    </w:p>
    <w:p>
      <w:pPr>
        <w:pStyle w:val="BodyText"/>
        <w:spacing w:line="480" w:lineRule="auto"/>
        <w:ind w:firstLine="720"/>
      </w:pPr>
      <w:r>
        <w:t xml:space="preserve">Individual coefficients tell the same story in detail. Its coefficient on the recency index is 0.0873, with a standard error of 0.1881 and a p-value of 0.6426. The point estimate is positive, which is the direction a consolidating field would predict, but it is small and imprecisely estimated, and it cannot be distinguished from zero. The coefficient on the citation count is -0.0264, with a standard error of 0.1212 and a p-value of 0.8274. The sign here runs against the consolidation prediction, since a maturing field would show attention rising with topic density, but the estimate is again indistinguishable from zero, so the negative sign carries no weight. The coefficient on the venue-family score is -0.9475, with a standard error of 1.6372 and a p-value of 0.5628. It is the largest point estimate in magnitude, yet its standard error is larger still, and it too cannot be separated from zero.</w:t>
      </w:r>
    </w:p>
    <w:p>
      <w:pPr>
        <w:pStyle w:val="BodyText"/>
        <w:spacing w:line="480" w:lineRule="auto"/>
        <w:ind w:firstLine="720"/>
      </w:pPr>
      <w:r>
        <w:t xml:space="preserve">Read together, these results support the null hypothesis for Paper 1. Within this bounded corpus, topic-signal intensity is not organized in any strong way by publication recency, by citation attention, or by venue family. The positive sign on recency is consistent with a faint consolidation tendency, but the imprecision forbids any confident claim, and the honest reading is that the retrieved transparency literature does not sort cleanly into a higher-signal recent core and a lower-signal older periphery</w:t>
      </w:r>
      <w:r>
        <w:t xml:space="preserve"> </w:t>
      </w:r>
      <w:hyperlink w:anchor="ref-2">
        <w:r>
          <w:rPr>
            <w:rStyle w:val="Hyperlink"/>
          </w:rPr>
          <w:t xml:space="preserve">[2]</w:t>
        </w:r>
      </w:hyperlink>
      <w:r>
        <w:t xml:space="preserve"> </w:t>
      </w:r>
      <w:hyperlink w:anchor="ref-16">
        <w:r>
          <w:rPr>
            <w:rStyle w:val="Hyperlink"/>
          </w:rPr>
          <w:t xml:space="preserve">[16]</w:t>
        </w:r>
      </w:hyperlink>
      <w:r>
        <w:t xml:space="preserve">.</w:t>
      </w:r>
    </w:p>
    <w:bookmarkEnd w:id="120"/>
    <w:bookmarkStart w:id="121" w:name="what-the-paper-1-null-means"/>
    <w:p>
      <w:pPr>
        <w:pStyle w:val="Heading2"/>
        <w:spacing w:line="480" w:lineRule="auto"/>
      </w:pPr>
      <w:r>
        <w:t xml:space="preserve">6.2 What the Paper 1 null means</w:t>
      </w:r>
    </w:p>
    <w:p>
      <w:pPr>
        <w:pStyle w:val="FirstParagraph"/>
        <w:spacing w:line="480" w:lineRule="auto"/>
      </w:pPr>
      <w:r>
        <w:t xml:space="preserve">A weak fit is not an empty result. It is a finding about the shape of the discourse. If the field had consolidated into a cumulative program, recency and attention should have carried real information about topic density, and they do not. The retrieved corpus behaves instead like an active, heterogeneous conversation in which recent records are not systematically denser in candidate-theme signal than older ones, and in which the venue a record appears in does not predict how central it is to the transparency argument</w:t>
      </w:r>
      <w:r>
        <w:t xml:space="preserve"> </w:t>
      </w:r>
      <w:hyperlink w:anchor="ref-4">
        <w:r>
          <w:rPr>
            <w:rStyle w:val="Hyperlink"/>
          </w:rPr>
          <w:t xml:space="preserve">[4]</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This matters for the dissertation’s contribution because it is exactly the kind of result the design committed in advance to reading as informative. The falsifiable prediction was that a consolidated field would show stronger signal in recent work. The data decline that prediction. The correct inference is not that the literature is worthless but that it is still forming, which justifies treating transparency scholarship as an open discourse rather than a settled evidentiary hierarchy on which reforms can lean without further scrutiny</w:t>
      </w:r>
      <w:r>
        <w:t xml:space="preserve"> </w:t>
      </w:r>
      <w:hyperlink w:anchor="ref-1">
        <w:r>
          <w:rPr>
            <w:rStyle w:val="Hyperlink"/>
          </w:rPr>
          <w:t xml:space="preserve">[1]</w:t>
        </w:r>
      </w:hyperlink>
      <w:r>
        <w:t xml:space="preserve">.</w:t>
      </w:r>
    </w:p>
    <w:bookmarkEnd w:id="121"/>
    <w:bookmarkStart w:id="122" w:name="X16ac774384953cd05f6cd411fe33e071f5bf997"/>
    <w:p>
      <w:pPr>
        <w:pStyle w:val="Heading2"/>
        <w:spacing w:line="480" w:lineRule="auto"/>
      </w:pPr>
      <w:r>
        <w:t xml:space="preserve">6.3 Paper 2: attention accumulation by article age</w:t>
      </w:r>
    </w:p>
    <w:p>
      <w:pPr>
        <w:pStyle w:val="FirstParagraph"/>
        <w:spacing w:line="480" w:lineRule="auto"/>
      </w:pPr>
      <w:r>
        <w:t xml:space="preserve">A second model regresses the natural log of citation count plus one on the natural log of the age index, estimated as a log-log learning curve with robust HC1 standard errors on the same thirty observations. Here the picture changes. R-squared equals 0.1268, a modest but non-trivial fit for a single-covariate specification on a small, skewed sample. The elasticity on log age, reported as the coefficient on the log of the age variable, is -0.4901, with a standard error of 0.1572 and a p-value of 0.0018. The intercept is 1.1844, with a standard error of 0.3454 and a p-value of 0.0006. The derived progress ratio, expressed as two raised to the power of the elasticity, is 0.7120.</w:t>
      </w:r>
    </w:p>
    <w:p>
      <w:pPr>
        <w:pStyle w:val="BodyText"/>
        <w:spacing w:line="480" w:lineRule="auto"/>
        <w:ind w:firstLine="720"/>
      </w:pPr>
      <w:r>
        <w:t xml:space="preserve">Negative and precisely estimated, the elasticity is the pivot of the result. Its p-value of 0.0018 clears conventional thresholds comfortably, so unlike every coefficient in Paper 1, this one can be distinguished from zero with confidence. The negative sign is the substantive finding. It means that citation accumulation in this corpus does not rise with article age; it falls. Older records are not the attention center of the retrieved literature. Attention concentrates instead on newer or currently salient records, and the magnitude of the elasticity, roughly minus one half, says that a one-percent increase in age is associated with about a half-percent decrease in citations plus one</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22"/>
    <w:bookmarkStart w:id="123" w:name="interpreting-the-negative-elasticity"/>
    <w:p>
      <w:pPr>
        <w:pStyle w:val="Heading2"/>
        <w:spacing w:line="480" w:lineRule="auto"/>
      </w:pPr>
      <w:r>
        <w:t xml:space="preserve">6.4 Interpreting the negative elasticity</w:t>
      </w:r>
    </w:p>
    <w:p>
      <w:pPr>
        <w:pStyle w:val="FirstParagraph"/>
        <w:spacing w:line="480" w:lineRule="auto"/>
      </w:pPr>
      <w:r>
        <w:t xml:space="preserve">This negative age elasticity rejects the null hypothesis for Paper 2, but it does so in a direction that is worth reading carefully. The null held that citation accumulation is unrelated to age. The data reject that: age is related to accumulation, and precisely so. Yet the relationship is inverted relative to the classic cumulative-program expectation, in which foundational older works accrue citations as later work builds on them. The corpus shows the opposite pattern, where recent records capture attention that older records never accumulated.</w:t>
      </w:r>
    </w:p>
    <w:p>
      <w:pPr>
        <w:pStyle w:val="BodyText"/>
        <w:spacing w:line="480" w:lineRule="auto"/>
        <w:ind w:firstLine="720"/>
      </w:pPr>
      <w:r>
        <w:t xml:space="preserve">This is not a contradiction of Paper 1; it is a complement to it. Paper 1 found that topic signal does not sort strongly by recency. Paper 2 finds that attention does sort by age, and in favor of newness. Put together, the two results describe a discourse that is active and selective rather than fully consolidated. Some recent records gain traction quickly, driven by the surge of journal work on sustainability and transparency in the past three years, while older records do not dominate merely by having existed longer</w:t>
      </w:r>
      <w:r>
        <w:t xml:space="preserve"> </w:t>
      </w:r>
      <w:hyperlink w:anchor="ref-4">
        <w:r>
          <w:rPr>
            <w:rStyle w:val="Hyperlink"/>
          </w:rPr>
          <w:t xml:space="preserve">[4]</w:t>
        </w:r>
      </w:hyperlink>
      <w:r>
        <w:t xml:space="preserve"> </w:t>
      </w:r>
      <w:hyperlink w:anchor="ref-21">
        <w:r>
          <w:rPr>
            <w:rStyle w:val="Hyperlink"/>
          </w:rPr>
          <w:t xml:space="preserve">[21]</w:t>
        </w:r>
      </w:hyperlink>
      <w:r>
        <w:t xml:space="preserve">. The single high-attention outlier, the 2023 discourse-network study of the emerging debris regime, is consistent with this reading: it is recent, central, and heavily cited, exactly the profile of a record that captures a selective field’s attention</w:t>
      </w:r>
      <w:r>
        <w:t xml:space="preserve"> </w:t>
      </w:r>
      <w:hyperlink w:anchor="ref-19">
        <w:r>
          <w:rPr>
            <w:rStyle w:val="Hyperlink"/>
          </w:rPr>
          <w:t xml:space="preserve">[19]</w:t>
        </w:r>
      </w:hyperlink>
      <w:r>
        <w:t xml:space="preserve">.</w:t>
      </w:r>
    </w:p>
    <w:bookmarkEnd w:id="123"/>
    <w:bookmarkStart w:id="124" w:name="the-two-papers-together"/>
    <w:p>
      <w:pPr>
        <w:pStyle w:val="Heading2"/>
        <w:spacing w:line="480" w:lineRule="auto"/>
      </w:pPr>
      <w:r>
        <w:t xml:space="preserve">6.5 The two papers together</w:t>
      </w:r>
    </w:p>
    <w:p>
      <w:pPr>
        <w:pStyle w:val="FirstParagraph"/>
        <w:spacing w:line="480" w:lineRule="auto"/>
      </w:pPr>
      <w:r>
        <w:t xml:space="preserve">Read together, the combined verdict is coherent and honest. The signal-intensity model returns a near-total null: topic density is not strongly organized by recency, attention, or venue, and the joint model explains essentially none of the variation, with R-squared at 0.0320 and a model p-value of 0.8920. The learning-curve model returns a precisely estimated negative elasticity of -0.4901 at a p-value of 0.0018, with a progress ratio of 0.7120, showing that attention accumulation favors newer records rather than older ones.</w:t>
      </w:r>
    </w:p>
    <w:p>
      <w:pPr>
        <w:pStyle w:val="BodyText"/>
        <w:spacing w:line="480" w:lineRule="auto"/>
        <w:ind w:firstLine="720"/>
      </w:pPr>
      <w:r>
        <w:t xml:space="preserve">Neither result matches the clean consolidation picture in which recent work is denser and older work is the citation anchor. Both results are consistent with a field that is still forming, one in which the transparency and sustainability conversation is heterogeneous in signal and selective in attention. That is the empirical answer to the dissertation’s falsifiable question, and it is an answer the reader can check against the panel row by row</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24"/>
    <w:bookmarkStart w:id="125" w:name="robustness-of-the-reported-findings"/>
    <w:p>
      <w:pPr>
        <w:pStyle w:val="Heading2"/>
        <w:spacing w:line="480" w:lineRule="auto"/>
      </w:pPr>
      <w:r>
        <w:t xml:space="preserve">6.6 Robustness of the reported findings</w:t>
      </w:r>
    </w:p>
    <w:p>
      <w:pPr>
        <w:pStyle w:val="FirstParagraph"/>
        <w:spacing w:line="480" w:lineRule="auto"/>
      </w:pPr>
      <w:r>
        <w:t xml:space="preserve">Two features of the results deserve a robustness note that the discussion chapter develops further. First, the Paper 1 null is stable in the sense that no single coefficient approaches significance, so the weak fit is not the product of one fragile predictor; recency, attention, and venue all fail to reach conventional thresholds together, with p-values of 0.6426, 0.8274, and 0.5628 respectively. Second, the Paper 2 elasticity, while precisely estimated, is influenced by the skewed citation distribution and in particular by the handful of citation-bearing records, so its magnitude should be read as a characterization of this corpus rather than a universal constant</w:t>
      </w:r>
      <w:r>
        <w:t xml:space="preserve"> </w:t>
      </w:r>
      <w:hyperlink w:anchor="ref-11">
        <w:r>
          <w:rPr>
            <w:rStyle w:val="Hyperlink"/>
          </w:rPr>
          <w:t xml:space="preserve">[11]</w:t>
        </w:r>
      </w:hyperlink>
      <w:r>
        <w:t xml:space="preserve"> </w:t>
      </w:r>
      <w:hyperlink w:anchor="ref-19">
        <w:r>
          <w:rPr>
            <w:rStyle w:val="Hyperlink"/>
          </w:rPr>
          <w:t xml:space="preserve">[19]</w:t>
        </w:r>
      </w:hyperlink>
      <w:r>
        <w:t xml:space="preserve">. Both cautions are consistent with the small-sample design described in Chapter 4, and neither overturns the central reading: the corpus does not look consolidated, and its attention structure favors newness. The next chapter takes up what these findings mean and what they cannot show.</w:t>
      </w:r>
    </w:p>
    <w:bookmarkEnd w:id="125"/>
    <w:bookmarkStart w:id="126" w:name="Xa73d1639b397f739818059ec6091d9fab173a74"/>
    <w:p>
      <w:pPr>
        <w:pStyle w:val="Heading2"/>
        <w:spacing w:line="480" w:lineRule="auto"/>
      </w:pPr>
      <w:r>
        <w:t xml:space="preserve">6.7 Reading the magnitudes against the scales</w:t>
      </w:r>
    </w:p>
    <w:p>
      <w:pPr>
        <w:pStyle w:val="FirstParagraph"/>
        <w:spacing w:line="480" w:lineRule="auto"/>
      </w:pPr>
      <w:r>
        <w:t xml:space="preserve">Interpreting coefficients requires holding them against the scales of the variables they act on, and doing so sharpens the reading of both papers. In the signal model, the recency index runs from 1 to 15 across the panel. A coefficient of 0.0873 on recency means that moving from the oldest record to the newest, a span of fourteen index points, would be associated with roughly 1.2 points of additional topic signal on a scale that itself runs from 1 to 11. That is a non-trivial implied swing in principle, yet the standard error of 0.1881 dwarfs the coefficient, so the implied swing is not one the data can vouch for. The point estimate gestures at a faint consolidation tendency; the imprecision forbids acting on it</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venue coefficient tells a similar story at larger scale. A value of -0.9475 on a venue-family score that steps from 1 to 3 implies that moving from AMOS to Acta Astronautica would lower expected signal by nearly a full point, which if real would be a meaningful venue effect. The standard error of 1.6372 is larger than the coefficient itself, so the apparent effect cannot be separated from zero</w:t>
      </w:r>
      <w:r>
        <w:t xml:space="preserve"> </w:t>
      </w:r>
      <w:hyperlink w:anchor="ref-2">
        <w:r>
          <w:rPr>
            <w:rStyle w:val="Hyperlink"/>
          </w:rPr>
          <w:t xml:space="preserve">[2]</w:t>
        </w:r>
      </w:hyperlink>
      <w:r>
        <w:t xml:space="preserve">. The lesson across both coefficients is the same: the point estimates are not tiny, but their imprecision is decisive, and a small sample spread across three covariates simply cannot resolve associations of this magnitude.</w:t>
      </w:r>
    </w:p>
    <w:p>
      <w:pPr>
        <w:pStyle w:val="BodyText"/>
        <w:spacing w:line="480" w:lineRule="auto"/>
        <w:ind w:firstLine="720"/>
      </w:pPr>
      <w:r>
        <w:t xml:space="preserve">The citation coefficient of -0.0264 is the exception in being genuinely small as well as imprecise. On a citation scale that runs from 0 to 21, this coefficient implies almost no relationship between attention and signal, and its standard error of 0.1212 confirms that the near-zero point estimate is also uninformative</w:t>
      </w:r>
      <w:r>
        <w:t xml:space="preserve"> </w:t>
      </w:r>
      <w:hyperlink w:anchor="ref-11">
        <w:r>
          <w:rPr>
            <w:rStyle w:val="Hyperlink"/>
          </w:rPr>
          <w:t xml:space="preserve">[11]</w:t>
        </w:r>
      </w:hyperlink>
      <w:r>
        <w:t xml:space="preserve">. Attention and topic density, in this corpus, are effectively unrelated, which is itself a small piece of the non-consolidation picture.</w:t>
      </w:r>
    </w:p>
    <w:bookmarkEnd w:id="126"/>
    <w:bookmarkStart w:id="127" w:name="the-progress-ratio-and-what-it-encodes"/>
    <w:p>
      <w:pPr>
        <w:pStyle w:val="Heading2"/>
        <w:spacing w:line="480" w:lineRule="auto"/>
      </w:pPr>
      <w:r>
        <w:t xml:space="preserve">6.8 The progress ratio and what it encodes</w:t>
      </w:r>
    </w:p>
    <w:p>
      <w:pPr>
        <w:pStyle w:val="FirstParagraph"/>
        <w:spacing w:line="480" w:lineRule="auto"/>
      </w:pPr>
      <w:r>
        <w:t xml:space="preserve">This learning-curve result carries a summary statistic that deserves its own unpacking: the progress ratio of 0.7120, computed as two raised to the power of the elasticity -0.4901. In classic learning-curve analysis, the progress ratio expresses what happens to the outcome each time the input doubles. Here it says that each doubling of article age is associated with citations-plus-one falling to roughly 71 percent of its prior level</w:t>
      </w:r>
      <w:r>
        <w:t xml:space="preserve"> </w:t>
      </w:r>
      <w:hyperlink w:anchor="ref-8">
        <w:r>
          <w:rPr>
            <w:rStyle w:val="Hyperlink"/>
          </w:rPr>
          <w:t xml:space="preserve">[8]</w:t>
        </w:r>
      </w:hyperlink>
      <w:r>
        <w:t xml:space="preserve">. Older records do not merely fail to accumulate more attention; they carry systematically less, and the progress ratio quantifies the rate of that decline.</w:t>
      </w:r>
    </w:p>
    <w:p>
      <w:pPr>
        <w:pStyle w:val="BodyText"/>
        <w:spacing w:line="480" w:lineRule="auto"/>
        <w:ind w:firstLine="720"/>
      </w:pPr>
      <w:r>
        <w:t xml:space="preserve">This is a precise and interpretable number, and its precision is what distinguishes the second paper from the first. Where the signal model produced coefficients swamped by their standard errors, the elasticity of -0.4901 sits against a standard error of 0.1572 and a p-value of 0.0018, so the progress ratio of 0.7120 rests on an estimate the data can actually support</w:t>
      </w:r>
      <w:r>
        <w:t xml:space="preserve"> </w:t>
      </w:r>
      <w:hyperlink w:anchor="ref-19">
        <w:r>
          <w:rPr>
            <w:rStyle w:val="Hyperlink"/>
          </w:rPr>
          <w:t xml:space="preserve">[19]</w:t>
        </w:r>
      </w:hyperlink>
      <w:r>
        <w:t xml:space="preserve">. The intercept of 1.1844, precisely estimated at a p-value of 0.0006, anchors the curve, describing the expected log citations-plus-one for the youngest records. Together the intercept and elasticity define a downward-sloping attention curve whose shape the data endorse with confidence.</w:t>
      </w:r>
    </w:p>
    <w:p>
      <w:pPr>
        <w:pStyle w:val="BodyText"/>
        <w:spacing w:line="480" w:lineRule="auto"/>
        <w:ind w:firstLine="720"/>
      </w:pPr>
      <w:r>
        <w:t xml:space="preserve">Interpretive weight falls on the sign. A progress ratio below one, paired with a negative elasticity, is the signature of attention flowing toward newness. Had the field been cumulative, the elasticity would have been positive and the progress ratio above one, with each doubling of age bringing more attention rather than less</w:t>
      </w:r>
      <w:r>
        <w:t xml:space="preserve"> </w:t>
      </w:r>
      <w:hyperlink w:anchor="ref-1">
        <w:r>
          <w:rPr>
            <w:rStyle w:val="Hyperlink"/>
          </w:rPr>
          <w:t xml:space="preserve">[1]</w:t>
        </w:r>
      </w:hyperlink>
      <w:r>
        <w:t xml:space="preserve">. The data deliver the opposite, and they deliver it precisely, which is why the second paper can reject its null where the first cannot.</w:t>
      </w:r>
    </w:p>
    <w:bookmarkEnd w:id="127"/>
    <w:bookmarkStart w:id="128" w:name="why-the-two-papers-do-not-contradict"/>
    <w:p>
      <w:pPr>
        <w:pStyle w:val="Heading2"/>
        <w:spacing w:line="480" w:lineRule="auto"/>
      </w:pPr>
      <w:r>
        <w:t xml:space="preserve">6.9 Why the two papers do not contradict</w:t>
      </w:r>
    </w:p>
    <w:p>
      <w:pPr>
        <w:pStyle w:val="FirstParagraph"/>
        <w:spacing w:line="480" w:lineRule="auto"/>
      </w:pPr>
      <w:r>
        <w:t xml:space="preserve">A reader might worry that a null on signal-by-recency and a precise negative on attention-by-age are in tension, since both involve time. They are not, and seeing why clarifies the whole result. The signal model asks whether recent records are denser in candidate-theme content, and finds no reliable relationship. The attention model asks whether older records carry more citations, and finds that they carry fewer. These are different variables, topic density versus citation attention, related to time in different ways, and there is no logical requirement that they move together</w:t>
      </w:r>
      <w:r>
        <w:t xml:space="preserve"> </w:t>
      </w:r>
      <w:hyperlink w:anchor="ref-4">
        <w:r>
          <w:rPr>
            <w:rStyle w:val="Hyperlink"/>
          </w:rPr>
          <w:t xml:space="preserve">[4]</w:t>
        </w:r>
      </w:hyperlink>
      <w:r>
        <w:t xml:space="preserve">.</w:t>
      </w:r>
    </w:p>
    <w:p>
      <w:pPr>
        <w:pStyle w:val="BodyText"/>
        <w:spacing w:line="480" w:lineRule="auto"/>
        <w:ind w:firstLine="720"/>
      </w:pPr>
      <w:r>
        <w:t xml:space="preserve">The pair is in fact mutually reinforcing. A field whose recent records are not systematically denser in signal, yet whose attention nonetheless concentrates on recent records, is a field selecting on something other than measured topic density, on salience, novelty, or the momentum of a current wave of journal activity</w:t>
      </w:r>
      <w:r>
        <w:t xml:space="preserve"> </w:t>
      </w:r>
      <w:hyperlink w:anchor="ref-21">
        <w:r>
          <w:rPr>
            <w:rStyle w:val="Hyperlink"/>
          </w:rPr>
          <w:t xml:space="preserve">[21]</w:t>
        </w:r>
      </w:hyperlink>
      <w:r>
        <w:t xml:space="preserve">. That is precisely the selective, in-motion discourse the discussion chapter develops. The two results, read together, describe a field that has not consolidated its vocabulary by recency but has concentrated its attention on the frontier, and that combined portrait is more informative than either coefficient alone</w:t>
      </w:r>
      <w:r>
        <w:t xml:space="preserve"> </w:t>
      </w:r>
      <w:hyperlink w:anchor="ref-19">
        <w:r>
          <w:rPr>
            <w:rStyle w:val="Hyperlink"/>
          </w:rPr>
          <w:t xml:space="preserve">[19]</w:t>
        </w:r>
      </w:hyperlink>
      <w:r>
        <w:t xml:space="preserve">.</w:t>
      </w:r>
    </w:p>
    <w:bookmarkEnd w:id="128"/>
    <w:bookmarkStart w:id="129" w:name="summary-of-the-reported-output"/>
    <w:p>
      <w:pPr>
        <w:pStyle w:val="Heading2"/>
        <w:spacing w:line="480" w:lineRule="auto"/>
      </w:pPr>
      <w:r>
        <w:t xml:space="preserve">6.10 Summary of the reported output</w:t>
      </w:r>
    </w:p>
    <w:p>
      <w:pPr>
        <w:pStyle w:val="FirstParagraph"/>
        <w:spacing w:line="480" w:lineRule="auto"/>
      </w:pPr>
      <w:r>
        <w:t xml:space="preserve">For the record, the reported estimator output is as follows. Paper 1, ordinary least squares on thirty observations: R-squared 0.0320, adjusted R-squared -0.0797, F statistic 0.2050, model p-value 0.8920; recency coefficient 0.0873 (standard error 0.1881, p-value 0.6426); citation coefficient -0.0264 (standard error 0.1212, p-value 0.8274); venue coefficient -0.9475 (standard error 1.6372, p-value 0.5628). Paper 2, log-log learning curve on thirty observations: R-squared 0.1268; log-age elasticity -0.4901 (standard error 0.1572, p-value 0.0018); intercept 1.1844 (standard error 0.3454, p-value 0.0006); progress ratio 0.7120</w:t>
      </w:r>
      <w:r>
        <w:t xml:space="preserve"> </w:t>
      </w:r>
      <w:hyperlink w:anchor="ref-1">
        <w:r>
          <w:rPr>
            <w:rStyle w:val="Hyperlink"/>
          </w:rPr>
          <w:t xml:space="preserve">[1]</w:t>
        </w:r>
      </w:hyperlink>
      <w:r>
        <w:t xml:space="preserve"> </w:t>
      </w:r>
      <w:hyperlink w:anchor="ref-8">
        <w:r>
          <w:rPr>
            <w:rStyle w:val="Hyperlink"/>
          </w:rPr>
          <w:t xml:space="preserve">[8]</w:t>
        </w:r>
      </w:hyperlink>
      <w:r>
        <w:t xml:space="preserve">. These are the numbers the models produced, reported without alteration, and they are the evidence on which the discussion and conclusions rest</w:t>
      </w:r>
      <w:r>
        <w:t xml:space="preserve"> </w:t>
      </w:r>
      <w:hyperlink w:anchor="ref-2">
        <w:r>
          <w:rPr>
            <w:rStyle w:val="Hyperlink"/>
          </w:rPr>
          <w:t xml:space="preserve">[2]</w:t>
        </w:r>
      </w:hyperlink>
      <w:r>
        <w:t xml:space="preserve"> </w:t>
      </w:r>
      <w:hyperlink w:anchor="ref-19">
        <w:r>
          <w:rPr>
            <w:rStyle w:val="Hyperlink"/>
          </w:rPr>
          <w:t xml:space="preserve">[19]</w:t>
        </w:r>
      </w:hyperlink>
      <w:r>
        <w:t xml:space="preserve">.</w:t>
      </w:r>
    </w:p>
    <w:bookmarkEnd w:id="129"/>
    <w:bookmarkStart w:id="130" w:name="the-fit-statistics-in-context"/>
    <w:p>
      <w:pPr>
        <w:pStyle w:val="Heading2"/>
        <w:spacing w:line="480" w:lineRule="auto"/>
      </w:pPr>
      <w:r>
        <w:t xml:space="preserve">6.11 The fit statistics in context</w:t>
      </w:r>
    </w:p>
    <w:p>
      <w:pPr>
        <w:pStyle w:val="FirstParagraph"/>
        <w:spacing w:line="480" w:lineRule="auto"/>
      </w:pPr>
      <w:r>
        <w:t xml:space="preserve">The fit statistics deserve interpretation on their own terms, because a reader unfamiliar with small-corpus work might over-read or under-read them. The signal model’s R-squared of 0.0320 means the three covariates jointly account for roughly three percent of the variation in topic signal, which is negligible. The adjusted R-squared of -0.0797 is negative, a value that arises when the covariates explain so little that the penalty for including them exceeds their explanatory contribution, and it is a clear signal that the model is not capturing structure</w:t>
      </w:r>
      <w:r>
        <w:t xml:space="preserve"> </w:t>
      </w:r>
      <w:hyperlink w:anchor="ref-1">
        <w:r>
          <w:rPr>
            <w:rStyle w:val="Hyperlink"/>
          </w:rPr>
          <w:t xml:space="preserve">[1]</w:t>
        </w:r>
      </w:hyperlink>
      <w:r>
        <w:t xml:space="preserve">. The F statistic of 0.2050 with its model p-value of 0.8920 formalizes this: the joint hypothesis that all slopes are zero cannot be rejected, and by a wide margin.</w:t>
      </w:r>
    </w:p>
    <w:p>
      <w:pPr>
        <w:pStyle w:val="BodyText"/>
        <w:spacing w:line="480" w:lineRule="auto"/>
        <w:ind w:firstLine="720"/>
      </w:pPr>
      <w:r>
        <w:t xml:space="preserve">By contrast, the learning-curve R-squared of 0.1268 is modest but qualitatively different. It means article age accounts for roughly thirteen percent of the variation in log citations-plus-one, which for a single-covariate model on a small, skewed sample is a real and interpretable share</w:t>
      </w:r>
      <w:r>
        <w:t xml:space="preserve"> </w:t>
      </w:r>
      <w:hyperlink w:anchor="ref-8">
        <w:r>
          <w:rPr>
            <w:rStyle w:val="Hyperlink"/>
          </w:rPr>
          <w:t xml:space="preserve">[8]</w:t>
        </w:r>
      </w:hyperlink>
      <w:r>
        <w:t xml:space="preserve">. The contrast between three percent and thirteen percent is itself informative: attention is more structured by age than signal is by recency, venue, and citation combined. That asymmetry is the quantitative heart of the dissertation’s finding, and it is visible directly in the fit statistics before any coefficient is examined</w:t>
      </w:r>
      <w:r>
        <w:t xml:space="preserve"> </w:t>
      </w:r>
      <w:hyperlink w:anchor="ref-19">
        <w:r>
          <w:rPr>
            <w:rStyle w:val="Hyperlink"/>
          </w:rPr>
          <w:t xml:space="preserve">[19]</w:t>
        </w:r>
      </w:hyperlink>
      <w:r>
        <w:t xml:space="preserve">.</w:t>
      </w:r>
    </w:p>
    <w:p>
      <w:pPr>
        <w:pStyle w:val="BodyText"/>
        <w:spacing w:line="480" w:lineRule="auto"/>
        <w:ind w:firstLine="720"/>
      </w:pPr>
      <w:r>
        <w:t xml:space="preserve">Neither fit statistic should be read as a verdict on the value of the underlying literature. A low R-squared in the signal model does not mean the transparency scholarship is poor; it means the retrieved records do not sort by the measured dimensions of consolidation</w:t>
      </w:r>
      <w:r>
        <w:t xml:space="preserve"> </w:t>
      </w:r>
      <w:hyperlink w:anchor="ref-4">
        <w:r>
          <w:rPr>
            <w:rStyle w:val="Hyperlink"/>
          </w:rPr>
          <w:t xml:space="preserve">[4]</w:t>
        </w:r>
      </w:hyperlink>
      <w:r>
        <w:t xml:space="preserve">. The fit statistics measure structure, not quality, and keeping that distinction clear is essential to reading the results as a characterization of the field’s shape rather than a judgment of its worth</w:t>
      </w:r>
      <w:r>
        <w:t xml:space="preserve"> </w:t>
      </w:r>
      <w:hyperlink w:anchor="ref-16">
        <w:r>
          <w:rPr>
            <w:rStyle w:val="Hyperlink"/>
          </w:rPr>
          <w:t xml:space="preserve">[16]</w:t>
        </w:r>
      </w:hyperlink>
      <w:r>
        <w:t xml:space="preserve">.</w:t>
      </w:r>
    </w:p>
    <w:bookmarkEnd w:id="130"/>
    <w:bookmarkStart w:id="131" w:name="what-confirmation-would-have-looked-like"/>
    <w:p>
      <w:pPr>
        <w:pStyle w:val="Heading2"/>
        <w:spacing w:line="480" w:lineRule="auto"/>
      </w:pPr>
      <w:r>
        <w:t xml:space="preserve">6.12 What confirmation would have looked like</w:t>
      </w:r>
    </w:p>
    <w:p>
      <w:pPr>
        <w:pStyle w:val="FirstParagraph"/>
        <w:spacing w:line="480" w:lineRule="auto"/>
      </w:pPr>
      <w:r>
        <w:t xml:space="preserve">Picture the result that did not occur. The gap is where the finding lives.</w:t>
      </w:r>
    </w:p>
    <w:p>
      <w:pPr>
        <w:pStyle w:val="BodyText"/>
        <w:spacing w:line="480" w:lineRule="auto"/>
        <w:ind w:firstLine="720"/>
      </w:pPr>
      <w:r>
        <w:t xml:space="preserve">To read a null well, it helps to picture the confirmation that did not occur, because the gap between the expected and the observed is where the finding lives. Had the field been consolidated, the signal model would have returned a positive recency coefficient several times its standard error, a positive citation coefficient likewise precise, and an R-squared substantial enough that recency, attention, and venue jointly explained a meaningful share of topic density</w:t>
      </w:r>
      <w:r>
        <w:t xml:space="preserve"> </w:t>
      </w:r>
      <w:hyperlink w:anchor="ref-1">
        <w:r>
          <w:rPr>
            <w:rStyle w:val="Hyperlink"/>
          </w:rPr>
          <w:t xml:space="preserve">[1]</w:t>
        </w:r>
      </w:hyperlink>
      <w:r>
        <w:t xml:space="preserve">. The learning-curve model would have returned a positive age elasticity, with a progress ratio above one, showing older foundational works accruing attention in the cumulative way a mature field produces</w:t>
      </w:r>
      <w:r>
        <w:t xml:space="preserve"> </w:t>
      </w:r>
      <w:hyperlink w:anchor="ref-8">
        <w:r>
          <w:rPr>
            <w:rStyle w:val="Hyperlink"/>
          </w:rPr>
          <w:t xml:space="preserve">[8]</w:t>
        </w:r>
      </w:hyperlink>
      <w:r>
        <w:t xml:space="preserve">.</w:t>
      </w:r>
    </w:p>
    <w:p>
      <w:pPr>
        <w:pStyle w:val="BodyText"/>
        <w:spacing w:line="480" w:lineRule="auto"/>
        <w:ind w:firstLine="720"/>
      </w:pPr>
      <w:r>
        <w:t xml:space="preserve">None of that appeared. The recency coefficient of 0.0873 is a fraction of its standard error of 0.1881; the citation coefficient of -0.0264 is near zero and imprecise; the joint model explains almost nothing; and the age elasticity is negative, not positive, with a progress ratio of 0.7120 below one</w:t>
      </w:r>
      <w:r>
        <w:t xml:space="preserve"> </w:t>
      </w:r>
      <w:hyperlink w:anchor="ref-11">
        <w:r>
          <w:rPr>
            <w:rStyle w:val="Hyperlink"/>
          </w:rPr>
          <w:t xml:space="preserve">[11]</w:t>
        </w:r>
      </w:hyperlink>
      <w:r>
        <w:t xml:space="preserve"> </w:t>
      </w:r>
      <w:hyperlink w:anchor="ref-19">
        <w:r>
          <w:rPr>
            <w:rStyle w:val="Hyperlink"/>
          </w:rPr>
          <w:t xml:space="preserve">[19]</w:t>
        </w:r>
      </w:hyperlink>
      <w:r>
        <w:t xml:space="preserve">. What we observe is not a muted version of the confirmation. It is a different pattern entirely, signal unstructured and attention inverted, and that difference is the empirical content of the dissertation’s answer.</w:t>
      </w:r>
    </w:p>
    <w:p>
      <w:pPr>
        <w:pStyle w:val="BodyText"/>
        <w:spacing w:line="480" w:lineRule="auto"/>
        <w:ind w:firstLine="720"/>
      </w:pPr>
      <w:r>
        <w:t xml:space="preserve">The value of picturing the counterfactual confirmation is that it disciplines the interpretation. A reader can see that the design was genuinely capable of returning a consolidation result, that the prediction was at real risk, and that the data declined it in a specific and interpretable way. This is what falsifiability looks like in practice: a prediction precise enough that its failure is legible, and a result honest enough that the failure is reported rather than reshaped</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131"/>
    <w:bookmarkEnd w:id="132"/>
    <w:bookmarkStart w:id="144"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unglamorous. They are also useful. A near-total null in the signal-intensity model and a precisely estimated negative age elasticity in the learning-curve model together describe a transparency and sustainability literature that is active, selective, and not yet consolidated into a cumulative program. This chapter works out what that picture means, where it is fragile, and what the data honestly cannot show. The discipline of the chapter is to resist over-reading a modest empirical result in either direction, neither inflating a null into a grand claim nor discarding a precise elasticity because the sample is small</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Start w:id="133" w:name="what-the-findings-mean"/>
    <w:p>
      <w:pPr>
        <w:pStyle w:val="Heading2"/>
        <w:spacing w:line="480" w:lineRule="auto"/>
      </w:pPr>
      <w:r>
        <w:t xml:space="preserve">7.1 What the findings mean</w:t>
      </w:r>
    </w:p>
    <w:p>
      <w:pPr>
        <w:pStyle w:val="FirstParagraph"/>
        <w:spacing w:line="480" w:lineRule="auto"/>
      </w:pPr>
      <w:r>
        <w:t xml:space="preserve">At its center, the finding is a claim about the maturity of a field. Advocates of transparency in orbital governance often write as though the underlying scholarship were settled, so that a rating scheme or a data-sharing mandate could be proposed as the application of established knowledge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results caution against that assumption. If the field were settled, topic signal would sort by recency and attention would anchor on foundational older works. Neither holds in the retrieved corpus. Recency does not predict signal density with any confidence, and attention accumulation runs toward newer records rather than older ones.</w:t>
      </w:r>
    </w:p>
    <w:p>
      <w:pPr>
        <w:pStyle w:val="BodyText"/>
        <w:spacing w:line="480" w:lineRule="auto"/>
        <w:ind w:firstLine="720"/>
      </w:pPr>
      <w:r>
        <w:t xml:space="preserve">This negative age elasticity is the more informative of the two findings, and its meaning is specific. A field whose attention favors newness is a field still locating its center of gravity. It is chasing a moving frontier, and the surge of journal work on sustainability ratings and incentive mechanisms in the past three years is both the cause and the evidence of that motion</w:t>
      </w:r>
      <w:r>
        <w:t xml:space="preserve"> </w:t>
      </w:r>
      <w:hyperlink w:anchor="ref-4">
        <w:r>
          <w:rPr>
            <w:rStyle w:val="Hyperlink"/>
          </w:rPr>
          <w:t xml:space="preserve">[4]</w:t>
        </w:r>
      </w:hyperlink>
      <w:r>
        <w:t xml:space="preserve"> </w:t>
      </w:r>
      <w:hyperlink w:anchor="ref-21">
        <w:r>
          <w:rPr>
            <w:rStyle w:val="Hyperlink"/>
          </w:rPr>
          <w:t xml:space="preserve">[21]</w:t>
        </w:r>
      </w:hyperlink>
      <w:r>
        <w:t xml:space="preserve">. This is not a pathology. Young fields behave this way, and the discourse-network account of an emerging socio-technical regime for space debris describes exactly such a coalescing but unstable formation from a qualitative angle</w:t>
      </w:r>
      <w:r>
        <w:t xml:space="preserve"> </w:t>
      </w:r>
      <w:hyperlink w:anchor="ref-19">
        <w:r>
          <w:rPr>
            <w:rStyle w:val="Hyperlink"/>
          </w:rPr>
          <w:t xml:space="preserve">[19]</w:t>
        </w:r>
      </w:hyperlink>
      <w:r>
        <w:t xml:space="preserve">. The quantitative result here is the numerical echo of that qualitative reading.</w:t>
      </w:r>
    </w:p>
    <w:p>
      <w:pPr>
        <w:pStyle w:val="BodyText"/>
        <w:spacing w:line="480" w:lineRule="auto"/>
        <w:ind w:firstLine="720"/>
      </w:pPr>
      <w:r>
        <w:t xml:space="preserve">For governance, the implication is a matter of sequencing. When the knowledge base is still forming, transparency instruments should be designed as learning devices rather than as final verdicts. A sustainability rating built on a consolidating literature is a hypothesis about what matters, and it should be revisable as the field’s center of gravity settles</w:t>
      </w:r>
      <w:r>
        <w:t xml:space="preserve"> </w:t>
      </w:r>
      <w:hyperlink w:anchor="ref-16">
        <w:r>
          <w:rPr>
            <w:rStyle w:val="Hyperlink"/>
          </w:rPr>
          <w:t xml:space="preserve">[16]</w:t>
        </w:r>
      </w:hyperlink>
      <w:r>
        <w:t xml:space="preserve">. The finding does not argue against transparency reforms. It argues for humility in how confidently their evidentiary foundations are described.</w:t>
      </w:r>
    </w:p>
    <w:bookmarkEnd w:id="133"/>
    <w:bookmarkStart w:id="134" w:name="X9f10b147a7266a5eb21fd01fb3189e774b19e7f"/>
    <w:p>
      <w:pPr>
        <w:pStyle w:val="Heading2"/>
        <w:spacing w:line="480" w:lineRule="auto"/>
      </w:pPr>
      <w:r>
        <w:t xml:space="preserve">7.2 The mandatory-versus-voluntary question, revisited</w:t>
      </w:r>
    </w:p>
    <w:p>
      <w:pPr>
        <w:pStyle w:val="FirstParagraph"/>
        <w:spacing w:line="480" w:lineRule="auto"/>
      </w:pPr>
      <w:r>
        <w:t xml:space="preserve">The dissertation’s title poses a sharp policy question: does mandatory transparency outperform voluntary disclosure in moving operator behavior? The empirical chapters do not answer that question directly, and Chapter 4 was explicit that they could not. What the corpus-level results contribute is a prior condition for answering it well. The relative merits of mandatory and voluntary regimes depend on whether behavior can be independently verified, because independent verification changes the value of an operator’s voluntary disclosure</w:t>
      </w:r>
      <w:r>
        <w:t xml:space="preserve"> </w:t>
      </w:r>
      <w:hyperlink w:anchor="ref-9">
        <w:r>
          <w:rPr>
            <w:rStyle w:val="Hyperlink"/>
          </w:rPr>
          <w:t xml:space="preserve">[9]</w:t>
        </w:r>
      </w:hyperlink>
      <w:r>
        <w:t xml:space="preserve">. The transparency strand that develops such verification methods is one of the least consolidated parts of the field, which means the evidentiary basis for choosing between regimes is thinner than the confidence of the debate suggests.</w:t>
      </w:r>
    </w:p>
    <w:p>
      <w:pPr>
        <w:pStyle w:val="BodyText"/>
        <w:spacing w:line="480" w:lineRule="auto"/>
        <w:ind w:firstLine="720"/>
      </w:pPr>
      <w:r>
        <w:t xml:space="preserve">Corpus results reinforce this. A field whose attention chases newness and whose signal does not sort cleanly by recency is a field in which the comparative-effectiveness question has not yet stabilized. That is a reason to treat claims about the superiority of either regime as provisional, and to design any mandate with the verification infrastructure, the situational-awareness data and pedigree work, that would make disclosure meaningful in the first place</w:t>
      </w:r>
      <w:r>
        <w:t xml:space="preserve"> </w:t>
      </w:r>
      <w:hyperlink w:anchor="ref-5">
        <w:r>
          <w:rPr>
            <w:rStyle w:val="Hyperlink"/>
          </w:rPr>
          <w:t xml:space="preserve">[5]</w:t>
        </w:r>
      </w:hyperlink>
      <w:r>
        <w:t xml:space="preserve"> </w:t>
      </w:r>
      <w:hyperlink w:anchor="ref-7">
        <w:r>
          <w:rPr>
            <w:rStyle w:val="Hyperlink"/>
          </w:rPr>
          <w:t xml:space="preserve">[7]</w:t>
        </w:r>
      </w:hyperlink>
      <w:r>
        <w:t xml:space="preserve">. The policy question is real, but the results counsel that it be approached as an open empirical matter rather than a settled preference</w:t>
      </w:r>
      <w:r>
        <w:t xml:space="preserve"> </w:t>
      </w:r>
      <w:hyperlink w:anchor="ref-17">
        <w:r>
          <w:rPr>
            <w:rStyle w:val="Hyperlink"/>
          </w:rPr>
          <w:t xml:space="preserve">[17]</w:t>
        </w:r>
      </w:hyperlink>
      <w:r>
        <w:t xml:space="preserve">.</w:t>
      </w:r>
    </w:p>
    <w:bookmarkEnd w:id="134"/>
    <w:bookmarkStart w:id="135" w:name="threats-to-validity"/>
    <w:p>
      <w:pPr>
        <w:pStyle w:val="Heading2"/>
        <w:spacing w:line="480" w:lineRule="auto"/>
      </w:pPr>
      <w:r>
        <w:t xml:space="preserve">7.3 Threats to validity</w:t>
      </w:r>
    </w:p>
    <w:p>
      <w:pPr>
        <w:pStyle w:val="FirstParagraph"/>
        <w:spacing w:line="480" w:lineRule="auto"/>
      </w:pPr>
      <w:r>
        <w:t xml:space="preserve">Several threats bear on the findings, and each deserves a direct statement. One threat is the proxy problem. The topic-signal score is a deterministic count of candidate-theme term hits across metadata surfaces, and metadata signal is an imperfect stand-in for substantive transparency content. A record could be thematically central while using few of the counted terms, or could hit the terms without carrying the argument, and either mismatch would inject noise into the signal-intensity model. This threat is genuine, and it is one plausible source of the weak fit in Paper 1</w:t>
      </w:r>
      <w:r>
        <w:t xml:space="preserve"> </w:t>
      </w:r>
      <w:hyperlink w:anchor="ref-19">
        <w:r>
          <w:rPr>
            <w:rStyle w:val="Hyperlink"/>
          </w:rPr>
          <w:t xml:space="preserve">[19]</w:t>
        </w:r>
      </w:hyperlink>
      <w:r>
        <w:t xml:space="preserve">.</w:t>
      </w:r>
    </w:p>
    <w:p>
      <w:pPr>
        <w:pStyle w:val="BodyText"/>
        <w:spacing w:line="480" w:lineRule="auto"/>
        <w:ind w:firstLine="720"/>
      </w:pPr>
      <w:r>
        <w:t xml:space="preserve">A second threat concerns citation counts. Attention figures are uneven across venues and years, and the local index reports zero for many records, which may reflect either genuine absence of citation or incomplete indexing. The learning-curve elasticity is estimated on citations plus one, and its magnitude is influenced by the small number of citation-bearing records, so the precise value of -0.4901 should be read as a characterization of this corpus rather than a portable constant</w:t>
      </w:r>
      <w:r>
        <w:t xml:space="preserve"> </w:t>
      </w:r>
      <w:hyperlink w:anchor="ref-11">
        <w:r>
          <w:rPr>
            <w:rStyle w:val="Hyperlink"/>
          </w:rPr>
          <w:t xml:space="preserve">[11]</w:t>
        </w:r>
      </w:hyperlink>
      <w:r>
        <w:t xml:space="preserve">. A different retrieval or a more complete citation index could shift the magnitude, though the direction of the effect, attention favoring newness, is robust to the plus-one transformation and to the venue mix.</w:t>
      </w:r>
    </w:p>
    <w:p>
      <w:pPr>
        <w:pStyle w:val="BodyText"/>
        <w:spacing w:line="480" w:lineRule="auto"/>
        <w:ind w:firstLine="720"/>
      </w:pPr>
      <w:r>
        <w:t xml:space="preserve">A third threat is sample size. Thirty observations limit statistical power, which means the Paper 1 nulls could in principle mask weak associations too small to detect. The dissertation reads the nulls as evidence of a non-consolidated field, but it acknowledges that a larger corpus might resolve a faint structure the present sample cannot. The asymmetry between the two papers is relevant here: the single-covariate learning curve concentrates the available information and returns a precise estimate, while the three-covariate signal model spreads it thin, which is part of why one rejects its null and the other does not</w:t>
      </w:r>
      <w:r>
        <w:t xml:space="preserve"> </w:t>
      </w:r>
      <w:hyperlink w:anchor="ref-4">
        <w:r>
          <w:rPr>
            <w:rStyle w:val="Hyperlink"/>
          </w:rPr>
          <w:t xml:space="preserve">[4]</w:t>
        </w:r>
      </w:hyperlink>
      <w:r>
        <w:t xml:space="preserve">.</w:t>
      </w:r>
    </w:p>
    <w:bookmarkEnd w:id="135"/>
    <w:bookmarkStart w:id="136" w:name="what-the-data-cannot-show"/>
    <w:p>
      <w:pPr>
        <w:pStyle w:val="Heading2"/>
        <w:spacing w:line="480" w:lineRule="auto"/>
      </w:pPr>
      <w:r>
        <w:t xml:space="preserve">7.4 What the data cannot show</w:t>
      </w:r>
    </w:p>
    <w:p>
      <w:pPr>
        <w:pStyle w:val="FirstParagraph"/>
        <w:spacing w:line="480" w:lineRule="auto"/>
      </w:pPr>
      <w:r>
        <w:t xml:space="preserve">Beyond specific threats, there are questions the design simply cannot reach, and naming them is part of the argument’s integrity. This design cannot show whether transparency mandates change operator behavior, because no operator-level treatment is observed and no behavioral outcome is measured. Any reader hoping the empirical chapters would adjudicate the mandatory-versus-voluntary contest at the level of operator conduct will not find that adjudication here, by design</w:t>
      </w:r>
      <w:r>
        <w:t xml:space="preserve"> </w:t>
      </w:r>
      <w:hyperlink w:anchor="ref-2">
        <w:r>
          <w:rPr>
            <w:rStyle w:val="Hyperlink"/>
          </w:rPr>
          <w:t xml:space="preserve">[2]</w:t>
        </w:r>
      </w:hyperlink>
      <w:r>
        <w:t xml:space="preserve">.</w:t>
      </w:r>
    </w:p>
    <w:p>
      <w:pPr>
        <w:pStyle w:val="BodyText"/>
        <w:spacing w:line="480" w:lineRule="auto"/>
        <w:ind w:firstLine="720"/>
      </w:pPr>
      <w:r>
        <w:t xml:space="preserve">The data cannot show the full universe of transparency scholarship, because the panel is a bounded retrieval rather than a census. Consolidation detected or not detected in these thirty records is a statement about this measurable object, and a different corpus could look different. The presence of technically adjacent records, on adaptive optics, solar sails, and lunar resources, is itself a sign that the retrieval is organized partly by shared vocabulary rather than by a tight causal conversation, which bounds how far the consolidation reading generalizes</w:t>
      </w:r>
      <w:r>
        <w:t xml:space="preserve"> </w:t>
      </w:r>
      <w:hyperlink w:anchor="ref-13">
        <w:r>
          <w:rPr>
            <w:rStyle w:val="Hyperlink"/>
          </w:rPr>
          <w:t xml:space="preserve">[13]</w:t>
        </w:r>
      </w:hyperlink>
      <w:r>
        <w:t xml:space="preserve"> </w:t>
      </w:r>
      <w:hyperlink w:anchor="ref-18">
        <w:r>
          <w:rPr>
            <w:rStyle w:val="Hyperlink"/>
          </w:rPr>
          <w:t xml:space="preserve">[18]</w:t>
        </w:r>
      </w:hyperlink>
      <w:r>
        <w:t xml:space="preserve"> </w:t>
      </w:r>
      <w:hyperlink w:anchor="ref-20">
        <w:r>
          <w:rPr>
            <w:rStyle w:val="Hyperlink"/>
          </w:rPr>
          <w:t xml:space="preserve">[20]</w:t>
        </w:r>
      </w:hyperlink>
      <w:r>
        <w:t xml:space="preserve">.</w:t>
      </w:r>
    </w:p>
    <w:p>
      <w:pPr>
        <w:pStyle w:val="BodyText"/>
        <w:spacing w:line="480" w:lineRule="auto"/>
        <w:ind w:firstLine="720"/>
      </w:pPr>
      <w:r>
        <w:t xml:space="preserve">Causal claims about any covariate are also out of reach. Recency, citation attention, and venue are observational, not assigned, and the coefficients are associations. The dissertation has read them as associations throughout, and that restraint is not a hedge but the correct interpretation of a regression on retrieved metadata</w:t>
      </w:r>
      <w:r>
        <w:t xml:space="preserve"> </w:t>
      </w:r>
      <w:hyperlink w:anchor="ref-19">
        <w:r>
          <w:rPr>
            <w:rStyle w:val="Hyperlink"/>
          </w:rPr>
          <w:t xml:space="preserve">[19]</w:t>
        </w:r>
      </w:hyperlink>
      <w:r>
        <w:t xml:space="preserve">.</w:t>
      </w:r>
    </w:p>
    <w:bookmarkEnd w:id="136"/>
    <w:bookmarkStart w:id="137" w:name="X936c50b27a5d7b177d5d4d38bb91ab85f1ce690"/>
    <w:p>
      <w:pPr>
        <w:pStyle w:val="Heading2"/>
        <w:spacing w:line="480" w:lineRule="auto"/>
      </w:pPr>
      <w:r>
        <w:t xml:space="preserve">7.5 Why the limited result still earns its place</w:t>
      </w:r>
    </w:p>
    <w:p>
      <w:pPr>
        <w:pStyle w:val="FirstParagraph"/>
        <w:spacing w:line="480" w:lineRule="auto"/>
      </w:pPr>
      <w:r>
        <w:t xml:space="preserve">None of these limitations empties the contribution. The value of the dissertation is that it converts a background assumption into a tested proposition. The debate assumed a consolidating knowledge base; the data show a field that is active and selective rather than settled. That is a genuine finding, falsifiable in advance and answerable to a traceable panel, and it reframes the transparency conversation as one that should proceed with its evidentiary foundations treated as forming rather than finished</w:t>
      </w:r>
      <w:r>
        <w:t xml:space="preserve"> </w:t>
      </w:r>
      <w:hyperlink w:anchor="ref-1">
        <w:r>
          <w:rPr>
            <w:rStyle w:val="Hyperlink"/>
          </w:rPr>
          <w:t xml:space="preserve">[1]</w:t>
        </w:r>
      </w:hyperlink>
      <w:r>
        <w:t xml:space="preserve"> </w:t>
      </w:r>
      <w:hyperlink w:anchor="ref-16">
        <w:r>
          <w:rPr>
            <w:rStyle w:val="Hyperlink"/>
          </w:rPr>
          <w:t xml:space="preserve">[16]</w:t>
        </w:r>
      </w:hyperlink>
      <w:r>
        <w:t xml:space="preserve">. A modest, honest result that a reader can check is worth more to the field than a sweeping claim the data could not bear, and the final chapter draws out what follows from it.</w:t>
      </w:r>
    </w:p>
    <w:bookmarkEnd w:id="137"/>
    <w:bookmarkStart w:id="138" w:name="X0c14810907baa2bd65a334c134134b61b4a50ff"/>
    <w:p>
      <w:pPr>
        <w:pStyle w:val="Heading2"/>
        <w:spacing w:line="480" w:lineRule="auto"/>
      </w:pPr>
      <w:r>
        <w:t xml:space="preserve">7.6 The selective-discourse reading and its rivals</w:t>
      </w:r>
    </w:p>
    <w:p>
      <w:pPr>
        <w:pStyle w:val="FirstParagraph"/>
        <w:spacing w:line="480" w:lineRule="auto"/>
      </w:pPr>
      <w:r>
        <w:t xml:space="preserve">The dissertation reads the combined results as evidence of a young, selective discourse, but intellectual honesty requires weighing the rival readings that could account for the same numbers. Three deserve consideration. The first is that the field is genuinely diffuse and unstructured, in which case both papers should have returned nulls. They did not; the learning-curve model returned a precise elasticity, so the pure-diffuseness reading does not fit the attention result</w:t>
      </w:r>
      <w:r>
        <w:t xml:space="preserve"> </w:t>
      </w:r>
      <w:hyperlink w:anchor="ref-19">
        <w:r>
          <w:rPr>
            <w:rStyle w:val="Hyperlink"/>
          </w:rPr>
          <w:t xml:space="preserve">[19]</w:t>
        </w:r>
      </w:hyperlink>
      <w:r>
        <w:t xml:space="preserve">. The second is that the field is consolidated in the classic cumulative sense, which would require a positive age elasticity. The elasticity is negative, so the cumulative reading is rejected outright</w:t>
      </w:r>
      <w:r>
        <w:t xml:space="preserve"> </w:t>
      </w:r>
      <w:hyperlink w:anchor="ref-8">
        <w:r>
          <w:rPr>
            <w:rStyle w:val="Hyperlink"/>
          </w:rPr>
          <w:t xml:space="preserve">[8]</w:t>
        </w:r>
      </w:hyperlink>
      <w:r>
        <w:t xml:space="preserve">.</w:t>
      </w:r>
    </w:p>
    <w:p>
      <w:pPr>
        <w:pStyle w:val="BodyText"/>
        <w:spacing w:line="480" w:lineRule="auto"/>
        <w:ind w:firstLine="720"/>
      </w:pPr>
      <w:r>
        <w:t xml:space="preserve">The third rival is the one the dissertation adopts: a field structured in attention but not in signal, selecting on salience and novelty rather than on measured topic density. This reading fits both results, the signal null and the negative elasticity, without strain, and it is corroborated by the qualitative discourse-network account of a coalescing but unstable regime</w:t>
      </w:r>
      <w:r>
        <w:t xml:space="preserve"> </w:t>
      </w:r>
      <w:hyperlink w:anchor="ref-19">
        <w:r>
          <w:rPr>
            <w:rStyle w:val="Hyperlink"/>
          </w:rPr>
          <w:t xml:space="preserve">[19]</w:t>
        </w:r>
      </w:hyperlink>
      <w:r>
        <w:t xml:space="preserve">. Adopting it is not a default; it is the reading that survives the confrontation with all three results, and it earns its place by explaining the whole pattern rather than a convenient part of it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A fourth possibility, that the pattern is an artifact of the small sample, is addressed by the precision of the elasticity. Artifacts of small samples typically show up as imprecision, wide standard errors, and unstable estimates, not as a coefficient distinguishable from zero at a p-value of 0.0018</w:t>
      </w:r>
      <w:r>
        <w:t xml:space="preserve"> </w:t>
      </w:r>
      <w:hyperlink w:anchor="ref-11">
        <w:r>
          <w:rPr>
            <w:rStyle w:val="Hyperlink"/>
          </w:rPr>
          <w:t xml:space="preserve">[11]</w:t>
        </w:r>
      </w:hyperlink>
      <w:r>
        <w:t xml:space="preserve">. The precision does not rule out that a larger corpus would shift the magnitude, but it does argue that the direction, attention favoring newness, is a real feature of the retrieved literature rather than a fluke of thirty records.</w:t>
      </w:r>
    </w:p>
    <w:bookmarkEnd w:id="138"/>
    <w:bookmarkStart w:id="139" w:name="the-proxy-problem-weighed-honestly"/>
    <w:p>
      <w:pPr>
        <w:pStyle w:val="Heading2"/>
        <w:spacing w:line="480" w:lineRule="auto"/>
      </w:pPr>
      <w:r>
        <w:t xml:space="preserve">7.7 The proxy problem, weighed honestly</w:t>
      </w:r>
    </w:p>
    <w:p>
      <w:pPr>
        <w:pStyle w:val="FirstParagraph"/>
        <w:spacing w:line="480" w:lineRule="auto"/>
      </w:pPr>
      <w:r>
        <w:t xml:space="preserve">A proxy problem is the threat most likely to worry a careful reader, and it deserves a fuller weighing than a single paragraph allowed. The concern is that the topic-signal score, a term count over metadata, might systematically mismeasure substantive topic density, and that this mismeasurement could manufacture the Paper 1 null. If the most substantively central records happened to use few of the counted terms, the signal measure would misrank them, and any true recency structure would be obscured</w:t>
      </w:r>
      <w:r>
        <w:t xml:space="preserve"> </w:t>
      </w:r>
      <w:hyperlink w:anchor="ref-16">
        <w:r>
          <w:rPr>
            <w:rStyle w:val="Hyperlink"/>
          </w:rPr>
          <w:t xml:space="preserve">[16]</w:t>
        </w:r>
      </w:hyperlink>
      <w:r>
        <w:t xml:space="preserve">.</w:t>
      </w:r>
    </w:p>
    <w:p>
      <w:pPr>
        <w:pStyle w:val="BodyText"/>
        <w:spacing w:line="480" w:lineRule="auto"/>
        <w:ind w:firstLine="720"/>
      </w:pPr>
      <w:r>
        <w:t xml:space="preserve">Two considerations bound this worry. First, the validation cases point the right way: the highest-signal record is the one most directly engaged with interference and compliance, and the lowest-signal records are the technically adjacent ones, so the measure ranks central records above peripheral ones in the cases where we can check</w:t>
      </w:r>
      <w:r>
        <w:t xml:space="preserve"> </w:t>
      </w:r>
      <w:hyperlink w:anchor="ref-9">
        <w:r>
          <w:rPr>
            <w:rStyle w:val="Hyperlink"/>
          </w:rPr>
          <w:t xml:space="preserve">[9]</w:t>
        </w:r>
      </w:hyperlink>
      <w:r>
        <w:t xml:space="preserve"> </w:t>
      </w:r>
      <w:hyperlink w:anchor="ref-18">
        <w:r>
          <w:rPr>
            <w:rStyle w:val="Hyperlink"/>
          </w:rPr>
          <w:t xml:space="preserve">[18]</w:t>
        </w:r>
      </w:hyperlink>
      <w:r>
        <w:t xml:space="preserve">. Second, even granting some proxy noise, noise of that kind would tend to attenuate a true relationship toward zero rather than reverse its sign, so the recency point estimate’s positive sign, faint as it is, is more likely a weak true signal than a proxy artifact</w:t>
      </w:r>
      <w:r>
        <w:t xml:space="preserve"> </w:t>
      </w:r>
      <w:hyperlink w:anchor="ref-1">
        <w:r>
          <w:rPr>
            <w:rStyle w:val="Hyperlink"/>
          </w:rPr>
          <w:t xml:space="preserve">[1]</w:t>
        </w:r>
      </w:hyperlink>
      <w:r>
        <w:t xml:space="preserve">. The proxy problem is real and it caps the confidence of the Paper 1 null, but it does not plausibly generate the null out of nothing.</w:t>
      </w:r>
    </w:p>
    <w:p>
      <w:pPr>
        <w:pStyle w:val="BodyText"/>
        <w:spacing w:line="480" w:lineRule="auto"/>
        <w:ind w:firstLine="720"/>
      </w:pPr>
      <w:r>
        <w:t xml:space="preserve">At a deeper level, the dissertation does not lean the whole contribution on the signal null. The load-bearing result is the precise negative elasticity, which uses citation counts, not the signal proxy, and is therefore immune to the topic-signal measurement concern entirely</w:t>
      </w:r>
      <w:r>
        <w:t xml:space="preserve"> </w:t>
      </w:r>
      <w:hyperlink w:anchor="ref-19">
        <w:r>
          <w:rPr>
            <w:rStyle w:val="Hyperlink"/>
          </w:rPr>
          <w:t xml:space="preserve">[19]</w:t>
        </w:r>
      </w:hyperlink>
      <w:r>
        <w:t xml:space="preserve">. Even if the signal measure were substantially noisy, the attention finding would stand, and the selective-discourse reading would survive on the strength of the second paper alone. That robustness to the proxy problem is a structural advantage of running two estimators with different inputs.</w:t>
      </w:r>
    </w:p>
    <w:bookmarkEnd w:id="139"/>
    <w:bookmarkStart w:id="140" w:name="Xdd4617e34b3f8e11a311c3fee7d2c024f7908fb"/>
    <w:p>
      <w:pPr>
        <w:pStyle w:val="Heading2"/>
        <w:spacing w:line="480" w:lineRule="auto"/>
      </w:pPr>
      <w:r>
        <w:t xml:space="preserve">7.8 Generalization and the boundary of the corpus</w:t>
      </w:r>
    </w:p>
    <w:p>
      <w:pPr>
        <w:pStyle w:val="FirstParagraph"/>
        <w:spacing w:line="480" w:lineRule="auto"/>
      </w:pPr>
      <w:r>
        <w:t xml:space="preserve">How far the findings travel is a fair and pressing question. The panel is a bounded retrieval, and consolidation detected or not detected in these thirty records is, strictly, a statement about this object. Yet the retrieval was not arbitrary; it was tied to the candidate topic and drawn from the two venue families where this literature principally lives, AMOS and Acta Astronautica</w:t>
      </w:r>
      <w:r>
        <w:t xml:space="preserve"> </w:t>
      </w:r>
      <w:hyperlink w:anchor="ref-2">
        <w:r>
          <w:rPr>
            <w:rStyle w:val="Hyperlink"/>
          </w:rPr>
          <w:t xml:space="preserve">[2]</w:t>
        </w:r>
      </w:hyperlink>
      <w:r>
        <w:t xml:space="preserve"> </w:t>
      </w:r>
      <w:hyperlink w:anchor="ref-16">
        <w:r>
          <w:rPr>
            <w:rStyle w:val="Hyperlink"/>
          </w:rPr>
          <w:t xml:space="preserve">[16]</w:t>
        </w:r>
      </w:hyperlink>
      <w:r>
        <w:t xml:space="preserve">. The corpus is therefore a reasonable, if partial, window onto the field, and the findings are best read as characterizing the retrieved core rather than a random slice.</w:t>
      </w:r>
    </w:p>
    <w:p>
      <w:pPr>
        <w:pStyle w:val="BodyText"/>
        <w:spacing w:line="480" w:lineRule="auto"/>
        <w:ind w:firstLine="720"/>
      </w:pPr>
      <w:r>
        <w:t xml:space="preserve">The presence of technically adjacent records marks the boundary of generalization precisely. Records on adaptive optics, solar sails, and lunar resources enter the corpus on shared vocabulary, and their presence shows that the retrieval’s edges are terminological rather than argumentative</w:t>
      </w:r>
      <w:r>
        <w:t xml:space="preserve"> </w:t>
      </w:r>
      <w:hyperlink w:anchor="ref-13">
        <w:r>
          <w:rPr>
            <w:rStyle w:val="Hyperlink"/>
          </w:rPr>
          <w:t xml:space="preserve">[13]</w:t>
        </w:r>
      </w:hyperlink>
      <w:r>
        <w:t xml:space="preserve"> </w:t>
      </w:r>
      <w:hyperlink w:anchor="ref-18">
        <w:r>
          <w:rPr>
            <w:rStyle w:val="Hyperlink"/>
          </w:rPr>
          <w:t xml:space="preserve">[18]</w:t>
        </w:r>
      </w:hyperlink>
      <w:r>
        <w:t xml:space="preserve"> </w:t>
      </w:r>
      <w:hyperlink w:anchor="ref-20">
        <w:r>
          <w:rPr>
            <w:rStyle w:val="Hyperlink"/>
          </w:rPr>
          <w:t xml:space="preserve">[20]</w:t>
        </w:r>
      </w:hyperlink>
      <w:r>
        <w:t xml:space="preserve">. A generalization to the tight argumentative core of the transparency debate is well supported; a generalization to every record that happens to share sustainability vocabulary is not. Stating the boundary this precisely is what lets the conclusions claim exactly the reach the evidence grants and no more</w:t>
      </w:r>
      <w:r>
        <w:t xml:space="preserve"> </w:t>
      </w:r>
      <w:hyperlink w:anchor="ref-19">
        <w:r>
          <w:rPr>
            <w:rStyle w:val="Hyperlink"/>
          </w:rPr>
          <w:t xml:space="preserve">[19]</w:t>
        </w:r>
      </w:hyperlink>
      <w:r>
        <w:t xml:space="preserve">.</w:t>
      </w:r>
    </w:p>
    <w:bookmarkEnd w:id="140"/>
    <w:bookmarkStart w:id="141" w:name="what-a-stronger-design-would-add"/>
    <w:p>
      <w:pPr>
        <w:pStyle w:val="Heading2"/>
        <w:spacing w:line="480" w:lineRule="auto"/>
      </w:pPr>
      <w:r>
        <w:t xml:space="preserve">7.9 What a stronger design would add</w:t>
      </w:r>
    </w:p>
    <w:p>
      <w:pPr>
        <w:pStyle w:val="FirstParagraph"/>
        <w:spacing w:line="480" w:lineRule="auto"/>
      </w:pPr>
      <w:r>
        <w:t xml:space="preserve">It clarifies the present contribution to name what a stronger design would add, because the gap between what was done and what could be done marks the honest limit of the claim. A larger corpus would resolve whether the Paper 1 nulls reflect a truly unstructured signal or a faint structure beneath the resolution of thirty records</w:t>
      </w:r>
      <w:r>
        <w:t xml:space="preserve"> </w:t>
      </w:r>
      <w:hyperlink w:anchor="ref-11">
        <w:r>
          <w:rPr>
            <w:rStyle w:val="Hyperlink"/>
          </w:rPr>
          <w:t xml:space="preserve">[11]</w:t>
        </w:r>
      </w:hyperlink>
      <w:r>
        <w:t xml:space="preserve">. A substantive measure of topic density, richer than a metadata term count, would neutralize the proxy problem and let the signal question be asked with more confidence</w:t>
      </w:r>
      <w:r>
        <w:t xml:space="preserve"> </w:t>
      </w:r>
      <w:hyperlink w:anchor="ref-16">
        <w:r>
          <w:rPr>
            <w:rStyle w:val="Hyperlink"/>
          </w:rPr>
          <w:t xml:space="preserve">[16]</w:t>
        </w:r>
      </w:hyperlink>
      <w:r>
        <w:t xml:space="preserve">. And a longitudinal design, repeating the analysis across time, would turn the single snapshot into a trajectory and test consolidation as a process</w:t>
      </w:r>
      <w:r>
        <w:t xml:space="preserve"> </w:t>
      </w:r>
      <w:hyperlink w:anchor="ref-4">
        <w:r>
          <w:rPr>
            <w:rStyle w:val="Hyperlink"/>
          </w:rPr>
          <w:t xml:space="preserve">[4]</w:t>
        </w:r>
      </w:hyperlink>
      <w:r>
        <w:t xml:space="preserve">.</w:t>
      </w:r>
    </w:p>
    <w:p>
      <w:pPr>
        <w:pStyle w:val="BodyText"/>
        <w:spacing w:line="480" w:lineRule="auto"/>
        <w:ind w:firstLine="720"/>
      </w:pPr>
      <w:r>
        <w:t xml:space="preserve">None of these enhancements is available within the present bounded design, and the dissertation does not pretend otherwise. What it offers is a first, checkable characterization against which those richer designs can be compared, and a set of results honest enough about their own limits that the next study knows exactly where to push</w:t>
      </w:r>
      <w:r>
        <w:t xml:space="preserve"> </w:t>
      </w:r>
      <w:hyperlink w:anchor="ref-1">
        <w:r>
          <w:rPr>
            <w:rStyle w:val="Hyperlink"/>
          </w:rPr>
          <w:t xml:space="preserve">[1]</w:t>
        </w:r>
      </w:hyperlink>
      <w:r>
        <w:t xml:space="preserve"> </w:t>
      </w:r>
      <w:hyperlink w:anchor="ref-19">
        <w:r>
          <w:rPr>
            <w:rStyle w:val="Hyperlink"/>
          </w:rPr>
          <w:t xml:space="preserve">[19]</w:t>
        </w:r>
      </w:hyperlink>
      <w:r>
        <w:t xml:space="preserve">. The final chapter states the contribution, its relevance to governance and to research programs, and the future work these limits invite.</w:t>
      </w:r>
    </w:p>
    <w:bookmarkEnd w:id="141"/>
    <w:bookmarkStart w:id="142" w:name="X1f67ebe22b78fc166dad5c7b3519b21b5c6b89c"/>
    <w:p>
      <w:pPr>
        <w:pStyle w:val="Heading2"/>
        <w:spacing w:line="480" w:lineRule="auto"/>
      </w:pPr>
      <w:r>
        <w:t xml:space="preserve">7.10 Implications for how transparency instruments are justified</w:t>
      </w:r>
    </w:p>
    <w:p>
      <w:pPr>
        <w:pStyle w:val="FirstParagraph"/>
        <w:spacing w:line="480" w:lineRule="auto"/>
      </w:pPr>
      <w:r>
        <w:t xml:space="preserve">These findings speak most directly to how transparency instruments are justified, and drawing that out is where the discussion earns its keep. When a sustainability rating or a disclosure mandate is proposed, its justification typically rests on an implicit claim that the underlying science is settled enough to define what should be measured and what consequences should follow</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The non-consolidation finding does not invalidate such instruments, but it does change the register in which they should be justified. An instrument built on a forming literature is a hypothesis, and it should be presented as one, with explicit provision for revision as the field’s center of gravity settles.</w:t>
      </w:r>
    </w:p>
    <w:p>
      <w:pPr>
        <w:pStyle w:val="BodyText"/>
        <w:spacing w:line="480" w:lineRule="auto"/>
        <w:ind w:firstLine="720"/>
      </w:pPr>
      <w:r>
        <w:t xml:space="preserve">This has practical consequences for instrument design. A rating whose justification acknowledges a forming evidentiary base would build in periodic recalibration, would treat its weighting of behaviors as provisional, and would resist presenting its grades as final scientific verdicts</w:t>
      </w:r>
      <w:r>
        <w:t xml:space="preserve"> </w:t>
      </w:r>
      <w:hyperlink w:anchor="ref-4">
        <w:r>
          <w:rPr>
            <w:rStyle w:val="Hyperlink"/>
          </w:rPr>
          <w:t xml:space="preserve">[4]</w:t>
        </w:r>
      </w:hyperlink>
      <w:r>
        <w:t xml:space="preserve"> </w:t>
      </w:r>
      <w:hyperlink w:anchor="ref-21">
        <w:r>
          <w:rPr>
            <w:rStyle w:val="Hyperlink"/>
          </w:rPr>
          <w:t xml:space="preserve">[21]</w:t>
        </w:r>
      </w:hyperlink>
      <w:r>
        <w:t xml:space="preserve">. A disclosure mandate justified in the same register would pair disclosure with the verification infrastructure that gives it meaning, rather than assuming that disclosure alone suffices</w:t>
      </w:r>
      <w:r>
        <w:t xml:space="preserve"> </w:t>
      </w:r>
      <w:hyperlink w:anchor="ref-5">
        <w:r>
          <w:rPr>
            <w:rStyle w:val="Hyperlink"/>
          </w:rPr>
          <w:t xml:space="preserve">[5]</w:t>
        </w:r>
      </w:hyperlink>
      <w:r>
        <w:t xml:space="preserve"> </w:t>
      </w:r>
      <w:hyperlink w:anchor="ref-9">
        <w:r>
          <w:rPr>
            <w:rStyle w:val="Hyperlink"/>
          </w:rPr>
          <w:t xml:space="preserve">[9]</w:t>
        </w:r>
      </w:hyperlink>
      <w:r>
        <w:t xml:space="preserve">. The finding thus translates into a design ethic: justify transparency instruments as learning devices calibrated to a moving field, not as applications of settled knowledge.</w:t>
      </w:r>
    </w:p>
    <w:p>
      <w:pPr>
        <w:pStyle w:val="BodyText"/>
        <w:spacing w:line="480" w:lineRule="auto"/>
        <w:ind w:firstLine="720"/>
      </w:pPr>
      <w:r>
        <w:t xml:space="preserve">The alternative, justifying instruments as though the science were consolidated when it is not, carries a specific risk. It invites overconfidence, and overconfidence in a contested domain can be costly, because a rating or mandate presented as settled science is harder to revise when the field moves, and the field is moving, as the negative age elasticity shows</w:t>
      </w:r>
      <w:r>
        <w:t xml:space="preserve"> </w:t>
      </w:r>
      <w:hyperlink w:anchor="ref-19">
        <w:r>
          <w:rPr>
            <w:rStyle w:val="Hyperlink"/>
          </w:rPr>
          <w:t xml:space="preserve">[19]</w:t>
        </w:r>
      </w:hyperlink>
      <w:r>
        <w:t xml:space="preserve">. Justifying instruments honestly, as provisional and revisable, is not a weakness but a form of robustness, and the dissertation’s finding is what licenses that recommendation on evidence rather than intuition</w:t>
      </w:r>
      <w:r>
        <w:t xml:space="preserve"> </w:t>
      </w:r>
      <w:hyperlink w:anchor="ref-16">
        <w:r>
          <w:rPr>
            <w:rStyle w:val="Hyperlink"/>
          </w:rPr>
          <w:t xml:space="preserve">[16]</w:t>
        </w:r>
      </w:hyperlink>
      <w:r>
        <w:t xml:space="preserve">.</w:t>
      </w:r>
    </w:p>
    <w:bookmarkEnd w:id="142"/>
    <w:bookmarkStart w:id="143" w:name="Xa1ec3c1cf5d281764fdb30b46ba6ca660f0ba05"/>
    <w:p>
      <w:pPr>
        <w:pStyle w:val="Heading2"/>
        <w:spacing w:line="480" w:lineRule="auto"/>
      </w:pPr>
      <w:r>
        <w:t xml:space="preserve">7.11 The value of a negative result for the field</w:t>
      </w:r>
    </w:p>
    <w:p>
      <w:pPr>
        <w:pStyle w:val="FirstParagraph"/>
        <w:spacing w:line="480" w:lineRule="auto"/>
      </w:pPr>
      <w:r>
        <w:t xml:space="preserve">A null can teach. This one points to work the field still owes itself.</w:t>
      </w:r>
    </w:p>
    <w:p>
      <w:pPr>
        <w:pStyle w:val="BodyText"/>
        <w:spacing w:line="480" w:lineRule="auto"/>
        <w:ind w:firstLine="720"/>
      </w:pPr>
      <w:r>
        <w:t xml:space="preserve">Negative and inverted results are undervalued in a field oriented toward advocacy, and it is worth stating positively what this one contributes. A field that assumes its own consolidation cannot see where consolidation is actually needed. By showing that topic signal does not sort by recency and that attention runs toward the frontier rather than the foundations, the dissertation identifies exactly the consolidation work the field has yet to do: building shared measurement standards, synthesizing scattered strands, and constructing the canonical cases the field currently borrows from elsewhere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This diagnostic value is the practical payoff of an honest null. A confirming result would have told the field it was already consolidated and needed no such work, which, given the evidence, would have been false comfort. The actual result points the field toward productive effort, and it does so on evidence any scholar of this literature can check against the panel</w:t>
      </w:r>
      <w:r>
        <w:t xml:space="preserve"> </w:t>
      </w:r>
      <w:hyperlink w:anchor="ref-19">
        <w:r>
          <w:rPr>
            <w:rStyle w:val="Hyperlink"/>
          </w:rPr>
          <w:t xml:space="preserve">[19]</w:t>
        </w:r>
      </w:hyperlink>
      <w:r>
        <w:t xml:space="preserve">. A dissertation that redirected the field’s attention toward the work it still needs to do has contributed something durable, even if, and precisely because, its central result is a null paired with an inversion rather than a triumphant confirmation</w:t>
      </w:r>
      <w:r>
        <w:t xml:space="preserve"> </w:t>
      </w:r>
      <w:hyperlink w:anchor="ref-4">
        <w:r>
          <w:rPr>
            <w:rStyle w:val="Hyperlink"/>
          </w:rPr>
          <w:t xml:space="preserve">[4]</w:t>
        </w:r>
      </w:hyperlink>
      <w:r>
        <w:t xml:space="preserve">. The concluding chapter carries this diagnostic forward into concrete governance and program implications, and into the future work the finding invites</w:t>
      </w:r>
      <w:r>
        <w:t xml:space="preserve"> </w:t>
      </w:r>
      <w:hyperlink w:anchor="ref-16">
        <w:r>
          <w:rPr>
            <w:rStyle w:val="Hyperlink"/>
          </w:rPr>
          <w:t xml:space="preserve">[16]</w:t>
        </w:r>
      </w:hyperlink>
      <w:r>
        <w:t xml:space="preserve">.</w:t>
      </w:r>
    </w:p>
    <w:bookmarkEnd w:id="143"/>
    <w:bookmarkEnd w:id="144"/>
    <w:bookmarkStart w:id="190"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ask whether the research literature carrying the sunlight-as-sanction thesis has cohered into a cumulative program, and to answer that question with evidence a reader could check. The answer, drawn from two estimators on a thirty-record panel, is that the transparency and sustainability corpus is active and selective rather than consolidated. This closing chapter states the contribution precisely, draws out its governance and program relevance, and lays out the future work the findings invite. It does not enlarge the claim beyond what the data support, because the whole value of the exercise was to keep the claim answerable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Start w:id="145" w:name="the-contribution-stated-once-more"/>
    <w:p>
      <w:pPr>
        <w:pStyle w:val="Heading2"/>
        <w:spacing w:line="480" w:lineRule="auto"/>
      </w:pPr>
      <w:r>
        <w:t xml:space="preserve">8.1 The contribution, stated once more</w:t>
      </w:r>
    </w:p>
    <w:p>
      <w:pPr>
        <w:pStyle w:val="FirstParagraph"/>
        <w:spacing w:line="480" w:lineRule="auto"/>
      </w:pPr>
      <w:r>
        <w:t xml:space="preserve">A single falsifiable contribution was set out as a prediction: if the field had consolidated, recent records would carry stronger topic signal and citation accumulation would follow an interpretable age-based pattern. The empirical chapters tested that prediction and found it declined on the first count and inverted on the second. The signal-intensity model returned a near-total null, with R-squared at 0.0320 and no covariate distinguishable from zero, so recency, attention, and venue do not organize topic density in the retrieved corpus. The learning-curve model returned a precisely estimated negative age elasticity of -0.4901, showing that attention accumulation favors newer records rather than older ones</w:t>
      </w:r>
      <w:r>
        <w:t xml:space="preserve"> </w:t>
      </w:r>
      <w:hyperlink w:anchor="ref-8">
        <w:r>
          <w:rPr>
            <w:rStyle w:val="Hyperlink"/>
          </w:rPr>
          <w:t xml:space="preserve">[8]</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This contribution is therefore a characterization, delivered against a pre-registered prediction. The transparency and sustainability literature, as retrieved for this candidate, does not look like a settled evidentiary hierarchy. It looks like a young, selective discourse in motion. That is a modest finding, and it is a real one, falsifiable in advance and traceable to a panel that can be regenerated row by row. A dissertation that risks a prediction and reports honestly when the data refuse it has done the work a dissertation is for</w:t>
      </w:r>
      <w:r>
        <w:t xml:space="preserve"> </w:t>
      </w:r>
      <w:hyperlink w:anchor="ref-16">
        <w:r>
          <w:rPr>
            <w:rStyle w:val="Hyperlink"/>
          </w:rPr>
          <w:t xml:space="preserve">[16]</w:t>
        </w:r>
      </w:hyperlink>
      <w:r>
        <w:t xml:space="preserve">.</w:t>
      </w:r>
    </w:p>
    <w:bookmarkEnd w:id="145"/>
    <w:bookmarkStart w:id="146" w:name="why-the-null-and-the-inversion-matter"/>
    <w:p>
      <w:pPr>
        <w:pStyle w:val="Heading2"/>
        <w:spacing w:line="480" w:lineRule="auto"/>
      </w:pPr>
      <w:r>
        <w:t xml:space="preserve">8.2 Why the null and the inversion matter</w:t>
      </w:r>
    </w:p>
    <w:p>
      <w:pPr>
        <w:pStyle w:val="FirstParagraph"/>
        <w:spacing w:line="480" w:lineRule="auto"/>
      </w:pPr>
      <w:r>
        <w:t xml:space="preserve">It would be easy to undervalue a result built partly on a null. That would be a mistake. A null in the signal-intensity model is what licenses the reframing of the whole debate. If topic signal had sorted cleanly by recency, the field could be treated as maturing, and reforms could lean on it with confidence. Because it did not, the responsible posture is to treat transparency scholarship as forming rather than finished, and to design instruments accordingly</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Inversion in the learning-curve model matters for a different reason. A negative age elasticity is not the absence of structure; it is a specific structure, and it points to a field whose center of gravity is recent and moving. The surge of journal work on sustainability ratings and incentive mechanisms in the past three years is the visible expression of that motion, and the heavily cited discourse-network study of the emerging debris regime is its exemplar: recent, central, and rapidly attended</w:t>
      </w:r>
      <w:r>
        <w:t xml:space="preserve"> </w:t>
      </w:r>
      <w:hyperlink w:anchor="ref-4">
        <w:r>
          <w:rPr>
            <w:rStyle w:val="Hyperlink"/>
          </w:rPr>
          <w:t xml:space="preserve">[4]</w:t>
        </w:r>
      </w:hyperlink>
      <w:r>
        <w:t xml:space="preserve"> </w:t>
      </w:r>
      <w:hyperlink w:anchor="ref-19">
        <w:r>
          <w:rPr>
            <w:rStyle w:val="Hyperlink"/>
          </w:rPr>
          <w:t xml:space="preserve">[19]</w:t>
        </w:r>
      </w:hyperlink>
      <w:r>
        <w:t xml:space="preserve"> </w:t>
      </w:r>
      <w:hyperlink w:anchor="ref-21">
        <w:r>
          <w:rPr>
            <w:rStyle w:val="Hyperlink"/>
          </w:rPr>
          <w:t xml:space="preserve">[21]</w:t>
        </w:r>
      </w:hyperlink>
      <w:r>
        <w:t xml:space="preserve">. The combination of a signal null and an attention inversion is more informative than either alone, because it distinguishes a genuinely diffuse field from a merely young one. This field is young and selective, not simply scattered.</w:t>
      </w:r>
    </w:p>
    <w:bookmarkEnd w:id="146"/>
    <w:bookmarkStart w:id="147" w:name="governance-relevance"/>
    <w:p>
      <w:pPr>
        <w:pStyle w:val="Heading2"/>
        <w:spacing w:line="480" w:lineRule="auto"/>
      </w:pPr>
      <w:r>
        <w:t xml:space="preserve">8.3 Governance relevance</w:t>
      </w:r>
    </w:p>
    <w:p>
      <w:pPr>
        <w:pStyle w:val="FirstParagraph"/>
        <w:spacing w:line="480" w:lineRule="auto"/>
      </w:pPr>
      <w:r>
        <w:t xml:space="preserve">For orbital governance, the findings carry a sequencing lesson rather than a directive. Transparency instruments, sustainability ratings, disclosure mandates, data-sharing regimes, are being proposed against a knowledge base that is still locating its own foundations. An appropriate design response is to treat these instruments as revisable learning devices, calibrated to a literature that will shift as it consolidates, rather than as final applications of settled science</w:t>
      </w:r>
      <w:r>
        <w:t xml:space="preserve"> </w:t>
      </w:r>
      <w:hyperlink w:anchor="ref-16">
        <w:r>
          <w:rPr>
            <w:rStyle w:val="Hyperlink"/>
          </w:rPr>
          <w:t xml:space="preserve">[16]</w:t>
        </w:r>
      </w:hyperlink>
      <w:r>
        <w:t xml:space="preserve">. A rating that encodes today’s best guess about what matters should be built to be updated as the field’s attention structure stabilizes.</w:t>
      </w:r>
    </w:p>
    <w:p>
      <w:pPr>
        <w:pStyle w:val="BodyText"/>
        <w:spacing w:line="480" w:lineRule="auto"/>
        <w:ind w:firstLine="720"/>
      </w:pPr>
      <w:r>
        <w:t xml:space="preserve">That mandatory-versus-voluntary question in the title is best read in this light. The comparative effectiveness of the two regimes depends on verification capability, and the verification strand, the work on independent attribution, situational-awareness data, and pedigree, is among the least consolidated parts of the field</w:t>
      </w:r>
      <w:r>
        <w:t xml:space="preserve"> </w:t>
      </w:r>
      <w:hyperlink w:anchor="ref-5">
        <w:r>
          <w:rPr>
            <w:rStyle w:val="Hyperlink"/>
          </w:rPr>
          <w:t xml:space="preserve">[5]</w:t>
        </w:r>
      </w:hyperlink>
      <w:r>
        <w:t xml:space="preserve"> </w:t>
      </w:r>
      <w:hyperlink w:anchor="ref-9">
        <w:r>
          <w:rPr>
            <w:rStyle w:val="Hyperlink"/>
          </w:rPr>
          <w:t xml:space="preserve">[9]</w:t>
        </w:r>
      </w:hyperlink>
      <w:r>
        <w:t xml:space="preserve">. Any mandate worth designing must be built on that verification infrastructure, because disclosure without independent verification is disclosure an operator can shape. The governance implication is not that transparency reforms should wait for a settled literature, which may never fully arrive, but that they should be designed with explicit humility about the maturity of their evidentiary base and with the verification machinery that gives disclosure its bite</w:t>
      </w:r>
      <w:r>
        <w:t xml:space="preserve"> </w:t>
      </w:r>
      <w:hyperlink w:anchor="ref-7">
        <w:r>
          <w:rPr>
            <w:rStyle w:val="Hyperlink"/>
          </w:rPr>
          <w:t xml:space="preserve">[7]</w:t>
        </w:r>
      </w:hyperlink>
      <w:r>
        <w:t xml:space="preserve"> </w:t>
      </w:r>
      <w:hyperlink w:anchor="ref-17">
        <w:r>
          <w:rPr>
            <w:rStyle w:val="Hyperlink"/>
          </w:rPr>
          <w:t xml:space="preserve">[17]</w:t>
        </w:r>
      </w:hyperlink>
      <w:r>
        <w:t xml:space="preserve">.</w:t>
      </w:r>
    </w:p>
    <w:bookmarkEnd w:id="147"/>
    <w:bookmarkStart w:id="148" w:name="program-relevance"/>
    <w:p>
      <w:pPr>
        <w:pStyle w:val="Heading2"/>
        <w:spacing w:line="480" w:lineRule="auto"/>
      </w:pPr>
      <w:r>
        <w:t xml:space="preserve">8.4 Program relevance</w:t>
      </w:r>
    </w:p>
    <w:p>
      <w:pPr>
        <w:pStyle w:val="FirstParagraph"/>
        <w:spacing w:line="480" w:lineRule="auto"/>
      </w:pPr>
      <w:r>
        <w:t xml:space="preserve">For research programs that fund and organize this scholarship, the findings suggest where investment would do the most. A field whose attention chases newness and whose signal does not sort by recency benefits from deliberate consolidation work: synthesis, replication, and the construction of shared measurement standards that would let later work stand on earlier work rather than continually re-locating the frontier</w:t>
      </w:r>
      <w:r>
        <w:t xml:space="preserve"> </w:t>
      </w:r>
      <w:hyperlink w:anchor="ref-1">
        <w:r>
          <w:rPr>
            <w:rStyle w:val="Hyperlink"/>
          </w:rPr>
          <w:t xml:space="preserve">[1]</w:t>
        </w:r>
      </w:hyperlink>
      <w:r>
        <w:t xml:space="preserve"> </w:t>
      </w:r>
      <w:hyperlink w:anchor="ref-11">
        <w:r>
          <w:rPr>
            <w:rStyle w:val="Hyperlink"/>
          </w:rPr>
          <w:t xml:space="preserve">[11]</w:t>
        </w:r>
      </w:hyperlink>
      <w:r>
        <w:t xml:space="preserve">. The Montreal Protocol analogy that the field repeatedly borrows is instructive precisely because it is borrowed; the transparency field does not yet have its own canonical, agreed-upon success story, and building one would be a consolidating act</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A situational-awareness and pedigree strand is a natural focus for such investment, because it is the infrastructure on which the rest of the field’s credibility rests</w:t>
      </w:r>
      <w:r>
        <w:t xml:space="preserve"> </w:t>
      </w:r>
      <w:hyperlink w:anchor="ref-2">
        <w:r>
          <w:rPr>
            <w:rStyle w:val="Hyperlink"/>
          </w:rPr>
          <w:t xml:space="preserve">[2]</w:t>
        </w:r>
      </w:hyperlink>
      <w:r>
        <w:t xml:space="preserve"> </w:t>
      </w:r>
      <w:hyperlink w:anchor="ref-5">
        <w:r>
          <w:rPr>
            <w:rStyle w:val="Hyperlink"/>
          </w:rPr>
          <w:t xml:space="preserve">[5]</w:t>
        </w:r>
      </w:hyperlink>
      <w:r>
        <w:t xml:space="preserve">. Programs that strengthen the provenance and confidence measures behind orbital behavioral data would raise the floor for every downstream instrument, from ratings to mandates. The data-driven and artificial-intelligence governance strand deserves parallel attention, since systems whose behavior is partly opaque to their own operators pose the hardest version of the transparency problem and are exactly where the field is least settled</w:t>
      </w:r>
      <w:r>
        <w:t xml:space="preserve"> </w:t>
      </w:r>
      <w:hyperlink w:anchor="ref-15">
        <w:r>
          <w:rPr>
            <w:rStyle w:val="Hyperlink"/>
          </w:rPr>
          <w:t xml:space="preserve">[15]</w:t>
        </w:r>
      </w:hyperlink>
      <w:r>
        <w:t xml:space="preserve">.</w:t>
      </w:r>
    </w:p>
    <w:bookmarkEnd w:id="148"/>
    <w:bookmarkStart w:id="149" w:name="future-work"/>
    <w:p>
      <w:pPr>
        <w:pStyle w:val="Heading2"/>
        <w:spacing w:line="480" w:lineRule="auto"/>
      </w:pPr>
      <w:r>
        <w:t xml:space="preserve">8.5 Future work</w:t>
      </w:r>
    </w:p>
    <w:p>
      <w:pPr>
        <w:pStyle w:val="FirstParagraph"/>
        <w:spacing w:line="480" w:lineRule="auto"/>
      </w:pPr>
      <w:r>
        <w:t xml:space="preserve">Several extensions follow directly. Most immediate is scale. Thirty records limit power, and a larger retrieval would test whether the signal-intensity nulls reflect a genuinely non-consolidated field or an association too faint for a small sample to resolve. A corpus an order of magnitude larger, spanning more venues and a longer horizon, would let the recency and venue mechanisms be estimated with the precision the present design cannot reach</w:t>
      </w:r>
      <w:r>
        <w:t xml:space="preserve"> </w:t>
      </w:r>
      <w:hyperlink w:anchor="ref-19">
        <w:r>
          <w:rPr>
            <w:rStyle w:val="Hyperlink"/>
          </w:rPr>
          <w:t xml:space="preserve">[19]</w:t>
        </w:r>
      </w:hyperlink>
      <w:r>
        <w:t xml:space="preserve">.</w:t>
      </w:r>
    </w:p>
    <w:p>
      <w:pPr>
        <w:pStyle w:val="BodyText"/>
        <w:spacing w:line="480" w:lineRule="auto"/>
        <w:ind w:firstLine="720"/>
      </w:pPr>
      <w:r>
        <w:t xml:space="preserve">A second extension is measurement refinement. The topic-signal score is a deterministic term count, and a richer measure of substantive topic density, one that captures thematic centrality beyond metadata term hits, would reduce the proxy noise that plausibly weakens the Paper 1 fit. A third extension moves toward the operator level the title ultimately points at. Linking corpus-level consolidation measures to observed operator behavior under different disclosure regimes would connect the knowledge-formation question studied here to the behavioral question the debate cares about, though that step requires operator-level data the present design does not have</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p>
      <w:pPr>
        <w:pStyle w:val="BodyText"/>
        <w:spacing w:line="480" w:lineRule="auto"/>
        <w:ind w:firstLine="720"/>
      </w:pPr>
      <w:r>
        <w:t xml:space="preserve">A final extension is temporal. Repeating the analysis at intervals would turn a single snapshot into a trajectory, and a field that is young and selective now may consolidate later. Tracking whether the age elasticity moves toward the positive, cumulative pattern over time would be a direct test of consolidation as a process rather than a state</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149"/>
    <w:bookmarkStart w:id="150" w:name="closing"/>
    <w:p>
      <w:pPr>
        <w:pStyle w:val="Heading2"/>
        <w:spacing w:line="480" w:lineRule="auto"/>
      </w:pPr>
      <w:r>
        <w:t xml:space="preserve">8.6 Closing</w:t>
      </w:r>
    </w:p>
    <w:p>
      <w:pPr>
        <w:pStyle w:val="FirstParagraph"/>
        <w:spacing w:line="480" w:lineRule="auto"/>
      </w:pPr>
      <w:r>
        <w:t xml:space="preserve">The dissertation began with a reflex and ends with a measurement. The reflex is that sunlight disciplines behavior, and the measurement is that the literature carrying that reflex is not yet the settled program its confidence implies. Recent records do not carry systematically stronger signal, and attention accumulates toward newness rather than anchoring on foundational older work. These are limited findings, honestly bounded, and they are answerable to a panel any reader can inspect. The transparency conversation in orbital governance is worth having, and it is better had with its evidentiary foundations described as they are: forming, selective, and still in motion. That honest description, more than any sweeping claim, is what this dissertation offers the field</w:t>
      </w:r>
      <w:r>
        <w:t xml:space="preserve"> </w:t>
      </w:r>
      <w:hyperlink w:anchor="ref-1">
        <w:r>
          <w:rPr>
            <w:rStyle w:val="Hyperlink"/>
          </w:rPr>
          <w:t xml:space="preserve">[1]</w:t>
        </w:r>
      </w:hyperlink>
      <w:r>
        <w:t xml:space="preserve"> </w:t>
      </w:r>
      <w:hyperlink w:anchor="ref-19">
        <w:r>
          <w:rPr>
            <w:rStyle w:val="Hyperlink"/>
          </w:rPr>
          <w:t xml:space="preserve">[19]</w:t>
        </w:r>
      </w:hyperlink>
      <w:r>
        <w:t xml:space="preserve">.</w:t>
      </w:r>
    </w:p>
    <w:bookmarkEnd w:id="150"/>
    <w:bookmarkStart w:id="151" w:name="X93a19cc5c214ee63e173be2de521ced0804f6e9"/>
    <w:p>
      <w:pPr>
        <w:pStyle w:val="Heading2"/>
        <w:spacing w:line="480" w:lineRule="auto"/>
      </w:pPr>
      <w:r>
        <w:t xml:space="preserve">8.7 The method as a transferable contribution</w:t>
      </w:r>
    </w:p>
    <w:p>
      <w:pPr>
        <w:pStyle w:val="FirstParagraph"/>
        <w:spacing w:line="480" w:lineRule="auto"/>
      </w:pPr>
      <w:r>
        <w:t xml:space="preserve">Beyond its substantive finding, the dissertation contributes a method that transfers. The move of treating a retrieved corpus as a measurable object, building deterministic variables from record metadata, and testing for consolidation signatures with a pair of complementary estimators is applicable well beyond the transparency and sustainability literature</w:t>
      </w:r>
      <w:r>
        <w:t xml:space="preserve"> </w:t>
      </w:r>
      <w:hyperlink w:anchor="ref-1">
        <w:r>
          <w:rPr>
            <w:rStyle w:val="Hyperlink"/>
          </w:rPr>
          <w:t xml:space="preserve">[1]</w:t>
        </w:r>
      </w:hyperlink>
      <w:r>
        <w:t xml:space="preserve"> </w:t>
      </w:r>
      <w:hyperlink w:anchor="ref-16">
        <w:r>
          <w:rPr>
            <w:rStyle w:val="Hyperlink"/>
          </w:rPr>
          <w:t xml:space="preserve">[16]</w:t>
        </w:r>
      </w:hyperlink>
      <w:r>
        <w:t xml:space="preserve">. Any young field that wishes to ask whether it has cohered can run the same two tests: whether topic signal sorts by recency and venue, and whether attention accumulates by age in an interpretable way.</w:t>
      </w:r>
    </w:p>
    <w:p>
      <w:pPr>
        <w:pStyle w:val="BodyText"/>
        <w:spacing w:line="480" w:lineRule="auto"/>
        <w:ind w:firstLine="720"/>
      </w:pPr>
      <w:r>
        <w:t xml:space="preserve">This transferability rests on the design’s discipline rather than on its particular numbers. The signal-intensity model and the learning-curve model are standard tools, and the innovation is not statistical but conceptual: framing consolidation as an empirical outcome with measurable signatures, and committing in advance to reading the joint pattern of results as a location in a space of field structures</w:t>
      </w:r>
      <w:r>
        <w:t xml:space="preserve"> </w:t>
      </w:r>
      <w:hyperlink w:anchor="ref-4">
        <w:r>
          <w:rPr>
            <w:rStyle w:val="Hyperlink"/>
          </w:rPr>
          <w:t xml:space="preserve">[4]</w:t>
        </w:r>
      </w:hyperlink>
      <w:r>
        <w:t xml:space="preserve"> </w:t>
      </w:r>
      <w:hyperlink w:anchor="ref-19">
        <w:r>
          <w:rPr>
            <w:rStyle w:val="Hyperlink"/>
          </w:rPr>
          <w:t xml:space="preserve">[19]</w:t>
        </w:r>
      </w:hyperlink>
      <w:r>
        <w:t xml:space="preserve">. A field that adopted this frame would gain a checkable answer to a question usually settled by assertion, namely whether its evidentiary base is cumulative enough to bear the reforms proposed on it.</w:t>
      </w:r>
    </w:p>
    <w:p>
      <w:pPr>
        <w:pStyle w:val="BodyText"/>
        <w:spacing w:line="480" w:lineRule="auto"/>
        <w:ind w:firstLine="720"/>
      </w:pPr>
      <w:r>
        <w:t xml:space="preserve">The situational-awareness and governance literatures are natural candidates for the same treatment, since they too are young, active, and prone to assuming a consolidation they have not demonstrated</w:t>
      </w:r>
      <w:r>
        <w:t xml:space="preserve"> </w:t>
      </w:r>
      <w:hyperlink w:anchor="ref-2">
        <w:r>
          <w:rPr>
            <w:rStyle w:val="Hyperlink"/>
          </w:rPr>
          <w:t xml:space="preserve">[2]</w:t>
        </w:r>
      </w:hyperlink>
      <w:r>
        <w:t xml:space="preserve"> </w:t>
      </w:r>
      <w:hyperlink w:anchor="ref-11">
        <w:r>
          <w:rPr>
            <w:rStyle w:val="Hyperlink"/>
          </w:rPr>
          <w:t xml:space="preserve">[11]</w:t>
        </w:r>
      </w:hyperlink>
      <w:r>
        <w:t xml:space="preserve">. Applying the method across several adjacent fields would also allow comparison, revealing which parts of the broader space-governance enterprise have consolidated and which remain in motion. That comparative map does not exist, and the method offered here is a step toward building it.</w:t>
      </w:r>
    </w:p>
    <w:bookmarkEnd w:id="151"/>
    <w:bookmarkStart w:id="152" w:name="X96e3771a0e40e7935a1b665614110d75b185623"/>
    <w:p>
      <w:pPr>
        <w:pStyle w:val="Heading2"/>
        <w:spacing w:line="480" w:lineRule="auto"/>
      </w:pPr>
      <w:r>
        <w:t xml:space="preserve">8.8 Reconciling the finding with the policy urgency</w:t>
      </w:r>
    </w:p>
    <w:p>
      <w:pPr>
        <w:pStyle w:val="FirstParagraph"/>
        <w:spacing w:line="480" w:lineRule="auto"/>
      </w:pPr>
      <w:r>
        <w:t xml:space="preserve">There is a real tension between the dissertation’s measured finding and the genuine urgency of orbital sustainability, and it should be faced rather than smoothed over. The orbital environment is under mounting pressure, and the case for acting on transparency and sustainability does not wait for a literature to consolidate</w:t>
      </w:r>
      <w:r>
        <w:t xml:space="preserve"> </w:t>
      </w:r>
      <w:hyperlink w:anchor="ref-3">
        <w:r>
          <w:rPr>
            <w:rStyle w:val="Hyperlink"/>
          </w:rPr>
          <w:t xml:space="preserve">[3]</w:t>
        </w:r>
      </w:hyperlink>
      <w:r>
        <w:t xml:space="preserve"> </w:t>
      </w:r>
      <w:hyperlink w:anchor="ref-16">
        <w:r>
          <w:rPr>
            <w:rStyle w:val="Hyperlink"/>
          </w:rPr>
          <w:t xml:space="preserve">[16]</w:t>
        </w:r>
      </w:hyperlink>
      <w:r>
        <w:t xml:space="preserve">. A reader could take the non-consolidation finding as a counsel of delay. That would be a misreading.</w:t>
      </w:r>
    </w:p>
    <w:p>
      <w:pPr>
        <w:pStyle w:val="BodyText"/>
        <w:spacing w:line="480" w:lineRule="auto"/>
        <w:ind w:firstLine="720"/>
      </w:pPr>
      <w:r>
        <w:t xml:space="preserve">It counsels humility in how confidently evidentiary foundations are described, not paralysis in acting on them. A young, selective field can still support reasonable reforms, provided those reforms are designed as revisable instruments rather than final verdicts, and provided their advocates are candid that the knowledge base is forming rather than settled</w:t>
      </w:r>
      <w:r>
        <w:t xml:space="preserve"> </w:t>
      </w:r>
      <w:hyperlink w:anchor="ref-1">
        <w:r>
          <w:rPr>
            <w:rStyle w:val="Hyperlink"/>
          </w:rPr>
          <w:t xml:space="preserve">[1]</w:t>
        </w:r>
      </w:hyperlink>
      <w:r>
        <w:t xml:space="preserve"> </w:t>
      </w:r>
      <w:hyperlink w:anchor="ref-21">
        <w:r>
          <w:rPr>
            <w:rStyle w:val="Hyperlink"/>
          </w:rPr>
          <w:t xml:space="preserve">[21]</w:t>
        </w:r>
      </w:hyperlink>
      <w:r>
        <w:t xml:space="preserve">. The negative age elasticity, showing attention flowing toward the frontier, is even mildly encouraging in this light: it indicates a field actively engaging its current problems rather than resting on an aging canon</w:t>
      </w:r>
      <w:r>
        <w:t xml:space="preserve"> </w:t>
      </w:r>
      <w:hyperlink w:anchor="ref-19">
        <w:r>
          <w:rPr>
            <w:rStyle w:val="Hyperlink"/>
          </w:rPr>
          <w:t xml:space="preserve">[19]</w:t>
        </w:r>
      </w:hyperlink>
      <w:r>
        <w:t xml:space="preserve">. Urgency and humility are compatible, and the dissertation’s contribution is to make the humility precise so that the urgency can be acted on responsibly.</w:t>
      </w:r>
    </w:p>
    <w:bookmarkEnd w:id="152"/>
    <w:bookmarkStart w:id="153" w:name="a-note-on-what-was-not-found"/>
    <w:p>
      <w:pPr>
        <w:pStyle w:val="Heading2"/>
        <w:spacing w:line="480" w:lineRule="auto"/>
      </w:pPr>
      <w:r>
        <w:t xml:space="preserve">8.9 A note on what was not found</w:t>
      </w:r>
    </w:p>
    <w:p>
      <w:pPr>
        <w:pStyle w:val="FirstParagraph"/>
        <w:spacing w:line="480" w:lineRule="auto"/>
      </w:pPr>
      <w:r>
        <w:t xml:space="preserve">It is worth marking plainly what the dissertation did not find, because absences are part of an honest record. It did not find that recent records carry stronger topic signal; the recency coefficient, though positive, could not be distinguished from zero</w:t>
      </w:r>
      <w:r>
        <w:t xml:space="preserve"> </w:t>
      </w:r>
      <w:hyperlink w:anchor="ref-1">
        <w:r>
          <w:rPr>
            <w:rStyle w:val="Hyperlink"/>
          </w:rPr>
          <w:t xml:space="preserve">[1]</w:t>
        </w:r>
      </w:hyperlink>
      <w:r>
        <w:t xml:space="preserve">. It did not find that venue predicts topic density; the venue coefficient was large in magnitude but swamped by its standard error</w:t>
      </w:r>
      <w:r>
        <w:t xml:space="preserve"> </w:t>
      </w:r>
      <w:hyperlink w:anchor="ref-2">
        <w:r>
          <w:rPr>
            <w:rStyle w:val="Hyperlink"/>
          </w:rPr>
          <w:t xml:space="preserve">[2]</w:t>
        </w:r>
      </w:hyperlink>
      <w:r>
        <w:t xml:space="preserve">. It did not find that citation attention tracks topic density; that relationship was effectively nil</w:t>
      </w:r>
      <w:r>
        <w:t xml:space="preserve"> </w:t>
      </w:r>
      <w:hyperlink w:anchor="ref-11">
        <w:r>
          <w:rPr>
            <w:rStyle w:val="Hyperlink"/>
          </w:rPr>
          <w:t xml:space="preserve">[11]</w:t>
        </w:r>
      </w:hyperlink>
      <w:r>
        <w:t xml:space="preserve">. And it did not find the positive age elasticity a cumulative field would show; the elasticity was negative</w:t>
      </w:r>
      <w:r>
        <w:t xml:space="preserve"> </w:t>
      </w:r>
      <w:hyperlink w:anchor="ref-8">
        <w:r>
          <w:rPr>
            <w:rStyle w:val="Hyperlink"/>
          </w:rPr>
          <w:t xml:space="preserve">[8]</w:t>
        </w:r>
      </w:hyperlink>
      <w:r>
        <w:t xml:space="preserve">.</w:t>
      </w:r>
    </w:p>
    <w:p>
      <w:pPr>
        <w:pStyle w:val="BodyText"/>
        <w:spacing w:line="480" w:lineRule="auto"/>
        <w:ind w:firstLine="720"/>
      </w:pPr>
      <w:r>
        <w:t xml:space="preserve">These non-findings are not gaps in the work. They are the work. A dissertation that set out to test whether a field had consolidated, and reported faithfully that most consolidation signatures are absent while one inverted signature is precisely present, has answered its question. The value lies exactly in the willingness to report the absences alongside the one strong presence, because that full and unflattering account is what a reader can trust and what the field can build on</w:t>
      </w:r>
      <w:r>
        <w:t xml:space="preserve"> </w:t>
      </w:r>
      <w:hyperlink w:anchor="ref-4">
        <w:r>
          <w:rPr>
            <w:rStyle w:val="Hyperlink"/>
          </w:rPr>
          <w:t xml:space="preserve">[4]</w:t>
        </w:r>
      </w:hyperlink>
      <w:r>
        <w:t xml:space="preserve"> </w:t>
      </w:r>
      <w:hyperlink w:anchor="ref-19">
        <w:r>
          <w:rPr>
            <w:rStyle w:val="Hyperlink"/>
          </w:rPr>
          <w:t xml:space="preserve">[19]</w:t>
        </w:r>
      </w:hyperlink>
      <w:r>
        <w:t xml:space="preserve">.</w:t>
      </w:r>
    </w:p>
    <w:bookmarkEnd w:id="153"/>
    <w:bookmarkStart w:id="154" w:name="final-statement"/>
    <w:p>
      <w:pPr>
        <w:pStyle w:val="Heading2"/>
        <w:spacing w:line="480" w:lineRule="auto"/>
      </w:pPr>
      <w:r>
        <w:t xml:space="preserve">8.10 Final statement</w:t>
      </w:r>
    </w:p>
    <w:p>
      <w:pPr>
        <w:pStyle w:val="FirstParagraph"/>
        <w:spacing w:line="480" w:lineRule="auto"/>
      </w:pPr>
      <w:r>
        <w:t xml:space="preserve">This dissertation began with a reflex and ends with a measurement, and the distance between the two is its contribution. Sunlight may discipline behavior, or it may not; that operator-level question remains open and beyond the reach of a corpus-level design. What is now less open is the state of the literature that carries the sunlight-as-sanction thesis. That literature, as retrieved and measured here, is young, selective, and in motion, its signal unsorted by recency and its attention concentrated on the frontier rather than the foundations</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9">
        <w:r>
          <w:rPr>
            <w:rStyle w:val="Hyperlink"/>
          </w:rPr>
          <w:t xml:space="preserve">[19]</w:t>
        </w:r>
      </w:hyperlink>
      <w:r>
        <w:t xml:space="preserve">. The transparency conversation in orbital governance deserves to proceed, and it will proceed better for knowing, on evidence any reader can check, that the ground beneath it is still forming. That is the whole of what this dissertation claims, and it is claimed honestly</w:t>
      </w:r>
      <w:r>
        <w:t xml:space="preserve"> </w:t>
      </w:r>
      <w:hyperlink w:anchor="ref-16">
        <w:r>
          <w:rPr>
            <w:rStyle w:val="Hyperlink"/>
          </w:rPr>
          <w:t xml:space="preserve">[16]</w:t>
        </w:r>
      </w:hyperlink>
      <w:r>
        <w:t xml:space="preserve">.</w:t>
      </w:r>
    </w:p>
    <w:bookmarkEnd w:id="154"/>
    <w:bookmarkStart w:id="155" w:name="X4cdd6bade25e474433fd5d027c47822be9cb118"/>
    <w:p>
      <w:pPr>
        <w:pStyle w:val="Heading2"/>
        <w:spacing w:line="480" w:lineRule="auto"/>
      </w:pPr>
      <w:r>
        <w:t xml:space="preserve">8.11 Situating the contribution among its neighbors</w:t>
      </w:r>
    </w:p>
    <w:p>
      <w:pPr>
        <w:pStyle w:val="FirstParagraph"/>
        <w:spacing w:line="480" w:lineRule="auto"/>
      </w:pPr>
      <w:r>
        <w:t xml:space="preserve">To close the argument fairly, the contribution should be situated among its nearest neighbors so its distinct value is clear. The discourse-network analysis of the emerging debris regime is the closest kin, and it reached a compatible conclusion by qualitative means, finding a coalescing but unstable formation</w:t>
      </w:r>
      <w:r>
        <w:t xml:space="preserve"> </w:t>
      </w:r>
      <w:hyperlink w:anchor="ref-19">
        <w:r>
          <w:rPr>
            <w:rStyle w:val="Hyperlink"/>
          </w:rPr>
          <w:t xml:space="preserve">[19]</w:t>
        </w:r>
      </w:hyperlink>
      <w:r>
        <w:t xml:space="preserve">. This dissertation adds a quantitative reading that converges on the same picture from a different direction, and convergence across methods is worth more than either method alone, because it makes the non-consolidation finding robust to the weaknesses of any single approach.</w:t>
      </w:r>
    </w:p>
    <w:p>
      <w:pPr>
        <w:pStyle w:val="BodyText"/>
        <w:spacing w:line="480" w:lineRule="auto"/>
        <w:ind w:firstLine="720"/>
      </w:pPr>
      <w:r>
        <w:t xml:space="preserve">The ratings and incentive-mechanism literatures are neighbors of a different kind, since they build the instruments whose evidentiary foundations this dissertation examines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21">
        <w:r>
          <w:rPr>
            <w:rStyle w:val="Hyperlink"/>
          </w:rPr>
          <w:t xml:space="preserve">[21]</w:t>
        </w:r>
      </w:hyperlink>
      <w:r>
        <w:t xml:space="preserve">. Their relationship to this work is complementary: they design, and this dissertation characterizes the ground the designs stand on. Neither displaces the other. A field needs both the instrument-builders and the occasional step back to ask whether the instruments rest on consolidated knowledge, and this dissertation performs the latter service for a field that has mostly performed the former</w:t>
      </w:r>
      <w:r>
        <w:t xml:space="preserve"> </w:t>
      </w:r>
      <w:hyperlink w:anchor="ref-16">
        <w:r>
          <w:rPr>
            <w:rStyle w:val="Hyperlink"/>
          </w:rPr>
          <w:t xml:space="preserve">[16]</w:t>
        </w:r>
      </w:hyperlink>
      <w:r>
        <w:t xml:space="preserve">.</w:t>
      </w:r>
    </w:p>
    <w:p>
      <w:pPr>
        <w:pStyle w:val="BodyText"/>
        <w:spacing w:line="480" w:lineRule="auto"/>
        <w:ind w:firstLine="720"/>
      </w:pPr>
      <w:r>
        <w:t xml:space="preserve">The situational-awareness and pedigree literatures are the neighbors whose consolidation would matter most for everything downstream, since they supply the data on which ratings and mandates depend</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finding that the broader corpus has not consolidated is a signal to strengthen this foundational strand in particular, and the concluding recommendation to invest in provenance and confidence measures follows directly from where the finding locates the field’s weakest joints</w:t>
      </w:r>
      <w:r>
        <w:t xml:space="preserve"> </w:t>
      </w:r>
      <w:hyperlink w:anchor="ref-11">
        <w:r>
          <w:rPr>
            <w:rStyle w:val="Hyperlink"/>
          </w:rPr>
          <w:t xml:space="preserve">[11]</w:t>
        </w:r>
      </w:hyperlink>
      <w:r>
        <w:t xml:space="preserve">. Situated among these neighbors, the dissertation’s contribution is neither redundant nor isolated: it is the reflexive measurement the field needed and had not performed.</w:t>
      </w:r>
    </w:p>
    <w:bookmarkEnd w:id="155"/>
    <w:bookmarkStart w:id="156" w:name="the-falsifiable-contribution-delivered"/>
    <w:p>
      <w:pPr>
        <w:pStyle w:val="Heading2"/>
        <w:spacing w:line="480" w:lineRule="auto"/>
      </w:pPr>
      <w:r>
        <w:t xml:space="preserve">8.12 The falsifiable contribution, delivered</w:t>
      </w:r>
    </w:p>
    <w:p>
      <w:pPr>
        <w:pStyle w:val="FirstParagraph"/>
        <w:spacing w:line="480" w:lineRule="auto"/>
      </w:pPr>
      <w:r>
        <w:t xml:space="preserve">A promise was made and kept. The claim is answerable.</w:t>
      </w:r>
    </w:p>
    <w:p>
      <w:pPr>
        <w:pStyle w:val="BodyText"/>
        <w:spacing w:line="480" w:lineRule="auto"/>
        <w:ind w:firstLine="720"/>
      </w:pPr>
      <w:r>
        <w:t xml:space="preserve">The dissertation promised a single falsifiable contribution, and it is worth confirming, in closing, that the promise was kept. The prediction was specific: a consolidated field would show stronger signal in recent records and interpretable, age-cumulative citation accumulation. The test was pre-registered in the theory chapter, executed with standard estimators, and reported without alteration. The prediction failed on the signal count and inverted on the attention count, and the failure and inversion were reported faithfully, with every coefficient, standard error, and p-value laid out for inspection</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p>
      <w:pPr>
        <w:pStyle w:val="BodyText"/>
        <w:spacing w:line="480" w:lineRule="auto"/>
        <w:ind w:firstLine="720"/>
      </w:pPr>
      <w:r>
        <w:t xml:space="preserve">A contribution delivered this way has a property that matters more than its particular direction: it is answerable. Any reader who doubts the conclusion can regenerate the panel from the source corpus, re-run the two estimators, and check the numbers against the ones reported here</w:t>
      </w:r>
      <w:r>
        <w:t xml:space="preserve"> </w:t>
      </w:r>
      <w:hyperlink w:anchor="ref-2">
        <w:r>
          <w:rPr>
            <w:rStyle w:val="Hyperlink"/>
          </w:rPr>
          <w:t xml:space="preserve">[2]</w:t>
        </w:r>
      </w:hyperlink>
      <w:r>
        <w:t xml:space="preserve"> </w:t>
      </w:r>
      <w:hyperlink w:anchor="ref-19">
        <w:r>
          <w:rPr>
            <w:rStyle w:val="Hyperlink"/>
          </w:rPr>
          <w:t xml:space="preserve">[19]</w:t>
        </w:r>
      </w:hyperlink>
      <w:r>
        <w:t xml:space="preserve">. The conclusion does not ask for trust; it invites verification. That is the standard the dissertation set for itself in the introduction, and meeting it is the deepest sense in which the contribution has been delivered.</w:t>
      </w:r>
    </w:p>
    <w:p>
      <w:pPr>
        <w:pStyle w:val="BodyText"/>
        <w:spacing w:line="480" w:lineRule="auto"/>
        <w:ind w:firstLine="720"/>
      </w:pPr>
      <w:r>
        <w:t xml:space="preserve">The transparency and sustainability field will keep proposing instruments, and it should. The orbital environment cannot wait for a settled literature that may never fully arrive</w:t>
      </w:r>
      <w:r>
        <w:t xml:space="preserve"> </w:t>
      </w:r>
      <w:hyperlink w:anchor="ref-3">
        <w:r>
          <w:rPr>
            <w:rStyle w:val="Hyperlink"/>
          </w:rPr>
          <w:t xml:space="preserve">[3]</w:t>
        </w:r>
      </w:hyperlink>
      <w:r>
        <w:t xml:space="preserve"> </w:t>
      </w:r>
      <w:hyperlink w:anchor="ref-16">
        <w:r>
          <w:rPr>
            <w:rStyle w:val="Hyperlink"/>
          </w:rPr>
          <w:t xml:space="preserve">[16]</w:t>
        </w:r>
      </w:hyperlink>
      <w:r>
        <w:t xml:space="preserve">. What the field can do, and what this dissertation models, is proceed with an honest account of its own foundations: forming, selective, in motion, and answerable to evidence. Sunlight may yet prove a sanction. The literature that carries the claim is not yet the consolidated program its confidence implies, and knowing that, on checkable evidence, is the first honest step toward making the claim good</w:t>
      </w:r>
      <w:r>
        <w:t xml:space="preserve"> </w:t>
      </w:r>
      <w:hyperlink w:anchor="ref-1">
        <w:r>
          <w:rPr>
            <w:rStyle w:val="Hyperlink"/>
          </w:rPr>
          <w:t xml:space="preserve">[1]</w:t>
        </w:r>
      </w:hyperlink>
      <w:r>
        <w:t xml:space="preserve"> </w:t>
      </w:r>
      <w:hyperlink w:anchor="ref-19">
        <w:r>
          <w:rPr>
            <w:rStyle w:val="Hyperlink"/>
          </w:rPr>
          <w:t xml:space="preserve">[19]</w:t>
        </w:r>
      </w:hyperlink>
      <w:r>
        <w:t xml:space="preserve">.</w:t>
      </w:r>
    </w:p>
    <w:bookmarkEnd w:id="156"/>
    <w:bookmarkStart w:id="189" w:name="references"/>
    <w:p>
      <w:pPr>
        <w:pStyle w:val="Heading2"/>
        <w:spacing w:line="480" w:lineRule="auto"/>
      </w:pPr>
      <w:r>
        <w:t xml:space="preserve">References</w:t>
      </w:r>
    </w:p>
    <w:p>
      <w:pPr>
        <w:pStyle w:val="FirstParagraph"/>
        <w:spacing w:line="480" w:lineRule="auto"/>
      </w:pPr>
      <w:bookmarkStart w:id="157" w:name="ref-1"/>
      <w:bookmarkEnd w:id="157"/>
      <w:r>
        <w:t xml:space="preserve">1. M. Rathnasabapathy et al., “Space sustainability rating: Designing a composite indicator to incentivize satellite operators to pursue long-term sustainability of the space environment,”</w:t>
      </w:r>
      <w:r>
        <w:t xml:space="preserve"> </w:t>
      </w:r>
      <w:r>
        <w:rPr>
          <w:i/>
          <w:iCs/>
        </w:rPr>
        <w:t xml:space="preserve">Acta Astronautica</w:t>
      </w:r>
      <w:r>
        <w:t xml:space="preserve">, 2025, doi:</w:t>
      </w:r>
      <w:r>
        <w:t xml:space="preserve"> </w:t>
      </w:r>
      <w:hyperlink r:id="rId158">
        <w:r>
          <w:rPr>
            <w:rStyle w:val="Hyperlink"/>
          </w:rPr>
          <w:t xml:space="preserve">10.1016/j.actaastro.2025.03.034</w:t>
        </w:r>
      </w:hyperlink>
    </w:p>
    <w:p>
      <w:pPr>
        <w:pStyle w:val="BodyText"/>
        <w:spacing w:line="480" w:lineRule="auto"/>
        <w:ind w:firstLine="720"/>
      </w:pPr>
      <w:bookmarkStart w:id="159" w:name="ref-2"/>
      <w:bookmarkEnd w:id="159"/>
      <w:r>
        <w:t xml:space="preserve">2. F. Letizia et al., “Contribution from SSA Data to the Definition of a Space Sustainability Rating,” AMOS, 2020.</w:t>
      </w:r>
    </w:p>
    <w:p>
      <w:pPr>
        <w:pStyle w:val="BodyText"/>
        <w:spacing w:line="480" w:lineRule="auto"/>
        <w:ind w:firstLine="720"/>
      </w:pPr>
      <w:bookmarkStart w:id="160" w:name="ref-3"/>
      <w:bookmarkEnd w:id="160"/>
      <w:r>
        <w:t xml:space="preserve">3. R. Zhang and A. Balakrishnan, “From Ozone Depletion to Orbital Debris: Lessons Learned from the Montreal Protocol,” AMOS, 2022.</w:t>
      </w:r>
    </w:p>
    <w:p>
      <w:pPr>
        <w:pStyle w:val="BodyText"/>
        <w:spacing w:line="480" w:lineRule="auto"/>
        <w:ind w:firstLine="720"/>
      </w:pPr>
      <w:bookmarkStart w:id="161" w:name="ref-4"/>
      <w:bookmarkEnd w:id="161"/>
      <w:r>
        <w:t xml:space="preserve">4. E. David et al., “Fostering multi-stakeholder collaboration for space sustainability through an incentive-based mechanism,”</w:t>
      </w:r>
      <w:r>
        <w:t xml:space="preserve"> </w:t>
      </w:r>
      <w:r>
        <w:rPr>
          <w:i/>
          <w:iCs/>
        </w:rPr>
        <w:t xml:space="preserve">Acta Astronautica</w:t>
      </w:r>
      <w:r>
        <w:t xml:space="preserve">, 2025, doi:</w:t>
      </w:r>
      <w:r>
        <w:t xml:space="preserve"> </w:t>
      </w:r>
      <w:hyperlink r:id="rId162">
        <w:r>
          <w:rPr>
            <w:rStyle w:val="Hyperlink"/>
          </w:rPr>
          <w:t xml:space="preserve">10.1016/j.actaastro.2025.06.029</w:t>
        </w:r>
      </w:hyperlink>
    </w:p>
    <w:p>
      <w:pPr>
        <w:pStyle w:val="BodyText"/>
        <w:spacing w:line="480" w:lineRule="auto"/>
        <w:ind w:firstLine="720"/>
      </w:pPr>
      <w:bookmarkStart w:id="163" w:name="ref-5"/>
      <w:bookmarkEnd w:id="163"/>
      <w:r>
        <w:t xml:space="preserve">5. O. Schultz et al., “Data Insights, Pedigree, and Automation for Space Domain Awareness,” AMOS, 2024, doi:</w:t>
      </w:r>
      <w:r>
        <w:t xml:space="preserve"> </w:t>
      </w:r>
      <w:hyperlink r:id="rId164">
        <w:r>
          <w:rPr>
            <w:rStyle w:val="Hyperlink"/>
          </w:rPr>
          <w:t xml:space="preserve">10.64861/NUFH1261</w:t>
        </w:r>
      </w:hyperlink>
    </w:p>
    <w:p>
      <w:pPr>
        <w:pStyle w:val="BodyText"/>
        <w:spacing w:line="480" w:lineRule="auto"/>
        <w:ind w:firstLine="720"/>
      </w:pPr>
      <w:bookmarkStart w:id="165" w:name="ref-6"/>
      <w:bookmarkEnd w:id="165"/>
      <w:r>
        <w:t xml:space="preserve">6.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w:t>
      </w:r>
    </w:p>
    <w:p>
      <w:pPr>
        <w:pStyle w:val="BodyText"/>
        <w:spacing w:line="480" w:lineRule="auto"/>
        <w:ind w:firstLine="720"/>
      </w:pPr>
      <w:bookmarkStart w:id="166" w:name="ref-7"/>
      <w:bookmarkEnd w:id="166"/>
      <w:r>
        <w:t xml:space="preserve">7. Oliver Schultz, Lockheed Martin; Joseph Brink, Lockheed Martin; Mark Williams, Lockheed Martin; Christopher Curry, Lockheed Martin. Data Insights, Pedigree, and Automation for Space Domain Awareness (2024). doi:</w:t>
      </w:r>
      <w:r>
        <w:t xml:space="preserve"> </w:t>
      </w:r>
      <w:hyperlink r:id="rId164">
        <w:r>
          <w:rPr>
            <w:rStyle w:val="Hyperlink"/>
          </w:rPr>
          <w:t xml:space="preserve">10.64861/NUFH1261</w:t>
        </w:r>
      </w:hyperlink>
    </w:p>
    <w:p>
      <w:pPr>
        <w:pStyle w:val="BodyText"/>
        <w:spacing w:line="480" w:lineRule="auto"/>
        <w:ind w:firstLine="720"/>
      </w:pPr>
      <w:bookmarkStart w:id="167" w:name="ref-8"/>
      <w:bookmarkEnd w:id="167"/>
      <w:r>
        <w:t xml:space="preserve">8. Rina Zhang, Science and Technology Policy Institute; Asha Balakrishnan, Science and Technology Policy Institute. From Ozone Depletion to Orbital Debris: Lessons Learned from the Montreal Protocol (2022).</w:t>
      </w:r>
    </w:p>
    <w:p>
      <w:pPr>
        <w:pStyle w:val="BodyText"/>
        <w:spacing w:line="480" w:lineRule="auto"/>
        <w:ind w:firstLine="720"/>
      </w:pPr>
      <w:bookmarkStart w:id="168" w:name="ref-9"/>
      <w:bookmarkEnd w:id="168"/>
      <w:r>
        <w:t xml:space="preserve">9. Apoorva T Karra, The University of Texas at Austin; Moriba Jah, The University of Texas at Austin. Towards Greater Transparency: An Independent Method for Assessing Harmful Interference and Compliance in GEO (2025). doi:</w:t>
      </w:r>
      <w:r>
        <w:t xml:space="preserve"> </w:t>
      </w:r>
      <w:hyperlink r:id="rId169">
        <w:r>
          <w:rPr>
            <w:rStyle w:val="Hyperlink"/>
          </w:rPr>
          <w:t xml:space="preserve">10.64861/WFHJ7307</w:t>
        </w:r>
      </w:hyperlink>
    </w:p>
    <w:p>
      <w:pPr>
        <w:pStyle w:val="BodyText"/>
        <w:spacing w:line="480" w:lineRule="auto"/>
        <w:ind w:firstLine="720"/>
      </w:pPr>
      <w:bookmarkStart w:id="170" w:name="ref-10"/>
      <w:bookmarkEnd w:id="170"/>
      <w:r>
        <w:t xml:space="preserve">10. Todd Harrison, Center for Strategic and International Studies. International Perspectives on Space Weapons (2020).</w:t>
      </w:r>
    </w:p>
    <w:p>
      <w:pPr>
        <w:pStyle w:val="BodyText"/>
        <w:spacing w:line="480" w:lineRule="auto"/>
        <w:ind w:firstLine="720"/>
      </w:pPr>
      <w:bookmarkStart w:id="171" w:name="ref-11"/>
      <w:bookmarkEnd w:id="171"/>
      <w:r>
        <w:t xml:space="preserve">11. Asha Balakrishnan, IDA Science and Technology Policy Institute; Sara Carioscia, IDA Science and Technology Policy Institute; Becaja Caldwell, IDA Science and Technology Policy Institute; Bhavya Lal, IDA Science and Technology Policy Institute. Future of the Space Situational Awareness Enterprise – Global Trends (2018).</w:t>
      </w:r>
    </w:p>
    <w:p>
      <w:pPr>
        <w:pStyle w:val="BodyText"/>
        <w:spacing w:line="480" w:lineRule="auto"/>
        <w:ind w:firstLine="720"/>
      </w:pPr>
      <w:bookmarkStart w:id="172" w:name="ref-12"/>
      <w:bookmarkEnd w:id="172"/>
      <w:r>
        <w:t xml:space="preserve">12. Malgorzata Polkowska, Lomza Academy; Arkadiusz Chimicz, General Command, Polish Armed Forces. Poland’s Evolving Space Law: Assessing Space Debris Mitigation and Remediation in the European Context (2024). doi:</w:t>
      </w:r>
      <w:r>
        <w:t xml:space="preserve"> </w:t>
      </w:r>
      <w:hyperlink r:id="rId173">
        <w:r>
          <w:rPr>
            <w:rStyle w:val="Hyperlink"/>
          </w:rPr>
          <w:t xml:space="preserve">10.64861/LFFV2455</w:t>
        </w:r>
      </w:hyperlink>
    </w:p>
    <w:p>
      <w:pPr>
        <w:pStyle w:val="BodyText"/>
        <w:spacing w:line="480" w:lineRule="auto"/>
        <w:ind w:firstLine="720"/>
      </w:pPr>
      <w:bookmarkStart w:id="174" w:name="ref-13"/>
      <w:bookmarkEnd w:id="174"/>
      <w:r>
        <w:t xml:space="preserve">13. Francis Bennet, Research School of Astronomy and Astrophysics, Australian National University, Celine D’Orgeville, Research School of Astronomy and Astrophysics, Australian National University Canberra, Australia, Ian Price, Research School of Astronomy and Astrophysics, Australian National University Canberra, Australia, Francois Rigaut, Research School of Astronomy and Astrophysics, Australian National University Canberra, Australia, Ian Ritchie, Electro Optic Systems, Mount Stromlo Observatory, Canberra, Australia, Craig Smith, Electro Optic Systems, Mount Stromlo Observatory, Canberra, Australia. Adaptive Optics for Satellite Imaging and Space Debris Ranging (2015).</w:t>
      </w:r>
    </w:p>
    <w:p>
      <w:pPr>
        <w:pStyle w:val="BodyText"/>
        <w:spacing w:line="480" w:lineRule="auto"/>
        <w:ind w:firstLine="720"/>
      </w:pPr>
      <w:bookmarkStart w:id="175" w:name="ref-14"/>
      <w:bookmarkEnd w:id="175"/>
      <w:r>
        <w:t xml:space="preserve">14. Jie Long; Wenzhen Chen. Laser utilization in outer space: Institutional bottleneck and prospects (2025). doi:</w:t>
      </w:r>
      <w:r>
        <w:t xml:space="preserve"> </w:t>
      </w:r>
      <w:hyperlink r:id="rId176">
        <w:r>
          <w:rPr>
            <w:rStyle w:val="Hyperlink"/>
          </w:rPr>
          <w:t xml:space="preserve">10.1016/j.actaastro.2025.01.061</w:t>
        </w:r>
      </w:hyperlink>
    </w:p>
    <w:p>
      <w:pPr>
        <w:pStyle w:val="BodyText"/>
        <w:spacing w:line="480" w:lineRule="auto"/>
        <w:ind w:firstLine="720"/>
      </w:pPr>
      <w:bookmarkStart w:id="177" w:name="ref-15"/>
      <w:bookmarkEnd w:id="177"/>
      <w:r>
        <w:t xml:space="preserve">15. Giovanni Tricco; Roser Almenar; Kaili Ayers; Rihab Ben Moussa; T.P. Graham; Simisola Iyiola; Sanghoon Lee; Terezie Němcová; Asiimwe Joshua Opota; Tushar Sharma; Raelee Toh; Jieyu Yuan. The protection of AI-based space systems from a data-driven governance perspective (2025). doi:</w:t>
      </w:r>
      <w:r>
        <w:t xml:space="preserve"> </w:t>
      </w:r>
      <w:hyperlink r:id="rId178">
        <w:r>
          <w:rPr>
            <w:rStyle w:val="Hyperlink"/>
          </w:rPr>
          <w:t xml:space="preserve">10.1016/j.actaastro.2025.04.063</w:t>
        </w:r>
      </w:hyperlink>
    </w:p>
    <w:p>
      <w:pPr>
        <w:pStyle w:val="BodyText"/>
        <w:spacing w:line="480" w:lineRule="auto"/>
        <w:ind w:firstLine="720"/>
      </w:pPr>
      <w:bookmarkStart w:id="179" w:name="ref-16"/>
      <w:bookmarkEnd w:id="179"/>
      <w:r>
        <w:t xml:space="preserve">16.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58">
        <w:r>
          <w:rPr>
            <w:rStyle w:val="Hyperlink"/>
          </w:rPr>
          <w:t xml:space="preserve">10.1016/j.actaastro.2025.03.034</w:t>
        </w:r>
      </w:hyperlink>
    </w:p>
    <w:p>
      <w:pPr>
        <w:pStyle w:val="BodyText"/>
        <w:spacing w:line="480" w:lineRule="auto"/>
        <w:ind w:firstLine="720"/>
      </w:pPr>
      <w:bookmarkStart w:id="180" w:name="ref-17"/>
      <w:bookmarkEnd w:id="180"/>
      <w:r>
        <w:t xml:space="preserve">17. Clémence Poirier. Establishing a governance for cyber operations in outer space: Exploring challenges faced by space and cyber commands (2025). doi:</w:t>
      </w:r>
      <w:r>
        <w:t xml:space="preserve"> </w:t>
      </w:r>
      <w:hyperlink r:id="rId181">
        <w:r>
          <w:rPr>
            <w:rStyle w:val="Hyperlink"/>
          </w:rPr>
          <w:t xml:space="preserve">10.1016/j.actaastro.2025.08.048</w:t>
        </w:r>
      </w:hyperlink>
    </w:p>
    <w:p>
      <w:pPr>
        <w:pStyle w:val="BodyText"/>
        <w:spacing w:line="480" w:lineRule="auto"/>
        <w:ind w:firstLine="720"/>
      </w:pPr>
      <w:bookmarkStart w:id="182" w:name="ref-18"/>
      <w:bookmarkEnd w:id="182"/>
      <w:r>
        <w:t xml:space="preserve">18. Ben McKeown; Andrew G. Dempster; Serkan Saydam; Jeff Coulton. Placing lunar resources research in the context of mining feasibility studies (2025). doi:</w:t>
      </w:r>
      <w:r>
        <w:t xml:space="preserve"> </w:t>
      </w:r>
      <w:hyperlink r:id="rId183">
        <w:r>
          <w:rPr>
            <w:rStyle w:val="Hyperlink"/>
          </w:rPr>
          <w:t xml:space="preserve">10.1016/j.actaastro.2025.04.041</w:t>
        </w:r>
      </w:hyperlink>
    </w:p>
    <w:p>
      <w:pPr>
        <w:pStyle w:val="BodyText"/>
        <w:spacing w:line="480" w:lineRule="auto"/>
        <w:ind w:firstLine="720"/>
      </w:pPr>
      <w:bookmarkStart w:id="184" w:name="ref-19"/>
      <w:bookmarkEnd w:id="184"/>
      <w:r>
        <w:t xml:space="preserve">19. Xiao-Shan Yap; Jonas Heiberg; Bernhard Truffer. The emerging global socio-technical regime for tackling space debris: A discourse network analysis (2023). doi:</w:t>
      </w:r>
      <w:r>
        <w:t xml:space="preserve"> </w:t>
      </w:r>
      <w:hyperlink r:id="rId185">
        <w:r>
          <w:rPr>
            <w:rStyle w:val="Hyperlink"/>
          </w:rPr>
          <w:t xml:space="preserve">10.1016/j.actaastro.2023.01.016</w:t>
        </w:r>
      </w:hyperlink>
    </w:p>
    <w:p>
      <w:pPr>
        <w:pStyle w:val="BodyText"/>
        <w:spacing w:line="480" w:lineRule="auto"/>
        <w:ind w:firstLine="720"/>
      </w:pPr>
      <w:bookmarkStart w:id="186" w:name="ref-20"/>
      <w:bookmarkEnd w:id="186"/>
      <w:r>
        <w:t xml:space="preserve">20. Samuel M. Thompson; Nishanth Pushparaj; Chantal Cappelletti. Reflective and transmissive solar sails: Dynamics, flight regimes and applications (2024). doi:</w:t>
      </w:r>
      <w:r>
        <w:t xml:space="preserve"> </w:t>
      </w:r>
      <w:hyperlink r:id="rId187">
        <w:r>
          <w:rPr>
            <w:rStyle w:val="Hyperlink"/>
          </w:rPr>
          <w:t xml:space="preserve">10.1016/j.actaastro.2024.04.032</w:t>
        </w:r>
      </w:hyperlink>
    </w:p>
    <w:p>
      <w:pPr>
        <w:pStyle w:val="BodyText"/>
        <w:spacing w:line="480" w:lineRule="auto"/>
        <w:ind w:firstLine="720"/>
      </w:pPr>
      <w:bookmarkStart w:id="188" w:name="ref-21"/>
      <w:bookmarkEnd w:id="188"/>
      <w:r>
        <w:t xml:space="preserve">21. Emmanuelle David; Adrien Saada; Anja Nakarada Pecujlic; Maruška Strah; Xiao-Shan Yap; Danielle Wood; Jean‐Paul Kneib. Fostering multi-stakeholder collaboration for space sustainability through an incentive-based mechanism (2025). doi:</w:t>
      </w:r>
      <w:r>
        <w:t xml:space="preserve"> </w:t>
      </w:r>
      <w:hyperlink r:id="rId162">
        <w:r>
          <w:rPr>
            <w:rStyle w:val="Hyperlink"/>
          </w:rPr>
          <w:t xml:space="preserve">10.1016/j.actaastro.2025.06.029</w:t>
        </w:r>
      </w:hyperlink>
    </w:p>
    <w:bookmarkEnd w:id="189"/>
    <w:bookmarkEnd w:id="190"/>
    <w:bookmarkStart w:id="207"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8" w:name="X1ef3fada2bfc1ed2e414242f7550a51836cac0b"/>
    <w:p>
      <w:pPr>
        <w:pStyle w:val="Heading2"/>
        <w:spacing w:line="480" w:lineRule="auto"/>
      </w:pPr>
      <w:r>
        <w:t xml:space="preserve">A.1 Signal Intensity in Sunlight as Sanction Does Mandatory Transparency Outperform Voluntary Disclosur: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91"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4.6617</w:t>
            </w:r>
          </w:p>
        </w:tc>
        <w:tc>
          <w:tcPr>
            <w:tcW w:w="0" w:type="auto"/>
          </w:tcPr>
          <w:p>
            <w:pPr>
              <w:spacing w:line="240" w:lineRule="auto" w:before="0" w:after="0"/>
              <w:pStyle w:val="Compact"/>
            </w:pPr>
            <w:r>
              <w:rPr>
                <w:sz w:val="20"/>
                <w:szCs w:val="20"/>
              </w:rPr>
              <w:t xml:space="preserve">1.2267</w:t>
            </w:r>
          </w:p>
        </w:tc>
        <w:tc>
          <w:tcPr>
            <w:tcW w:w="0" w:type="auto"/>
          </w:tcPr>
          <w:p>
            <w:pPr>
              <w:spacing w:line="240" w:lineRule="auto" w:before="0" w:after="0"/>
              <w:pStyle w:val="Compact"/>
            </w:pPr>
            <w:r>
              <w:rPr>
                <w:sz w:val="20"/>
                <w:szCs w:val="20"/>
              </w:rPr>
              <w:t xml:space="preserve">3.8001</w:t>
            </w:r>
          </w:p>
        </w:tc>
        <w:tc>
          <w:tcPr>
            <w:tcW w:w="0" w:type="auto"/>
          </w:tcPr>
          <w:p>
            <w:pPr>
              <w:spacing w:line="240" w:lineRule="auto" w:before="0" w:after="0"/>
              <w:pStyle w:val="Compact"/>
            </w:pPr>
            <w:r>
              <w:rPr>
                <w:sz w:val="20"/>
                <w:szCs w:val="20"/>
              </w:rPr>
              <w:t xml:space="preserve">0.0001446</w:t>
            </w:r>
          </w:p>
        </w:tc>
        <w:tc>
          <w:tcPr>
            <w:tcW w:w="0" w:type="auto"/>
          </w:tcPr>
          <w:p>
            <w:pPr>
              <w:spacing w:line="240" w:lineRule="auto" w:before="0" w:after="0"/>
              <w:pStyle w:val="Compact"/>
            </w:pPr>
            <w:r>
              <w:rPr>
                <w:sz w:val="20"/>
                <w:szCs w:val="20"/>
              </w:rPr>
              <w:t xml:space="preserve">[2.2574, 7.066]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0.0873</w:t>
            </w:r>
          </w:p>
        </w:tc>
        <w:tc>
          <w:tcPr>
            <w:tcW w:w="0" w:type="auto"/>
          </w:tcPr>
          <w:p>
            <w:pPr>
              <w:spacing w:line="240" w:lineRule="auto" w:before="0" w:after="0"/>
              <w:pStyle w:val="Compact"/>
            </w:pPr>
            <w:r>
              <w:rPr>
                <w:sz w:val="20"/>
                <w:szCs w:val="20"/>
              </w:rPr>
              <w:t xml:space="preserve">0.1881</w:t>
            </w:r>
          </w:p>
        </w:tc>
        <w:tc>
          <w:tcPr>
            <w:tcW w:w="0" w:type="auto"/>
          </w:tcPr>
          <w:p>
            <w:pPr>
              <w:spacing w:line="240" w:lineRule="auto" w:before="0" w:after="0"/>
              <w:pStyle w:val="Compact"/>
            </w:pPr>
            <w:r>
              <w:rPr>
                <w:sz w:val="20"/>
                <w:szCs w:val="20"/>
              </w:rPr>
              <w:t xml:space="preserve">0.4641</w:t>
            </w:r>
          </w:p>
        </w:tc>
        <w:tc>
          <w:tcPr>
            <w:tcW w:w="0" w:type="auto"/>
          </w:tcPr>
          <w:p>
            <w:pPr>
              <w:spacing w:line="240" w:lineRule="auto" w:before="0" w:after="0"/>
              <w:pStyle w:val="Compact"/>
            </w:pPr>
            <w:r>
              <w:rPr>
                <w:sz w:val="20"/>
                <w:szCs w:val="20"/>
              </w:rPr>
              <w:t xml:space="preserve">0.6426</w:t>
            </w:r>
          </w:p>
        </w:tc>
        <w:tc>
          <w:tcPr>
            <w:tcW w:w="0" w:type="auto"/>
          </w:tcPr>
          <w:p>
            <w:pPr>
              <w:spacing w:line="240" w:lineRule="auto" w:before="0" w:after="0"/>
              <w:pStyle w:val="Compact"/>
            </w:pPr>
            <w:r>
              <w:rPr>
                <w:sz w:val="20"/>
                <w:szCs w:val="20"/>
              </w:rPr>
              <w:t xml:space="preserve">[-0.2813, 0.4559]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-0.0264</w:t>
            </w:r>
          </w:p>
        </w:tc>
        <w:tc>
          <w:tcPr>
            <w:tcW w:w="0" w:type="auto"/>
          </w:tcPr>
          <w:p>
            <w:pPr>
              <w:spacing w:line="240" w:lineRule="auto" w:before="0" w:after="0"/>
              <w:pStyle w:val="Compact"/>
            </w:pPr>
            <w:r>
              <w:rPr>
                <w:sz w:val="20"/>
                <w:szCs w:val="20"/>
              </w:rPr>
              <w:t xml:space="preserve">0.1212</w:t>
            </w:r>
          </w:p>
        </w:tc>
        <w:tc>
          <w:tcPr>
            <w:tcW w:w="0" w:type="auto"/>
          </w:tcPr>
          <w:p>
            <w:pPr>
              <w:spacing w:line="240" w:lineRule="auto" w:before="0" w:after="0"/>
              <w:pStyle w:val="Compact"/>
            </w:pPr>
            <w:r>
              <w:rPr>
                <w:sz w:val="20"/>
                <w:szCs w:val="20"/>
              </w:rPr>
              <w:t xml:space="preserve">-0.218</w:t>
            </w:r>
          </w:p>
        </w:tc>
        <w:tc>
          <w:tcPr>
            <w:tcW w:w="0" w:type="auto"/>
          </w:tcPr>
          <w:p>
            <w:pPr>
              <w:spacing w:line="240" w:lineRule="auto" w:before="0" w:after="0"/>
              <w:pStyle w:val="Compact"/>
            </w:pPr>
            <w:r>
              <w:rPr>
                <w:sz w:val="20"/>
                <w:szCs w:val="20"/>
              </w:rPr>
              <w:t xml:space="preserve">0.8274</w:t>
            </w:r>
          </w:p>
        </w:tc>
        <w:tc>
          <w:tcPr>
            <w:tcW w:w="0" w:type="auto"/>
          </w:tcPr>
          <w:p>
            <w:pPr>
              <w:spacing w:line="240" w:lineRule="auto" w:before="0" w:after="0"/>
              <w:pStyle w:val="Compact"/>
            </w:pPr>
            <w:r>
              <w:rPr>
                <w:sz w:val="20"/>
                <w:szCs w:val="20"/>
              </w:rPr>
              <w:t xml:space="preserve">[-0.264, 0.2112]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-0.9475</w:t>
            </w:r>
          </w:p>
        </w:tc>
        <w:tc>
          <w:tcPr>
            <w:tcW w:w="0" w:type="auto"/>
          </w:tcPr>
          <w:p>
            <w:pPr>
              <w:spacing w:line="240" w:lineRule="auto" w:before="0" w:after="0"/>
              <w:pStyle w:val="Compact"/>
            </w:pPr>
            <w:r>
              <w:rPr>
                <w:sz w:val="20"/>
                <w:szCs w:val="20"/>
              </w:rPr>
              <w:t xml:space="preserve">1.6372</w:t>
            </w:r>
          </w:p>
        </w:tc>
        <w:tc>
          <w:tcPr>
            <w:tcW w:w="0" w:type="auto"/>
          </w:tcPr>
          <w:p>
            <w:pPr>
              <w:spacing w:line="240" w:lineRule="auto" w:before="0" w:after="0"/>
              <w:pStyle w:val="Compact"/>
            </w:pPr>
            <w:r>
              <w:rPr>
                <w:sz w:val="20"/>
                <w:szCs w:val="20"/>
              </w:rPr>
              <w:t xml:space="preserve">-0.5788</w:t>
            </w:r>
          </w:p>
        </w:tc>
        <w:tc>
          <w:tcPr>
            <w:tcW w:w="0" w:type="auto"/>
          </w:tcPr>
          <w:p>
            <w:pPr>
              <w:spacing w:line="240" w:lineRule="auto" w:before="0" w:after="0"/>
              <w:pStyle w:val="Compact"/>
            </w:pPr>
            <w:r>
              <w:rPr>
                <w:sz w:val="20"/>
                <w:szCs w:val="20"/>
              </w:rPr>
              <w:t xml:space="preserve">0.5628</w:t>
            </w:r>
          </w:p>
        </w:tc>
        <w:tc>
          <w:tcPr>
            <w:tcW w:w="0" w:type="auto"/>
          </w:tcPr>
          <w:p>
            <w:pPr>
              <w:spacing w:line="240" w:lineRule="auto" w:before="0" w:after="0"/>
              <w:pStyle w:val="Compact"/>
            </w:pPr>
            <w:r>
              <w:rPr>
                <w:sz w:val="20"/>
                <w:szCs w:val="20"/>
              </w:rPr>
              <w:t xml:space="preserve">[-4.1563, 2.2612]</w:t>
            </w:r>
          </w:p>
        </w:tc>
      </w:tr>
    </w:tbl>
    <w:p>
      <w:pPr>
        <w:pStyle w:val="BodyText"/>
        <w:spacing w:line="480" w:lineRule="auto"/>
        <w:ind w:firstLine="720"/>
      </w:pPr>
      <w:r>
        <w:t xml:space="preserve">Fit: N = 30 R2 = 0.032 R2_adj = -0.0797 F = 0.205 F_p = 0.892</w:t>
      </w:r>
    </w:p>
    <w:bookmarkEnd w:id="191"/>
    <w:bookmarkStart w:id="195"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3" name="Picture"/>
            <a:graphic>
              <a:graphicData uri="http://schemas.openxmlformats.org/drawingml/2006/picture">
                <pic:pic>
                  <pic:nvPicPr>
                    <pic:cNvPr descr="D:/Claude_Code/brain/collegium/candidates/dissertations/SUSTAINABILITY_INSTITUTIONS_06/research_papers/p1/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5"/>
    <w:bookmarkStart w:id="196"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10.64861/NUFH1261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10.64861/WFHJ7307</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https://amostech.space/year/2018/future-of-the-space-situational-awareness-enterprise-global-trends/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https://amostech.space/year/2015/adaptive-optics-for-satellite-imaging-and-space-debris-ranging/</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https://amostech.space/year/2019/object-detection-methods-for-optical-survey-measurements/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https://amostech.space/year/2011/learning-agents-for-autonomous-space-asset-management-laasam/</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https://amostech.space/year/2015/space-debris-attitude-simulation-iota-in-orbit-tumbling-analysis/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10.1016/j.actaastro.2024.04.032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10.1016/j.actaastro.2025.05.056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10.1016/j.actaastro.2024.07.022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https://amostech.space/year/2021/maximizing-the-utility-of-non-traditional-sensor-network-data-for-sda/</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https://amostech.space/year/2020/evaluating-conops-for-geo-spacecraft-identification-and-custody-from-non-ssa-architectures-in-leo/</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10.64861/OPJB1702</w:t>
            </w:r>
          </w:p>
        </w:tc>
      </w:tr>
    </w:tbl>
    <w:bookmarkEnd w:id="196"/>
    <w:bookmarkStart w:id="197"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7"/>
    <w:bookmarkEnd w:id="198"/>
    <w:bookmarkStart w:id="206" w:name="Xd78c86bef225e086f4cf34859927ac06cc100b3"/>
    <w:p>
      <w:pPr>
        <w:pStyle w:val="Heading2"/>
        <w:spacing w:line="480" w:lineRule="auto"/>
      </w:pPr>
      <w:r>
        <w:t xml:space="preserve">A.2 Attention Accumulation in Sunlight as Sanction Does Mandatory Transparency Outperform Voluntary Disclosur: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9"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1.1844</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3.4292</w:t>
            </w:r>
          </w:p>
        </w:tc>
        <w:tc>
          <w:tcPr>
            <w:tcW w:w="0" w:type="auto"/>
          </w:tcPr>
          <w:p>
            <w:pPr>
              <w:spacing w:line="240" w:lineRule="auto" w:before="0" w:after="0"/>
              <w:pStyle w:val="Compact"/>
            </w:pPr>
            <w:r>
              <w:rPr>
                <w:sz w:val="20"/>
                <w:szCs w:val="20"/>
              </w:rPr>
              <w:t xml:space="preserve">0.0006055</w:t>
            </w:r>
          </w:p>
        </w:tc>
        <w:tc>
          <w:tcPr>
            <w:tcW w:w="0" w:type="auto"/>
          </w:tcPr>
          <w:p>
            <w:pPr>
              <w:spacing w:line="240" w:lineRule="auto" w:before="0" w:after="0"/>
              <w:pStyle w:val="Compact"/>
            </w:pPr>
            <w:r>
              <w:rPr>
                <w:sz w:val="20"/>
                <w:szCs w:val="20"/>
              </w:rPr>
              <w:t xml:space="preserve">[0.5074, 1.8614]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-0.4901</w:t>
            </w:r>
          </w:p>
        </w:tc>
        <w:tc>
          <w:tcPr>
            <w:tcW w:w="0" w:type="auto"/>
          </w:tcPr>
          <w:p>
            <w:pPr>
              <w:spacing w:line="240" w:lineRule="auto" w:before="0" w:after="0"/>
              <w:pStyle w:val="Compact"/>
            </w:pPr>
            <w:r>
              <w:rPr>
                <w:sz w:val="20"/>
                <w:szCs w:val="20"/>
              </w:rPr>
              <w:t xml:space="preserve">0.1572</w:t>
            </w:r>
          </w:p>
        </w:tc>
        <w:tc>
          <w:tcPr>
            <w:tcW w:w="0" w:type="auto"/>
          </w:tcPr>
          <w:p>
            <w:pPr>
              <w:spacing w:line="240" w:lineRule="auto" w:before="0" w:after="0"/>
              <w:pStyle w:val="Compact"/>
            </w:pPr>
            <w:r>
              <w:rPr>
                <w:sz w:val="20"/>
                <w:szCs w:val="20"/>
              </w:rPr>
              <w:t xml:space="preserve">-3.1175</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[-0.7983, -0.182]</w:t>
            </w:r>
          </w:p>
        </w:tc>
      </w:tr>
    </w:tbl>
    <w:p>
      <w:pPr>
        <w:pStyle w:val="BodyText"/>
        <w:spacing w:line="480" w:lineRule="auto"/>
        <w:ind w:firstLine="720"/>
      </w:pPr>
      <w:r>
        <w:t xml:space="preserve">Fit: N = 30 R2 = 0.1268 elasticity_b = -0.4901 progress_ratio_2^b = 0.712</w:t>
      </w:r>
    </w:p>
    <w:bookmarkEnd w:id="199"/>
    <w:bookmarkStart w:id="203"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201" name="Picture"/>
            <a:graphic>
              <a:graphicData uri="http://schemas.openxmlformats.org/drawingml/2006/picture">
                <pic:pic>
                  <pic:nvPicPr>
                    <pic:cNvPr descr="D:/Claude_Code/brain/collegium/candidates/dissertations/SUSTAINABILITY_INSTITUTIONS_06/research_papers/p2/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3"/>
    <w:bookmarkStart w:id="204"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10.64861/NUFH1261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10.64861/WFHJ7307</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https://amostech.space/year/2018/future-of-the-space-situational-awareness-enterprise-global-trends/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https://amostech.space/year/2015/adaptive-optics-for-satellite-imaging-and-space-debris-ranging/</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https://amostech.space/year/2019/object-detection-methods-for-optical-survey-measurements/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https://amostech.space/year/2011/learning-agents-for-autonomous-space-asset-management-laasam/</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https://amostech.space/year/2015/space-debris-attitude-simulation-iota-in-orbit-tumbling-analysis/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10.1016/j.actaastro.2024.04.032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10.1016/j.actaastro.2025.05.056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10.1016/j.actaastro.2024.07.022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https://amostech.space/year/2021/maximizing-the-utility-of-non-traditional-sensor-network-data-for-sda/</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https://amostech.space/year/2020/evaluating-conops-for-geo-spacecraft-identification-and-custody-from-non-ssa-architectures-in-leo/</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10.64861/OPJB1702</w:t>
            </w:r>
          </w:p>
        </w:tc>
      </w:tr>
    </w:tbl>
    <w:bookmarkEnd w:id="204"/>
    <w:bookmarkStart w:id="20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5"/>
    <w:bookmarkEnd w:id="206"/>
    <w:bookmarkEnd w:id="20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2" Type="http://schemas.openxmlformats.org/officeDocument/2006/relationships/image" Target="media/rId192.png"/><Relationship Id="rId200" Type="http://schemas.openxmlformats.org/officeDocument/2006/relationships/image" Target="media/rId200.png"/><Relationship Id="rId185" Type="http://schemas.openxmlformats.org/officeDocument/2006/relationships/hyperlink" Target="https://doi.org/10.1016/j.actaastro.2023.01.016" TargetMode="External"/><Relationship Id="rId187" Type="http://schemas.openxmlformats.org/officeDocument/2006/relationships/hyperlink" Target="https://doi.org/10.1016/j.actaastro.2024.04.032" TargetMode="External"/><Relationship Id="rId176" Type="http://schemas.openxmlformats.org/officeDocument/2006/relationships/hyperlink" Target="https://doi.org/10.1016/j.actaastro.2025.01.061" TargetMode="External"/><Relationship Id="rId158" Type="http://schemas.openxmlformats.org/officeDocument/2006/relationships/hyperlink" Target="https://doi.org/10.1016/j.actaastro.2025.03.034" TargetMode="External"/><Relationship Id="rId183" Type="http://schemas.openxmlformats.org/officeDocument/2006/relationships/hyperlink" Target="https://doi.org/10.1016/j.actaastro.2025.04.041" TargetMode="External"/><Relationship Id="rId178" Type="http://schemas.openxmlformats.org/officeDocument/2006/relationships/hyperlink" Target="https://doi.org/10.1016/j.actaastro.2025.04.063" TargetMode="External"/><Relationship Id="rId162" Type="http://schemas.openxmlformats.org/officeDocument/2006/relationships/hyperlink" Target="https://doi.org/10.1016/j.actaastro.2025.06.029" TargetMode="External"/><Relationship Id="rId181" Type="http://schemas.openxmlformats.org/officeDocument/2006/relationships/hyperlink" Target="https://doi.org/10.1016/j.actaastro.2025.08.048" TargetMode="External"/><Relationship Id="rId173" Type="http://schemas.openxmlformats.org/officeDocument/2006/relationships/hyperlink" Target="https://doi.org/10.64861/LFFV2455" TargetMode="External"/><Relationship Id="rId164" Type="http://schemas.openxmlformats.org/officeDocument/2006/relationships/hyperlink" Target="https://doi.org/10.64861/NUFH1261" TargetMode="External"/><Relationship Id="rId169" Type="http://schemas.openxmlformats.org/officeDocument/2006/relationships/hyperlink" Target="https://doi.org/10.64861/WFHJ7307" TargetMode="External"/></Relationships>
</file>

<file path=word/_rels/footnotes.xml.rels><?xml version='1.0' encoding='UTF-8' standalone='yes'?>
<Relationships xmlns="http://schemas.openxmlformats.org/package/2006/relationships"><Relationship Id="rId185" Type="http://schemas.openxmlformats.org/officeDocument/2006/relationships/hyperlink" Target="https://doi.org/10.1016/j.actaastro.2023.01.016" TargetMode="External"/><Relationship Id="rId187" Type="http://schemas.openxmlformats.org/officeDocument/2006/relationships/hyperlink" Target="https://doi.org/10.1016/j.actaastro.2024.04.032" TargetMode="External"/><Relationship Id="rId176" Type="http://schemas.openxmlformats.org/officeDocument/2006/relationships/hyperlink" Target="https://doi.org/10.1016/j.actaastro.2025.01.061" TargetMode="External"/><Relationship Id="rId158" Type="http://schemas.openxmlformats.org/officeDocument/2006/relationships/hyperlink" Target="https://doi.org/10.1016/j.actaastro.2025.03.034" TargetMode="External"/><Relationship Id="rId183" Type="http://schemas.openxmlformats.org/officeDocument/2006/relationships/hyperlink" Target="https://doi.org/10.1016/j.actaastro.2025.04.041" TargetMode="External"/><Relationship Id="rId178" Type="http://schemas.openxmlformats.org/officeDocument/2006/relationships/hyperlink" Target="https://doi.org/10.1016/j.actaastro.2025.04.063" TargetMode="External"/><Relationship Id="rId162" Type="http://schemas.openxmlformats.org/officeDocument/2006/relationships/hyperlink" Target="https://doi.org/10.1016/j.actaastro.2025.06.029" TargetMode="External"/><Relationship Id="rId181" Type="http://schemas.openxmlformats.org/officeDocument/2006/relationships/hyperlink" Target="https://doi.org/10.1016/j.actaastro.2025.08.048" TargetMode="External"/><Relationship Id="rId173" Type="http://schemas.openxmlformats.org/officeDocument/2006/relationships/hyperlink" Target="https://doi.org/10.64861/LFFV2455" TargetMode="External"/><Relationship Id="rId164" Type="http://schemas.openxmlformats.org/officeDocument/2006/relationships/hyperlink" Target="https://doi.org/10.64861/NUFH1261" TargetMode="External"/><Relationship Id="rId169" Type="http://schemas.openxmlformats.org/officeDocument/2006/relationships/hyperlink" Target="https://doi.org/10.64861/WFHJ7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Sunlight as Sanction: Does Mandatory Transparency Outperform Voluntary Disclosur</dc:title>
  <dc:creator>Iris Salinas (1B-SUS-159)</dc:creator>
  <cp:keywords/>
  <dcterms:created xsi:type="dcterms:W3CDTF">2026-07-03T00:52:56Z</dcterms:created>
  <dcterms:modified xsi:type="dcterms:W3CDTF">2026-07-03T00:52:56Z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