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fc700598fea8df322f609a536e8512ab5fbed40"/>
    <w:p>
      <w:pPr>
        <w:pStyle w:val="Heading1"/>
      </w:pPr>
      <w:r>
        <w:t xml:space="preserve">Attention Accumulation in The Carbon Ledger of Launch A Life-Cycle Inventory and Externality-Pricing Mode: A Learning-Curve Analysis of Citation Growth by Article Age</w:t>
      </w:r>
    </w:p>
    <w:bookmarkStart w:id="61" w:name="introduction"/>
    <w:p>
      <w:pPr>
        <w:pStyle w:val="Heading2"/>
      </w:pPr>
      <w:r>
        <w:t xml:space="preserve">1. Introduction</w:t>
      </w:r>
    </w:p>
    <w:p>
      <w:pPr>
        <w:pStyle w:val="FirstParagraph"/>
      </w:pPr>
      <w:r>
        <w:t xml:space="preserve">This empirical paper supports Elias Bianchi (1B-SUS-202) and the dissertation project</w:t>
      </w:r>
      <w:r>
        <w:t xml:space="preserve"> </w:t>
      </w:r>
      <w:r>
        <w:rPr>
          <w:i/>
          <w:iCs/>
        </w:rPr>
        <w:t xml:space="preserve">The Carbon Ledger of Launch: A Life-Cycle Inventory and Externality-Pricing Mode</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R2=0.0021009156579127053, elasticity_b=-0.08000670873605373, progress_ratio_2^b=0.9460532474339184. The exact term summary is: const coef=0.7895775880376233 p=0.0459657921179384; _ln_x coef=-0.08000670873605373 p=0.7669373029104086.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Joseph Gerber, Tech7; Gregory Badura, Georgia Tech Research Institute (GTRI); Johann Bell, Australian Department of Defense; Kruger White, Defence Science and Technology Group, Australia. Joint Commercial Operations (JCO) – Integrated Space Operations with Event Ledgers (2024). doi:</w:t>
      </w:r>
      <w:r>
        <w:t xml:space="preserve"> </w:t>
      </w:r>
      <w:hyperlink r:id="rId68">
        <w:r>
          <w:rPr>
            <w:rStyle w:val="Hyperlink"/>
          </w:rPr>
          <w:t xml:space="preserve">10.64861/ZTFK7933</w:t>
        </w:r>
      </w:hyperlink>
      <w:r>
        <w:t xml:space="preserve"> </w:t>
      </w:r>
      <w:bookmarkStart w:id="69" w:name="ref-2"/>
      <w:bookmarkEnd w:id="69"/>
      <w:r>
        <w:t xml:space="preserve">2. Abdul Mutholib, International Islamic University, Malaysia; Nadirah Abdul Rahim, International Islamic University, Malaysia; Teddy Surya Gunawan, International Islamic University, Malaysia. Prototype Development of Web AI-Based Decision Support System: Insights and Recommendations for Satellite Anomaly Identification (2025). doi:</w:t>
      </w:r>
      <w:r>
        <w:t xml:space="preserve"> </w:t>
      </w:r>
      <w:hyperlink r:id="rId70">
        <w:r>
          <w:rPr>
            <w:rStyle w:val="Hyperlink"/>
          </w:rPr>
          <w:t xml:space="preserve">10.64861/TJUV7381</w:t>
        </w:r>
      </w:hyperlink>
      <w:r>
        <w:t xml:space="preserve"> </w:t>
      </w:r>
      <w:bookmarkStart w:id="71" w:name="ref-3"/>
      <w:bookmarkEnd w:id="71"/>
      <w:r>
        <w:t xml:space="preserve">3. Austin Probe, Emergent Space Technologies, Inc.; Graham Bryan, Emergent Space Technologies, Inc.; Timothy Woodbury, Emergent Space Technologies, Inc.; Evan Novak, Emergent Space Technologies, Inc.; Shiva Iyer, The University of Texas at Austin; Apoorva Karra, The University of Texas at Austin; Moriba Jah, University of Texas at Austin. Prototype Infrastructure for Autonomous On-board Conjunction Assessment and Collision Avoidance (2022). [AMOS]</w:t>
      </w:r>
      <w:r>
        <w:t xml:space="preserve"> </w:t>
      </w:r>
      <w:bookmarkStart w:id="72" w:name="ref-4"/>
      <w:bookmarkEnd w:id="72"/>
      <w:r>
        <w:t xml:space="preserve">4. Lt Col Thomas H. Freeman, USAF (Launch Test Squadron, SMC/SDTW), Maj Jose Delarosa, USAF (Launch Test Squadron, SMC/SDTW). Small Space Launch: Origins &amp; Challenges (2010). [AMOS]</w:t>
      </w:r>
      <w:r>
        <w:t xml:space="preserve"> </w:t>
      </w:r>
      <w:bookmarkStart w:id="73" w:name="ref-5"/>
      <w:bookmarkEnd w:id="73"/>
      <w:r>
        <w:t xml:space="preserve">5. Christina Cohen, Caltech. Satellite Impacts of Solar Energetic Particles and Galactic Cosmic Rays (2020). [AMOS]</w:t>
      </w:r>
      <w:r>
        <w:t xml:space="preserve"> </w:t>
      </w:r>
      <w:bookmarkStart w:id="74" w:name="ref-6"/>
      <w:bookmarkEnd w:id="74"/>
      <w:r>
        <w:t xml:space="preserve">6. Bhavya Lal, IDA Science and Technology Policy Institute, Sara A. Carioscia, IDA Science and Technology Policy Institute. Evaluating Options for Civil Space Situational Awareness (SSA) (2017). [AMOS]</w:t>
      </w:r>
      <w:r>
        <w:t xml:space="preserve"> </w:t>
      </w:r>
      <w:bookmarkStart w:id="75" w:name="ref-7"/>
      <w:bookmarkEnd w:id="75"/>
      <w:r>
        <w:t xml:space="preserve">7. Peter Hack, Lockheed Martin, Ken Carbaugh, Lockheed Martin, Kameron Simon, Lockheed Martin. Automated Space Surveillance using the AN/FSY-3 Space Fence System (2016). [AMOS]</w:t>
      </w:r>
      <w:r>
        <w:t xml:space="preserve"> </w:t>
      </w:r>
      <w:bookmarkStart w:id="76" w:name="ref-8"/>
      <w:bookmarkEnd w:id="76"/>
      <w:r>
        <w:t xml:space="preserve">8. Robert Raygan, Integrity Applications Incorporated. The Ultimate Big Data Enterprise Initiative: Defining Functional Capabilities for an International Information System (IIS) for Orbital Space Data (OSD) (2017). [AMOS]</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0.7896</w:t>
            </w:r>
          </w:p>
        </w:tc>
        <w:tc>
          <w:tcPr>
            <w:tcW w:w="0" w:type="auto"/>
          </w:tcPr>
          <w:p>
            <w:pPr>
              <w:spacing w:line="240" w:lineRule="auto" w:before="0" w:after="0"/>
              <w:pStyle w:val="Compact"/>
            </w:pPr>
            <w:r>
              <w:rPr>
                <w:sz w:val="20"/>
                <w:szCs w:val="20"/>
              </w:rPr>
              <w:t xml:space="preserve">0.3956</w:t>
            </w:r>
          </w:p>
        </w:tc>
        <w:tc>
          <w:tcPr>
            <w:tcW w:w="0" w:type="auto"/>
          </w:tcPr>
          <w:p>
            <w:pPr>
              <w:spacing w:line="240" w:lineRule="auto" w:before="0" w:after="0"/>
              <w:pStyle w:val="Compact"/>
            </w:pPr>
            <w:r>
              <w:rPr>
                <w:sz w:val="20"/>
                <w:szCs w:val="20"/>
              </w:rPr>
              <w:t xml:space="preserve">1.9957</w:t>
            </w:r>
          </w:p>
        </w:tc>
        <w:tc>
          <w:tcPr>
            <w:tcW w:w="0" w:type="auto"/>
          </w:tcPr>
          <w:p>
            <w:pPr>
              <w:spacing w:line="240" w:lineRule="auto" w:before="0" w:after="0"/>
              <w:pStyle w:val="Compact"/>
            </w:pPr>
            <w:r>
              <w:rPr>
                <w:sz w:val="20"/>
                <w:szCs w:val="20"/>
              </w:rPr>
              <w:t xml:space="preserve">0.046</w:t>
            </w:r>
          </w:p>
        </w:tc>
        <w:tc>
          <w:tcPr>
            <w:tcW w:w="0" w:type="auto"/>
          </w:tcPr>
          <w:p>
            <w:pPr>
              <w:spacing w:line="240" w:lineRule="auto" w:before="0" w:after="0"/>
              <w:pStyle w:val="Compact"/>
            </w:pPr>
            <w:r>
              <w:rPr>
                <w:sz w:val="20"/>
                <w:szCs w:val="20"/>
              </w:rPr>
              <w:t xml:space="preserve">[0.0141, 1.565]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0.2699</w:t>
            </w:r>
          </w:p>
        </w:tc>
        <w:tc>
          <w:tcPr>
            <w:tcW w:w="0" w:type="auto"/>
          </w:tcPr>
          <w:p>
            <w:pPr>
              <w:spacing w:line="240" w:lineRule="auto" w:before="0" w:after="0"/>
              <w:pStyle w:val="Compact"/>
            </w:pPr>
            <w:r>
              <w:rPr>
                <w:sz w:val="20"/>
                <w:szCs w:val="20"/>
              </w:rPr>
              <w:t xml:space="preserve">-0.2964</w:t>
            </w:r>
          </w:p>
        </w:tc>
        <w:tc>
          <w:tcPr>
            <w:tcW w:w="0" w:type="auto"/>
          </w:tcPr>
          <w:p>
            <w:pPr>
              <w:spacing w:line="240" w:lineRule="auto" w:before="0" w:after="0"/>
              <w:pStyle w:val="Compact"/>
            </w:pPr>
            <w:r>
              <w:rPr>
                <w:sz w:val="20"/>
                <w:szCs w:val="20"/>
              </w:rPr>
              <w:t xml:space="preserve">0.7669</w:t>
            </w:r>
          </w:p>
        </w:tc>
        <w:tc>
          <w:tcPr>
            <w:tcW w:w="0" w:type="auto"/>
          </w:tcPr>
          <w:p>
            <w:pPr>
              <w:spacing w:line="240" w:lineRule="auto" w:before="0" w:after="0"/>
              <w:pStyle w:val="Compact"/>
            </w:pPr>
            <w:r>
              <w:rPr>
                <w:sz w:val="20"/>
                <w:szCs w:val="20"/>
              </w:rPr>
              <w:t xml:space="preserve">[-0.6091, 0.4491]</w:t>
            </w:r>
          </w:p>
        </w:tc>
      </w:tr>
    </w:tbl>
    <w:p>
      <w:pPr>
        <w:pStyle w:val="BodyText"/>
      </w:pPr>
      <w:r>
        <w:t xml:space="preserve">Fit: N = 30 R2 = 0.0021 elasticity_b = -0.08 progress_ratio_2^b = 0.9461</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SUSTAINABILITY_INSTITUTIONS_05\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10.64861/ZTFK7933</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10.64861/TJUV7381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https://amostech.space/year/2022/prototype-infrastructure-for-autonomous-on-board-conjunction-assessment-and-collision-avoidance/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10.64861/ZACY3418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https://amostech.space/year/2010/small-space-launch-origins-challenges/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https://amostech.space/year/2020/satellite-impacts-of-solar-energetic-particles-and-galactic-cosmic-rays/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10.64861/KSXC7986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https://amostech.space/year/2016/automated-space-surveillance-using-the-an-fsy-3-space-fence-system/</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https://amostech.space/year/2022/a-high-power-large-aperture-doppler-he-lidar-for-upper-atmospheric-sensing/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https://amostech.space/year/2017/the-ultimate-big-data-enterprise-initiative-defining-functional-capabilities-for-an-international-information-system-iis-for-orbital-space-data-osd/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10.64861/GAAT4421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10.1016/j.actaastro.2024.05.009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10.1016/j.actaastro.2018.11.054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10.1016/j.actaastro.2024.11.061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10.1016/j.actaastro.2024.05.004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10.1016/j.actaastro.2025.07.007</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10.1016/j.actaastro.2024.04.039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10.1016/j.actaastro.2021.12.036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10.1016/j.actaastro.2025.12.018</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10.1016/j.actaastro.2022.12.036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10.1016/j.actaastro.2025.07.033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10.1016/j.actaastro.2021.08.001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10.1038/s44172-025-00430-5</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Orbital Debris Requires Prevention and Mitigation Across the Life Cycle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10.1016/j.scitotenv.2019.02.438</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 Debris Impact on Orbital Resource in Life Cycle Assessment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0.7896</w:t>
            </w:r>
          </w:p>
        </w:tc>
        <w:tc>
          <w:tcPr>
            <w:tcW w:w="0" w:type="auto"/>
          </w:tcPr>
          <w:p>
            <w:pPr>
              <w:spacing w:line="240" w:lineRule="auto" w:before="0" w:after="0"/>
              <w:pStyle w:val="Compact"/>
            </w:pPr>
            <w:r>
              <w:rPr>
                <w:sz w:val="20"/>
                <w:szCs w:val="20"/>
              </w:rPr>
              <w:t xml:space="preserve">0.3956</w:t>
            </w:r>
          </w:p>
        </w:tc>
        <w:tc>
          <w:tcPr>
            <w:tcW w:w="0" w:type="auto"/>
          </w:tcPr>
          <w:p>
            <w:pPr>
              <w:spacing w:line="240" w:lineRule="auto" w:before="0" w:after="0"/>
              <w:pStyle w:val="Compact"/>
            </w:pPr>
            <w:r>
              <w:rPr>
                <w:sz w:val="20"/>
                <w:szCs w:val="20"/>
              </w:rPr>
              <w:t xml:space="preserve">1.9957</w:t>
            </w:r>
          </w:p>
        </w:tc>
        <w:tc>
          <w:tcPr>
            <w:tcW w:w="0" w:type="auto"/>
          </w:tcPr>
          <w:p>
            <w:pPr>
              <w:spacing w:line="240" w:lineRule="auto" w:before="0" w:after="0"/>
              <w:pStyle w:val="Compact"/>
            </w:pPr>
            <w:r>
              <w:rPr>
                <w:sz w:val="20"/>
                <w:szCs w:val="20"/>
              </w:rPr>
              <w:t xml:space="preserve">0.046</w:t>
            </w:r>
          </w:p>
        </w:tc>
        <w:tc>
          <w:tcPr>
            <w:tcW w:w="0" w:type="auto"/>
          </w:tcPr>
          <w:p>
            <w:pPr>
              <w:spacing w:line="240" w:lineRule="auto" w:before="0" w:after="0"/>
              <w:pStyle w:val="Compact"/>
            </w:pPr>
            <w:r>
              <w:rPr>
                <w:sz w:val="20"/>
                <w:szCs w:val="20"/>
              </w:rPr>
              <w:t xml:space="preserve">[0.0141, 1.565]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0.2699</w:t>
            </w:r>
          </w:p>
        </w:tc>
        <w:tc>
          <w:tcPr>
            <w:tcW w:w="0" w:type="auto"/>
          </w:tcPr>
          <w:p>
            <w:pPr>
              <w:spacing w:line="240" w:lineRule="auto" w:before="0" w:after="0"/>
              <w:pStyle w:val="Compact"/>
            </w:pPr>
            <w:r>
              <w:rPr>
                <w:sz w:val="20"/>
                <w:szCs w:val="20"/>
              </w:rPr>
              <w:t xml:space="preserve">-0.2964</w:t>
            </w:r>
          </w:p>
        </w:tc>
        <w:tc>
          <w:tcPr>
            <w:tcW w:w="0" w:type="auto"/>
          </w:tcPr>
          <w:p>
            <w:pPr>
              <w:spacing w:line="240" w:lineRule="auto" w:before="0" w:after="0"/>
              <w:pStyle w:val="Compact"/>
            </w:pPr>
            <w:r>
              <w:rPr>
                <w:sz w:val="20"/>
                <w:szCs w:val="20"/>
              </w:rPr>
              <w:t xml:space="preserve">0.7669</w:t>
            </w:r>
          </w:p>
        </w:tc>
        <w:tc>
          <w:tcPr>
            <w:tcW w:w="0" w:type="auto"/>
          </w:tcPr>
          <w:p>
            <w:pPr>
              <w:spacing w:line="240" w:lineRule="auto" w:before="0" w:after="0"/>
              <w:pStyle w:val="Compact"/>
            </w:pPr>
            <w:r>
              <w:rPr>
                <w:sz w:val="20"/>
                <w:szCs w:val="20"/>
              </w:rPr>
              <w:t xml:space="preserve">[-0.6091, 0.4491]</w:t>
            </w:r>
          </w:p>
        </w:tc>
      </w:tr>
    </w:tbl>
    <w:p>
      <w:pPr>
        <w:pStyle w:val="BodyText"/>
      </w:pPr>
      <w:r>
        <w:t xml:space="preserve">Fit: N = 30 R2 = 0.0021 elasticity_b = -0.08 progress_ratio_2^b = 0.9461</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0" Target="https://doi.org/10.64861/TJUV7381" TargetMode="External" /><Relationship Type="http://schemas.openxmlformats.org/officeDocument/2006/relationships/hyperlink" Id="rId68" Target="https://doi.org/10.64861/ZTFK7933"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TJUV7381" TargetMode="External" /><Relationship Type="http://schemas.openxmlformats.org/officeDocument/2006/relationships/hyperlink" Id="rId68" Target="https://doi.org/10.64861/ZTFK793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2026-06-29T09:37:44Z</dcterms:created>
  <dcterms:modified xsi:type="dcterms:W3CDTF">2026-06-29T09:37:44Z</dcterms:modified>
</cp:coreProperties>
</file>

<file path=docProps/custom.xml><?xml version="1.0" encoding="utf-8"?>
<Properties xmlns="http://schemas.openxmlformats.org/officeDocument/2006/custom-properties" xmlns:vt="http://schemas.openxmlformats.org/officeDocument/2006/docPropsVTypes"/>
</file>