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78257dd3517c710a98f5838b21631f1d110f09e"/>
    <w:p>
      <w:pPr>
        <w:pStyle w:val="Heading1"/>
      </w:pPr>
      <w:r>
        <w:t xml:space="preserve">Signal Intensity in The Carbon Ledger of Launch A Life-Cycle Inventory and Externality-Pricing Mode: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Elias Bianchi (1B-SUS-202) and the dissertation project</w:t>
      </w:r>
      <w:r>
        <w:t xml:space="preserve"> </w:t>
      </w:r>
      <w:r>
        <w:rPr>
          <w:i/>
          <w:iCs/>
        </w:rPr>
        <w:t xml:space="preserve">The Carbon Ledger of Launch: A Life-Cycle Inventory and Externality-Pricing Mode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R2=0.14193033722141823, R2_adj=0.04292229920850488, F=2.154665953161353, F_p=0.11758974806471546. The exact term summary is: const coef=1.0797491941945705 p=0.548587473582186; recency_index coef=0.06261366554739756 p=0.6350209510024462; cites_num coef=0.01665757560298614 p=0.7262550719343202; venue_score coef=0.9351661818826061 p=0.017975796153296218.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Joseph Gerber, Tech7; Gregory Badura, Georgia Tech Research Institute (GTRI); Johann Bell, Australian Department of Defense; Kruger White, Defence Science and Technology Group, Australia. Joint Commercial Operations (JCO) – Integrated Space Operations with Event Ledgers (2024). doi:</w:t>
      </w:r>
      <w:r>
        <w:t xml:space="preserve"> </w:t>
      </w:r>
      <w:hyperlink r:id="rId68">
        <w:r>
          <w:rPr>
            <w:rStyle w:val="Hyperlink"/>
          </w:rPr>
          <w:t xml:space="preserve">10.64861/ZTFK7933</w:t>
        </w:r>
      </w:hyperlink>
      <w:r>
        <w:t xml:space="preserve"> </w:t>
      </w:r>
      <w:bookmarkStart w:id="69" w:name="ref-2"/>
      <w:bookmarkEnd w:id="69"/>
      <w:r>
        <w:t xml:space="preserve">2.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70">
        <w:r>
          <w:rPr>
            <w:rStyle w:val="Hyperlink"/>
          </w:rPr>
          <w:t xml:space="preserve">10.64861/TJUV7381</w:t>
        </w:r>
      </w:hyperlink>
      <w:r>
        <w:t xml:space="preserve"> </w:t>
      </w:r>
      <w:bookmarkStart w:id="71" w:name="ref-3"/>
      <w:bookmarkEnd w:id="71"/>
      <w:r>
        <w:t xml:space="preserve">3.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r>
        <w:t xml:space="preserve"> </w:t>
      </w:r>
      <w:bookmarkStart w:id="72" w:name="ref-4"/>
      <w:bookmarkEnd w:id="72"/>
      <w:r>
        <w:t xml:space="preserve">4. Lt Col Thomas H. Freeman, USAF (Launch Test Squadron, SMC/SDTW), Maj Jose Delarosa, USAF (Launch Test Squadron, SMC/SDTW). Small Space Launch: Origins &amp; Challenges (2010). [AMOS]</w:t>
      </w:r>
      <w:r>
        <w:t xml:space="preserve"> </w:t>
      </w:r>
      <w:bookmarkStart w:id="73" w:name="ref-5"/>
      <w:bookmarkEnd w:id="73"/>
      <w:r>
        <w:t xml:space="preserve">5. Christina Cohen, Caltech. Satellite Impacts of Solar Energetic Particles and Galactic Cosmic Rays (2020). [AMOS]</w:t>
      </w:r>
      <w:r>
        <w:t xml:space="preserve"> </w:t>
      </w:r>
      <w:bookmarkStart w:id="74" w:name="ref-6"/>
      <w:bookmarkEnd w:id="74"/>
      <w:r>
        <w:t xml:space="preserve">6. Bhavya Lal, IDA Science and Technology Policy Institute, Sara A. Carioscia, IDA Science and Technology Policy Institute. Evaluating Options for Civil Space Situational Awareness (SSA) (2017). [AMOS]</w:t>
      </w:r>
      <w:r>
        <w:t xml:space="preserve"> </w:t>
      </w:r>
      <w:bookmarkStart w:id="75" w:name="ref-7"/>
      <w:bookmarkEnd w:id="75"/>
      <w:r>
        <w:t xml:space="preserve">7. Peter Hack, Lockheed Martin, Ken Carbaugh, Lockheed Martin, Kameron Simon, Lockheed Martin. Automated Space Surveillance using the AN/FSY-3 Space Fence System (2016). [AMOS]</w:t>
      </w:r>
      <w:r>
        <w:t xml:space="preserve"> </w:t>
      </w:r>
      <w:bookmarkStart w:id="76" w:name="ref-8"/>
      <w:bookmarkEnd w:id="76"/>
      <w:r>
        <w:t xml:space="preserve">8. Robert Raygan, Integrity Applications Incorporated. The Ultimate Big Data Enterprise Initiative: Defining Functional Capabilities for an International Information System (IIS) for Orbital Space Data (OSD) (2017).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[-2.4481, 4.6076]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0.0626</w:t>
            </w:r>
          </w:p>
        </w:tc>
        <w:tc>
          <w:tcPr>
            <w:tcW w:w="0" w:type="auto"/>
          </w:tcPr>
          <w:p>
            <w:pPr>
              <w:spacing w:line="240" w:lineRule="auto" w:before="0" w:after="0"/>
              <w:pStyle w:val="Compact"/>
            </w:pPr>
            <w:r>
              <w:rPr>
                <w:sz w:val="20"/>
                <w:szCs w:val="20"/>
              </w:rPr>
              <w:t xml:space="preserve">0.1319</w:t>
            </w:r>
          </w:p>
        </w:tc>
        <w:tc>
          <w:tcPr>
            <w:tcW w:w="0" w:type="auto"/>
          </w:tcPr>
          <w:p>
            <w:pPr>
              <w:spacing w:line="240" w:lineRule="auto" w:before="0" w:after="0"/>
              <w:pStyle w:val="Compact"/>
            </w:pPr>
            <w:r>
              <w:rPr>
                <w:sz w:val="20"/>
                <w:szCs w:val="20"/>
              </w:rPr>
              <w:t xml:space="preserve">0.4747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[-0.1959, 0.3212]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0.7263</w:t>
            </w:r>
          </w:p>
        </w:tc>
        <w:tc>
          <w:tcPr>
            <w:tcW w:w="0" w:type="auto"/>
          </w:tcPr>
          <w:p>
            <w:pPr>
              <w:spacing w:line="240" w:lineRule="auto" w:before="0" w:after="0"/>
              <w:pStyle w:val="Compact"/>
            </w:pPr>
            <w:r>
              <w:rPr>
                <w:sz w:val="20"/>
                <w:szCs w:val="20"/>
              </w:rPr>
              <w:t xml:space="preserve">[-0.0766, 0.1099]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0.9352</w:t>
            </w:r>
          </w:p>
        </w:tc>
        <w:tc>
          <w:tcPr>
            <w:tcW w:w="0" w:type="auto"/>
          </w:tcPr>
          <w:p>
            <w:pPr>
              <w:spacing w:line="240" w:lineRule="auto" w:before="0" w:after="0"/>
              <w:pStyle w:val="Compact"/>
            </w:pPr>
            <w:r>
              <w:rPr>
                <w:sz w:val="20"/>
                <w:szCs w:val="20"/>
              </w:rPr>
              <w:t xml:space="preserve">0.3952</w:t>
            </w:r>
          </w:p>
        </w:tc>
        <w:tc>
          <w:tcPr>
            <w:tcW w:w="0" w:type="auto"/>
          </w:tcPr>
          <w:p>
            <w:pPr>
              <w:spacing w:line="240" w:lineRule="auto" w:before="0" w:after="0"/>
              <w:pStyle w:val="Compact"/>
            </w:pPr>
            <w:r>
              <w:rPr>
                <w:sz w:val="20"/>
                <w:szCs w:val="20"/>
              </w:rPr>
              <w:t xml:space="preserve">2.3661</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[0.1605, 1.7098]</w:t>
            </w:r>
          </w:p>
        </w:tc>
      </w:tr>
    </w:tbl>
    <w:p>
      <w:pPr>
        <w:pStyle w:val="BodyText"/>
      </w:pPr>
      <w:r>
        <w:t xml:space="preserve">Fit: N = 30 R2 = 0.1419 R2_adj = 0.0429 F = 2.1547 F_p = 0.1176</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USTAINABILITY_INSTITUTIONS_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10.64861/ZTFK7933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10.64861/TJUV7381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10.64861/ZACY3418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https://amostech.space/year/2020/satellite-impacts-of-solar-energetic-particles-and-galactic-cosmic-rays/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10.64861/KSXC7986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https://amostech.space/year/2016/automated-space-surveillance-using-the-an-fsy-3-space-fence-system/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https://amostech.space/year/2022/a-high-power-large-aperture-doppler-he-lidar-for-upper-atmospheric-sensing/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10.1016/j.actaastro.2024.05.004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10.1016/j.actaastro.2025.12.018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10.1016/j.scitotenv.2019.02.438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[-2.4481, 4.6076]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0.0626</w:t>
            </w:r>
          </w:p>
        </w:tc>
        <w:tc>
          <w:tcPr>
            <w:tcW w:w="0" w:type="auto"/>
          </w:tcPr>
          <w:p>
            <w:pPr>
              <w:spacing w:line="240" w:lineRule="auto" w:before="0" w:after="0"/>
              <w:pStyle w:val="Compact"/>
            </w:pPr>
            <w:r>
              <w:rPr>
                <w:sz w:val="20"/>
                <w:szCs w:val="20"/>
              </w:rPr>
              <w:t xml:space="preserve">0.1319</w:t>
            </w:r>
          </w:p>
        </w:tc>
        <w:tc>
          <w:tcPr>
            <w:tcW w:w="0" w:type="auto"/>
          </w:tcPr>
          <w:p>
            <w:pPr>
              <w:spacing w:line="240" w:lineRule="auto" w:before="0" w:after="0"/>
              <w:pStyle w:val="Compact"/>
            </w:pPr>
            <w:r>
              <w:rPr>
                <w:sz w:val="20"/>
                <w:szCs w:val="20"/>
              </w:rPr>
              <w:t xml:space="preserve">0.4747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[-0.1959, 0.3212]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0.7263</w:t>
            </w:r>
          </w:p>
        </w:tc>
        <w:tc>
          <w:tcPr>
            <w:tcW w:w="0" w:type="auto"/>
          </w:tcPr>
          <w:p>
            <w:pPr>
              <w:spacing w:line="240" w:lineRule="auto" w:before="0" w:after="0"/>
              <w:pStyle w:val="Compact"/>
            </w:pPr>
            <w:r>
              <w:rPr>
                <w:sz w:val="20"/>
                <w:szCs w:val="20"/>
              </w:rPr>
              <w:t xml:space="preserve">[-0.0766, 0.1099]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0.9352</w:t>
            </w:r>
          </w:p>
        </w:tc>
        <w:tc>
          <w:tcPr>
            <w:tcW w:w="0" w:type="auto"/>
          </w:tcPr>
          <w:p>
            <w:pPr>
              <w:spacing w:line="240" w:lineRule="auto" w:before="0" w:after="0"/>
              <w:pStyle w:val="Compact"/>
            </w:pPr>
            <w:r>
              <w:rPr>
                <w:sz w:val="20"/>
                <w:szCs w:val="20"/>
              </w:rPr>
              <w:t xml:space="preserve">0.3952</w:t>
            </w:r>
          </w:p>
        </w:tc>
        <w:tc>
          <w:tcPr>
            <w:tcW w:w="0" w:type="auto"/>
          </w:tcPr>
          <w:p>
            <w:pPr>
              <w:spacing w:line="240" w:lineRule="auto" w:before="0" w:after="0"/>
              <w:pStyle w:val="Compact"/>
            </w:pPr>
            <w:r>
              <w:rPr>
                <w:sz w:val="20"/>
                <w:szCs w:val="20"/>
              </w:rPr>
              <w:t xml:space="preserve">2.3661</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[0.1605, 1.7098]</w:t>
            </w:r>
          </w:p>
        </w:tc>
      </w:tr>
    </w:tbl>
    <w:p>
      <w:pPr>
        <w:pStyle w:val="BodyText"/>
      </w:pPr>
      <w:r>
        <w:t xml:space="preserve">Fit: N = 30 R2 = 0.1419 R2_adj = 0.0429 F = 2.1547 F_p = 0.1176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TJUV7381" TargetMode="External" /><Relationship Type="http://schemas.openxmlformats.org/officeDocument/2006/relationships/hyperlink" Id="rId68" Target="https://doi.org/10.64861/ZTFK793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TJUV7381" TargetMode="External" /><Relationship Type="http://schemas.openxmlformats.org/officeDocument/2006/relationships/hyperlink" Id="rId68" Target="https://doi.org/10.64861/ZTFK793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2026-06-29T09:37:43Z</dcterms:created>
  <dcterms:modified xsi:type="dcterms:W3CDTF">2026-06-29T09:37:43Z</dcterms:modified>
</cp:coreProperties>
</file>

<file path=docProps/custom.xml><?xml version="1.0" encoding="utf-8"?>
<Properties xmlns="http://schemas.openxmlformats.org/officeDocument/2006/custom-properties" xmlns:vt="http://schemas.openxmlformats.org/officeDocument/2006/docPropsVTypes"/>
</file>