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THE CARBON LEDGER OF LAUNCH: A LIFE-CYCLE INVENTORY AND EXTERNALITY-PRICING MODE</w:t>
      </w:r>
    </w:p>
    <w:p>
      <w:pPr>
        <w:jc w:val="center"/>
      </w:pPr>
    </w:p>
    <w:p>
      <w:pPr>
        <w:jc w:val="center"/>
      </w:pPr>
      <w:r>
        <w:rPr>
          <w:rFonts w:ascii="Times New Roman" w:hAnsi="Times New Roman"/>
          <w:sz w:val="24"/>
        </w:rPr>
        <w:t>by</w:t>
      </w:r>
    </w:p>
    <w:p>
      <w:pPr>
        <w:jc w:val="center"/>
      </w:pPr>
      <w:r>
        <w:rPr>
          <w:rFonts w:ascii="Times New Roman" w:hAnsi="Times New Roman"/>
          <w:b/>
          <w:sz w:val="28"/>
        </w:rPr>
        <w:t>Elias Bianchi</w:t>
      </w:r>
    </w:p>
    <w:p>
      <w:pPr>
        <w:jc w:val="center"/>
      </w:pPr>
      <w:r>
        <w:rPr>
          <w:rFonts w:ascii="Times New Roman" w:hAnsi="Times New Roman"/>
          <w:sz w:val="24"/>
        </w:rPr>
        <w:t>1B-SUS-202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chapter-1.-introduction"/>
    <w:p>
      <w:pPr>
        <w:pStyle w:val="Heading1"/>
        <w:spacing w:line="480" w:lineRule="auto"/>
      </w:pPr>
      <w:r>
        <w:t xml:space="preserve">Chapter 1. Introduction</w:t>
      </w:r>
    </w:p>
    <w:p>
      <w:pPr>
        <w:pStyle w:val="FirstParagraph"/>
        <w:spacing w:line="480" w:lineRule="auto"/>
      </w:pPr>
      <w:r>
        <w:t xml:space="preserve">Space governance tends to arrive late. A hazard becomes visible in operational records long before any institution agrees on the rule that should price it, contain it, or forbid it. The carbon ledger of launch is one such hazard. Every orbital insertion burns propellant, deposits combustion products into atmospheric layers that recover slowly, and adds to a cumulative environmental burden that no launch operator currently pays for. This dissertation,</w:t>
      </w:r>
      <w:r>
        <w:t xml:space="preserve"> </w:t>
      </w:r>
      <w:r>
        <w:rPr>
          <w:i/>
          <w:iCs/>
        </w:rPr>
        <w:t xml:space="preserve">The Carbon Ledger of Launch: A Life-Cycle Inventory and Externality-Pricing Mode</w:t>
      </w:r>
      <w:r>
        <w:t xml:space="preserve">, treats that gap between visibility and pricing as an empirical object rather than a rhetorical one</w:t>
      </w:r>
      <w:r>
        <w:t xml:space="preserve"> </w:t>
      </w:r>
      <w:hyperlink w:anchor="ref-9">
        <w:r>
          <w:rPr>
            <w:rStyle w:val="Hyperlink"/>
          </w:rPr>
          <w:t xml:space="preserve">[9]</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Its title names the ambition and the discipline at once. A life-cycle inventory asks what a launch actually costs the atmosphere across manufacture, propellant production, ascent, and disposal. An externality-pricing model asks what it would mean to attach a number to that cost. Neither question yields to intuition. Both demand a chain of evidence a reader can walk backward, from a final interpretation to a coefficient, from a coefficient to a variable, and from a variable to a source record with preserved provenance</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bookmarkStart w:id="61" w:name="the-problem"/>
    <w:p>
      <w:pPr>
        <w:pStyle w:val="Heading2"/>
        <w:spacing w:line="480" w:lineRule="auto"/>
      </w:pPr>
      <w:r>
        <w:t xml:space="preserve">The problem</w:t>
      </w:r>
    </w:p>
    <w:p>
      <w:pPr>
        <w:pStyle w:val="FirstParagraph"/>
        <w:spacing w:line="480" w:lineRule="auto"/>
      </w:pPr>
      <w:r>
        <w:t xml:space="preserve">Launch is the one segment of the space economy where the environmental cost is unambiguously physical and almost entirely unpriced. Recent life-cycle work on reusable launch fleets found that rocket exhaust emissions, not vehicle manufacture, drive the dominant share of climate impact, and that reusability does not neutralize that burden</w:t>
      </w:r>
      <w:r>
        <w:t xml:space="preserve"> </w:t>
      </w:r>
      <w:hyperlink w:anchor="ref-9">
        <w:r>
          <w:rPr>
            <w:rStyle w:val="Hyperlink"/>
          </w:rPr>
          <w:t xml:space="preserve">[9]</w:t>
        </w:r>
      </w:hyperlink>
      <w:r>
        <w:t xml:space="preserve">. The engineering literature has begun to quantify specific emission pathways, including nitrogen oxide formation in air-breathing rocket modes</w:t>
      </w:r>
      <w:r>
        <w:t xml:space="preserve"> </w:t>
      </w:r>
      <w:hyperlink w:anchor="ref-13">
        <w:r>
          <w:rPr>
            <w:rStyle w:val="Hyperlink"/>
          </w:rPr>
          <w:t xml:space="preserve">[13]</w:t>
        </w:r>
      </w:hyperlink>
      <w:r>
        <w:t xml:space="preserve">. What the field lacks is not measurement of any single vehicle. It lacks an institutional account of why the measured burden has not translated into a price.</w:t>
      </w:r>
    </w:p>
    <w:p>
      <w:pPr>
        <w:pStyle w:val="BodyText"/>
        <w:spacing w:line="480" w:lineRule="auto"/>
        <w:ind w:firstLine="720"/>
      </w:pPr>
      <w:r>
        <w:t xml:space="preserve">That absence is the stakes. Orbital crowding and debris are already framed in the economics literature as a negative externality, a tragedy-of-the-commons problem whose governance mechanisms lack effective traction</w:t>
      </w:r>
      <w:r>
        <w:t xml:space="preserve"> </w:t>
      </w:r>
      <w:hyperlink w:anchor="ref-16">
        <w:r>
          <w:rPr>
            <w:rStyle w:val="Hyperlink"/>
          </w:rPr>
          <w:t xml:space="preserve">[16]</w:t>
        </w:r>
      </w:hyperlink>
      <w:r>
        <w:t xml:space="preserve">. The atmospheric burden of launch fits the same template. It has attracted less institutional attention because the damage is diffuse, delayed, and shared across every nation with a launch cadence. When a cost is diffuse, delayed, and shared, the ordinary machinery of pricing fails. Someone has to observe the burden, name it, and press it into a governance rule before any market can act on it.</w:t>
      </w:r>
    </w:p>
    <w:p>
      <w:pPr>
        <w:pStyle w:val="BodyText"/>
        <w:spacing w:line="480" w:lineRule="auto"/>
        <w:ind w:firstLine="720"/>
      </w:pPr>
      <w:r>
        <w:t xml:space="preserve">This problem is institutional as much as technical. Space governance problems often become visible before institutions agree on the right operating rule. This project treats that early visibility as measurable evidence. The local source corpus contains technical, governance, and policy records that frame the candidate topic across venues and years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A doctoral dissertation in this pipeline should leave a reader with a traceable path from source selection to variables, estimator output, and final interpretation. That path is why the design uses local source records and embedded workbooks rather than unsupported narrative claims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61"/>
    <w:bookmarkStart w:id="62" w:name="X572cc2ad28be3c307b7746ce6ceffe01137f0a6"/>
    <w:p>
      <w:pPr>
        <w:pStyle w:val="Heading2"/>
        <w:spacing w:line="480" w:lineRule="auto"/>
      </w:pPr>
      <w:r>
        <w:t xml:space="preserve">What this dissertation can and cannot claim</w:t>
      </w:r>
    </w:p>
    <w:p>
      <w:pPr>
        <w:pStyle w:val="FirstParagraph"/>
        <w:spacing w:line="480" w:lineRule="auto"/>
      </w:pPr>
      <w:r>
        <w:t xml:space="preserve">Honesty about scope is the first requirement of a design-stage dissertation. This project does not measure the true atmospheric burden of a launch campaign. It does not estimate a Pigouvian tax. It does not model the general-equilibrium response of launch demand to a carbon price. Those are downstream studies that require instrumentation and cost data this design deliberately does not assume.</w:t>
      </w:r>
    </w:p>
    <w:p>
      <w:pPr>
        <w:pStyle w:val="BodyText"/>
        <w:spacing w:line="480" w:lineRule="auto"/>
        <w:ind w:firstLine="720"/>
      </w:pPr>
      <w:r>
        <w:t xml:space="preserve">What this dissertation does is narrower and, for that reason, testable. It asks whether the candidate topic, the carbon ledger of launch and its pricing, is visible in the structure of the literature that should be discussing it. If a hazard is becoming an institutional concern, the traces should appear in measurable metadata: the recency of publications, the citation attention they attract, and the venue families in which they appear. If the hazard is not yet an institutional concern, those same signals should be weak, noisy, or absent</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distinction matters because a dissertation can either clarify the evidentiary chain or hide weak inference behind confident prose. This study chooses the first path. It treats every number as a workbook result and every substantive claim as conditional on the sources available to the candidate. Where a coefficient is signed and precise, the design reads it as structure. Where a coefficient is imprecise, the design reads it as evidence against a strong claim, not as license for a hopeful one.</w:t>
      </w:r>
    </w:p>
    <w:bookmarkEnd w:id="62"/>
    <w:bookmarkStart w:id="63" w:name="the-single-falsifiable-contribution"/>
    <w:p>
      <w:pPr>
        <w:pStyle w:val="Heading2"/>
        <w:spacing w:line="480" w:lineRule="auto"/>
      </w:pPr>
      <w:r>
        <w:t xml:space="preserve">The single falsifiable contribution</w:t>
      </w:r>
    </w:p>
    <w:p>
      <w:pPr>
        <w:pStyle w:val="FirstParagraph"/>
        <w:spacing w:line="480" w:lineRule="auto"/>
      </w:pPr>
      <w:r>
        <w:t xml:space="preserve">At the center sits a gap: the distance between domain visibility and measured effect. The first part of that gap sits between technical work and institutional explanation. Source records may identify operational risk, but they do not explain why governance language hardens or stays loose</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second part sits between policy salience and measurement. Citation attention, publication recency, and venue family can reveal how a topic is distributed across the retrieved corpus, yet those signals still need careful interpretation</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prospectus names that gap, then narrows the contribution to a test that can be reproduced from the retained records. H0: the candidate topic signal is unrelated to publication recency, citation attention, and venue family in the retrieved source corpus. H1: the candidate topic signal is systematically related to publication recency, citation attention, and venue family in the retrieved source corpus. That framing gives the dissertation a disciplined posture. It can show where evidence is strong, where it is only suggestive, and where the next data collection would have to improve.</w:t>
      </w:r>
    </w:p>
    <w:bookmarkEnd w:id="63"/>
    <w:bookmarkStart w:id="64" w:name="the-evidentiary-spine"/>
    <w:p>
      <w:pPr>
        <w:pStyle w:val="Heading2"/>
        <w:spacing w:line="480" w:lineRule="auto"/>
      </w:pPr>
      <w:r>
        <w:t xml:space="preserve">The evidentiary spine</w:t>
      </w:r>
    </w:p>
    <w:p>
      <w:pPr>
        <w:pStyle w:val="FirstParagraph"/>
        <w:spacing w:line="480" w:lineRule="auto"/>
      </w:pPr>
      <w:r>
        <w:t xml:space="preserve">Two papers carry the empirical core. Paper one asks how the topic appears in retrieved source metadata. Its outcome is a composite topic-signal score built deterministically from candidate-theme term hits in each record’s title, snippet, keyword field, and author metadata. Its predictors are a recency index, a reported citation count, and an ordinal venue-family score that ranks AMOS conference proceedings below Acta Astronautica articles and both below space-economy sources. Paper one estimates an ordinary least squares model with robust HC1 standard errors: N = 30, R2 = 0.1419, F_p = 0.1176. The term summary is const coefficient 1.0797, p = 0.5486; recency_index coefficient 0.0626, p = 0.635; cites_num coefficient 0.0167, p = 0.7263; venue_score coefficient 0.9352, p = 0.018.</w:t>
      </w:r>
    </w:p>
    <w:p>
      <w:pPr>
        <w:pStyle w:val="BodyText"/>
        <w:spacing w:line="480" w:lineRule="auto"/>
        <w:ind w:firstLine="720"/>
      </w:pPr>
      <w:r>
        <w:t xml:space="preserve">Paper two asks whether attention accumulation follows a measurable temporal pattern. Its outcome is the log of citation count plus one, and its single predictor is the log of document age. Paper two estimates a log-log learning-curve model with robust HC1 standard errors: N = 30, R2 = 0.0021. The term summary is const coefficient 0.7896, p = 0.046; _ln_x coefficient -0.08, p = 0.7669. The two papers are complementary rather than interchangeable. One studies cross-sectional structure; the other studies accumulation over time. Together they let the dissertation distinguish a topic that is salient by venue from one that is salient by age.</w:t>
      </w:r>
    </w:p>
    <w:p>
      <w:pPr>
        <w:pStyle w:val="BodyText"/>
        <w:spacing w:line="480" w:lineRule="auto"/>
        <w:ind w:firstLine="720"/>
      </w:pPr>
      <w:r>
        <w:t xml:space="preserve">The choice of two estimators rather than one is itself a design commitment worth flagging early. A single model would force the dissertation to choose between asking where the signal sits and asking how it has grown, and those are different questions with different answers. By running a cross-sectional screen and a temporal screen on the identical corpus, the design can report their agreement or disagreement as evidence in its own right. A topic that concentrates by venue but shows no age curve, which is what chapters six and seven will describe, is a specific and interpretable pattern that no single estimator could have surfaced.</w:t>
      </w:r>
    </w:p>
    <w:p>
      <w:pPr>
        <w:pStyle w:val="BodyText"/>
        <w:spacing w:line="480" w:lineRule="auto"/>
        <w:ind w:firstLine="720"/>
      </w:pPr>
      <w:r>
        <w:t xml:space="preserve">Across venues, the corpus spans the domain the topic touches. It includes operational-ledger and decision-support prototypes</w:t>
      </w:r>
      <w:r>
        <w:t xml:space="preserve"> </w:t>
      </w:r>
      <w:hyperlink w:anchor="ref-1">
        <w:r>
          <w:rPr>
            <w:rStyle w:val="Hyperlink"/>
          </w:rPr>
          <w:t xml:space="preserve">[1]</w:t>
        </w:r>
      </w:hyperlink>
      <w:r>
        <w:t xml:space="preserve"> </w:t>
      </w:r>
      <w:hyperlink w:anchor="ref-2">
        <w:r>
          <w:rPr>
            <w:rStyle w:val="Hyperlink"/>
          </w:rPr>
          <w:t xml:space="preserve">[2]</w:t>
        </w:r>
      </w:hyperlink>
      <w:r>
        <w:t xml:space="preserve">, on-board conjunction and collision-avoidance infrastructure</w:t>
      </w:r>
      <w:r>
        <w:t xml:space="preserve"> </w:t>
      </w:r>
      <w:hyperlink w:anchor="ref-3">
        <w:r>
          <w:rPr>
            <w:rStyle w:val="Hyperlink"/>
          </w:rPr>
          <w:t xml:space="preserve">[3]</w:t>
        </w:r>
      </w:hyperlink>
      <w:r>
        <w:t xml:space="preserve">, early small-launch program history</w:t>
      </w:r>
      <w:r>
        <w:t xml:space="preserve"> </w:t>
      </w:r>
      <w:hyperlink w:anchor="ref-4">
        <w:r>
          <w:rPr>
            <w:rStyle w:val="Hyperlink"/>
          </w:rPr>
          <w:t xml:space="preserve">[4]</w:t>
        </w:r>
      </w:hyperlink>
      <w:r>
        <w:t xml:space="preserve">, space-weather effects on satellites</w:t>
      </w:r>
      <w:r>
        <w:t xml:space="preserve"> </w:t>
      </w:r>
      <w:hyperlink w:anchor="ref-5">
        <w:r>
          <w:rPr>
            <w:rStyle w:val="Hyperlink"/>
          </w:rPr>
          <w:t xml:space="preserve">[5]</w:t>
        </w:r>
      </w:hyperlink>
      <w:r>
        <w:t xml:space="preserve">, civil situational-awareness policy options</w:t>
      </w:r>
      <w:r>
        <w:t xml:space="preserve"> </w:t>
      </w:r>
      <w:hyperlink w:anchor="ref-6">
        <w:r>
          <w:rPr>
            <w:rStyle w:val="Hyperlink"/>
          </w:rPr>
          <w:t xml:space="preserve">[6]</w:t>
        </w:r>
      </w:hyperlink>
      <w:r>
        <w:t xml:space="preserve">, surveillance sensor systems</w:t>
      </w:r>
      <w:r>
        <w:t xml:space="preserve"> </w:t>
      </w:r>
      <w:hyperlink w:anchor="ref-7">
        <w:r>
          <w:rPr>
            <w:rStyle w:val="Hyperlink"/>
          </w:rPr>
          <w:t xml:space="preserve">[7]</w:t>
        </w:r>
      </w:hyperlink>
      <w:r>
        <w:t xml:space="preserve">, and large-scale orbital data enterprise concepts</w:t>
      </w:r>
      <w:r>
        <w:t xml:space="preserve"> </w:t>
      </w:r>
      <w:hyperlink w:anchor="ref-8">
        <w:r>
          <w:rPr>
            <w:rStyle w:val="Hyperlink"/>
          </w:rPr>
          <w:t xml:space="preserve">[8]</w:t>
        </w:r>
      </w:hyperlink>
      <w:r>
        <w:t xml:space="preserve">. Alongside these sit the life-cycle and emissions studies that speak most directly to the atmospheric burden</w:t>
      </w:r>
      <w:r>
        <w:t xml:space="preserve"> </w:t>
      </w:r>
      <w:hyperlink w:anchor="ref-9">
        <w:r>
          <w:rPr>
            <w:rStyle w:val="Hyperlink"/>
          </w:rPr>
          <w:t xml:space="preserve">[9]</w:t>
        </w:r>
      </w:hyperlink>
      <w:r>
        <w:t xml:space="preserve"> </w:t>
      </w:r>
      <w:hyperlink w:anchor="ref-13">
        <w:r>
          <w:rPr>
            <w:rStyle w:val="Hyperlink"/>
          </w:rPr>
          <w:t xml:space="preserve">[13]</w:t>
        </w:r>
      </w:hyperlink>
      <w:r>
        <w:t xml:space="preserve">, cost estimation for small launch vehicles</w:t>
      </w:r>
      <w:r>
        <w:t xml:space="preserve"> </w:t>
      </w:r>
      <w:hyperlink w:anchor="ref-10">
        <w:r>
          <w:rPr>
            <w:rStyle w:val="Hyperlink"/>
          </w:rPr>
          <w:t xml:space="preserve">[10]</w:t>
        </w:r>
      </w:hyperlink>
      <w:r>
        <w:t xml:space="preserve">, recycled-composite and materials-testing studies relevant to vehicle life cycle</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a systems-engineering sustainability framework transferred from environmental management</w:t>
      </w:r>
      <w:r>
        <w:t xml:space="preserve"> </w:t>
      </w:r>
      <w:hyperlink w:anchor="ref-12">
        <w:r>
          <w:rPr>
            <w:rStyle w:val="Hyperlink"/>
          </w:rPr>
          <w:t xml:space="preserve">[12]</w:t>
        </w:r>
      </w:hyperlink>
      <w:r>
        <w:t xml:space="preserve">, knowledge-graph tooling for space systems</w:t>
      </w:r>
      <w:r>
        <w:t xml:space="preserve"> </w:t>
      </w:r>
      <w:hyperlink w:anchor="ref-14">
        <w:r>
          <w:rPr>
            <w:rStyle w:val="Hyperlink"/>
          </w:rPr>
          <w:t xml:space="preserve">[14]</w:t>
        </w:r>
      </w:hyperlink>
      <w:r>
        <w:t xml:space="preserve">, and a debris-control framework that treats orbital burden as a managed externality</w:t>
      </w:r>
      <w:r>
        <w:t xml:space="preserve"> </w:t>
      </w:r>
      <w:hyperlink w:anchor="ref-16">
        <w:r>
          <w:rPr>
            <w:rStyle w:val="Hyperlink"/>
          </w:rPr>
          <w:t xml:space="preserve">[16]</w:t>
        </w:r>
      </w:hyperlink>
      <w:r>
        <w:t xml:space="preserve">.</w:t>
      </w:r>
    </w:p>
    <w:bookmarkEnd w:id="64"/>
    <w:bookmarkStart w:id="65" w:name="the-physical-stakes-in-more-detail"/>
    <w:p>
      <w:pPr>
        <w:pStyle w:val="Heading2"/>
        <w:spacing w:line="480" w:lineRule="auto"/>
      </w:pPr>
      <w:r>
        <w:t xml:space="preserve">The physical stakes in more detail</w:t>
      </w:r>
    </w:p>
    <w:p>
      <w:pPr>
        <w:pStyle w:val="FirstParagraph"/>
        <w:spacing w:line="480" w:lineRule="auto"/>
      </w:pPr>
      <w:r>
        <w:t xml:space="preserve">It helps to state the physical problem plainly before retreating to the documentary design, because the documentary design only matters if the physical problem is real. Combustion in a rocket engine deposits water vapor, carbon dioxide, soot, and nitrogen oxides across a wide altitude range, including the stratosphere, where the residence time of these species is far longer than at ground level. Soot injected at high altitude absorbs sunlight directly and can perturb local temperature. The life-cycle assessment that anchors this dissertation found that the exhaust term dominates the climate footprint of a reusable fleet, which means the very design feature marketed as environmentally friendly, reuse, does not touch the largest contributor</w:t>
      </w:r>
      <w:r>
        <w:t xml:space="preserve"> </w:t>
      </w:r>
      <w:hyperlink w:anchor="ref-9">
        <w:r>
          <w:rPr>
            <w:rStyle w:val="Hyperlink"/>
          </w:rPr>
          <w:t xml:space="preserve">[9]</w:t>
        </w:r>
      </w:hyperlink>
      <w:r>
        <w:t xml:space="preserve">.</w:t>
      </w:r>
    </w:p>
    <w:p>
      <w:pPr>
        <w:pStyle w:val="BodyText"/>
        <w:spacing w:line="480" w:lineRule="auto"/>
        <w:ind w:firstLine="720"/>
      </w:pPr>
      <w:r>
        <w:t xml:space="preserve">Chemistry complicates any naive ledger, because the burden is not carbon-only. Air-breathing and hybrid propulsion concepts generate nitrogen oxides through high-temperature combustion even when the fuel carries no carbon, and analytical work has begun to formalize those emission rates for specific engine architectures</w:t>
      </w:r>
      <w:r>
        <w:t xml:space="preserve"> </w:t>
      </w:r>
      <w:hyperlink w:anchor="ref-13">
        <w:r>
          <w:rPr>
            <w:rStyle w:val="Hyperlink"/>
          </w:rPr>
          <w:t xml:space="preserve">[13]</w:t>
        </w:r>
      </w:hyperlink>
      <w:r>
        <w:t xml:space="preserve">. A pricing scheme that counted only fuel carbon would therefore misprice hydrogen-fueled vehicles, undercharging them relative to their true atmospheric burden. The inventory the title promises must be a full-species inventory, not a carbon tally, and the dissertation’s framing keeps that requirement in view even though its empirical test does not itself estimate emissions.</w:t>
      </w:r>
    </w:p>
    <w:p>
      <w:pPr>
        <w:pStyle w:val="BodyText"/>
        <w:spacing w:line="480" w:lineRule="auto"/>
        <w:ind w:firstLine="720"/>
      </w:pPr>
      <w:r>
        <w:t xml:space="preserve">Disposal adds a further term. Materials that survive to orbit and then fragment contribute to the debris burden, and geostationary materials testing shows how end-of-life behavior feeds back into the shared orbital environment</w:t>
      </w:r>
      <w:r>
        <w:t xml:space="preserve"> </w:t>
      </w:r>
      <w:hyperlink w:anchor="ref-15">
        <w:r>
          <w:rPr>
            <w:rStyle w:val="Hyperlink"/>
          </w:rPr>
          <w:t xml:space="preserve">[15]</w:t>
        </w:r>
      </w:hyperlink>
      <w:r>
        <w:t xml:space="preserve">. Recovered structures raise their own questions: whether recycled carbon fiber retains the properties that would justify reuse, and thus whether the manufacturing footprint can actually be reduced, is an open materials question</w:t>
      </w:r>
      <w:r>
        <w:t xml:space="preserve"> </w:t>
      </w:r>
      <w:hyperlink w:anchor="ref-11">
        <w:r>
          <w:rPr>
            <w:rStyle w:val="Hyperlink"/>
          </w:rPr>
          <w:t xml:space="preserve">[11]</w:t>
        </w:r>
      </w:hyperlink>
      <w:r>
        <w:t xml:space="preserve">. Each of these terms belongs in a complete ledger, and each is measured somewhere in the corpus, which is precisely why the corpus is worth screening for structure.</w:t>
      </w:r>
    </w:p>
    <w:bookmarkEnd w:id="65"/>
    <w:bookmarkStart w:id="66" w:name="why-a-documentary-design"/>
    <w:p>
      <w:pPr>
        <w:pStyle w:val="Heading2"/>
        <w:spacing w:line="480" w:lineRule="auto"/>
      </w:pPr>
      <w:r>
        <w:t xml:space="preserve">Why a documentary design</w:t>
      </w:r>
    </w:p>
    <w:p>
      <w:pPr>
        <w:pStyle w:val="FirstParagraph"/>
        <w:spacing w:line="480" w:lineRule="auto"/>
      </w:pPr>
      <w:r>
        <w:t xml:space="preserve">A reader might reasonably ask why a dissertation about atmospheric physics studies a citation corpus rather than a plume. The answer is that the two questions differ, and only one is tractable at design stage. Whether launch exhaust warms the stratosphere is a question for atmospheric chemistry, and it has partial answers already</w:t>
      </w:r>
      <w:r>
        <w:t xml:space="preserve"> </w:t>
      </w:r>
      <w:hyperlink w:anchor="ref-9">
        <w:r>
          <w:rPr>
            <w:rStyle w:val="Hyperlink"/>
          </w:rPr>
          <w:t xml:space="preserve">[9]</w:t>
        </w:r>
      </w:hyperlink>
      <w:r>
        <w:t xml:space="preserve"> </w:t>
      </w:r>
      <w:hyperlink w:anchor="ref-13">
        <w:r>
          <w:rPr>
            <w:rStyle w:val="Hyperlink"/>
          </w:rPr>
          <w:t xml:space="preserve">[13]</w:t>
        </w:r>
      </w:hyperlink>
      <w:r>
        <w:t xml:space="preserve">. Whether the institutional field has begun to treat that warming as a priced externality is a question about the distribution of attention, and it is answerable with obtainable documentary evidence.</w:t>
      </w:r>
    </w:p>
    <w:p>
      <w:pPr>
        <w:pStyle w:val="BodyText"/>
        <w:spacing w:line="480" w:lineRule="auto"/>
        <w:ind w:firstLine="720"/>
      </w:pPr>
      <w:r>
        <w:t xml:space="preserve">The documentary design also disciplines interpretation. Corpus structure is a weak signal. A topic can be salient without being priced, and it can be priced without being heavily cited. By committing in advance to report only what the estimators return, the design keeps the dissertation from overreaching. The event-ledger and knowledge-graph literatures show how source provenance can be preserved and queried at scale</w:t>
      </w:r>
      <w:r>
        <w:t xml:space="preserve"> </w:t>
      </w:r>
      <w:hyperlink w:anchor="ref-1">
        <w:r>
          <w:rPr>
            <w:rStyle w:val="Hyperlink"/>
          </w:rPr>
          <w:t xml:space="preserve">[1]</w:t>
        </w:r>
      </w:hyperlink>
      <w:r>
        <w:t xml:space="preserve"> </w:t>
      </w:r>
      <w:hyperlink w:anchor="ref-14">
        <w:r>
          <w:rPr>
            <w:rStyle w:val="Hyperlink"/>
          </w:rPr>
          <w:t xml:space="preserve">[14]</w:t>
        </w:r>
      </w:hyperlink>
      <w:r>
        <w:t xml:space="preserve">, and this project borrows that discipline: every feature row carries its source string, and every claim in the results chapter traces to a value in a config or data file.</w:t>
      </w:r>
    </w:p>
    <w:bookmarkEnd w:id="66"/>
    <w:bookmarkStart w:id="67" w:name="the-pricing-question-behind-the-ledger"/>
    <w:p>
      <w:pPr>
        <w:pStyle w:val="Heading2"/>
        <w:spacing w:line="480" w:lineRule="auto"/>
      </w:pPr>
      <w:r>
        <w:t xml:space="preserve">The pricing question behind the ledger</w:t>
      </w:r>
    </w:p>
    <w:p>
      <w:pPr>
        <w:pStyle w:val="FirstParagraph"/>
        <w:spacing w:line="480" w:lineRule="auto"/>
      </w:pPr>
      <w:r>
        <w:t xml:space="preserve">An externality-pricing model, the second half of the title, names the destination even though this dissertation does not arrive there. Pricing an externality means attaching a monetary charge to the marginal damage a launch imposes, so that the operator’s private cost aligns with the social cost. The economics literature in the corpus frames orbital externalities in exactly these terms and notes that the governance mechanisms which would impose such a charge currently lack traction</w:t>
      </w:r>
      <w:r>
        <w:t xml:space="preserve"> </w:t>
      </w:r>
      <w:hyperlink w:anchor="ref-16">
        <w:r>
          <w:rPr>
            <w:rStyle w:val="Hyperlink"/>
          </w:rPr>
          <w:t xml:space="preserve">[16]</w:t>
        </w:r>
      </w:hyperlink>
      <w:r>
        <w:t xml:space="preserve">. Cost-estimation research supplies the other half of the calculation, the private cost of a launch today, against which any externality charge would be judged for materiality</w:t>
      </w:r>
      <w:r>
        <w:t xml:space="preserve"> </w:t>
      </w:r>
      <w:hyperlink w:anchor="ref-10">
        <w:r>
          <w:rPr>
            <w:rStyle w:val="Hyperlink"/>
          </w:rPr>
          <w:t xml:space="preserve">[10]</w:t>
        </w:r>
      </w:hyperlink>
      <w:r>
        <w:t xml:space="preserve">.</w:t>
      </w:r>
    </w:p>
    <w:p>
      <w:pPr>
        <w:pStyle w:val="BodyText"/>
        <w:spacing w:line="480" w:lineRule="auto"/>
        <w:ind w:firstLine="720"/>
      </w:pPr>
      <w:r>
        <w:t xml:space="preserve">This dissertation stops short of the price for a principled reason. A credible price requires a validated physical inventory, a damage function that converts emitted species into monetized harm, and a governance instrument capable of levying the charge. The inventory is partial</w:t>
      </w:r>
      <w:r>
        <w:t xml:space="preserve"> </w:t>
      </w:r>
      <w:hyperlink w:anchor="ref-9">
        <w:r>
          <w:rPr>
            <w:rStyle w:val="Hyperlink"/>
          </w:rPr>
          <w:t xml:space="preserve">[9]</w:t>
        </w:r>
      </w:hyperlink>
      <w:r>
        <w:t xml:space="preserve"> </w:t>
      </w:r>
      <w:hyperlink w:anchor="ref-13">
        <w:r>
          <w:rPr>
            <w:rStyle w:val="Hyperlink"/>
          </w:rPr>
          <w:t xml:space="preserve">[13]</w:t>
        </w:r>
      </w:hyperlink>
      <w:r>
        <w:t xml:space="preserve">, the damage function is contested, and the instrument does not yet exist. Building a pricing model on those foundations would be to narrate a number the evidence cannot support, which is precisely the failure the design is built to avoid. What the dissertation can do, and does, is establish whether the field’s attention has begun to organize around the problem, which is the foundation a future pricing study could build on.</w:t>
      </w:r>
    </w:p>
    <w:bookmarkEnd w:id="67"/>
    <w:bookmarkStart w:id="68" w:name="roadmap"/>
    <w:p>
      <w:pPr>
        <w:pStyle w:val="Heading2"/>
        <w:spacing w:line="480" w:lineRule="auto"/>
      </w:pPr>
      <w:r>
        <w:t xml:space="preserve">Roadmap</w:t>
      </w:r>
    </w:p>
    <w:p>
      <w:pPr>
        <w:pStyle w:val="FirstParagraph"/>
        <w:spacing w:line="480" w:lineRule="auto"/>
      </w:pPr>
      <w:r>
        <w:t xml:space="preserve">Eight chapters follow the arc of an empirical dissertation, adapted to a documentary design. Chapter two situates the project against prior work and draws the boundary between what the engineering and policy literatures establish and what remains unexplained. Chapter three develops the mechanism: why a rising institutional concern should leave a measurable trace in corpus metadata, and what testable predictions follow. Chapter four specifies the two estimators and argues why each identifies structure rather than a retrieval artifact. Chapter five documents the dataset, the construction of every variable, the sources, and the sample size.</w:t>
      </w:r>
    </w:p>
    <w:p>
      <w:pPr>
        <w:pStyle w:val="BodyText"/>
        <w:spacing w:line="480" w:lineRule="auto"/>
        <w:ind w:firstLine="720"/>
      </w:pPr>
      <w:r>
        <w:t xml:space="preserve">Chapter six reports the estimator output exactly as the workbooks produced it and interprets the signs and magnitudes. Chapter seven weighs the findings against the threats to their validity and states plainly what the data cannot show. Chapter eight draws the contribution together, connects it to governance and program relevance, and lays out the document-coding study this design is built to justify</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68"/>
    <w:bookmarkStart w:id="69" w:name="a-note-on-interpretation-and-register"/>
    <w:p>
      <w:pPr>
        <w:pStyle w:val="Heading2"/>
        <w:spacing w:line="480" w:lineRule="auto"/>
      </w:pPr>
      <w:r>
        <w:t xml:space="preserve">A note on interpretation and register</w:t>
      </w:r>
    </w:p>
    <w:p>
      <w:pPr>
        <w:pStyle w:val="FirstParagraph"/>
        <w:spacing w:line="480" w:lineRule="auto"/>
      </w:pPr>
      <w:r>
        <w:t xml:space="preserve">Two habits govern the interpretation throughout, and it is worth naming them at the outset so the reader can hold the dissertation to them. The first habit is to let the coefficient speak before the prose does. Where the estimator returns a precise, signed association, the text reads it as structure in the corpus. Where the estimator returns a wide interval, the text declines to narrate a story the interval cannot support, even when the point estimate happens to sit in the direction the alternative hypothesis predicted. This is not timidity. It is the only posture under which a thirty-record screen can carry any weight at all.</w:t>
      </w:r>
    </w:p>
    <w:p>
      <w:pPr>
        <w:pStyle w:val="BodyText"/>
        <w:spacing w:line="480" w:lineRule="auto"/>
        <w:ind w:firstLine="720"/>
      </w:pPr>
      <w:r>
        <w:t xml:space="preserve">The second habit is to keep the boundary of the claim continuously visible. Every result is a statement about the retained corpus, not about the space sector, not about the physics of launch emissions, and not about the future. When the venue coefficient comes back strong in chapter six, the dissertation will say that the topic signal concentrates by venue within these thirty records, and it will resist the slide from that careful statement to the grander one that the field has begun to price launch emissions. The distance between those two statements is the distance between a design-stage screen and a completed study, and the dissertation is honest about occupying only the former</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bookmarkEnd w:id="69"/>
    <w:bookmarkStart w:id="70" w:name="X3622cb7dc08424345131ae55d435bc1b6248a68"/>
    <w:p>
      <w:pPr>
        <w:pStyle w:val="Heading2"/>
        <w:spacing w:line="480" w:lineRule="auto"/>
      </w:pPr>
      <w:r>
        <w:t xml:space="preserve">What a reader should carry into the next chapter</w:t>
      </w:r>
    </w:p>
    <w:p>
      <w:pPr>
        <w:pStyle w:val="FirstParagraph"/>
        <w:spacing w:line="480" w:lineRule="auto"/>
      </w:pPr>
      <w:r>
        <w:t xml:space="preserve">A reader arriving at chapter two should carry three commitments forward. The corpus is thirty retrieved records and no more, and every claim lives inside that boundary. The two estimators are fixed in advance, one cross-sectional and one temporal, and the dissertation reports exactly what they return. The interpretation follows the coefficient, treating precision as the license to speak and imprecision as the reason to stay quiet. Those three commitments are what separate a disciplined documentary screen from a hopeful narrative dressed in numbers, and they hold across every chapter that follows</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p>
      <w:pPr>
        <w:pStyle w:val="BodyText"/>
        <w:spacing w:line="480" w:lineRule="auto"/>
        <w:ind w:firstLine="720"/>
      </w:pPr>
      <w:r>
        <w:t xml:space="preserve">This through-line is modest and, precisely because it is modest, defensible. The carbon ledger of launch is a real and measurable burden that the field has begun to quantify physically but has not yet priced institutionally. This dissertation asks whether the field’s own literature shows the first signs of that transition, and it answers with two transparent screens whose every number a reader can check.</w:t>
      </w:r>
    </w:p>
    <w:p>
      <w:pPr>
        <w:pStyle w:val="BodyText"/>
        <w:spacing w:line="480" w:lineRule="auto"/>
        <w:ind w:firstLine="720"/>
      </w:pPr>
      <w:r>
        <w:t xml:space="preserve">That is the whole of the promise. One test, run twice, on a corpus a reader can open. Everything after this chapter serves it</w:t>
      </w:r>
      <w:r>
        <w:t xml:space="preserve"> </w:t>
      </w:r>
      <w:hyperlink w:anchor="ref-2">
        <w:r>
          <w:rPr>
            <w:rStyle w:val="Hyperlink"/>
          </w:rPr>
          <w:t xml:space="preserve">[2]</w:t>
        </w:r>
      </w:hyperlink>
      <w:r>
        <w:t xml:space="preserve">.</w:t>
      </w:r>
    </w:p>
    <w:bookmarkEnd w:id="70"/>
    <w:bookmarkEnd w:id="71"/>
    <w:bookmarkStart w:id="79" w:name="chapter-2.-literature-review"/>
    <w:p>
      <w:pPr>
        <w:pStyle w:val="Heading1"/>
        <w:spacing w:line="480" w:lineRule="auto"/>
      </w:pPr>
      <w:r>
        <w:t xml:space="preserve">Chapter 2. Literature Review</w:t>
      </w:r>
    </w:p>
    <w:p>
      <w:pPr>
        <w:pStyle w:val="FirstParagraph"/>
        <w:spacing w:line="480" w:lineRule="auto"/>
      </w:pPr>
      <w:r>
        <w:t xml:space="preserve">The literature behind</w:t>
      </w:r>
      <w:r>
        <w:t xml:space="preserve"> </w:t>
      </w:r>
      <w:r>
        <w:rPr>
          <w:i/>
          <w:iCs/>
        </w:rPr>
        <w:t xml:space="preserve">The Carbon Ledger of Launch: A Life-Cycle Inventory and Externality-Pricing Mode</w:t>
      </w:r>
      <w:r>
        <w:t xml:space="preserve"> </w:t>
      </w:r>
      <w:r>
        <w:t xml:space="preserve">has two strands that usually speak past one another. The first is the domain literature: technical, governance, operational, and economic writing that makes the candidate topic visible as a real space-sector problem</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The second is the measurement literature: work that turns documents, programs, missions, citations, years, and venues into variables. This dissertation’s contribution lies in joining those strands without pretending that either can replace the other.</w:t>
      </w:r>
    </w:p>
    <w:bookmarkStart w:id="72" w:name="life-cycle-assessment-of-launch"/>
    <w:p>
      <w:pPr>
        <w:pStyle w:val="Heading2"/>
        <w:spacing w:line="480" w:lineRule="auto"/>
      </w:pPr>
      <w:r>
        <w:t xml:space="preserve">Life-cycle assessment of launch</w:t>
      </w:r>
    </w:p>
    <w:p>
      <w:pPr>
        <w:pStyle w:val="FirstParagraph"/>
        <w:spacing w:line="480" w:lineRule="auto"/>
      </w:pPr>
      <w:r>
        <w:t xml:space="preserve">Life-cycle assessment supplies the most direct prior work on the environmental burden of launch. A study of reusable launch vehicle fleets reached a result that reframes the debate: the dominant climate impact comes from rocket exhaust emissions during ascent, not from the manufacture of the vehicle, and reusability does not erase that burden because the exhaust is emitted on every flight</w:t>
      </w:r>
      <w:r>
        <w:t xml:space="preserve"> </w:t>
      </w:r>
      <w:hyperlink w:anchor="ref-9">
        <w:r>
          <w:rPr>
            <w:rStyle w:val="Hyperlink"/>
          </w:rPr>
          <w:t xml:space="preserve">[9]</w:t>
        </w:r>
      </w:hyperlink>
      <w:r>
        <w:t xml:space="preserve">. This finding is load-bearing for the dissertation. It establishes that the carbon ledger of launch is real, physical, and measurable, and that the intuition that reusable rockets are automatically greener does not survive contact with an inventory.</w:t>
      </w:r>
    </w:p>
    <w:p>
      <w:pPr>
        <w:pStyle w:val="BodyText"/>
        <w:spacing w:line="480" w:lineRule="auto"/>
        <w:ind w:firstLine="720"/>
      </w:pPr>
      <w:r>
        <w:t xml:space="preserve">Reuse does not fix the problem. The exhaust is emitted every flight</w:t>
      </w:r>
      <w:r>
        <w:t xml:space="preserve"> </w:t>
      </w:r>
      <w:hyperlink w:anchor="ref-9">
        <w:r>
          <w:rPr>
            <w:rStyle w:val="Hyperlink"/>
          </w:rPr>
          <w:t xml:space="preserve">[9]</w:t>
        </w:r>
      </w:hyperlink>
      <w:r>
        <w:t xml:space="preserve">.</w:t>
      </w:r>
    </w:p>
    <w:p>
      <w:pPr>
        <w:pStyle w:val="BodyText"/>
        <w:spacing w:line="480" w:lineRule="auto"/>
        <w:ind w:firstLine="720"/>
      </w:pPr>
      <w:r>
        <w:t xml:space="preserve">Individual emission pathways are beginning to resolve. Analytical formulations for nitrogen oxide emissions from a hydrogen-fueled air-breathing rocket engine show that even propellants with no carbon in the fuel stream carry an atmospheric cost through combustion chemistry</w:t>
      </w:r>
      <w:r>
        <w:t xml:space="preserve"> </w:t>
      </w:r>
      <w:hyperlink w:anchor="ref-13">
        <w:r>
          <w:rPr>
            <w:rStyle w:val="Hyperlink"/>
          </w:rPr>
          <w:t xml:space="preserve">[13]</w:t>
        </w:r>
      </w:hyperlink>
      <w:r>
        <w:t xml:space="preserve">. That result matters for pricing, because it warns against a naive carbon-only ledger. A credible externality price would have to account for species that a fuel-carbon accounting would miss entirely.</w:t>
      </w:r>
    </w:p>
    <w:p>
      <w:pPr>
        <w:pStyle w:val="BodyText"/>
        <w:spacing w:line="480" w:lineRule="auto"/>
        <w:ind w:firstLine="720"/>
      </w:pPr>
      <w:r>
        <w:t xml:space="preserve">Adjacent materials studies extend the inventory across the vehicle life cycle. Work on the effects of ultraviolet exposure on composites made from recycled carbon fibers speaks to whether recovered structures retain their properties, a precondition for reducing the manufacturing footprint through reuse</w:t>
      </w:r>
      <w:r>
        <w:t xml:space="preserve"> </w:t>
      </w:r>
      <w:hyperlink w:anchor="ref-11">
        <w:r>
          <w:rPr>
            <w:rStyle w:val="Hyperlink"/>
          </w:rPr>
          <w:t xml:space="preserve">[11]</w:t>
        </w:r>
      </w:hyperlink>
      <w:r>
        <w:t xml:space="preserve">. Space-materials testing for debris generation in geostationary orbit documents how the disposal phase of a mission contributes to orbital burden</w:t>
      </w:r>
      <w:r>
        <w:t xml:space="preserve"> </w:t>
      </w:r>
      <w:hyperlink w:anchor="ref-15">
        <w:r>
          <w:rPr>
            <w:rStyle w:val="Hyperlink"/>
          </w:rPr>
          <w:t xml:space="preserve">[15]</w:t>
        </w:r>
      </w:hyperlink>
      <w:r>
        <w:t xml:space="preserve">. Neither study prices launch, but both supply pieces of the ledger the dissertation argues the field has not yet assembled into a single institutional account.</w:t>
      </w:r>
    </w:p>
    <w:p>
      <w:pPr>
        <w:pStyle w:val="BodyText"/>
        <w:spacing w:line="480" w:lineRule="auto"/>
        <w:ind w:firstLine="720"/>
      </w:pPr>
      <w:r>
        <w:t xml:space="preserve">The life-cycle strand also carries a methodological lesson the dissertation absorbs. Life-cycle assessment is powerful precisely because it forces the analyst to draw system boundaries and account for every stage inside them. The reusable-fleet study made its contribution by refusing to stop at the launch pad, following the vehicle through manufacture, operation, and the repeated emission events that reuse implies</w:t>
      </w:r>
      <w:r>
        <w:t xml:space="preserve"> </w:t>
      </w:r>
      <w:hyperlink w:anchor="ref-9">
        <w:r>
          <w:rPr>
            <w:rStyle w:val="Hyperlink"/>
          </w:rPr>
          <w:t xml:space="preserve">[9]</w:t>
        </w:r>
      </w:hyperlink>
      <w:r>
        <w:t xml:space="preserve">. That refusal to truncate the system is the same discipline the documentary design applies to its corpus: it declines to drop the inconvenient rows, keeping uncited records in the sample so the picture is not flattered by selection. The physical inventory and the documentary screen share a commitment to completeness even though they operate on different objects.</w:t>
      </w:r>
    </w:p>
    <w:bookmarkEnd w:id="72"/>
    <w:bookmarkStart w:id="73" w:name="economics-of-orbital-externalities"/>
    <w:p>
      <w:pPr>
        <w:pStyle w:val="Heading2"/>
        <w:spacing w:line="480" w:lineRule="auto"/>
      </w:pPr>
      <w:r>
        <w:t xml:space="preserve">Economics of orbital externalities</w:t>
      </w:r>
    </w:p>
    <w:p>
      <w:pPr>
        <w:pStyle w:val="FirstParagraph"/>
        <w:spacing w:line="480" w:lineRule="auto"/>
      </w:pPr>
      <w:r>
        <w:t xml:space="preserve">Economics supplies the pricing vocabulary. The debris-control literature now treats orbital crowding as a managed externality and builds model-based control frameworks to keep the shared resource within bounds</w:t>
      </w:r>
      <w:r>
        <w:t xml:space="preserve"> </w:t>
      </w:r>
      <w:hyperlink w:anchor="ref-16">
        <w:r>
          <w:rPr>
            <w:rStyle w:val="Hyperlink"/>
          </w:rPr>
          <w:t xml:space="preserve">[16]</w:t>
        </w:r>
      </w:hyperlink>
      <w:r>
        <w:t xml:space="preserve">. The framing is explicit in the corpus: orbital crowding and space debris are a classic tragedy-of-the-commons problem, and the governance mechanisms that should internalize the externality currently lack effective traction in the space domain. The atmospheric burden of launch is the same kind of problem viewed through a different medium, and the absence of traction is exactly what this dissertation sets out to measure.</w:t>
      </w:r>
    </w:p>
    <w:p>
      <w:pPr>
        <w:pStyle w:val="BodyText"/>
        <w:spacing w:line="480" w:lineRule="auto"/>
        <w:ind w:firstLine="720"/>
      </w:pPr>
      <w:r>
        <w:t xml:space="preserve">The lens is old. Its application to launch is not</w:t>
      </w:r>
      <w:r>
        <w:t xml:space="preserve"> </w:t>
      </w:r>
      <w:hyperlink w:anchor="ref-16">
        <w:r>
          <w:rPr>
            <w:rStyle w:val="Hyperlink"/>
          </w:rPr>
          <w:t xml:space="preserve">[16]</w:t>
        </w:r>
      </w:hyperlink>
      <w:r>
        <w:t xml:space="preserve">.</w:t>
      </w:r>
    </w:p>
    <w:p>
      <w:pPr>
        <w:pStyle w:val="BodyText"/>
        <w:spacing w:line="480" w:lineRule="auto"/>
        <w:ind w:firstLine="720"/>
      </w:pPr>
      <w:r>
        <w:t xml:space="preserve">Cost-estimation research provides the other half of a pricing model. Parametric cost estimates for commercial small-satellite launch vehicles establish a baseline for what a launch costs the operator today</w:t>
      </w:r>
      <w:r>
        <w:t xml:space="preserve"> </w:t>
      </w:r>
      <w:hyperlink w:anchor="ref-10">
        <w:r>
          <w:rPr>
            <w:rStyle w:val="Hyperlink"/>
          </w:rPr>
          <w:t xml:space="preserve">[10]</w:t>
        </w:r>
      </w:hyperlink>
      <w:r>
        <w:t xml:space="preserve">. An externality price is meaningful only against that baseline, because the policy question is whether the unpriced atmospheric cost is small relative to the market price or large enough to change behavior. The dissertation does not estimate that ratio, but it treats the cost literature as the frame within which a future ledger would sit.</w:t>
      </w:r>
    </w:p>
    <w:p>
      <w:pPr>
        <w:pStyle w:val="BodyText"/>
        <w:spacing w:line="480" w:lineRule="auto"/>
        <w:ind w:firstLine="720"/>
      </w:pPr>
      <w:r>
        <w:t xml:space="preserve">Systems-engineering scholarship contributes a transferable method. An application of an environment-vulnerability-decision-technology framework to mangrove management in Rio de Janeiro shows how a sustainability problem in one domain can be decomposed into observable environmental states, vulnerabilities, decisions, and technologies</w:t>
      </w:r>
      <w:r>
        <w:t xml:space="preserve"> </w:t>
      </w:r>
      <w:hyperlink w:anchor="ref-12">
        <w:r>
          <w:rPr>
            <w:rStyle w:val="Hyperlink"/>
          </w:rPr>
          <w:t xml:space="preserve">[12]</w:t>
        </w:r>
      </w:hyperlink>
      <w:r>
        <w:t xml:space="preserve">. The transfer to launch is natural: the atmosphere is the environment, downstream populations are the vulnerability, the launch cadence is the decision, and propellant choice is the technology. Borrowing the structure keeps the dissertation’s framing disciplined even though its empirical test is documentary.</w:t>
      </w:r>
    </w:p>
    <w:bookmarkEnd w:id="73"/>
    <w:bookmarkStart w:id="74" w:name="the-commons-framing-and-its-limits"/>
    <w:p>
      <w:pPr>
        <w:pStyle w:val="Heading2"/>
        <w:spacing w:line="480" w:lineRule="auto"/>
      </w:pPr>
      <w:r>
        <w:t xml:space="preserve">The commons framing and its limits</w:t>
      </w:r>
    </w:p>
    <w:p>
      <w:pPr>
        <w:pStyle w:val="FirstParagraph"/>
        <w:spacing w:line="480" w:lineRule="auto"/>
      </w:pPr>
      <w:r>
        <w:t xml:space="preserve">The tragedy-of-the-commons framing is the most cited conceptual lens in the corpus, and it repays careful handling. The economics reading in the retained records treats orbital crowding and debris as a negative externality that markets fail to internalize on their own, a problem that requires governance mechanisms currently lacking traction</w:t>
      </w:r>
      <w:r>
        <w:t xml:space="preserve"> </w:t>
      </w:r>
      <w:hyperlink w:anchor="ref-16">
        <w:r>
          <w:rPr>
            <w:rStyle w:val="Hyperlink"/>
          </w:rPr>
          <w:t xml:space="preserve">[16]</w:t>
        </w:r>
      </w:hyperlink>
      <w:r>
        <w:t xml:space="preserve">. The atmospheric burden of launch extends that logic downward from orbit to the stratosphere. The shared resource is not orbital slots but atmospheric capacity to absorb combustion products without harmful accumulation, and the failure is the same: each launch imposes a diffuse cost on a shared sink while capturing the full private benefit of the flight.</w:t>
      </w:r>
    </w:p>
    <w:p>
      <w:pPr>
        <w:pStyle w:val="BodyText"/>
        <w:spacing w:line="480" w:lineRule="auto"/>
        <w:ind w:firstLine="720"/>
      </w:pPr>
      <w:r>
        <w:t xml:space="preserve">The framing has a limit the dissertation respects. A commons problem becomes tractable for governance only once the shared resource can be measured and the marginal damage attributed. Debris research has advanced toward that point by building control frameworks that quantify the orbital resource and manage its depletion</w:t>
      </w:r>
      <w:r>
        <w:t xml:space="preserve"> </w:t>
      </w:r>
      <w:hyperlink w:anchor="ref-16">
        <w:r>
          <w:rPr>
            <w:rStyle w:val="Hyperlink"/>
          </w:rPr>
          <w:t xml:space="preserve">[16]</w:t>
        </w:r>
      </w:hyperlink>
      <w:r>
        <w:t xml:space="preserve">. The atmospheric burden of launch has not reached the same maturity, in part because the damage is delayed and globally shared rather than concentrated in a catalog of tracked objects. The dissertation’s documentary screen is one way of asking how far along that maturation the field’s attention has traveled, using the distribution of the literature as the readout, and it is deliberately a screen rather than a settlement of the pricing question itself.</w:t>
      </w:r>
    </w:p>
    <w:bookmarkEnd w:id="74"/>
    <w:bookmarkStart w:id="75" w:name="operational-and-governance-context"/>
    <w:p>
      <w:pPr>
        <w:pStyle w:val="Heading2"/>
        <w:spacing w:line="480" w:lineRule="auto"/>
      </w:pPr>
      <w:r>
        <w:t xml:space="preserve">Operational and governance context</w:t>
      </w:r>
    </w:p>
    <w:p>
      <w:pPr>
        <w:pStyle w:val="FirstParagraph"/>
        <w:spacing w:line="480" w:lineRule="auto"/>
      </w:pPr>
      <w:r>
        <w:t xml:space="preserve">Operational and governance records establish salience too. Event-ledger infrastructure for joint commercial operations shows how the sector is building the provenance machinery that any credible accounting would need</w:t>
      </w:r>
      <w:r>
        <w:t xml:space="preserve"> </w:t>
      </w:r>
      <w:hyperlink w:anchor="ref-1">
        <w:r>
          <w:rPr>
            <w:rStyle w:val="Hyperlink"/>
          </w:rPr>
          <w:t xml:space="preserve">[1]</w:t>
        </w:r>
      </w:hyperlink>
      <w:r>
        <w:t xml:space="preserve">. Decision-support prototypes for satellite anomaly identification demonstrate that the field increasingly frames its problems as data problems amenable to structured inference</w:t>
      </w:r>
      <w:r>
        <w:t xml:space="preserve"> </w:t>
      </w:r>
      <w:hyperlink w:anchor="ref-2">
        <w:r>
          <w:rPr>
            <w:rStyle w:val="Hyperlink"/>
          </w:rPr>
          <w:t xml:space="preserve">[2]</w:t>
        </w:r>
      </w:hyperlink>
      <w:r>
        <w:t xml:space="preserve">. On-board conjunction and collision-avoidance infrastructure carries the same signal for the operational safety domain</w:t>
      </w:r>
      <w:r>
        <w:t xml:space="preserve"> </w:t>
      </w:r>
      <w:hyperlink w:anchor="ref-3">
        <w:r>
          <w:rPr>
            <w:rStyle w:val="Hyperlink"/>
          </w:rPr>
          <w:t xml:space="preserve">[3]</w:t>
        </w:r>
      </w:hyperlink>
      <w:r>
        <w:t xml:space="preserve">.</w:t>
      </w:r>
    </w:p>
    <w:p>
      <w:pPr>
        <w:pStyle w:val="BodyText"/>
        <w:spacing w:line="480" w:lineRule="auto"/>
        <w:ind w:firstLine="720"/>
      </w:pPr>
      <w:r>
        <w:t xml:space="preserve">Program history and policy analysis round out the context. An account of the origins and challenges of small space launch documents how launch capacity itself became a program priority</w:t>
      </w:r>
      <w:r>
        <w:t xml:space="preserve"> </w:t>
      </w:r>
      <w:hyperlink w:anchor="ref-4">
        <w:r>
          <w:rPr>
            <w:rStyle w:val="Hyperlink"/>
          </w:rPr>
          <w:t xml:space="preserve">[4]</w:t>
        </w:r>
      </w:hyperlink>
      <w:r>
        <w:t xml:space="preserve">. Space-weather research on solar energetic particles and galactic cosmic rays shows that the field already reasons carefully about diffuse, environmental hazards to space systems</w:t>
      </w:r>
      <w:r>
        <w:t xml:space="preserve"> </w:t>
      </w:r>
      <w:hyperlink w:anchor="ref-5">
        <w:r>
          <w:rPr>
            <w:rStyle w:val="Hyperlink"/>
          </w:rPr>
          <w:t xml:space="preserve">[5]</w:t>
        </w:r>
      </w:hyperlink>
      <w:r>
        <w:t xml:space="preserve">. Policy analysis of civil situational-awareness options demonstrates the institutional habit of evaluating governance choices against evidence rather than intuition</w:t>
      </w:r>
      <w:r>
        <w:t xml:space="preserve"> </w:t>
      </w:r>
      <w:hyperlink w:anchor="ref-6">
        <w:r>
          <w:rPr>
            <w:rStyle w:val="Hyperlink"/>
          </w:rPr>
          <w:t xml:space="preserve">[6]</w:t>
        </w:r>
      </w:hyperlink>
      <w:r>
        <w:t xml:space="preserve">. Surveillance sensor systems</w:t>
      </w:r>
      <w:r>
        <w:t xml:space="preserve"> </w:t>
      </w:r>
      <w:hyperlink w:anchor="ref-7">
        <w:r>
          <w:rPr>
            <w:rStyle w:val="Hyperlink"/>
          </w:rPr>
          <w:t xml:space="preserve">[7]</w:t>
        </w:r>
      </w:hyperlink>
      <w:r>
        <w:t xml:space="preserve"> </w:t>
      </w:r>
      <w:r>
        <w:t xml:space="preserve">and large-scale orbital data enterprise concepts</w:t>
      </w:r>
      <w:r>
        <w:t xml:space="preserve"> </w:t>
      </w:r>
      <w:hyperlink w:anchor="ref-8">
        <w:r>
          <w:rPr>
            <w:rStyle w:val="Hyperlink"/>
          </w:rPr>
          <w:t xml:space="preserve">[8]</w:t>
        </w:r>
      </w:hyperlink>
      <w:r>
        <w:t xml:space="preserve"> </w:t>
      </w:r>
      <w:r>
        <w:t xml:space="preserve">complete the picture of a sector rich in operational data but thin in institutional accounting for atmospheric cost.</w:t>
      </w:r>
    </w:p>
    <w:p>
      <w:pPr>
        <w:pStyle w:val="BodyText"/>
        <w:spacing w:line="480" w:lineRule="auto"/>
        <w:ind w:firstLine="720"/>
      </w:pPr>
      <w:r>
        <w:t xml:space="preserve">There is a pattern in how these operational records treat environmental hazard, and it informs the dissertation’s expectation about where the topic signal should sit. The space-weather work reasons about a diffuse, environmental threat with rigor because that threat directly endangers space systems the operator owns</w:t>
      </w:r>
      <w:r>
        <w:t xml:space="preserve"> </w:t>
      </w:r>
      <w:hyperlink w:anchor="ref-5">
        <w:r>
          <w:rPr>
            <w:rStyle w:val="Hyperlink"/>
          </w:rPr>
          <w:t xml:space="preserve">[5]</w:t>
        </w:r>
      </w:hyperlink>
      <w:r>
        <w:t xml:space="preserve">. The atmospheric burden of launch is diffuse in the same way but points outward, imposing its cost on populations the operator does not own and cannot see in a telemetry stream. That asymmetry predicts that operational proceedings will underweight the atmospheric ledger relative to venues where economics and governance are the subject, which is exactly the prediction the venue hypothesis will test. The literature review thus does more than catalog prior work; it generates the expectation the empirical chapters put to the test.</w:t>
      </w:r>
    </w:p>
    <w:bookmarkEnd w:id="75"/>
    <w:bookmarkStart w:id="76" w:name="cost-estimation-as-the-pricing-baseline"/>
    <w:p>
      <w:pPr>
        <w:pStyle w:val="Heading2"/>
        <w:spacing w:line="480" w:lineRule="auto"/>
      </w:pPr>
      <w:r>
        <w:t xml:space="preserve">Cost estimation as the pricing baseline</w:t>
      </w:r>
    </w:p>
    <w:p>
      <w:pPr>
        <w:pStyle w:val="FirstParagraph"/>
        <w:spacing w:line="480" w:lineRule="auto"/>
      </w:pPr>
      <w:r>
        <w:t xml:space="preserve">Parametric cost estimation deserves separate treatment because it defines the scale against which any externality price becomes meaningful or negligible. The corpus includes work that estimates the cost of commercial small-satellite launch vehicles from vehicle and mission parameters</w:t>
      </w:r>
      <w:r>
        <w:t xml:space="preserve"> </w:t>
      </w:r>
      <w:hyperlink w:anchor="ref-10">
        <w:r>
          <w:rPr>
            <w:rStyle w:val="Hyperlink"/>
          </w:rPr>
          <w:t xml:space="preserve">[10]</w:t>
        </w:r>
      </w:hyperlink>
      <w:r>
        <w:t xml:space="preserve">. That estimation matters to the dissertation’s destination in a specific way: an externality charge is a policy lever only if it is large enough to change behavior, and whether it is large enough can be judged only against the baseline private cost of a launch. A charge that adds a fraction of a percent to launch cost will not shift a launch schedule; a charge that adds a material fraction might.</w:t>
      </w:r>
    </w:p>
    <w:p>
      <w:pPr>
        <w:pStyle w:val="BodyText"/>
        <w:spacing w:line="480" w:lineRule="auto"/>
        <w:ind w:firstLine="720"/>
      </w:pPr>
      <w:r>
        <w:t xml:space="preserve">The cost literature also models a learning effect, in which repeated production drives unit cost down along an experience curve. That functional form reappears, in a different guise, in the dissertation’s second empirical screen, which asks whether accumulated citation attention follows a comparable age-based curve</w:t>
      </w:r>
      <w:r>
        <w:t xml:space="preserve"> </w:t>
      </w:r>
      <w:hyperlink w:anchor="ref-10">
        <w:r>
          <w:rPr>
            <w:rStyle w:val="Hyperlink"/>
          </w:rPr>
          <w:t xml:space="preserve">[10]</w:t>
        </w:r>
      </w:hyperlink>
      <w:r>
        <w:t xml:space="preserve">. The parallel is not accidental. Both the cost curve and the attention curve ask whether experience accumulates in a proportional, measurable way, and borrowing the log-log form from cost engineering gives the attention screen a well-understood null against which to detect the absence of accumulation.</w:t>
      </w:r>
    </w:p>
    <w:bookmarkEnd w:id="76"/>
    <w:bookmarkStart w:id="77" w:name="the-emissions-species-problem"/>
    <w:p>
      <w:pPr>
        <w:pStyle w:val="Heading2"/>
        <w:spacing w:line="480" w:lineRule="auto"/>
      </w:pPr>
      <w:r>
        <w:t xml:space="preserve">The emissions-species problem</w:t>
      </w:r>
    </w:p>
    <w:p>
      <w:pPr>
        <w:pStyle w:val="FirstParagraph"/>
        <w:spacing w:line="480" w:lineRule="auto"/>
      </w:pPr>
      <w:r>
        <w:t xml:space="preserve">One thread in the physical literature deserves separate emphasis because it complicates the pricing ambition in a way the review must flag. The nitrogen-oxide formulations for air-breathing rocket modes show that a launch’s atmospheric burden is not reducible to a single species</w:t>
      </w:r>
      <w:r>
        <w:t xml:space="preserve"> </w:t>
      </w:r>
      <w:hyperlink w:anchor="ref-13">
        <w:r>
          <w:rPr>
            <w:rStyle w:val="Hyperlink"/>
          </w:rPr>
          <w:t xml:space="preserve">[13]</w:t>
        </w:r>
      </w:hyperlink>
      <w:r>
        <w:t xml:space="preserve">. Water vapor, carbon dioxide, soot, and nitrogen oxides each carry different radiative and chemical consequences, and each is deposited across a different altitude band with a different residence time. A pricing model that collapsed this into a carbon-equivalent figure would lose the altitude and species information that makes launch emissions distinctive. The review carries this forward as a warning: the eventual ledger the dissertation’s title anticipates must be a multi-species, altitude-resolved inventory, and the physical literature is only beginning to supply the parameters such an inventory would need</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gap between what a full ledger requires and what the physical literature currently provides is itself part of why the institutional conversation has not yet produced a price. A charge levied on an incomplete inventory would misprice the very vehicles whose emissions are hardest to characterize, and the review reads that incompleteness as a structural reason the pricing debate remains stalled in the venues where the accounting records now concentrate</w:t>
      </w:r>
      <w:r>
        <w:t xml:space="preserve"> </w:t>
      </w:r>
      <w:hyperlink w:anchor="ref-9">
        <w:r>
          <w:rPr>
            <w:rStyle w:val="Hyperlink"/>
          </w:rPr>
          <w:t xml:space="preserve">[9]</w:t>
        </w:r>
      </w:hyperlink>
      <w:r>
        <w:t xml:space="preserve"> </w:t>
      </w:r>
      <w:hyperlink w:anchor="ref-13">
        <w:r>
          <w:rPr>
            <w:rStyle w:val="Hyperlink"/>
          </w:rPr>
          <w:t xml:space="preserve">[13]</w:t>
        </w:r>
      </w:hyperlink>
      <w:r>
        <w:t xml:space="preserve"> </w:t>
      </w:r>
      <w:hyperlink w:anchor="ref-16">
        <w:r>
          <w:rPr>
            <w:rStyle w:val="Hyperlink"/>
          </w:rPr>
          <w:t xml:space="preserve">[16]</w:t>
        </w:r>
      </w:hyperlink>
      <w:r>
        <w:t xml:space="preserve">.</w:t>
      </w:r>
    </w:p>
    <w:bookmarkEnd w:id="77"/>
    <w:bookmarkStart w:id="78" w:name="the-measurement-literature-and-the-gap"/>
    <w:p>
      <w:pPr>
        <w:pStyle w:val="Heading2"/>
        <w:spacing w:line="480" w:lineRule="auto"/>
      </w:pPr>
      <w:r>
        <w:t xml:space="preserve">The measurement literature and the gap</w:t>
      </w:r>
    </w:p>
    <w:p>
      <w:pPr>
        <w:pStyle w:val="FirstParagraph"/>
        <w:spacing w:line="480" w:lineRule="auto"/>
      </w:pPr>
      <w:r>
        <w:t xml:space="preserve">A second literature, on measurement, supplies discipline of a different kind. It asks whether a claim can be coded consistently, whether timing can be observed, whether citation attention is a usable proxy, and whether source families introduce bias. Knowledge-graph tooling for space systems shows that structured representation of the field’s own documents is feasible and increasingly standard</w:t>
      </w:r>
      <w:r>
        <w:t xml:space="preserve"> </w:t>
      </w:r>
      <w:hyperlink w:anchor="ref-14">
        <w:r>
          <w:rPr>
            <w:rStyle w:val="Hyperlink"/>
          </w:rPr>
          <w:t xml:space="preserve">[14]</w:t>
        </w:r>
      </w:hyperlink>
      <w:r>
        <w:t xml:space="preserve">. That feasibility is the technical warrant for the dissertation’s documentary design: if the field can build knowledge graphs over its literature, a candidate can build an auditable feature table over a retrieved corpus.</w:t>
      </w:r>
    </w:p>
    <w:p>
      <w:pPr>
        <w:pStyle w:val="BodyText"/>
        <w:spacing w:line="480" w:lineRule="auto"/>
        <w:ind w:firstLine="720"/>
      </w:pPr>
      <w:r>
        <w:t xml:space="preserve">Paper one follows this logic by treating retrieved records as observations. The model does not claim to measure the whole world; it measures the structure visible in the candidate’s retained corpus. Paper one estimates an ordinary least squares model with robust HC1 standard errors: N = 30, R2 = 0.1419, F_p = 0.1176. The term summary is const coefficient 1.0797, standard error 1.7999, p = 0.5486; recency_index coefficient 0.0626, standard error 0.1319, p = 0.635; cites_num coefficient 0.0167, standard error 0.0476, p = 0.7263; venue_score coefficient 0.9352, standard error 0.3952, p = 0.018.</w:t>
      </w:r>
    </w:p>
    <w:p>
      <w:pPr>
        <w:pStyle w:val="BodyText"/>
        <w:spacing w:line="480" w:lineRule="auto"/>
        <w:ind w:firstLine="720"/>
      </w:pPr>
      <w:r>
        <w:t xml:space="preserve">Systems-engineering scholarship offers a further methodological warrant for the documentary approach. The environment-vulnerability-decision-technology framework applied to mangrove management shows that a complex sustainability problem can be decomposed into observable components and then studied through the records that document each</w:t>
      </w:r>
      <w:r>
        <w:t xml:space="preserve"> </w:t>
      </w:r>
      <w:hyperlink w:anchor="ref-12">
        <w:r>
          <w:rPr>
            <w:rStyle w:val="Hyperlink"/>
          </w:rPr>
          <w:t xml:space="preserve">[12]</w:t>
        </w:r>
      </w:hyperlink>
      <w:r>
        <w:t xml:space="preserve">. The transfer to a citation corpus is direct: if a sustainability problem can be represented as a structured set of environmental states, vulnerabilities, decisions, and technologies, then the literature documenting those components can be coded into a feature table and screened for structure. The mangrove application and this dissertation share a conviction that sustainability questions become tractable once they are decomposed into what the record can actually show.</w:t>
      </w:r>
    </w:p>
    <w:p>
      <w:pPr>
        <w:pStyle w:val="BodyText"/>
        <w:spacing w:line="480" w:lineRule="auto"/>
        <w:ind w:firstLine="720"/>
      </w:pPr>
      <w:r>
        <w:t xml:space="preserve">Knowledge-graph tooling closes the methodological loop. Work on exploiting knowledge graphs in space systems demonstrates that the field’s documents can be represented as structured, queryable entities with preserved relationships</w:t>
      </w:r>
      <w:r>
        <w:t xml:space="preserve"> </w:t>
      </w:r>
      <w:hyperlink w:anchor="ref-14">
        <w:r>
          <w:rPr>
            <w:rStyle w:val="Hyperlink"/>
          </w:rPr>
          <w:t xml:space="preserve">[14]</w:t>
        </w:r>
      </w:hyperlink>
      <w:r>
        <w:t xml:space="preserve">. That capability is the technical horizon toward which this dissertation’s simpler term-counting design points. Where a knowledge graph reads semantic relationships, the signal score counts term matches, a cruder instrument that trades depth for transparency and reproducibility. The dissertation positions itself as a first, auditable step on the path the knowledge-graph literature charts, using a method any reader can rerun by hand.</w:t>
      </w:r>
    </w:p>
    <w:p>
      <w:pPr>
        <w:pStyle w:val="BodyText"/>
        <w:spacing w:line="480" w:lineRule="auto"/>
        <w:ind w:firstLine="720"/>
      </w:pPr>
      <w:r>
        <w:t xml:space="preserve">Paper two adds a temporal view. It asks whether the evidence base or attention pattern has accumulated in a measurable way. That question matters because an isolated example and a maturing evidence base carry different meanings for governance. Paper two estimates a log-log learning-curve model with robust HC1 standard errors: N = 30, R2 = 0.0021. The term summary is const coefficient 0.7896, standard error 0.3956, p = 0.046; _ln_x coefficient -0.08, standard error 0.2699, p = 0.7669. A strong temporal pattern would not prove a policy effect, but it could show that the topic has moved beyond anecdote into a source field that supports further testing.</w:t>
      </w:r>
    </w:p>
    <w:p>
      <w:pPr>
        <w:pStyle w:val="BodyText"/>
        <w:spacing w:line="480" w:lineRule="auto"/>
        <w:ind w:firstLine="720"/>
      </w:pPr>
      <w:r>
        <w:t xml:space="preserve">The measurement literature also warns about the proxies the dissertation must use. Citation counts favor older and more accessible records, because citations accumulate mechanically over time and because indexed venues attract more of them. Venue classifications risk capturing publication practices as much as substantive importance, since a discipline’s citation conventions travel with its journals. Topic-signal counts simplify complex concepts into term matches, discarding the meaning that a human reader would supply. None of these limitations is fatal, but each is a reason the design reports its coefficients as association within a retained corpus rather than as measures of the field’s true state</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knowledge-graph work in the corpus points toward the eventual remedy, structured semantic representation that reads meaning rather than counting terms</w:t>
      </w:r>
      <w:r>
        <w:t xml:space="preserve"> </w:t>
      </w:r>
      <w:hyperlink w:anchor="ref-14">
        <w:r>
          <w:rPr>
            <w:rStyle w:val="Hyperlink"/>
          </w:rPr>
          <w:t xml:space="preserve">[14]</w:t>
        </w:r>
      </w:hyperlink>
      <w:r>
        <w:t xml:space="preserve">, and the dissertation positions its own term-count design as a transparent first step toward that richer coding.</w:t>
      </w:r>
    </w:p>
    <w:p>
      <w:pPr>
        <w:pStyle w:val="BodyText"/>
        <w:spacing w:line="480" w:lineRule="auto"/>
        <w:ind w:firstLine="720"/>
      </w:pPr>
      <w:r>
        <w:t xml:space="preserve">The gap, then, is not that prior authors failed to discuss the topic. The first part of the gap sits between technical work and institutional explanation. Source records identify operational and environmental risk, but they do not explain why governance language hardens or stays loose</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second part sits between policy salience and measurement. Citation attention, publication recency, and venue family reveal how a topic is distributed across a corpus, yet those signals need careful interpretation</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Discussion and measurement remain only partly connected. This dissertation responds by converting the literature into an auditable design: source records become rows, variables are constructed from observable fields, and the final interpretation stays inside the estimator output</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p>
      <w:pPr>
        <w:pStyle w:val="BodyText"/>
        <w:spacing w:line="480" w:lineRule="auto"/>
        <w:ind w:firstLine="720"/>
      </w:pPr>
      <w:r>
        <w:t xml:space="preserve">Materials research adds a quieter but necessary term to this account. Studies of recycled carbon fiber under ultraviolet exposure ask whether recovered structures hold their properties well enough to justify reuse, which bears directly on whether the manufacturing footprint can be cut</w:t>
      </w:r>
      <w:r>
        <w:t xml:space="preserve"> </w:t>
      </w:r>
      <w:hyperlink w:anchor="ref-11">
        <w:r>
          <w:rPr>
            <w:rStyle w:val="Hyperlink"/>
          </w:rPr>
          <w:t xml:space="preserve">[11]</w:t>
        </w:r>
      </w:hyperlink>
      <w:r>
        <w:t xml:space="preserve">. Geostationary materials testing traces how disposal-phase behavior feeds the orbital burden</w:t>
      </w:r>
      <w:r>
        <w:t xml:space="preserve"> </w:t>
      </w:r>
      <w:hyperlink w:anchor="ref-15">
        <w:r>
          <w:rPr>
            <w:rStyle w:val="Hyperlink"/>
          </w:rPr>
          <w:t xml:space="preserve">[15]</w:t>
        </w:r>
      </w:hyperlink>
      <w:r>
        <w:t xml:space="preserve">. Neither prices anything, yet a complete ledger cannot omit the manufacturing and end-of-life terms these studies begin to quantify, and their presence in the corpus is why the review treats the ledger as a multi-stage accounting problem rather than an ascent-only one.</w:t>
      </w:r>
    </w:p>
    <w:p>
      <w:pPr>
        <w:pStyle w:val="BodyText"/>
        <w:spacing w:line="480" w:lineRule="auto"/>
        <w:ind w:firstLine="720"/>
      </w:pPr>
      <w:r>
        <w:t xml:space="preserve">Read as a whole, the corpus describes a sector that measures physical hazards well and prices them poorly. The life-cycle and emissions studies quantify the burden</w:t>
      </w:r>
      <w:r>
        <w:t xml:space="preserve"> </w:t>
      </w:r>
      <w:hyperlink w:anchor="ref-9">
        <w:r>
          <w:rPr>
            <w:rStyle w:val="Hyperlink"/>
          </w:rPr>
          <w:t xml:space="preserve">[9]</w:t>
        </w:r>
      </w:hyperlink>
      <w:r>
        <w:t xml:space="preserve"> </w:t>
      </w:r>
      <w:hyperlink w:anchor="ref-13">
        <w:r>
          <w:rPr>
            <w:rStyle w:val="Hyperlink"/>
          </w:rPr>
          <w:t xml:space="preserve">[13]</w:t>
        </w:r>
      </w:hyperlink>
      <w:r>
        <w:t xml:space="preserve">. The materials and debris studies bound the manufacturing and disposal terms</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The economics and control-framework studies supply the pricing vocabulary</w:t>
      </w:r>
      <w:r>
        <w:t xml:space="preserve"> </w:t>
      </w:r>
      <w:hyperlink w:anchor="ref-10">
        <w:r>
          <w:rPr>
            <w:rStyle w:val="Hyperlink"/>
          </w:rPr>
          <w:t xml:space="preserve">[10]</w:t>
        </w:r>
      </w:hyperlink>
      <w:r>
        <w:t xml:space="preserve"> </w:t>
      </w:r>
      <w:hyperlink w:anchor="ref-16">
        <w:r>
          <w:rPr>
            <w:rStyle w:val="Hyperlink"/>
          </w:rPr>
          <w:t xml:space="preserve">[16]</w:t>
        </w:r>
      </w:hyperlink>
      <w:r>
        <w:t xml:space="preserve">. The operational and surveillance records show a field awash in data</w:t>
      </w:r>
      <w:r>
        <w:t xml:space="preserve"> </w:t>
      </w:r>
      <w:hyperlink w:anchor="ref-3">
        <w:r>
          <w:rPr>
            <w:rStyle w:val="Hyperlink"/>
          </w:rPr>
          <w:t xml:space="preserve">[3]</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What no record supplies is a settled institutional account of whether the launch ledger has become a priced concern, and that absence is the seam this dissertation works. The review establishes both that the pieces exist and that no one has yet asked whether the field’s attention has begun to assemble them, which is precisely the maturation question the empirical chapters take up.</w:t>
      </w:r>
    </w:p>
    <w:bookmarkEnd w:id="78"/>
    <w:bookmarkEnd w:id="79"/>
    <w:bookmarkStart w:id="90"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The framework rests on a modest mechanism. If the carbon ledger of launch has become institutionally or technically consequential, then traces of that consequence should appear in observable records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Those traces can show up as citation attention, venue concentration, source timing, or topic-signal intensity. The theory does not require every trace to move in the same direction. It requires the theory to say, in advance, what each trace would mean if it moved.</w:t>
      </w:r>
    </w:p>
    <w:bookmarkStart w:id="80" w:name="the-attention-mechanism"/>
    <w:p>
      <w:pPr>
        <w:pStyle w:val="Heading2"/>
        <w:spacing w:line="480" w:lineRule="auto"/>
      </w:pPr>
      <w:r>
        <w:t xml:space="preserve">The attention mechanism</w:t>
      </w:r>
    </w:p>
    <w:p>
      <w:pPr>
        <w:pStyle w:val="FirstParagraph"/>
        <w:spacing w:line="480" w:lineRule="auto"/>
      </w:pPr>
      <w:r>
        <w:t xml:space="preserve">Institutional concern is not born priced. It passes through a sequence: a hazard is observed in operational or technical records, it is named as a problem, it draws scholarly attention, that attention concentrates in particular venues, and only then does a governance rule attempt to internalize it. The debris-control literature illustrates the endpoint of that sequence, where an orbital externality has been formalized enough to support model-based control</w:t>
      </w:r>
      <w:r>
        <w:t xml:space="preserve"> </w:t>
      </w:r>
      <w:hyperlink w:anchor="ref-16">
        <w:r>
          <w:rPr>
            <w:rStyle w:val="Hyperlink"/>
          </w:rPr>
          <w:t xml:space="preserve">[16]</w:t>
        </w:r>
      </w:hyperlink>
      <w:r>
        <w:t xml:space="preserve">. The atmospheric burden of launch sits earlier on the same path, and the framework’s job is to specify where.</w:t>
      </w:r>
    </w:p>
    <w:p>
      <w:pPr>
        <w:pStyle w:val="BodyText"/>
        <w:spacing w:line="480" w:lineRule="auto"/>
        <w:ind w:firstLine="720"/>
      </w:pPr>
      <w:r>
        <w:t xml:space="preserve">Attention leaves metadata, and that is what makes the mechanism testable. A topic that is gaining institutional weight should appear in more recent publications, should attract more citations, and should migrate toward venues that carry disciplinary authority. A topic that remains a technical curiosity should show none of these patterns reliably. Life-cycle and emissions studies establish that the physical burden is real and quantifiable</w:t>
      </w:r>
      <w:r>
        <w:t xml:space="preserve"> </w:t>
      </w:r>
      <w:hyperlink w:anchor="ref-9">
        <w:r>
          <w:rPr>
            <w:rStyle w:val="Hyperlink"/>
          </w:rPr>
          <w:t xml:space="preserve">[9]</w:t>
        </w:r>
      </w:hyperlink>
      <w:r>
        <w:t xml:space="preserve"> </w:t>
      </w:r>
      <w:hyperlink w:anchor="ref-13">
        <w:r>
          <w:rPr>
            <w:rStyle w:val="Hyperlink"/>
          </w:rPr>
          <w:t xml:space="preserve">[13]</w:t>
        </w:r>
      </w:hyperlink>
      <w:r>
        <w:t xml:space="preserve">, which means the question is not whether the hazard exists but whether the field has begun to organize its attention around it.</w:t>
      </w:r>
    </w:p>
    <w:p>
      <w:pPr>
        <w:pStyle w:val="BodyText"/>
        <w:spacing w:line="480" w:lineRule="auto"/>
        <w:ind w:firstLine="720"/>
      </w:pPr>
      <w:r>
        <w:t xml:space="preserve">The claim is small. Rising concern shows up in the record, or it does not</w:t>
      </w:r>
      <w:r>
        <w:t xml:space="preserve"> </w:t>
      </w:r>
      <w:hyperlink w:anchor="ref-6">
        <w:r>
          <w:rPr>
            <w:rStyle w:val="Hyperlink"/>
          </w:rPr>
          <w:t xml:space="preserve">[6]</w:t>
        </w:r>
      </w:hyperlink>
      <w:r>
        <w:t xml:space="preserve">.</w:t>
      </w:r>
    </w:p>
    <w:p>
      <w:pPr>
        <w:pStyle w:val="BodyText"/>
        <w:spacing w:line="480" w:lineRule="auto"/>
        <w:ind w:firstLine="720"/>
      </w:pPr>
      <w:r>
        <w:t xml:space="preserve">A decomposition borrowed from systems-engineering sustainability work separates a problem into environmental states, vulnerabilities, decisions, and technologies</w:t>
      </w:r>
      <w:r>
        <w:t xml:space="preserve"> </w:t>
      </w:r>
      <w:hyperlink w:anchor="ref-12">
        <w:r>
          <w:rPr>
            <w:rStyle w:val="Hyperlink"/>
          </w:rPr>
          <w:t xml:space="preserve">[12]</w:t>
        </w:r>
      </w:hyperlink>
      <w:r>
        <w:t xml:space="preserve">. Applied here, the environmental state is the atmospheric burden, the vulnerability is the population exposed to downstream climate effects, the decision is the launch cadence, and the technology is propellant choice. That decomposition tells the theory which records should carry signal: those that connect launch activity to environmental cost, not those that treat launch purely as an engineering achievement.</w:t>
      </w:r>
    </w:p>
    <w:bookmarkEnd w:id="80"/>
    <w:bookmarkStart w:id="81" w:name="why-metadata-carries-the-signal"/>
    <w:p>
      <w:pPr>
        <w:pStyle w:val="Heading2"/>
        <w:spacing w:line="480" w:lineRule="auto"/>
      </w:pPr>
      <w:r>
        <w:t xml:space="preserve">Why metadata carries the signal</w:t>
      </w:r>
    </w:p>
    <w:p>
      <w:pPr>
        <w:pStyle w:val="FirstParagraph"/>
        <w:spacing w:line="480" w:lineRule="auto"/>
      </w:pPr>
      <w:r>
        <w:t xml:space="preserve">The claim that institutional concern leaves a metadata trace needs a defense, because it is not self-evident. A skeptic might argue that metadata reflects the accidents of indexing rather than the substance of a field. The defense rests on three observations about how scholarly attention actually works. Publication year is not an accident; a topic that arrives recently will be dense with recent records because the work simply did not exist before. Citation attention is not an accident either; it is the field’s own revealed judgment about which records matter, aggregated across many independent citing decisions. Venue placement is the least accidental of all, because authors and editors sort work into venues by subject and by the disciplinary conversation the work joins</w:t>
      </w:r>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None of these signals is perfect, and the framework does not pretend otherwise. Each is a noisy indicator of the underlying quantity of interest, which is the degree to which the field treats the carbon ledger of launch as a priced-adjacent concern. The theory’s move is to combine three imperfect indicators and ask whether any of them, adjusted for the others, carries structure. If all three were pure noise, the estimator would return three imprecise coefficients and a weak fit. If even one carries real signal, the estimator will isolate it. That is the logic that turns a bibliometric screen into a test rather than a description</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81"/>
    <w:bookmarkStart w:id="82" w:name="hypothesis-one-cross-sectional-structure"/>
    <w:p>
      <w:pPr>
        <w:pStyle w:val="Heading2"/>
        <w:spacing w:line="480" w:lineRule="auto"/>
      </w:pPr>
      <w:r>
        <w:t xml:space="preserve">Hypothesis one: cross-sectional structure</w:t>
      </w:r>
    </w:p>
    <w:p>
      <w:pPr>
        <w:pStyle w:val="FirstParagraph"/>
        <w:spacing w:line="480" w:lineRule="auto"/>
      </w:pPr>
      <w:r>
        <w:t xml:space="preserve">Hypothesis one concerns structure across the corpus at a point in time. Paper one operationalizes the claim through a composite signal_score and the predictors recency_index, cites_num, and venue_score. H0: the topic-signal score is unrelated to publication recency, citation attention, and venue family. H1: the topic-signal score increases with recency and citation attention. The null is that the modeled outcome is unrelated to the specified predictors. The alternative is that at least one observed feature of the retrieved literature is systematically associated with the topic signal.</w:t>
      </w:r>
    </w:p>
    <w:p>
      <w:pPr>
        <w:pStyle w:val="BodyText"/>
        <w:spacing w:line="480" w:lineRule="auto"/>
        <w:ind w:firstLine="720"/>
      </w:pPr>
      <w:r>
        <w:t xml:space="preserve">Each predictor carries a distinct theoretical meaning. Recency tests whether the topic is a recent arrival, which would suggest an emerging concern rather than a settled one. Citation count tests whether the topic is drawing scholarly attention, the currency of academic salience. Venue score tests whether the topic has migrated toward venues with greater disciplinary authority, which the coding ranks from AMOS proceedings through Acta Astronautica to space-economy sources. A topic that is priced-adjacent should show its strongest signal in the venues where economics and governance are discussed, not in operational proceedings</w:t>
      </w:r>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hypothesis is deliberately falsifiable against three separate predictors, which raises the bar. A single significant coefficient in the expected direction would support the alternative for that channel only. The framework does not treat the three channels as substitutes. It treats them as distinct diagnostic tests, so that a finding of venue structure without recency or citation structure is itself an interpretable result about how the topic is distributed</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82"/>
    <w:bookmarkStart w:id="83" w:name="hypothesis-two-accumulation-over-time"/>
    <w:p>
      <w:pPr>
        <w:pStyle w:val="Heading2"/>
        <w:spacing w:line="480" w:lineRule="auto"/>
      </w:pPr>
      <w:r>
        <w:t xml:space="preserve">Hypothesis two: accumulation over time</w:t>
      </w:r>
    </w:p>
    <w:p>
      <w:pPr>
        <w:pStyle w:val="FirstParagraph"/>
        <w:spacing w:line="480" w:lineRule="auto"/>
      </w:pPr>
      <w:r>
        <w:t xml:space="preserve">Hypothesis two concerns accumulation. Paper two operationalizes the claim through cites_plus1 and age_index in a learning-curve form. H0: citation accumulation is unrelated to article age in the retrieved topic literature. H1: citation accumulation follows a measurable age-based attention curve. The null is that the age predictor does not explain the outcome. The alternative is that attention accrues along a measurable curve as documents age.</w:t>
      </w:r>
    </w:p>
    <w:p>
      <w:pPr>
        <w:pStyle w:val="BodyText"/>
        <w:spacing w:line="480" w:lineRule="auto"/>
        <w:ind w:firstLine="720"/>
      </w:pPr>
      <w:r>
        <w:t xml:space="preserve">Age is the only predictor here. That narrowness is deliberate</w:t>
      </w:r>
      <w:r>
        <w:t xml:space="preserve"> </w:t>
      </w:r>
      <w:hyperlink w:anchor="ref-10">
        <w:r>
          <w:rPr>
            <w:rStyle w:val="Hyperlink"/>
          </w:rPr>
          <w:t xml:space="preserve">[10]</w:t>
        </w:r>
      </w:hyperlink>
      <w:r>
        <w:t xml:space="preserve">.</w:t>
      </w:r>
    </w:p>
    <w:p>
      <w:pPr>
        <w:pStyle w:val="BodyText"/>
        <w:spacing w:line="480" w:lineRule="auto"/>
        <w:ind w:firstLine="720"/>
      </w:pPr>
      <w:r>
        <w:t xml:space="preserve">A learning-curve form matters theoretically. A log-log specification asks whether each doubling of a document’s age is associated with a proportional change in accumulated attention, the same functional shape used to describe experience effects in production and cost</w:t>
      </w:r>
      <w:r>
        <w:t xml:space="preserve"> </w:t>
      </w:r>
      <w:hyperlink w:anchor="ref-10">
        <w:r>
          <w:rPr>
            <w:rStyle w:val="Hyperlink"/>
          </w:rPr>
          <w:t xml:space="preserve">[10]</w:t>
        </w:r>
      </w:hyperlink>
      <w:r>
        <w:t xml:space="preserve">. If older documents carry systematically more citations, the corpus behaves like a maturing evidence base in which early work anchors later work. If age carries no signal, the corpus behaves like a scatter of independent contributions with no cumulative structure, which for an emerging topic is a plausible and informative outcome.</w:t>
      </w:r>
    </w:p>
    <w:p>
      <w:pPr>
        <w:pStyle w:val="BodyText"/>
        <w:spacing w:line="480" w:lineRule="auto"/>
        <w:ind w:firstLine="720"/>
      </w:pPr>
      <w:r>
        <w:t xml:space="preserve">This distinction between the two hypotheses is not cosmetic. Cross-sectional structure and temporal accumulation can diverge. A topic can concentrate in authoritative venues while showing no age curve, which would suggest recent institutional interest without a deep back-catalog. The two papers are therefore complementary diagnostic instruments, and the framework reads their agreement or disagreement as evidence about the topic’s stage of institutionalization</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83"/>
    <w:bookmarkStart w:id="84" w:name="the-two-hypotheses-as-a-joint-diagnostic"/>
    <w:p>
      <w:pPr>
        <w:pStyle w:val="Heading2"/>
        <w:spacing w:line="480" w:lineRule="auto"/>
      </w:pPr>
      <w:r>
        <w:t xml:space="preserve">The two hypotheses as a joint diagnostic</w:t>
      </w:r>
    </w:p>
    <w:p>
      <w:pPr>
        <w:pStyle w:val="FirstParagraph"/>
        <w:spacing w:line="480" w:lineRule="auto"/>
      </w:pPr>
      <w:r>
        <w:t xml:space="preserve">Reading the two hypotheses jointly, rather than in isolation, is where the framework gains its power, and the logic of that joint reading deserves explicit statement. Four combinations are possible. Venue structure with an age curve would describe a mature, venue-concentrated field with a deep back-catalog. Venue structure without an age curve would describe a recent arrival that has reached authoritative venues quickly. An age curve without venue structure would describe an old topic scattered across venues. Neither structure would describe a topic too weakly represented in the corpus to register at all.</w:t>
      </w:r>
    </w:p>
    <w:p>
      <w:pPr>
        <w:pStyle w:val="BodyText"/>
        <w:spacing w:line="480" w:lineRule="auto"/>
        <w:ind w:firstLine="720"/>
      </w:pPr>
      <w:r>
        <w:t xml:space="preserve">Each of these four cells carries a distinct meaning for how far the carbon ledger of launch has traveled toward becoming a priced externality, and the two screens together locate the topic in one of them. That is why the design refuses to collapse the two papers into a single omnibus test. An omnibus test would report only whether some structure exists, discarding the far more informative question of which kind. The framework treats the pair of screens as coordinates on a two-dimensional map of institutionalization, and the topic’s position on that map is the theoretical payload the empirical chapters deliver</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joint reading also guards against a specific error, the temptation to treat a null on one screen as invalidating the finding on the other. A flat age curve does not undercut a venue effect; the two measure different things, and their divergence is a result, not a contradiction. By committing in advance to interpret each combination on its own terms, the framework ensures that a mixed outcome, which is the most likely outcome for an emerging topic, is read as signal rather than as noise or failure</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bookmarkEnd w:id="84"/>
    <w:bookmarkStart w:id="85" w:name="the-theorys-stance-on-causation"/>
    <w:p>
      <w:pPr>
        <w:pStyle w:val="Heading2"/>
        <w:spacing w:line="480" w:lineRule="auto"/>
      </w:pPr>
      <w:r>
        <w:t xml:space="preserve">The theory’s stance on causation</w:t>
      </w:r>
    </w:p>
    <w:p>
      <w:pPr>
        <w:pStyle w:val="FirstParagraph"/>
        <w:spacing w:line="480" w:lineRule="auto"/>
      </w:pPr>
      <w:r>
        <w:t xml:space="preserve">This framework theorizes association, not causation, and the reason is worth stating as a matter of theory rather than only of method. A causal claim would require that venue placement, or recency, or citation attention, produces the topic signal through some mechanism the design could isolate. The design cannot isolate such a mechanism, because the corpus is a set of documents about the topic rather than a set of interventions on it. What the theory can claim is that the topic organizes itself across observable features in a patterned way, and that the pattern is informative about the topic’s stage of institutionalization</w:t>
      </w:r>
      <w:r>
        <w:t xml:space="preserve"> </w:t>
      </w:r>
      <w:hyperlink w:anchor="ref-6">
        <w:r>
          <w:rPr>
            <w:rStyle w:val="Hyperlink"/>
          </w:rPr>
          <w:t xml:space="preserve">[6]</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This is a claim about how attention is distributed, not about what causes any single record to carry signal. Keeping the theoretical claim at the level of distribution, rather than reaching for a causal story the data cannot bear, is what lets the framework support honest interpretation of whatever the estimators return.</w:t>
      </w:r>
    </w:p>
    <w:bookmarkEnd w:id="85"/>
    <w:bookmarkStart w:id="86" w:name="rival-explanations"/>
    <w:p>
      <w:pPr>
        <w:pStyle w:val="Heading2"/>
        <w:spacing w:line="480" w:lineRule="auto"/>
      </w:pPr>
      <w:r>
        <w:t xml:space="preserve">Rival explanations</w:t>
      </w:r>
    </w:p>
    <w:p>
      <w:pPr>
        <w:pStyle w:val="FirstParagraph"/>
        <w:spacing w:line="480" w:lineRule="auto"/>
      </w:pPr>
      <w:r>
        <w:t xml:space="preserve">Rivals are named here rather than wished away. A result may reflect venue effects rather than substantive importance, because the venue score is ordinal and correlates with citation conventions. It may reflect source-family coverage rather than field maturity, because the retrieval that built the corpus is itself a sampling process. It may reflect citation age rather than current policy relevance, because older documents accumulate citations mechanically. It may reflect metadata availability rather than the true distribution of activity, because some records report no citation count at all</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These rivals are reasons to qualify the claims and report the model limits plainly. The design absorbs some of them by construction. Robust HC1 standard errors guard against the heteroskedasticity that an ordinal venue predictor invites. The plus-one transformation in paper two keeps uncited records in the sample rather than discarding them, which prevents survivorship bias toward well-cited work. What the design cannot absorb, it names, so that a reader can weigh the coefficient against the rival that most threatens it</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w:t>
      </w:r>
    </w:p>
    <w:bookmarkEnd w:id="86"/>
    <w:bookmarkStart w:id="87" w:name="predictions-stated-in-advance"/>
    <w:p>
      <w:pPr>
        <w:pStyle w:val="Heading2"/>
        <w:spacing w:line="480" w:lineRule="auto"/>
      </w:pPr>
      <w:r>
        <w:t xml:space="preserve">Predictions stated in advance</w:t>
      </w:r>
    </w:p>
    <w:p>
      <w:pPr>
        <w:pStyle w:val="FirstParagraph"/>
        <w:spacing w:line="480" w:lineRule="auto"/>
      </w:pPr>
      <w:r>
        <w:t xml:space="preserve">Discipline requires stating the predictions before the coefficients are read, so the framework commits to them here. Under the alternative hypothesis, the venue coefficient should be positive, because a priced-adjacent topic should concentrate in the economics-oriented and peer-reviewed venues rather than in operational proceedings. Under the alternative, the recency coefficient should also be positive, because an emerging concern should be denser in recent records. The citation coefficient should be positive as well, because scholarly attention should track topical importance. The framework predicts all three signs in advance and treats each as a separate wager.</w:t>
      </w:r>
    </w:p>
    <w:p>
      <w:pPr>
        <w:pStyle w:val="BodyText"/>
        <w:spacing w:line="480" w:lineRule="auto"/>
        <w:ind w:firstLine="720"/>
      </w:pPr>
      <w:r>
        <w:t xml:space="preserve">The framework also commits, in advance, to how it will read partial results. If only the venue coefficient is precise, the reading is that the topic is organized by venue but not yet by time or attention, the signature of a recent, venue-concentrated arrival. If only recency is precise, the reading is a rapidly emerging topic without settled venue placement. If none is precise, the reading is that the corpus is too small or too noisy to detect structure, which sends the design back to a larger sample. Pre-committing to these interpretations prevents the retrospective storytelling that makes weak findings look strong</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value of a pre-registered reading is that it holds whether the coefficients cooperate or not.</w:t>
      </w:r>
    </w:p>
    <w:p>
      <w:pPr>
        <w:pStyle w:val="BodyText"/>
        <w:spacing w:line="480" w:lineRule="auto"/>
        <w:ind w:firstLine="720"/>
      </w:pPr>
      <w:r>
        <w:t xml:space="preserve">For the temporal hypothesis, the prediction is symmetric. Under the alternative, the age elasticity should be positive and precise, meaning older documents anchor more accumulated attention. A negative or null elasticity would count against the alternative and toward a picture of a topic with no cumulative back-catalog. The framework does not treat a null here as a failure of the study, because the null is itself an interpretable statement about the topic’s maturity</w:t>
      </w:r>
      <w:r>
        <w:t xml:space="preserve"> </w:t>
      </w:r>
      <w:hyperlink w:anchor="ref-5">
        <w:r>
          <w:rPr>
            <w:rStyle w:val="Hyperlink"/>
          </w:rPr>
          <w:t xml:space="preserve">[5]</w:t>
        </w:r>
      </w:hyperlink>
      <w:r>
        <w:t xml:space="preserve"> </w:t>
      </w:r>
      <w:hyperlink w:anchor="ref-10">
        <w:r>
          <w:rPr>
            <w:rStyle w:val="Hyperlink"/>
          </w:rPr>
          <w:t xml:space="preserve">[10]</w:t>
        </w:r>
      </w:hyperlink>
      <w:r>
        <w:t xml:space="preserve">. An emerging concern is expected to lack a deep age structure, so a null on age would cohere with a positive venue coefficient rather than contradict it.</w:t>
      </w:r>
    </w:p>
    <w:bookmarkEnd w:id="87"/>
    <w:bookmarkStart w:id="88" w:name="an-evidence-ladder"/>
    <w:p>
      <w:pPr>
        <w:pStyle w:val="Heading2"/>
        <w:spacing w:line="480" w:lineRule="auto"/>
      </w:pPr>
      <w:r>
        <w:t xml:space="preserve">An evidence ladder</w:t>
      </w:r>
    </w:p>
    <w:p>
      <w:pPr>
        <w:pStyle w:val="FirstParagraph"/>
        <w:spacing w:line="480" w:lineRule="auto"/>
      </w:pPr>
      <w:r>
        <w:t xml:space="preserve">An evidence ladder with three rungs follows from the theory. A significant coefficient shows association inside the retained corpus. A stable model fit supports using the corpus as a measurement base for a later study. A weak or unstable coefficient still informs, because it shows that the available evidence cannot sustain the broader claim and marks where new data collection must improve. The framework treats all three outcomes as scholarly evidence, provided the interpretation stays tied to the source trail</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88"/>
    <w:bookmarkStart w:id="89" w:name="X45ec81ad3967c5273ca6b9004084e3c2ffa5f44"/>
    <w:p>
      <w:pPr>
        <w:pStyle w:val="Heading2"/>
        <w:spacing w:line="480" w:lineRule="auto"/>
      </w:pPr>
      <w:r>
        <w:t xml:space="preserve">Connecting the mechanism to the physical ledger</w:t>
      </w:r>
    </w:p>
    <w:p>
      <w:pPr>
        <w:pStyle w:val="FirstParagraph"/>
        <w:spacing w:line="480" w:lineRule="auto"/>
      </w:pPr>
      <w:r>
        <w:t xml:space="preserve">This framework must connect its attention mechanism to the physical burden the title names, or it risks studying citations for their own sake. The connection runs through the decomposition borrowed from systems-engineering sustainability work</w:t>
      </w:r>
      <w:r>
        <w:t xml:space="preserve"> </w:t>
      </w:r>
      <w:hyperlink w:anchor="ref-12">
        <w:r>
          <w:rPr>
            <w:rStyle w:val="Hyperlink"/>
          </w:rPr>
          <w:t xml:space="preserve">[12]</w:t>
        </w:r>
      </w:hyperlink>
      <w:r>
        <w:t xml:space="preserve">. The environmental state, atmospheric burden, is measured in the life-cycle and emissions literature</w:t>
      </w:r>
      <w:r>
        <w:t xml:space="preserve"> </w:t>
      </w:r>
      <w:hyperlink w:anchor="ref-9">
        <w:r>
          <w:rPr>
            <w:rStyle w:val="Hyperlink"/>
          </w:rPr>
          <w:t xml:space="preserve">[9]</w:t>
        </w:r>
      </w:hyperlink>
      <w:r>
        <w:t xml:space="preserve"> </w:t>
      </w:r>
      <w:hyperlink w:anchor="ref-13">
        <w:r>
          <w:rPr>
            <w:rStyle w:val="Hyperlink"/>
          </w:rPr>
          <w:t xml:space="preserve">[13]</w:t>
        </w:r>
      </w:hyperlink>
      <w:r>
        <w:t xml:space="preserve">. The decision, launch cadence, is documented in the program and cost literature</w:t>
      </w:r>
      <w:r>
        <w:t xml:space="preserve"> </w:t>
      </w:r>
      <w:hyperlink w:anchor="ref-4">
        <w:r>
          <w:rPr>
            <w:rStyle w:val="Hyperlink"/>
          </w:rPr>
          <w:t xml:space="preserve">[4]</w:t>
        </w:r>
      </w:hyperlink>
      <w:r>
        <w:t xml:space="preserve"> </w:t>
      </w:r>
      <w:hyperlink w:anchor="ref-10">
        <w:r>
          <w:rPr>
            <w:rStyle w:val="Hyperlink"/>
          </w:rPr>
          <w:t xml:space="preserve">[10]</w:t>
        </w:r>
      </w:hyperlink>
      <w:r>
        <w:t xml:space="preserve">. The technology, propellant and materials choice, appears in the emissions and materials studies</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The theory predicts that records connecting these terms, the records that treat launch as an environmental decision rather than a pure engineering feat, are the ones that should carry the topic signal and cluster in the higher venue tiers.</w:t>
      </w:r>
    </w:p>
    <w:p>
      <w:pPr>
        <w:pStyle w:val="BodyText"/>
        <w:spacing w:line="480" w:lineRule="auto"/>
        <w:ind w:firstLine="720"/>
      </w:pPr>
      <w:r>
        <w:t xml:space="preserve">This is why a venue effect, if found, would speak to the physical question and not merely to citation sociology. A signal concentrated in economics-oriented and peer-reviewed engineering venues would indicate that the records doing the environmental accounting have found the venues where pricing is debated. That is the institutional precondition for a price. The mechanism thus links a measurable metadata pattern to a substantive claim about how close the field stands to internalizing the launch externality, which is the whole point of studying the corpus rather than a random sample of space documents</w:t>
      </w:r>
      <w:r>
        <w:t xml:space="preserve"> </w:t>
      </w:r>
      <w:hyperlink w:anchor="ref-16">
        <w:r>
          <w:rPr>
            <w:rStyle w:val="Hyperlink"/>
          </w:rPr>
          <w:t xml:space="preserve">[16]</w:t>
        </w:r>
      </w:hyperlink>
      <w:r>
        <w:t xml:space="preserve">.</w:t>
      </w:r>
    </w:p>
    <w:p>
      <w:pPr>
        <w:pStyle w:val="BodyText"/>
        <w:spacing w:line="480" w:lineRule="auto"/>
        <w:ind w:firstLine="720"/>
      </w:pPr>
      <w:r>
        <w:t xml:space="preserve">The linkage also disciplines what a null would mean. If the signal did not concentrate by venue, the reading would be that the environmental accounting records are scattered across operational and technical venues without reaching the economics conversation, a field earlier in the maturation path than the alternative supposes. Either way, the coefficient maps onto a stage of institutionalization, which is the translation the framework exists to provide</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That posture is the theoretical payoff of a documentary design. The dissertation does not need a large effect to make a contribution. It needs an honest map of where the field’s attention currently sits, drawn with instruments transparent enough that the next researcher can extend them. Whether the coefficients come back strong or weak, the framework converts them into a statement about how far the carbon ledger of launch has traveled along the path from observed hazard to priced externality</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The framework’s final commitment is to symmetry between confirmation and disconfirmation. A confirmed prediction and a disconfirmed one are read with the same instruments and reported with the same candor, so that neither the hope of a strong result nor the fear of a weak one distorts the interpretation. This symmetry is what makes the design a test rather than an advocacy exercise. A study that could only find support for its topic’s salience would prove nothing, because it could never fail; a study that can genuinely fail in each channel, and reports where it fails, earns the right to be believed where it succeeds</w:t>
      </w:r>
      <w:r>
        <w:t xml:space="preserve"> </w:t>
      </w:r>
      <w:hyperlink w:anchor="ref-4">
        <w:r>
          <w:rPr>
            <w:rStyle w:val="Hyperlink"/>
          </w:rPr>
          <w:t xml:space="preserve">[4]</w:t>
        </w:r>
      </w:hyperlink>
      <w:r>
        <w:t xml:space="preserve"> </w:t>
      </w:r>
      <w:hyperlink w:anchor="ref-7">
        <w:r>
          <w:rPr>
            <w:rStyle w:val="Hyperlink"/>
          </w:rPr>
          <w:t xml:space="preserve">[7]</w:t>
        </w:r>
      </w:hyperlink>
      <w:r>
        <w:t xml:space="preserve">. The theory is built to be falsifiable in exactly that sense, and the chapters that follow honor the falsifiability by letting the coefficients, not the ambition, decide each claim.</w:t>
      </w:r>
    </w:p>
    <w:bookmarkEnd w:id="89"/>
    <w:bookmarkEnd w:id="90"/>
    <w:bookmarkStart w:id="101"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The dissertation uses two estimators, each matched to one hypothesis. Paper one fits an ordinary least squares model to test cross-sectional structure. Paper two fits a log-log learning-curve model to test temporal accumulation. Both run on the same corpus of thirty retrieved source records, both use robust HC1 standard errors, and both report only deterministic workbook output</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This chapter specifies each estimator and argues why it identifies structure in the corpus rather than an artifact of retrieval.</w:t>
      </w:r>
    </w:p>
    <w:bookmarkStart w:id="91" w:name="the-ordinary-least-squares-screen"/>
    <w:p>
      <w:pPr>
        <w:pStyle w:val="Heading2"/>
        <w:spacing w:line="480" w:lineRule="auto"/>
      </w:pPr>
      <w:r>
        <w:t xml:space="preserve">The ordinary least squares screen</w:t>
      </w:r>
    </w:p>
    <w:p>
      <w:pPr>
        <w:pStyle w:val="FirstParagraph"/>
        <w:spacing w:line="480" w:lineRule="auto"/>
      </w:pPr>
      <w:r>
        <w:t xml:space="preserve">Paper one estimates the model SignalScore_i = alpha + beta_1 RecencyIndex_i + beta_2 Cites_i + beta_3 VenueScore_i + epsilon_i. The outcome is a composite topic-signal score. The three predictors are the recency index, the reported citation count, and the ordinal venue-family score. The estimator is ordinary least squares, the workhorse of cross-sectional analysis, chosen because the hypothesis is about linear association between observable features and a continuous signal, not about a latent process that would demand a structural model</w:t>
      </w:r>
      <w:r>
        <w:t xml:space="preserve"> </w:t>
      </w:r>
      <w:hyperlink w:anchor="ref-6">
        <w:r>
          <w:rPr>
            <w:rStyle w:val="Hyperlink"/>
          </w:rPr>
          <w:t xml:space="preserve">[6]</w:t>
        </w:r>
      </w:hyperlink>
      <w:r>
        <w:t xml:space="preserve">.</w:t>
      </w:r>
    </w:p>
    <w:p>
      <w:pPr>
        <w:pStyle w:val="BodyText"/>
        <w:spacing w:line="480" w:lineRule="auto"/>
        <w:ind w:firstLine="720"/>
      </w:pPr>
      <w:r>
        <w:t xml:space="preserve">Ordinary least squares is the right instrument here for a specific reason. The question is descriptive in the precise sense that it asks whether the corpus, as retrieved, carries measurable structure. A more elaborate estimator would import assumptions the design does not want: a hierarchical model would assume a grouping structure the corpus does not cleanly provide, and an instrumental-variables design would require an exclusion restriction that no available variable satisfies. The plain linear model states its assumptions openly and lets the reader judge them against the data.</w:t>
      </w:r>
    </w:p>
    <w:p>
      <w:pPr>
        <w:pStyle w:val="BodyText"/>
        <w:spacing w:line="480" w:lineRule="auto"/>
        <w:ind w:firstLine="720"/>
      </w:pPr>
      <w:r>
        <w:t xml:space="preserve">Robust HC1 standard errors are a deliberate choice. The venue-score predictor is ordinal and takes only three values, which almost guarantees that the error variance differs across venue families. Conventional standard errors would understate uncertainty in that setting. HC1 correction adjusts for the heteroskedasticity that the predictor structure invites, so the reported p-values are conservative with respect to the most obvious threat to their calibration</w:t>
      </w:r>
      <w:r>
        <w:t xml:space="preserve"> </w:t>
      </w:r>
      <w:hyperlink w:anchor="ref-7">
        <w:r>
          <w:rPr>
            <w:rStyle w:val="Hyperlink"/>
          </w:rPr>
          <w:t xml:space="preserve">[7]</w:t>
        </w:r>
      </w:hyperlink>
      <w:r>
        <w:t xml:space="preserve">. The correction does not change the coefficients; it changes the confidence with which they can be read, which is exactly the discipline a documentary design requires.</w:t>
      </w:r>
    </w:p>
    <w:p>
      <w:pPr>
        <w:pStyle w:val="BodyText"/>
        <w:spacing w:line="480" w:lineRule="auto"/>
        <w:ind w:firstLine="720"/>
      </w:pPr>
      <w:r>
        <w:t xml:space="preserve">The venue predictor takes three values. Constant error variance is implausible, and the correction says so</w:t>
      </w:r>
      <w:r>
        <w:t xml:space="preserve"> </w:t>
      </w:r>
      <w:hyperlink w:anchor="ref-7">
        <w:r>
          <w:rPr>
            <w:rStyle w:val="Hyperlink"/>
          </w:rPr>
          <w:t xml:space="preserve">[7]</w:t>
        </w:r>
      </w:hyperlink>
      <w:r>
        <w:t xml:space="preserve">.</w:t>
      </w:r>
    </w:p>
    <w:bookmarkEnd w:id="91"/>
    <w:bookmarkStart w:id="92" w:name="X7f6de3419f98fa0f1c81616af82535e14f78e67"/>
    <w:p>
      <w:pPr>
        <w:pStyle w:val="Heading2"/>
        <w:spacing w:line="480" w:lineRule="auto"/>
      </w:pPr>
      <w:r>
        <w:t xml:space="preserve">What the ordinary least squares model identifies</w:t>
      </w:r>
    </w:p>
    <w:p>
      <w:pPr>
        <w:pStyle w:val="FirstParagraph"/>
        <w:spacing w:line="480" w:lineRule="auto"/>
      </w:pPr>
      <w:r>
        <w:t xml:space="preserve">Identification in this design is modest and precise. The model identifies the partial association between each predictor and the signal score, holding the other two predictors fixed, within the retrieved corpus. It does not identify a causal effect of recency, attention, or venue on the underlying atmospheric hazard. It cannot, because the corpus is a sample of documents about the topic, not a sample of launches or of governance decisions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Clearest of the three, the venue coefficient carries real identifying content. Because venue score ranks source families by disciplinary authority, a positive and precise venue coefficient would identify a real fact about the corpus: the topic signal concentrates in the more authoritative venues. That is a statement about where the field’s attention sits, and it is identified because venue family is coded deterministically from the source string, not inferred from the outcome. The recency and citation coefficients identify analogous facts about time and attention, subject to the caveat that citation counts are local index measures rather than universal counts</w:t>
      </w:r>
      <w:r>
        <w:t xml:space="preserve"> </w:t>
      </w:r>
      <w:hyperlink w:anchor="ref-8">
        <w:r>
          <w:rPr>
            <w:rStyle w:val="Hyperlink"/>
          </w:rPr>
          <w:t xml:space="preserve">[8]</w:t>
        </w:r>
      </w:hyperlink>
      <w:r>
        <w:t xml:space="preserve">.</w:t>
      </w:r>
    </w:p>
    <w:p>
      <w:pPr>
        <w:pStyle w:val="BodyText"/>
        <w:spacing w:line="480" w:lineRule="auto"/>
        <w:ind w:firstLine="720"/>
      </w:pPr>
      <w:r>
        <w:t xml:space="preserve">The threat to identification the design most respects is retrieval selection. The corpus was assembled by a search process, and any structure it shows could in principle reflect the search rather than the field. The design cannot eliminate this threat, so it bounds the claim: every result is a statement about the retained corpus, offered as a screen that a later document-coding study can confirm or overturn on a corpus built by a different sampling rule</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bookmarkEnd w:id="92"/>
    <w:bookmarkStart w:id="93" w:name="the-small-sample-posture"/>
    <w:p>
      <w:pPr>
        <w:pStyle w:val="Heading2"/>
        <w:spacing w:line="480" w:lineRule="auto"/>
      </w:pPr>
      <w:r>
        <w:t xml:space="preserve">The small-sample posture</w:t>
      </w:r>
    </w:p>
    <w:p>
      <w:pPr>
        <w:pStyle w:val="FirstParagraph"/>
        <w:spacing w:line="480" w:lineRule="auto"/>
      </w:pPr>
      <w:r>
        <w:t xml:space="preserve">Thirty observations is a small sample, and the methodology confronts that fact rather than hiding it. A three-predictor model on thirty records spends three degrees of freedom on slopes and one on the intercept, leaving twenty-six for error. That is enough to estimate the model, but it is not enough to chase subtle interactions or higher-order terms, and the design deliberately does not attempt them. The specification stays linear and additive because the sample cannot support anything richer without overfitting, and an overfitted screen would be worse than a modest one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A small sample also shapes how the results should be read. A single strong predictor can clear a significance threshold even in a small sample if its effect is large relative to the noise, which is what gives the venue test its power. A weak predictor will fail to clear the threshold not necessarily because its true effect is zero but because thirty records cannot distinguish a small effect from zero. The methodology therefore treats a null on any predictor as a statement about detectable structure at this sample size, not as proof of a true null. That distinction is carried explicitly into the results and discussion so that the reader never mistakes an underpowered null for a demonstrated absence</w:t>
      </w:r>
      <w:r>
        <w:t xml:space="preserve"> </w:t>
      </w:r>
      <w:hyperlink w:anchor="ref-8">
        <w:r>
          <w:rPr>
            <w:rStyle w:val="Hyperlink"/>
          </w:rPr>
          <w:t xml:space="preserve">[8]</w:t>
        </w:r>
      </w:hyperlink>
      <w:r>
        <w:t xml:space="preserve">.</w:t>
      </w:r>
    </w:p>
    <w:p>
      <w:pPr>
        <w:pStyle w:val="BodyText"/>
        <w:spacing w:line="480" w:lineRule="auto"/>
        <w:ind w:firstLine="720"/>
      </w:pPr>
      <w:r>
        <w:t xml:space="preserve">Adjusted R-squared earns its place in this posture. The unadjusted fit statistic rises mechanically as predictors are added, so on a small sample it flatters the model. The adjusted statistic penalizes each predictor against the degrees of freedom it consumes, and reporting it alongside the raw figure lets the reader see how much of the gross fit is real and how much is the arithmetic of a short sample. The design reports both, because concealing the adjustment would let a weak model masquerade as a strong one</w:t>
      </w:r>
      <w:r>
        <w:t xml:space="preserve"> </w:t>
      </w:r>
      <w:hyperlink w:anchor="ref-6">
        <w:r>
          <w:rPr>
            <w:rStyle w:val="Hyperlink"/>
          </w:rPr>
          <w:t xml:space="preserve">[6]</w:t>
        </w:r>
      </w:hyperlink>
      <w:r>
        <w:t xml:space="preserve">.</w:t>
      </w:r>
    </w:p>
    <w:bookmarkEnd w:id="93"/>
    <w:bookmarkStart w:id="94" w:name="the-learning-curve-screen"/>
    <w:p>
      <w:pPr>
        <w:pStyle w:val="Heading2"/>
        <w:spacing w:line="480" w:lineRule="auto"/>
      </w:pPr>
      <w:r>
        <w:t xml:space="preserve">The learning-curve screen</w:t>
      </w:r>
    </w:p>
    <w:p>
      <w:pPr>
        <w:pStyle w:val="FirstParagraph"/>
        <w:spacing w:line="480" w:lineRule="auto"/>
      </w:pPr>
      <w:r>
        <w:t xml:space="preserve">Paper two estimates the model ln(CitesPlus1_i) = alpha + beta_1 ln(AgeIndex_i) + epsilon_i. The outcome is the natural log of citation count plus one. The single predictor is the natural log of document age. The estimator is a log-log ordinary least squares model with robust HC1 standard errors, the standard functional form for a learning or experience curve, in which the slope coefficient is an elasticity and two raised to that slope is the progress ratio per doubling of age</w:t>
      </w:r>
      <w:r>
        <w:t xml:space="preserve"> </w:t>
      </w:r>
      <w:hyperlink w:anchor="ref-10">
        <w:r>
          <w:rPr>
            <w:rStyle w:val="Hyperlink"/>
          </w:rPr>
          <w:t xml:space="preserve">[10]</w:t>
        </w:r>
      </w:hyperlink>
      <w:r>
        <w:t xml:space="preserve">.</w:t>
      </w:r>
    </w:p>
    <w:p>
      <w:pPr>
        <w:pStyle w:val="BodyText"/>
        <w:spacing w:line="480" w:lineRule="auto"/>
        <w:ind w:firstLine="720"/>
      </w:pPr>
      <w:r>
        <w:t xml:space="preserve">This learning-curve form is chosen because the hypothesis is explicitly about proportional accumulation. A linear model would test whether older documents carry more citations by a constant amount per year, which is the wrong shape for a citation process that compounds. The log-log form tests whether each doubling of age is associated with a constant proportional change in accumulated attention, which is the correct shape for a maturing evidence base and the natural null against which to detect its absence</w:t>
      </w:r>
      <w:r>
        <w:t xml:space="preserve"> </w:t>
      </w:r>
      <w:hyperlink w:anchor="ref-3">
        <w:r>
          <w:rPr>
            <w:rStyle w:val="Hyperlink"/>
          </w:rPr>
          <w:t xml:space="preserve">[3]</w:t>
        </w:r>
      </w:hyperlink>
      <w:r>
        <w:t xml:space="preserve">.</w:t>
      </w:r>
    </w:p>
    <w:p>
      <w:pPr>
        <w:pStyle w:val="BodyText"/>
        <w:spacing w:line="480" w:lineRule="auto"/>
        <w:ind w:firstLine="720"/>
      </w:pPr>
      <w:r>
        <w:t xml:space="preserve">That plus-one transformation is not cosmetic. Many records in the corpus report zero citations, and the logarithm of zero is undefined. Adding one before the log keeps every uncited record in the estimation sample. This choice guards against a subtle selection problem: dropping uncited records would bias the sample toward well-cited work and manufacture an age curve where none exists. By retaining the full sample, the design lets the data show a flat relationship if the true relationship is flat</w:t>
      </w:r>
      <w:r>
        <w:t xml:space="preserve"> </w:t>
      </w:r>
      <w:hyperlink w:anchor="ref-5">
        <w:r>
          <w:rPr>
            <w:rStyle w:val="Hyperlink"/>
          </w:rPr>
          <w:t xml:space="preserve">[5]</w:t>
        </w:r>
      </w:hyperlink>
      <w:r>
        <w:t xml:space="preserve">.</w:t>
      </w:r>
    </w:p>
    <w:p>
      <w:pPr>
        <w:pStyle w:val="BodyText"/>
        <w:spacing w:line="480" w:lineRule="auto"/>
        <w:ind w:firstLine="720"/>
      </w:pPr>
      <w:r>
        <w:t xml:space="preserve">Half the corpus reports zero citations. Drop them and the age curve is a fiction</w:t>
      </w:r>
      <w:r>
        <w:t xml:space="preserve"> </w:t>
      </w:r>
      <w:hyperlink w:anchor="ref-5">
        <w:r>
          <w:rPr>
            <w:rStyle w:val="Hyperlink"/>
          </w:rPr>
          <w:t xml:space="preserve">[5]</w:t>
        </w:r>
      </w:hyperlink>
      <w:r>
        <w:t xml:space="preserve">.</w:t>
      </w:r>
    </w:p>
    <w:bookmarkEnd w:id="94"/>
    <w:bookmarkStart w:id="95" w:name="what-the-learning-curve-model-identifies"/>
    <w:p>
      <w:pPr>
        <w:pStyle w:val="Heading2"/>
        <w:spacing w:line="480" w:lineRule="auto"/>
      </w:pPr>
      <w:r>
        <w:t xml:space="preserve">What the learning-curve model identifies</w:t>
      </w:r>
    </w:p>
    <w:p>
      <w:pPr>
        <w:pStyle w:val="FirstParagraph"/>
        <w:spacing w:line="480" w:lineRule="auto"/>
      </w:pPr>
      <w:r>
        <w:t xml:space="preserve">The learning-curve model identifies the elasticity of accumulated attention with respect to document age within the corpus. A negative elasticity would mean newer documents carry more attention per unit age, which for an emerging topic would indicate a burst of recent interest. A positive elasticity would mean older documents anchor the field. An elasticity near zero, with a wide confidence interval, would identify the absence of any systematic age structure, which is itself a finding about the maturity of the topic</w:t>
      </w:r>
      <w:r>
        <w:t xml:space="preserve"> </w:t>
      </w:r>
      <w:hyperlink w:anchor="ref-6">
        <w:r>
          <w:rPr>
            <w:rStyle w:val="Hyperlink"/>
          </w:rPr>
          <w:t xml:space="preserve">[6]</w:t>
        </w:r>
      </w:hyperlink>
      <w:r>
        <w:t xml:space="preserve">.</w:t>
      </w:r>
    </w:p>
    <w:p>
      <w:pPr>
        <w:pStyle w:val="BodyText"/>
        <w:spacing w:line="480" w:lineRule="auto"/>
        <w:ind w:firstLine="720"/>
      </w:pPr>
      <w:r>
        <w:t xml:space="preserve">This estimator shares the corpus-boundedness of the first. It does not identify how the topic will accumulate attention in the future, nor how a differently sampled corpus would behave. It identifies the shape of the age-attention relationship in the thirty records the candidate retained. That boundary is stated so that the results chapter can interpret the elasticity as a description of the sample rather than a forecast</w:t>
      </w:r>
      <w:r>
        <w:t xml:space="preserve"> </w:t>
      </w:r>
      <w:hyperlink w:anchor="ref-4">
        <w:r>
          <w:rPr>
            <w:rStyle w:val="Hyperlink"/>
          </w:rPr>
          <w:t xml:space="preserve">[4]</w:t>
        </w:r>
      </w:hyperlink>
      <w:r>
        <w:t xml:space="preserve">.</w:t>
      </w:r>
    </w:p>
    <w:bookmarkEnd w:id="95"/>
    <w:bookmarkStart w:id="96" w:name="Xeadbf5ec646dde62318e827cb89ea383a327aa2"/>
    <w:p>
      <w:pPr>
        <w:pStyle w:val="Heading2"/>
        <w:spacing w:line="480" w:lineRule="auto"/>
      </w:pPr>
      <w:r>
        <w:t xml:space="preserve">The role of robust standard errors in both models</w:t>
      </w:r>
    </w:p>
    <w:p>
      <w:pPr>
        <w:pStyle w:val="FirstParagraph"/>
        <w:spacing w:line="480" w:lineRule="auto"/>
      </w:pPr>
      <w:r>
        <w:t xml:space="preserve">Robust HC1 standard errors appear in both estimators, and the choice is substantive rather than a default. In the cross-sectional model, the ordinal venue predictor and the right-skewed signal outcome together make constant error variance implausible; records at the top of the venue scale plausibly have different residual spread than those at the bottom. Conventional standard errors assume homoskedasticity and would report false precision if that assumption fails. HC1 relaxes it, adjusting the standard errors to the variance the residuals actually exhibit, so the reported p-values are calibrated to the data rather than to an assumption the data violate</w:t>
      </w:r>
      <w:r>
        <w:t xml:space="preserve"> </w:t>
      </w:r>
      <w:hyperlink w:anchor="ref-7">
        <w:r>
          <w:rPr>
            <w:rStyle w:val="Hyperlink"/>
          </w:rPr>
          <w:t xml:space="preserve">[7]</w:t>
        </w:r>
      </w:hyperlink>
      <w:r>
        <w:t xml:space="preserve">.</w:t>
      </w:r>
    </w:p>
    <w:p>
      <w:pPr>
        <w:pStyle w:val="BodyText"/>
        <w:spacing w:line="480" w:lineRule="auto"/>
        <w:ind w:firstLine="720"/>
      </w:pPr>
      <w:r>
        <w:t xml:space="preserve">In the learning-curve model, the same reasoning applies to a different feature. Once citation counts are pushed through the plus-one log transformation, the many records at zero citations collapse to a single point at the bottom of the outcome, while the few heavily cited records spread across the top. That configuration all but guarantees non-constant variance, and the robust correction is what keeps the elasticity’s standard error honest. Without it, the near-zero slope might carry a falsely tight interval that could be misread as a precise null rather than an imprecise one</w:t>
      </w:r>
      <w:r>
        <w:t xml:space="preserve"> </w:t>
      </w:r>
      <w:hyperlink w:anchor="ref-5">
        <w:r>
          <w:rPr>
            <w:rStyle w:val="Hyperlink"/>
          </w:rPr>
          <w:t xml:space="preserve">[5]</w:t>
        </w:r>
      </w:hyperlink>
      <w:r>
        <w:t xml:space="preserve">.</w:t>
      </w:r>
    </w:p>
    <w:p>
      <w:pPr>
        <w:pStyle w:val="BodyText"/>
        <w:spacing w:line="480" w:lineRule="auto"/>
        <w:ind w:firstLine="720"/>
      </w:pPr>
      <w:r>
        <w:t xml:space="preserve">The correction changes only the standard errors, never the coefficients, and stating that plainly matters for interpretation. Robustness here buys credibility for the uncertainty, not for the point estimates. A reader who trusts the coefficients but doubts their precision is exactly the reader the design serves, and the robust correction is the mechanism by which the design earns that reader’s trust in its p-values</w:t>
      </w:r>
      <w:r>
        <w:t xml:space="preserve"> </w:t>
      </w:r>
      <w:hyperlink w:anchor="ref-8">
        <w:r>
          <w:rPr>
            <w:rStyle w:val="Hyperlink"/>
          </w:rPr>
          <w:t xml:space="preserve">[8]</w:t>
        </w:r>
      </w:hyperlink>
      <w:r>
        <w:t xml:space="preserve">.</w:t>
      </w:r>
    </w:p>
    <w:bookmarkEnd w:id="96"/>
    <w:bookmarkStart w:id="97" w:name="why-two-screens-rather-than-one"/>
    <w:p>
      <w:pPr>
        <w:pStyle w:val="Heading2"/>
        <w:spacing w:line="480" w:lineRule="auto"/>
      </w:pPr>
      <w:r>
        <w:t xml:space="preserve">Why two screens rather than one</w:t>
      </w:r>
    </w:p>
    <w:p>
      <w:pPr>
        <w:pStyle w:val="FirstParagraph"/>
        <w:spacing w:line="480" w:lineRule="auto"/>
      </w:pPr>
      <w:r>
        <w:t xml:space="preserve">Complementary by design, the two estimators are not redundant. The ordinary least squares model reads the corpus at a cross-section and asks where the signal concentrates. The learning-curve model reads the corpus longitudinally and asks whether attention accumulates with age. A topic can show venue structure without an age curve, or an age curve without venue structure, and the pair of screens can distinguish those cases where a single model could not</w:t>
      </w:r>
      <w:r>
        <w:t xml:space="preserve"> </w:t>
      </w:r>
      <w:hyperlink w:anchor="ref-1">
        <w:r>
          <w:rPr>
            <w:rStyle w:val="Hyperlink"/>
          </w:rPr>
          <w:t xml:space="preserve">[1]</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Running both on the identical corpus also provides an internal consistency check. Both models draw on the same source rows, the same citation field, and the same year field, so a reader can trace a single record through both specifications. If the two screens told contradictory stories about the same records, that contradiction would itself be diagnostic, signaling either a coding error or a genuinely mixed attention structure. The design welcomes that check rather than avoiding it</w:t>
      </w:r>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bookmarkEnd w:id="97"/>
    <w:bookmarkStart w:id="98" w:name="threats-the-estimators-cannot-absorb"/>
    <w:p>
      <w:pPr>
        <w:pStyle w:val="Heading2"/>
        <w:spacing w:line="480" w:lineRule="auto"/>
      </w:pPr>
      <w:r>
        <w:t xml:space="preserve">Threats the estimators cannot absorb</w:t>
      </w:r>
    </w:p>
    <w:p>
      <w:pPr>
        <w:pStyle w:val="FirstParagraph"/>
        <w:spacing w:line="480" w:lineRule="auto"/>
      </w:pPr>
      <w:r>
        <w:t xml:space="preserve">Honesty about identification requires naming the threats the estimators cannot correct, not only those they can. Robust standard errors handle heteroskedasticity, and the plus-one transformation handles the zero-citation records, but neither addresses the deepest threat, which is that the corpus is a retrieved sample rather than a census. If the retrieval that assembled the thirty records favored certain venues or years, the coefficients would partly encode the retrieval rule. No standard-error correction can undo a biased sampling frame</w:t>
      </w:r>
      <w:r>
        <w:t xml:space="preserve"> </w:t>
      </w:r>
      <w:hyperlink w:anchor="ref-12">
        <w:r>
          <w:rPr>
            <w:rStyle w:val="Hyperlink"/>
          </w:rPr>
          <w:t xml:space="preserve">[12]</w:t>
        </w:r>
      </w:hyperlink>
      <w:r>
        <w:t xml:space="preserve">.</w:t>
      </w:r>
    </w:p>
    <w:p>
      <w:pPr>
        <w:pStyle w:val="BodyText"/>
        <w:spacing w:line="480" w:lineRule="auto"/>
        <w:ind w:firstLine="720"/>
      </w:pPr>
      <w:r>
        <w:t xml:space="preserve">The design responds not by claiming to solve this threat but by bounding the claim to match it. Every result is stated as a property of the retained corpus. The venue coefficient, if precise, is described as venue concentration within these thirty records, offered as a screen for a later study built on a differently sampled base. This is a weaker claim than a population inference, and it is the correct claim, because it is the only one the sampling frame supports. A design that overstated its reach would trade honesty for a false sense of generality</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A second uncorrectable threat is omitted-variable bias. Author prominence, funding, and disciplinary fashion all plausibly move the signal score and correlate with venue, so the venue coefficient could absorb variation that belongs to an unmeasured correlate. The estimators cannot separate these because the omitted variables are not in the data. The methodology flags this as the reason the venue result is read as association rather than as a causal effect of venue on signal, and it names the correction, a richer feature set, as work for the next study rather than a fix available here</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w:t>
      </w:r>
    </w:p>
    <w:bookmarkEnd w:id="98"/>
    <w:bookmarkStart w:id="99" w:name="the-functional-forms-compared"/>
    <w:p>
      <w:pPr>
        <w:pStyle w:val="Heading2"/>
        <w:spacing w:line="480" w:lineRule="auto"/>
      </w:pPr>
      <w:r>
        <w:t xml:space="preserve">The functional forms compared</w:t>
      </w:r>
    </w:p>
    <w:p>
      <w:pPr>
        <w:pStyle w:val="FirstParagraph"/>
        <w:spacing w:line="480" w:lineRule="auto"/>
      </w:pPr>
      <w:r>
        <w:t xml:space="preserve">Different functional forms drive the two estimators, and the contrast is itself a methodological choice worth defending. The cross-sectional model is linear in levels, which suits an outcome, the signal score, that is a count with no natural multiplicative structure and predictors that enter additively. The temporal model is linear in logs, which suits an outcome, accumulated citations, that compounds and a predictor, age, whose effect is naturally proportional rather than additive. Matching the form to the process is what gives each estimator its interpretive clarity: the level model yields a per-unit change in signal score, and the log model yields an elasticity that doubles cleanly with age</w:t>
      </w:r>
      <w:r>
        <w:t xml:space="preserve"> </w:t>
      </w:r>
      <w:hyperlink w:anchor="ref-10">
        <w:r>
          <w:rPr>
            <w:rStyle w:val="Hyperlink"/>
          </w:rPr>
          <w:t xml:space="preserve">[10]</w:t>
        </w:r>
      </w:hyperlink>
      <w:r>
        <w:t xml:space="preserve">.</w:t>
      </w:r>
    </w:p>
    <w:p>
      <w:pPr>
        <w:pStyle w:val="BodyText"/>
        <w:spacing w:line="480" w:lineRule="auto"/>
        <w:ind w:firstLine="720"/>
      </w:pPr>
      <w:r>
        <w:t xml:space="preserve">A single form imposed on both questions would mangle at least one of them, reporting a per-year citation increment that ignores compounding or a log signal score that has no compounding to capture. The design accepts the modest cost of two forms to buy the larger benefit of two coefficients that each mean exactly what their form implies, which the results chapter relies on when it reads the venue effect as a level shift and the age effect as an elasticity</w:t>
      </w:r>
      <w:r>
        <w:t xml:space="preserve"> </w:t>
      </w:r>
      <w:hyperlink w:anchor="ref-6">
        <w:r>
          <w:rPr>
            <w:rStyle w:val="Hyperlink"/>
          </w:rPr>
          <w:t xml:space="preserve">[6]</w:t>
        </w:r>
      </w:hyperlink>
      <w:r>
        <w:t xml:space="preserve"> </w:t>
      </w:r>
      <w:hyperlink w:anchor="ref-7">
        <w:r>
          <w:rPr>
            <w:rStyle w:val="Hyperlink"/>
          </w:rPr>
          <w:t xml:space="preserve">[7]</w:t>
        </w:r>
      </w:hyperlink>
      <w:r>
        <w:t xml:space="preserve">.</w:t>
      </w:r>
    </w:p>
    <w:bookmarkEnd w:id="99"/>
    <w:bookmarkStart w:id="100" w:name="X9b8c5f9b189975acf3f102d59962be7442dcfae"/>
    <w:p>
      <w:pPr>
        <w:pStyle w:val="Heading2"/>
        <w:spacing w:line="480" w:lineRule="auto"/>
      </w:pPr>
      <w:r>
        <w:t xml:space="preserve">Reproducibility as a methodological commitment</w:t>
      </w:r>
    </w:p>
    <w:p>
      <w:pPr>
        <w:pStyle w:val="FirstParagraph"/>
        <w:spacing w:line="480" w:lineRule="auto"/>
      </w:pPr>
      <w:r>
        <w:t xml:space="preserve">Reproducibility is treated as a substantive requirement here, not a courtesy. Each estimator is defined by a configuration file that fixes the formula, the variables, and the estimation method. Each dataset is a comma-separated file in which every row preserves its source string. The workbooks reproduce the estimator output exactly, and the results chapter transcribes that output without alteration. A reader who disputes an interpretation can rerun the model and confront the same coefficients</w:t>
      </w:r>
      <w:r>
        <w:t xml:space="preserve"> </w:t>
      </w:r>
      <w:hyperlink w:anchor="ref-2">
        <w:r>
          <w:rPr>
            <w:rStyle w:val="Hyperlink"/>
          </w:rPr>
          <w:t xml:space="preserve">[2]</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Configuration files also serve as a pre-registration of sorts. Because the formula, the variables, and the estimation method are fixed in a file that predates the interpretation, the design cannot quietly swap a specification after seeing the coefficients. This forecloses the most common route to a spuriously significant result, the search across many specifications for the one that clears a threshold. The venue result reported later is the result of the one specification the configuration fixed, not the survivor of a hidden search, and that is what lets it be read as a genuine test rather than a found pattern</w:t>
      </w:r>
      <w:r>
        <w:t xml:space="preserve"> </w:t>
      </w:r>
      <w:hyperlink w:anchor="ref-4">
        <w:r>
          <w:rPr>
            <w:rStyle w:val="Hyperlink"/>
          </w:rPr>
          <w:t xml:space="preserve">[4]</w:t>
        </w:r>
      </w:hyperlink>
      <w:r>
        <w:t xml:space="preserve"> </w:t>
      </w:r>
      <w:hyperlink w:anchor="ref-7">
        <w:r>
          <w:rPr>
            <w:rStyle w:val="Hyperlink"/>
          </w:rPr>
          <w:t xml:space="preserve">[7]</w:t>
        </w:r>
      </w:hyperlink>
      <w:r>
        <w:t xml:space="preserve">. A configuration fixed in advance is the documentary analog of a pre-registered analysis plan, and it carries the same protective force: it removes the analyst’s discretion at the exact point where discretion would most easily manufacture significance</w:t>
      </w:r>
      <w:r>
        <w:t xml:space="preserve"> </w:t>
      </w:r>
      <w:hyperlink w:anchor="ref-8">
        <w:r>
          <w:rPr>
            <w:rStyle w:val="Hyperlink"/>
          </w:rPr>
          <w:t xml:space="preserve">[8]</w:t>
        </w:r>
      </w:hyperlink>
      <w:r>
        <w:t xml:space="preserve">.</w:t>
      </w:r>
    </w:p>
    <w:p>
      <w:pPr>
        <w:pStyle w:val="BodyText"/>
        <w:spacing w:line="480" w:lineRule="auto"/>
        <w:ind w:firstLine="720"/>
      </w:pPr>
      <w:r>
        <w:t xml:space="preserve">That commitment is what lets the dissertation claim identification at all. The knowledge-graph literature shows that structured, provenance-preserving representation of the field’s documents is feasible and increasingly expected</w:t>
      </w:r>
      <w:r>
        <w:t xml:space="preserve"> </w:t>
      </w:r>
      <w:hyperlink w:anchor="ref-14">
        <w:r>
          <w:rPr>
            <w:rStyle w:val="Hyperlink"/>
          </w:rPr>
          <w:t xml:space="preserve">[14]</w:t>
        </w:r>
      </w:hyperlink>
      <w:r>
        <w:t xml:space="preserve">, and the event-ledger literature shows the same discipline applied to operations</w:t>
      </w:r>
      <w:r>
        <w:t xml:space="preserve"> </w:t>
      </w:r>
      <w:hyperlink w:anchor="ref-1">
        <w:r>
          <w:rPr>
            <w:rStyle w:val="Hyperlink"/>
          </w:rPr>
          <w:t xml:space="preserve">[1]</w:t>
        </w:r>
      </w:hyperlink>
      <w:r>
        <w:t xml:space="preserve">. By adopting that discipline for its own evidence, the dissertation makes its identification argument inspectable: the claims are only as strong as the coefficients, and the coefficients are exactly what the next reader will recompute</w:t>
      </w:r>
      <w:r>
        <w:t xml:space="preserve"> </w:t>
      </w:r>
      <w:hyperlink w:anchor="ref-10">
        <w:r>
          <w:rPr>
            <w:rStyle w:val="Hyperlink"/>
          </w:rPr>
          <w:t xml:space="preserve">[10]</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One principle summarizes the methodological posture: identify little, but identify it cleanly. The design does not reach for a causal effect it cannot support, nor for a population inference its sample cannot bear. It identifies partial associations within a retrieved corpus, corrects the standard errors for the heteroskedasticity its predictors invite, keeps the uncited records in the sample rather than discarding them, and fixes every specification in advance so no result can be the product of a hidden search. Each of these choices trades ambition for credibility. The payoff is that whatever the estimators return, strong or weak, can be trusted as a faithful reading of the corpus, which is the only foundation on which the later chapters’ interpretation can safely rest</w:t>
      </w:r>
      <w:r>
        <w:t xml:space="preserve"> </w:t>
      </w:r>
      <w:hyperlink w:anchor="ref-4">
        <w:r>
          <w:rPr>
            <w:rStyle w:val="Hyperlink"/>
          </w:rPr>
          <w:t xml:space="preserve">[4]</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00"/>
    <w:bookmarkEnd w:id="101"/>
    <w:bookmarkStart w:id="113" w:name="chapter-5.-data-and-measurement"/>
    <w:p>
      <w:pPr>
        <w:pStyle w:val="Heading1"/>
        <w:spacing w:line="480" w:lineRule="auto"/>
      </w:pPr>
      <w:r>
        <w:t xml:space="preserve">Chapter 5. Data and Measurement</w:t>
      </w:r>
    </w:p>
    <w:p>
      <w:pPr>
        <w:pStyle w:val="FirstParagraph"/>
        <w:spacing w:line="480" w:lineRule="auto"/>
      </w:pPr>
      <w:r>
        <w:t xml:space="preserve">The data strategy is deliberately transparent. The retained records come from the candidate’s local source files, the reference pool, and the two empirical paper directories. Each row in the paper datasets preserves a source field, and each constructed variable is documented in the corresponding configuration file. A reader can move from a dissertation claim to a paper specification to a data row and back again</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This chapter documents the corpus, the construction of every variable, and the sample size.</w:t>
      </w:r>
    </w:p>
    <w:bookmarkStart w:id="102" w:name="the-corpus"/>
    <w:p>
      <w:pPr>
        <w:pStyle w:val="Heading2"/>
        <w:spacing w:line="480" w:lineRule="auto"/>
      </w:pPr>
      <w:r>
        <w:t xml:space="preserve">The corpus</w:t>
      </w:r>
    </w:p>
    <w:p>
      <w:pPr>
        <w:pStyle w:val="FirstParagraph"/>
        <w:spacing w:line="480" w:lineRule="auto"/>
      </w:pPr>
      <w:r>
        <w:t xml:space="preserve">Thirty retrieved source records sit in the estimation file for each paper. Those thirty records are the universe of analysis, and the dissertation makes no claim beyond them. The corpus is heterogeneous by design, spanning three venue families. The first is AMOS conference proceedings, which supply operational and surveillance records: on-board conjunction and collision-avoidance infrastructure</w:t>
      </w:r>
      <w:r>
        <w:t xml:space="preserve"> </w:t>
      </w:r>
      <w:hyperlink w:anchor="ref-3">
        <w:r>
          <w:rPr>
            <w:rStyle w:val="Hyperlink"/>
          </w:rPr>
          <w:t xml:space="preserve">[3]</w:t>
        </w:r>
      </w:hyperlink>
      <w:r>
        <w:t xml:space="preserve">, small-launch program history</w:t>
      </w:r>
      <w:r>
        <w:t xml:space="preserve"> </w:t>
      </w:r>
      <w:hyperlink w:anchor="ref-4">
        <w:r>
          <w:rPr>
            <w:rStyle w:val="Hyperlink"/>
          </w:rPr>
          <w:t xml:space="preserve">[4]</w:t>
        </w:r>
      </w:hyperlink>
      <w:r>
        <w:t xml:space="preserve">, space-weather effects on satellites</w:t>
      </w:r>
      <w:r>
        <w:t xml:space="preserve"> </w:t>
      </w:r>
      <w:hyperlink w:anchor="ref-5">
        <w:r>
          <w:rPr>
            <w:rStyle w:val="Hyperlink"/>
          </w:rPr>
          <w:t xml:space="preserve">[5]</w:t>
        </w:r>
      </w:hyperlink>
      <w:r>
        <w:t xml:space="preserve">, civil situational-awareness policy options</w:t>
      </w:r>
      <w:r>
        <w:t xml:space="preserve"> </w:t>
      </w:r>
      <w:hyperlink w:anchor="ref-6">
        <w:r>
          <w:rPr>
            <w:rStyle w:val="Hyperlink"/>
          </w:rPr>
          <w:t xml:space="preserve">[6]</w:t>
        </w:r>
      </w:hyperlink>
      <w:r>
        <w:t xml:space="preserve">, the AN/FSY-3 space-fence surveillance system</w:t>
      </w:r>
      <w:r>
        <w:t xml:space="preserve"> </w:t>
      </w:r>
      <w:hyperlink w:anchor="ref-7">
        <w:r>
          <w:rPr>
            <w:rStyle w:val="Hyperlink"/>
          </w:rPr>
          <w:t xml:space="preserve">[7]</w:t>
        </w:r>
      </w:hyperlink>
      <w:r>
        <w:t xml:space="preserve">, and orbital-data enterprise concepts</w:t>
      </w:r>
      <w:r>
        <w:t xml:space="preserve"> </w:t>
      </w:r>
      <w:hyperlink w:anchor="ref-8">
        <w:r>
          <w:rPr>
            <w:rStyle w:val="Hyperlink"/>
          </w:rPr>
          <w:t xml:space="preserve">[8]</w:t>
        </w:r>
      </w:hyperlink>
      <w:r>
        <w:t xml:space="preserve">. The second is Acta Astronautica, which supplies the peer-reviewed engineering and economics core, including the reusable-launch life-cycle assessment</w:t>
      </w:r>
      <w:r>
        <w:t xml:space="preserve"> </w:t>
      </w:r>
      <w:hyperlink w:anchor="ref-9">
        <w:r>
          <w:rPr>
            <w:rStyle w:val="Hyperlink"/>
          </w:rPr>
          <w:t xml:space="preserve">[9]</w:t>
        </w:r>
      </w:hyperlink>
      <w:r>
        <w:t xml:space="preserve">, small-launch cost estimation</w:t>
      </w:r>
      <w:r>
        <w:t xml:space="preserve"> </w:t>
      </w:r>
      <w:hyperlink w:anchor="ref-10">
        <w:r>
          <w:rPr>
            <w:rStyle w:val="Hyperlink"/>
          </w:rPr>
          <w:t xml:space="preserve">[10]</w:t>
        </w:r>
      </w:hyperlink>
      <w:r>
        <w:t xml:space="preserve">, recycled-composite materials testing</w:t>
      </w:r>
      <w:r>
        <w:t xml:space="preserve"> </w:t>
      </w:r>
      <w:hyperlink w:anchor="ref-11">
        <w:r>
          <w:rPr>
            <w:rStyle w:val="Hyperlink"/>
          </w:rPr>
          <w:t xml:space="preserve">[11]</w:t>
        </w:r>
      </w:hyperlink>
      <w:r>
        <w:t xml:space="preserve">, the systems-engineering sustainability framework</w:t>
      </w:r>
      <w:r>
        <w:t xml:space="preserve"> </w:t>
      </w:r>
      <w:hyperlink w:anchor="ref-12">
        <w:r>
          <w:rPr>
            <w:rStyle w:val="Hyperlink"/>
          </w:rPr>
          <w:t xml:space="preserve">[12]</w:t>
        </w:r>
      </w:hyperlink>
      <w:r>
        <w:t xml:space="preserve">, air-breathing engine emissions formulations</w:t>
      </w:r>
      <w:r>
        <w:t xml:space="preserve"> </w:t>
      </w:r>
      <w:hyperlink w:anchor="ref-13">
        <w:r>
          <w:rPr>
            <w:rStyle w:val="Hyperlink"/>
          </w:rPr>
          <w:t xml:space="preserve">[13]</w:t>
        </w:r>
      </w:hyperlink>
      <w:r>
        <w:t xml:space="preserve">, knowledge-graph tooling</w:t>
      </w:r>
      <w:r>
        <w:t xml:space="preserve"> </w:t>
      </w:r>
      <w:hyperlink w:anchor="ref-14">
        <w:r>
          <w:rPr>
            <w:rStyle w:val="Hyperlink"/>
          </w:rPr>
          <w:t xml:space="preserve">[14]</w:t>
        </w:r>
      </w:hyperlink>
      <w:r>
        <w:t xml:space="preserve">, geostationary debris-materials evaluation</w:t>
      </w:r>
      <w:r>
        <w:t xml:space="preserve"> </w:t>
      </w:r>
      <w:hyperlink w:anchor="ref-15">
        <w:r>
          <w:rPr>
            <w:rStyle w:val="Hyperlink"/>
          </w:rPr>
          <w:t xml:space="preserve">[15]</w:t>
        </w:r>
      </w:hyperlink>
      <w:r>
        <w:t xml:space="preserve">, and the debris-control framework</w:t>
      </w:r>
      <w:r>
        <w:t xml:space="preserve"> </w:t>
      </w:r>
      <w:hyperlink w:anchor="ref-16">
        <w:r>
          <w:rPr>
            <w:rStyle w:val="Hyperlink"/>
          </w:rPr>
          <w:t xml:space="preserve">[16]</w:t>
        </w:r>
      </w:hyperlink>
      <w:r>
        <w:t xml:space="preserve">. The third is a space-economy family carrying externality and life-cycle-assessment framing drawn from economics and environmental-science sources.</w:t>
      </w:r>
    </w:p>
    <w:p>
      <w:pPr>
        <w:pStyle w:val="BodyText"/>
        <w:spacing w:line="480" w:lineRule="auto"/>
        <w:ind w:firstLine="720"/>
      </w:pPr>
      <w:r>
        <w:t xml:space="preserve">Thirty is the universe. No claim reaches past it</w:t>
      </w:r>
      <w:r>
        <w:t xml:space="preserve"> </w:t>
      </w:r>
      <w:hyperlink w:anchor="ref-3">
        <w:r>
          <w:rPr>
            <w:rStyle w:val="Hyperlink"/>
          </w:rPr>
          <w:t xml:space="preserve">[3]</w:t>
        </w:r>
      </w:hyperlink>
      <w:r>
        <w:t xml:space="preserve">.</w:t>
      </w:r>
    </w:p>
    <w:p>
      <w:pPr>
        <w:pStyle w:val="BodyText"/>
        <w:spacing w:line="480" w:lineRule="auto"/>
        <w:ind w:firstLine="720"/>
      </w:pPr>
      <w:r>
        <w:t xml:space="preserve">That heterogeneity is intentional. A corpus drawn from a single venue could not test the venue hypothesis, because venue would not vary. By spanning operational proceedings, peer-reviewed engineering, and economics-oriented sources, the corpus lets the venue-family predictor carry information about where the topic signal concentrates. Each record enters as one row, and each row is traceable to its source string, whether a digital object identifier or an AMOS proceedings URL</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bookmarkEnd w:id="102"/>
    <w:bookmarkStart w:id="103" w:name="constructing-the-signal-score"/>
    <w:p>
      <w:pPr>
        <w:pStyle w:val="Heading2"/>
        <w:spacing w:line="480" w:lineRule="auto"/>
      </w:pPr>
      <w:r>
        <w:t xml:space="preserve">Constructing the signal score</w:t>
      </w:r>
    </w:p>
    <w:p>
      <w:pPr>
        <w:pStyle w:val="FirstParagraph"/>
        <w:spacing w:line="480" w:lineRule="auto"/>
      </w:pPr>
      <w:r>
        <w:t xml:space="preserve">Paper one uses signal_score as its outcome. The signal score is a composite topic-signal score for each retrieved source record. It is built deterministically as a count of candidate-theme term hits in the source title, snippet, keyword field, and author metadata, and each row cites its retrieved source in the source column. The determinism is essential. Because the score is a reproducible count rather than a human judgment, a second analyst applying the same term list to the same fields would recover the same score, which is the property that makes the outcome auditable</w:t>
      </w:r>
      <w:r>
        <w:t xml:space="preserve"> </w:t>
      </w:r>
      <w:hyperlink w:anchor="ref-2">
        <w:r>
          <w:rPr>
            <w:rStyle w:val="Hyperlink"/>
          </w:rPr>
          <w:t xml:space="preserve">[2]</w:t>
        </w:r>
      </w:hyperlink>
      <w:r>
        <w:t xml:space="preserve">.</w:t>
      </w:r>
    </w:p>
    <w:p>
      <w:pPr>
        <w:pStyle w:val="BodyText"/>
        <w:spacing w:line="480" w:lineRule="auto"/>
        <w:ind w:firstLine="720"/>
      </w:pPr>
      <w:r>
        <w:t xml:space="preserve">This signal score is a proxy, and the design says so plainly. It measures how strongly the candidate theme appears in a record’s metadata, not how important the record is to the atmospheric hazard itself. A life-cycle assessment of launch emissions may carry a high score because its metadata is dense with theme terms</w:t>
      </w:r>
      <w:r>
        <w:t xml:space="preserve"> </w:t>
      </w:r>
      <w:hyperlink w:anchor="ref-9">
        <w:r>
          <w:rPr>
            <w:rStyle w:val="Hyperlink"/>
          </w:rPr>
          <w:t xml:space="preserve">[9]</w:t>
        </w:r>
      </w:hyperlink>
      <w:r>
        <w:t xml:space="preserve">, while a materials-testing study relevant to the vehicle life cycle may carry a lower score because its terms sit further from the theme vocabulary</w:t>
      </w:r>
      <w:r>
        <w:t xml:space="preserve"> </w:t>
      </w:r>
      <w:hyperlink w:anchor="ref-11">
        <w:r>
          <w:rPr>
            <w:rStyle w:val="Hyperlink"/>
          </w:rPr>
          <w:t xml:space="preserve">[11]</w:t>
        </w:r>
      </w:hyperlink>
      <w:r>
        <w:t xml:space="preserve">. The design does not relabel this proxy as a measure of policy salience. It reports the proxy as a proxy and interprets the coefficients accordingly.</w:t>
      </w:r>
    </w:p>
    <w:bookmarkEnd w:id="103"/>
    <w:bookmarkStart w:id="104" w:name="the-distribution-of-the-signal-score"/>
    <w:p>
      <w:pPr>
        <w:pStyle w:val="Heading2"/>
        <w:spacing w:line="480" w:lineRule="auto"/>
      </w:pPr>
      <w:r>
        <w:t xml:space="preserve">The distribution of the signal score</w:t>
      </w:r>
    </w:p>
    <w:p>
      <w:pPr>
        <w:pStyle w:val="FirstParagraph"/>
        <w:spacing w:line="480" w:lineRule="auto"/>
      </w:pPr>
      <w:r>
        <w:t xml:space="preserve">Reading the signal-score column across the corpus reveals the texture the estimator will work with. The scores cluster at the low end, with many records scoring one or two, a handful reaching five, and a single record scoring ten. That single high score belongs to a debris-management control framework, whose metadata is dense with the theme vocabulary the score counts</w:t>
      </w:r>
      <w:r>
        <w:t xml:space="preserve"> </w:t>
      </w:r>
      <w:hyperlink w:anchor="ref-16">
        <w:r>
          <w:rPr>
            <w:rStyle w:val="Hyperlink"/>
          </w:rPr>
          <w:t xml:space="preserve">[16]</w:t>
        </w:r>
      </w:hyperlink>
      <w:r>
        <w:t xml:space="preserve">. The reusable-fleet life-cycle assessment scores seven, the second highest, which is consistent with its direct engagement with launch emissions</w:t>
      </w:r>
      <w:r>
        <w:t xml:space="preserve"> </w:t>
      </w:r>
      <w:hyperlink w:anchor="ref-9">
        <w:r>
          <w:rPr>
            <w:rStyle w:val="Hyperlink"/>
          </w:rPr>
          <w:t xml:space="preserve">[9]</w:t>
        </w:r>
      </w:hyperlink>
      <w:r>
        <w:t xml:space="preserve">. The long tail of low scores belongs to operational and surveillance records whose metadata touches the theme only glancingly</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This distribution matters for interpretation in two ways. First, it is right-skewed, which is one reason the design uses robust standard errors: a skewed outcome invites non-constant error variance that conventional standard errors would misread. Second, the high scores concentrate in the peer-reviewed and economics-oriented venues rather than in the operational proceedings, which is the raw pattern the venue coefficient will formalize. Looking at the column by eye is not a substitute for the estimator, but it shows that the structure the model reports is visible in the data rather than manufactured by it</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104"/>
    <w:bookmarkStart w:id="105" w:name="constructing-the-predictors"/>
    <w:p>
      <w:pPr>
        <w:pStyle w:val="Heading2"/>
        <w:spacing w:line="480" w:lineRule="auto"/>
      </w:pPr>
      <w:r>
        <w:t xml:space="preserve">Constructing the predictors</w:t>
      </w:r>
    </w:p>
    <w:p>
      <w:pPr>
        <w:pStyle w:val="FirstParagraph"/>
        <w:spacing w:line="480" w:lineRule="auto"/>
      </w:pPr>
      <w:r>
        <w:t xml:space="preserve">Recency enters as a publication recency measure, computed as the publication year minus the minimum publication year in the sample plus one. The oldest record in the corpus is a 2010 small-launch program history</w:t>
      </w:r>
      <w:r>
        <w:t xml:space="preserve"> </w:t>
      </w:r>
      <w:hyperlink w:anchor="ref-4">
        <w:r>
          <w:rPr>
            <w:rStyle w:val="Hyperlink"/>
          </w:rPr>
          <w:t xml:space="preserve">[4]</w:t>
        </w:r>
      </w:hyperlink>
      <w:r>
        <w:t xml:space="preserve">, which anchors the index at one, and more recent records take proportionally larger values. The construction converts absolute years into a relative scale that is easier to interpret as a coefficient and that keeps the intercept meaningful.</w:t>
      </w:r>
    </w:p>
    <w:p>
      <w:pPr>
        <w:pStyle w:val="BodyText"/>
        <w:spacing w:line="480" w:lineRule="auto"/>
        <w:ind w:firstLine="720"/>
      </w:pPr>
      <w:r>
        <w:t xml:space="preserve">Citation attention enters as the reported count in the local brain index, parsed from the index citation field, and set to zero when the index reported no count. This is a local index measure, not a universal citation count, and the design treats it accordingly. Several records, particularly the AMOS proceedings and the space-economy sources, report zero citations in the local index, which reflects the coverage of the index rather than a claim that the work is uncited in the wider literature</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peer-reviewed Acta Astronautica records carry the non-zero counts, with the reusable-launch assessment and the debris-materials study among the more cited</w:t>
      </w:r>
      <w:r>
        <w:t xml:space="preserve"> </w:t>
      </w:r>
      <w:hyperlink w:anchor="ref-9">
        <w:r>
          <w:rPr>
            <w:rStyle w:val="Hyperlink"/>
          </w:rPr>
          <w:t xml:space="preserve">[9]</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Venue enters as an ordinal family score: AMOS proceedings take one, Acta Astronautica articles take two, and space-economy sources take three. The ordering reflects a rough gradient of disciplinary authority and economic framing, from operational proceedings through peer-reviewed engineering to economics-oriented sources. The score is ordinal and should not be overread as an interval measure; a move from one to two is not assumed equal in meaning to a move from two to three. The results chapter interprets the venue coefficient with that caution in view</w:t>
      </w:r>
      <w:r>
        <w:t xml:space="preserve"> </w:t>
      </w:r>
      <w:hyperlink w:anchor="ref-16">
        <w:r>
          <w:rPr>
            <w:rStyle w:val="Hyperlink"/>
          </w:rPr>
          <w:t xml:space="preserve">[16]</w:t>
        </w:r>
      </w:hyperlink>
      <w:r>
        <w:t xml:space="preserve">.</w:t>
      </w:r>
    </w:p>
    <w:bookmarkEnd w:id="105"/>
    <w:bookmarkStart w:id="106" w:name="the-temporal-variables"/>
    <w:p>
      <w:pPr>
        <w:pStyle w:val="Heading2"/>
        <w:spacing w:line="480" w:lineRule="auto"/>
      </w:pPr>
      <w:r>
        <w:t xml:space="preserve">The temporal variables</w:t>
      </w:r>
    </w:p>
    <w:p>
      <w:pPr>
        <w:pStyle w:val="FirstParagraph"/>
        <w:spacing w:line="480" w:lineRule="auto"/>
      </w:pPr>
      <w:r>
        <w:t xml:space="preserve">Paper two uses cites_plus1 as its outcome. This is the citation count plus one, computed by adding one to the reported citation count so the log transformation is defined for uncited records. The transformation keeps every record in the sample, including the many that report zero citations, which prevents the estimation from silently dropping the uncited majority and biasing the age relationship toward well-cited work</w:t>
      </w:r>
      <w:r>
        <w:t xml:space="preserve"> </w:t>
      </w:r>
      <w:hyperlink w:anchor="ref-5">
        <w:r>
          <w:rPr>
            <w:rStyle w:val="Hyperlink"/>
          </w:rPr>
          <w:t xml:space="preserve">[5]</w:t>
        </w:r>
      </w:hyperlink>
      <w:r>
        <w:t xml:space="preserve">.</w:t>
      </w:r>
    </w:p>
    <w:p>
      <w:pPr>
        <w:pStyle w:val="BodyText"/>
        <w:spacing w:line="480" w:lineRule="auto"/>
        <w:ind w:firstLine="720"/>
      </w:pPr>
      <w:r>
        <w:t xml:space="preserve">The single predictor in paper two is the age index, computed as 2026 minus the publication year plus one. A 2025 record takes an age of two, and the 2010 record takes an age of seventeen. The measurement strategy in paper two is what distinguishes static visibility from temporal accumulation. A field can appear visible because a few records are heavily cited, or because attention accrues across many records as they age. Those are different empirical stories, and the age index is the instrument that separates them</w:t>
      </w:r>
      <w:r>
        <w:t xml:space="preserve"> </w:t>
      </w:r>
      <w:hyperlink w:anchor="ref-3">
        <w:r>
          <w:rPr>
            <w:rStyle w:val="Hyperlink"/>
          </w:rPr>
          <w:t xml:space="preserve">[3]</w:t>
        </w:r>
      </w:hyperlink>
      <w:r>
        <w:t xml:space="preserve"> </w:t>
      </w:r>
      <w:hyperlink w:anchor="ref-10">
        <w:r>
          <w:rPr>
            <w:rStyle w:val="Hyperlink"/>
          </w:rPr>
          <w:t xml:space="preserve">[10]</w:t>
        </w:r>
      </w:hyperlink>
      <w:r>
        <w:t xml:space="preserve">.</w:t>
      </w:r>
    </w:p>
    <w:bookmarkEnd w:id="106"/>
    <w:bookmarkStart w:id="107" w:name="the-citation-column-and-its-zeros"/>
    <w:p>
      <w:pPr>
        <w:pStyle w:val="Heading2"/>
        <w:spacing w:line="480" w:lineRule="auto"/>
      </w:pPr>
      <w:r>
        <w:t xml:space="preserve">The citation column and its zeros</w:t>
      </w:r>
    </w:p>
    <w:p>
      <w:pPr>
        <w:pStyle w:val="FirstParagraph"/>
        <w:spacing w:line="480" w:lineRule="auto"/>
      </w:pPr>
      <w:r>
        <w:t xml:space="preserve">Scrutiny is owed to the citation column, the most consequential source of missing signal in the corpus. Roughly half the records report zero citations in the local index. Those zeros are not random. They concentrate in the AMOS proceedings and the space-economy family, where the local index has thinner coverage, and they are absent from the more heavily indexed Acta Astronautica records, which carry the corpus’s non-zero counts, ranging from a single citation up to the mid-twenties</w:t>
      </w:r>
      <w:r>
        <w:t xml:space="preserve"> </w:t>
      </w:r>
      <w:hyperlink w:anchor="ref-9">
        <w:r>
          <w:rPr>
            <w:rStyle w:val="Hyperlink"/>
          </w:rPr>
          <w:t xml:space="preserve">[9]</w:t>
        </w:r>
      </w:hyperlink>
      <w:r>
        <w:t xml:space="preserve"> </w:t>
      </w:r>
      <w:hyperlink w:anchor="ref-15">
        <w:r>
          <w:rPr>
            <w:rStyle w:val="Hyperlink"/>
          </w:rPr>
          <w:t xml:space="preserve">[15]</w:t>
        </w:r>
      </w:hyperlink>
      <w:r>
        <w:t xml:space="preserve">. The highest counts belong to older peer-reviewed work, which has had years to accumulate attention</w:t>
      </w:r>
      <w:r>
        <w:t xml:space="preserve"> </w:t>
      </w:r>
      <w:hyperlink w:anchor="ref-10">
        <w:r>
          <w:rPr>
            <w:rStyle w:val="Hyperlink"/>
          </w:rPr>
          <w:t xml:space="preserve">[10]</w:t>
        </w:r>
      </w:hyperlink>
      <w:r>
        <w:t xml:space="preserve">.</w:t>
      </w:r>
    </w:p>
    <w:p>
      <w:pPr>
        <w:pStyle w:val="BodyText"/>
        <w:spacing w:line="480" w:lineRule="auto"/>
        <w:ind w:firstLine="720"/>
      </w:pPr>
      <w:r>
        <w:t xml:space="preserve">Roughly half the rows read zero. Those zeros are not random</w:t>
      </w:r>
      <w:r>
        <w:t xml:space="preserve"> </w:t>
      </w:r>
      <w:hyperlink w:anchor="ref-8">
        <w:r>
          <w:rPr>
            <w:rStyle w:val="Hyperlink"/>
          </w:rPr>
          <w:t xml:space="preserve">[8]</w:t>
        </w:r>
      </w:hyperlink>
      <w:r>
        <w:t xml:space="preserve">.</w:t>
      </w:r>
    </w:p>
    <w:p>
      <w:pPr>
        <w:pStyle w:val="BodyText"/>
        <w:spacing w:line="480" w:lineRule="auto"/>
        <w:ind w:firstLine="720"/>
      </w:pPr>
      <w:r>
        <w:t xml:space="preserve">This structure has direct consequences for both estimators. In the cross-sectional model, the citation predictor is weakened because so many records share the value zero, compressing its variance and limiting its explanatory power. In the temporal model, the same zeros are exactly why the plus-one transformation is necessary: without it, half the sample would drop out of a log specification, and the surviving half would be the well-cited records that most exaggerate an age effect</w:t>
      </w:r>
      <w:r>
        <w:t xml:space="preserve"> </w:t>
      </w:r>
      <w:hyperlink w:anchor="ref-5">
        <w:r>
          <w:rPr>
            <w:rStyle w:val="Hyperlink"/>
          </w:rPr>
          <w:t xml:space="preserve">[5]</w:t>
        </w:r>
      </w:hyperlink>
      <w:r>
        <w:t xml:space="preserve">. Documenting the zeros openly is therefore not a confession of weakness but a specification of what the estimators can and cannot see, and it foreshadows the underpowered citation result the next chapter reports honestly.</w:t>
      </w:r>
    </w:p>
    <w:p>
      <w:pPr>
        <w:pStyle w:val="BodyText"/>
        <w:spacing w:line="480" w:lineRule="auto"/>
        <w:ind w:firstLine="720"/>
      </w:pPr>
      <w:r>
        <w:t xml:space="preserve">The design does not impute or inflate these zeros. An analyst tempted to fill them with estimates from a universal citation service would import a different measurement instrument mid-stream and break the provenance chain that makes the corpus auditable. The zeros stay as the local index reported them, and the interpretation is bounded to what a local-index citation count can support, which is a statement about attention as this index records it rather than as the global literature would</w:t>
      </w:r>
      <w:r>
        <w:t xml:space="preserve"> </w:t>
      </w:r>
      <w:hyperlink w:anchor="ref-8">
        <w:r>
          <w:rPr>
            <w:rStyle w:val="Hyperlink"/>
          </w:rPr>
          <w:t xml:space="preserve">[8]</w:t>
        </w:r>
      </w:hyperlink>
      <w:r>
        <w:t xml:space="preserve">.</w:t>
      </w:r>
    </w:p>
    <w:bookmarkEnd w:id="107"/>
    <w:bookmarkStart w:id="108" w:name="the-venue-coding-examined"/>
    <w:p>
      <w:pPr>
        <w:pStyle w:val="Heading2"/>
        <w:spacing w:line="480" w:lineRule="auto"/>
      </w:pPr>
      <w:r>
        <w:t xml:space="preserve">The venue coding examined</w:t>
      </w:r>
    </w:p>
    <w:p>
      <w:pPr>
        <w:pStyle w:val="FirstParagraph"/>
        <w:spacing w:line="480" w:lineRule="auto"/>
      </w:pPr>
      <w:r>
        <w:t xml:space="preserve">Venue-family coding is the most consequential measurement decision in the design, because the venue predictor carries the study’s only significant coefficient, so its construction deserves close examination. Each record is assigned to one of three families by its source string. A record whose source is an AMOS proceedings URL takes venue one. A record whose source is an Acta Astronautica digital object identifier takes venue two. A record drawn from the space-economy family, carrying externality and life-cycle framing from economics and environmental-science sources, takes venue three. The assignment is mechanical and reproducible: a second coder reading the same source strings would produce the same venue scores</w:t>
      </w:r>
      <w:r>
        <w:t xml:space="preserve"> </w:t>
      </w:r>
      <w:hyperlink w:anchor="ref-14">
        <w:r>
          <w:rPr>
            <w:rStyle w:val="Hyperlink"/>
          </w:rPr>
          <w:t xml:space="preserve">[14]</w:t>
        </w:r>
      </w:hyperlink>
      <w:r>
        <w:t xml:space="preserve">.</w:t>
      </w:r>
    </w:p>
    <w:p>
      <w:pPr>
        <w:pStyle w:val="BodyText"/>
        <w:spacing w:line="480" w:lineRule="auto"/>
        <w:ind w:firstLine="720"/>
      </w:pPr>
      <w:r>
        <w:t xml:space="preserve">The ordering embeds a judgment, and the design states it openly. AMOS proceedings are conference papers, valuable but not peer-reviewed in the journal sense. Acta Astronautica is a peer-reviewed archival journal. The space-economy family carries the economics and governance framing closest to the pricing question the dissertation ultimately targets</w:t>
      </w:r>
      <w:r>
        <w:t xml:space="preserve"> </w:t>
      </w:r>
      <w:hyperlink w:anchor="ref-16">
        <w:r>
          <w:rPr>
            <w:rStyle w:val="Hyperlink"/>
          </w:rPr>
          <w:t xml:space="preserve">[16]</w:t>
        </w:r>
      </w:hyperlink>
      <w:r>
        <w:t xml:space="preserve">. The ordinal scale thus runs from operational conference work through peer-reviewed engineering to economics-oriented sources, a rough gradient of both disciplinary authority and proximity to the pricing conversation. The gradient is defensible, but it is a construct, and the results chapter treats the venue coefficient as association within that construct rather than as a natural fact</w:t>
      </w:r>
      <w:r>
        <w:t xml:space="preserve"> </w:t>
      </w:r>
      <w:hyperlink w:anchor="ref-6">
        <w:r>
          <w:rPr>
            <w:rStyle w:val="Hyperlink"/>
          </w:rPr>
          <w:t xml:space="preserve">[6]</w:t>
        </w:r>
      </w:hyperlink>
      <w:r>
        <w:t xml:space="preserve">.</w:t>
      </w:r>
    </w:p>
    <w:p>
      <w:pPr>
        <w:pStyle w:val="BodyText"/>
        <w:spacing w:line="480" w:lineRule="auto"/>
        <w:ind w:firstLine="720"/>
      </w:pPr>
      <w:r>
        <w:t xml:space="preserve">One caution follows directly. Because the venue ordering partly reflects proximity to the theme’s economics framing, and because the signal score counts theme terms, the venue predictor and the outcome are not fully independent in their construction. The design does not hide this. It flags the venue result as strongest when read as a description of how the corpus is organized and weakest when read as a causal claim, and it carries that caveat forward into every later interpretation of the coefficient</w:t>
      </w:r>
      <w:r>
        <w:t xml:space="preserve"> </w:t>
      </w:r>
      <w:hyperlink w:anchor="ref-7">
        <w:r>
          <w:rPr>
            <w:rStyle w:val="Hyperlink"/>
          </w:rPr>
          <w:t xml:space="preserve">[7]</w:t>
        </w:r>
      </w:hyperlink>
      <w:r>
        <w:t xml:space="preserve"> </w:t>
      </w:r>
      <w:hyperlink w:anchor="ref-12">
        <w:r>
          <w:rPr>
            <w:rStyle w:val="Hyperlink"/>
          </w:rPr>
          <w:t xml:space="preserve">[12]</w:t>
        </w:r>
      </w:hyperlink>
      <w:r>
        <w:t xml:space="preserve">.</w:t>
      </w:r>
    </w:p>
    <w:bookmarkEnd w:id="108"/>
    <w:bookmarkStart w:id="109" w:name="X478c589243b932b728a65c05800a511adbf06d5"/>
    <w:p>
      <w:pPr>
        <w:pStyle w:val="Heading2"/>
        <w:spacing w:line="480" w:lineRule="auto"/>
      </w:pPr>
      <w:r>
        <w:t xml:space="preserve">Provenance and the reproducible hierarchy</w:t>
      </w:r>
    </w:p>
    <w:p>
      <w:pPr>
        <w:pStyle w:val="FirstParagraph"/>
        <w:spacing w:line="480" w:lineRule="auto"/>
      </w:pPr>
      <w:r>
        <w:t xml:space="preserve">The prospectus data section frames the same discipline. The data are the candidate-specific local source corpus, the deterministic feature rows generated from that corpus, and the two auditable workbooks embedded in the dissertation appendices. Each row preserves source provenance, year, venue family, and the derived variables used in the estimators. The project therefore uses a reproducible hierarchy: the bibliography and source metadata establish the universe, the paper comma-separated files define the rows, the configuration files define the variables and formulas, and the workbooks reproduce the estimator output. The dissertation narrative is downstream of those artifacts, not upstream of them</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That hierarchy is what makes the measurement inspectable at every level. The knowledge-graph literature demonstrates that provenance-preserving representation of a field’s documents is both feasible and increasingly expected</w:t>
      </w:r>
      <w:r>
        <w:t xml:space="preserve"> </w:t>
      </w:r>
      <w:hyperlink w:anchor="ref-14">
        <w:r>
          <w:rPr>
            <w:rStyle w:val="Hyperlink"/>
          </w:rPr>
          <w:t xml:space="preserve">[14]</w:t>
        </w:r>
      </w:hyperlink>
      <w:r>
        <w:t xml:space="preserve">, and this design applies the same standard to a modest thirty-row corpus. A reader who doubts a variable can open the configuration file that defines it, trace it to the data column that carries it, and follow that column to the source string that produced it.</w:t>
      </w:r>
    </w:p>
    <w:bookmarkEnd w:id="109"/>
    <w:bookmarkStart w:id="110" w:name="the-year-distribution"/>
    <w:p>
      <w:pPr>
        <w:pStyle w:val="Heading2"/>
        <w:spacing w:line="480" w:lineRule="auto"/>
      </w:pPr>
      <w:r>
        <w:t xml:space="preserve">The year distribution</w:t>
      </w:r>
    </w:p>
    <w:p>
      <w:pPr>
        <w:pStyle w:val="FirstParagraph"/>
        <w:spacing w:line="480" w:lineRule="auto"/>
      </w:pPr>
      <w:r>
        <w:t xml:space="preserve">Publication year shapes both the recency index and the age index, so its distribution deserves a note. The corpus is weighted toward recent years. A large share of records date from 2020 onward, with a dense cluster in 2024 and 2025, and only a handful reach back before 2018. The single oldest record, the 2010 small-launch history, sits alone at the far end and anchors the recency index at one</w:t>
      </w:r>
      <w:r>
        <w:t xml:space="preserve"> </w:t>
      </w:r>
      <w:hyperlink w:anchor="ref-4">
        <w:r>
          <w:rPr>
            <w:rStyle w:val="Hyperlink"/>
          </w:rPr>
          <w:t xml:space="preserve">[4]</w:t>
        </w:r>
      </w:hyperlink>
      <w:r>
        <w:t xml:space="preserve">. This recency weighting is itself a fact about the topic: a subject with a shallow history will naturally produce a corpus dominated by recent work.</w:t>
      </w:r>
    </w:p>
    <w:p>
      <w:pPr>
        <w:pStyle w:val="BodyText"/>
        <w:spacing w:line="480" w:lineRule="auto"/>
        <w:ind w:firstLine="720"/>
      </w:pPr>
      <w:r>
        <w:t xml:space="preserve">The consequence for the temporal screen is important and is stated here so the results chapter can lean on it. Because most records are young, the age index has limited spread, and a corpus with little variation in age gives the learning-curve model little leverage to detect an age effect even if one exists. The design does not treat this as a flaw to conceal but as a structural limit to report: the flat age result the next chapter presents is consistent both with a genuine absence of accumulation and with a sample too temporally compressed to reveal it, and the honest reading holds both possibilities open</w:t>
      </w:r>
      <w:r>
        <w:t xml:space="preserve"> </w:t>
      </w:r>
      <w:hyperlink w:anchor="ref-3">
        <w:r>
          <w:rPr>
            <w:rStyle w:val="Hyperlink"/>
          </w:rPr>
          <w:t xml:space="preserve">[3]</w:t>
        </w:r>
      </w:hyperlink>
      <w:r>
        <w:t xml:space="preserve"> </w:t>
      </w:r>
      <w:hyperlink w:anchor="ref-10">
        <w:r>
          <w:rPr>
            <w:rStyle w:val="Hyperlink"/>
          </w:rPr>
          <w:t xml:space="preserve">[10]</w:t>
        </w:r>
      </w:hyperlink>
      <w:r>
        <w:t xml:space="preserve">.</w:t>
      </w:r>
    </w:p>
    <w:bookmarkEnd w:id="110"/>
    <w:bookmarkStart w:id="111" w:name="why-the-two-papers-share-one-corpus"/>
    <w:p>
      <w:pPr>
        <w:pStyle w:val="Heading2"/>
        <w:spacing w:line="480" w:lineRule="auto"/>
      </w:pPr>
      <w:r>
        <w:t xml:space="preserve">Why the two papers share one corpus</w:t>
      </w:r>
    </w:p>
    <w:p>
      <w:pPr>
        <w:pStyle w:val="FirstParagraph"/>
        <w:spacing w:line="480" w:lineRule="auto"/>
      </w:pPr>
      <w:r>
        <w:t xml:space="preserve">Both empirical papers draw on the same thirty records, and that sharing is a measurement decision with consequences worth naming. Because both papers read the identical corpus, a single record can be traced through both specifications: its year feeds the recency index in paper one and the age index in paper two, and its citation count feeds the citation predictor in paper one and the transformed outcome in paper two. This shared spine lets a reader audit consistency across the two screens rather than treating them as unrelated studies</w:t>
      </w:r>
      <w:r>
        <w:t xml:space="preserve"> </w:t>
      </w:r>
      <w:hyperlink w:anchor="ref-3">
        <w:r>
          <w:rPr>
            <w:rStyle w:val="Hyperlink"/>
          </w:rPr>
          <w:t xml:space="preserve">[3]</w:t>
        </w:r>
      </w:hyperlink>
      <w:r>
        <w:t xml:space="preserve"> </w:t>
      </w:r>
      <w:hyperlink w:anchor="ref-8">
        <w:r>
          <w:rPr>
            <w:rStyle w:val="Hyperlink"/>
          </w:rPr>
          <w:t xml:space="preserve">[8]</w:t>
        </w:r>
      </w:hyperlink>
      <w:r>
        <w:t xml:space="preserve">. It also means the two papers inherit the same corpus limits, the small sample, the many zero-citation rows, and the recency-weighted year distribution, so a weakness in the data touches both.</w:t>
      </w:r>
    </w:p>
    <w:p>
      <w:pPr>
        <w:pStyle w:val="BodyText"/>
        <w:spacing w:line="480" w:lineRule="auto"/>
        <w:ind w:firstLine="720"/>
      </w:pPr>
      <w:r>
        <w:t xml:space="preserve">The design accepts this coupling because the alternative, two separately assembled corpora, would forfeit the ability to say that the cross-sectional and temporal findings describe the same records. The dissertation’s central pattern, venue structure without age structure, is meaningful only because it is one corpus viewed two ways, and the shared feature table is what makes that dual reading legitimate</w:t>
      </w:r>
      <w:r>
        <w:t xml:space="preserve"> </w:t>
      </w:r>
      <w:hyperlink w:anchor="ref-14">
        <w:r>
          <w:rPr>
            <w:rStyle w:val="Hyperlink"/>
          </w:rPr>
          <w:t xml:space="preserve">[14]</w:t>
        </w:r>
      </w:hyperlink>
      <w:r>
        <w:t xml:space="preserve"> </w:t>
      </w:r>
      <w:hyperlink w:anchor="ref-16">
        <w:r>
          <w:rPr>
            <w:rStyle w:val="Hyperlink"/>
          </w:rPr>
          <w:t xml:space="preserve">[16]</w:t>
        </w:r>
      </w:hyperlink>
      <w:r>
        <w:t xml:space="preserve">. Two studies on two corpora could not license that comparison, because any difference between them might reflect the corpora rather than the topic, and the single shared table is precisely what closes that escape route</w:t>
      </w:r>
      <w:r>
        <w:t xml:space="preserve"> </w:t>
      </w:r>
      <w:hyperlink w:anchor="ref-8">
        <w:r>
          <w:rPr>
            <w:rStyle w:val="Hyperlink"/>
          </w:rPr>
          <w:t xml:space="preserve">[8]</w:t>
        </w:r>
      </w:hyperlink>
      <w:r>
        <w:t xml:space="preserve">.</w:t>
      </w:r>
    </w:p>
    <w:bookmarkEnd w:id="111"/>
    <w:bookmarkStart w:id="112" w:name="measurement-validity"/>
    <w:p>
      <w:pPr>
        <w:pStyle w:val="Heading2"/>
        <w:spacing w:line="480" w:lineRule="auto"/>
      </w:pPr>
      <w:r>
        <w:t xml:space="preserve">Measurement validity</w:t>
      </w:r>
    </w:p>
    <w:p>
      <w:pPr>
        <w:pStyle w:val="FirstParagraph"/>
        <w:spacing w:line="480" w:lineRule="auto"/>
      </w:pPr>
      <w:r>
        <w:t xml:space="preserve">Measurement validity depends on fit between question and data. This design is strongest when it asks whether observable records contain structure, and weaker if read as proof of a full causal effect outside the retained corpus. The signal score, the citation count, and the venue score are honest proxies for theme density, local attention, and venue authority. They are not proxies for the true atmospheric burden of launch, which no metadata field in this corpus measures</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chapter that follows preserves this distinction. It reports the exact model statistics and then interprets them as evidence about the measured record, not as unsupported claims about the entire space sector. The thirty records are enough to detect a strong venue or age pattern if one exists, and small enough that the design must report its uncertainty honestly rather than lean on a large sample to manufacture confidence</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Taken together, the measurement choices form a single coherent stance. The outcome is a deterministic term count, the predictors are constructed from observable metadata, the zeros are retained rather than imputed, the venue ordering is stated as a construct, and every value traces to a source string. Each choice sacrifices some richness for reproducibility, and the sacrifice is deliberate. A dissertation could code meaning by hand and gain depth, but it would lose the property that any reader can recompute the entire feature table from the same source records. The design chooses the reproducible path, and the results chapter inherits both its strengths, transparency and auditability, and its limits, proxy measurement and a small, recency-weighted corpus</w:t>
      </w:r>
      <w:r>
        <w:t xml:space="preserve"> </w:t>
      </w:r>
      <w:hyperlink w:anchor="ref-8">
        <w:r>
          <w:rPr>
            <w:rStyle w:val="Hyperlink"/>
          </w:rPr>
          <w:t xml:space="preserve">[8]</w:t>
        </w:r>
      </w:hyperlink>
      <w:r>
        <w:t xml:space="preserve"> </w:t>
      </w:r>
      <w:hyperlink w:anchor="ref-14">
        <w:r>
          <w:rPr>
            <w:rStyle w:val="Hyperlink"/>
          </w:rPr>
          <w:t xml:space="preserve">[14]</w:t>
        </w:r>
      </w:hyperlink>
      <w:r>
        <w:t xml:space="preserve">.</w:t>
      </w:r>
    </w:p>
    <w:bookmarkEnd w:id="112"/>
    <w:bookmarkEnd w:id="113"/>
    <w:bookmarkStart w:id="123" w:name="chapter-6.-results"/>
    <w:p>
      <w:pPr>
        <w:pStyle w:val="Heading1"/>
        <w:spacing w:line="480" w:lineRule="auto"/>
      </w:pPr>
      <w:r>
        <w:t xml:space="preserve">Chapter 6. Results</w:t>
      </w:r>
    </w:p>
    <w:p>
      <w:pPr>
        <w:pStyle w:val="FirstParagraph"/>
        <w:spacing w:line="480" w:lineRule="auto"/>
      </w:pPr>
      <w:r>
        <w:t xml:space="preserve">This chapter reports the exact output of the two empirical workbooks and interprets the signs and magnitudes. Every number below is transcribed from the configuration and data files without alteration. The chapter reads the coefficients as evidence about the retained corpus, holding to the discipline established earlier: a precise coefficient supports an association inside the corpus, and an imprecise coefficient is evidence against a strong claim rather than a hopeful sign in disguise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Start w:id="114" w:name="paper-one-cross-sectional-structure"/>
    <w:p>
      <w:pPr>
        <w:pStyle w:val="Heading2"/>
        <w:spacing w:line="480" w:lineRule="auto"/>
      </w:pPr>
      <w:r>
        <w:t xml:space="preserve">Paper one: cross-sectional structure</w:t>
      </w:r>
    </w:p>
    <w:p>
      <w:pPr>
        <w:pStyle w:val="FirstParagraph"/>
        <w:spacing w:line="480" w:lineRule="auto"/>
      </w:pPr>
      <w:r>
        <w:t xml:space="preserve">Paper one estimates the ordinary least squares model SignalScore_i = alpha + beta_1 RecencyIndex_i + beta_2 Cites_i + beta_3 VenueScore_i + epsilon_i with robust HC1 standard errors. The fit summary is N = 30, R2 = 0.1419, adjusted R2 = 0.0429, F = 2.1547, and F_p = 0.1176. The term summary is: const coefficient 1.0797, standard error 1.7999, p = 0.5486; recency_index coefficient 0.0626, standard error 0.1319, p = 0.635; cites_num coefficient 0.0167, standard error 0.0476, p = 0.7263; venue_score coefficient 0.9352, standard error 0.3952, p = 0.018.</w:t>
      </w:r>
    </w:p>
    <w:p>
      <w:pPr>
        <w:pStyle w:val="BodyText"/>
        <w:spacing w:line="480" w:lineRule="auto"/>
        <w:ind w:firstLine="720"/>
      </w:pPr>
      <w:r>
        <w:t xml:space="preserve">Overall fit is modest. The model accounts for roughly fourteen percent of the variation in the signal score, and the adjusted figure of about four percent shows how much of that gross fit is a penalty for using three predictors on thirty records. The joint F test returns a p-value of 0.1176, which does not clear a conventional five-percent threshold. On the model as a whole, the corpus does not present overwhelming structure. That is an honest starting point, and it disciplines every term-level reading that follows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One coefficient stands apart. The venue_score coefficient is 0.9352 with a p-value of 0.018, the only term in the model that clears the five-percent threshold. Its sign is positive, and its magnitude is substantial relative to the outcome scale: moving up one venue family, from AMOS proceedings to Acta Astronautica, or from Acta Astronautica to the space-economy family, is associated with an increase of about 0.94 in the signal score, holding recency and citation count fixed. This is the model’s clearest identified fact. The topic signal concentrates in the more authoritative and economics-oriented venues, not in operational proceedings</w:t>
      </w:r>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It is venue. Nothing else in the model clears the bar</w:t>
      </w:r>
      <w:r>
        <w:t xml:space="preserve"> </w:t>
      </w:r>
      <w:hyperlink w:anchor="ref-6">
        <w:r>
          <w:rPr>
            <w:rStyle w:val="Hyperlink"/>
          </w:rPr>
          <w:t xml:space="preserve">[6]</w:t>
        </w:r>
      </w:hyperlink>
      <w:r>
        <w:t xml:space="preserve">.</w:t>
      </w:r>
    </w:p>
    <w:p>
      <w:pPr>
        <w:pStyle w:val="BodyText"/>
        <w:spacing w:line="480" w:lineRule="auto"/>
        <w:ind w:firstLine="720"/>
      </w:pPr>
      <w:r>
        <w:t xml:space="preserve">Recency and citation coefficients tell the opposite story. The recency_index coefficient is 0.0626 with a p-value of 0.635, and the cites_num coefficient is 0.0167 with a p-value of 0.7263. Both signs are positive, which is the direction the alternative hypothesis predicted, but both p-values are far from any conventional threshold, and both standard errors are large relative to the coefficients. The design does not read these as support for the alternative. It reads them as evidence that, within this corpus, neither publication recency nor local citation attention carries a stable association with the topic signal</w:t>
      </w:r>
      <w:r>
        <w:t xml:space="preserve"> </w:t>
      </w:r>
      <w:hyperlink w:anchor="ref-8">
        <w:r>
          <w:rPr>
            <w:rStyle w:val="Hyperlink"/>
          </w:rPr>
          <w:t xml:space="preserve">[8]</w:t>
        </w:r>
      </w:hyperlink>
      <w:r>
        <w:t xml:space="preserve">.</w:t>
      </w:r>
    </w:p>
    <w:p>
      <w:pPr>
        <w:pStyle w:val="BodyText"/>
        <w:spacing w:line="480" w:lineRule="auto"/>
        <w:ind w:firstLine="720"/>
      </w:pPr>
      <w:r>
        <w:t xml:space="preserve">The intercept of 1.0797, with a p-value of 0.5486, is not separately interpretable as a substantive quantity here. It is the expected signal score for a hypothetical record at zero recency, zero citations, and a venue score of zero, a point outside the observed range of the predictors. The design notes it for completeness and does not build any claim on it. What Paper one identifies, then, is a single robust pattern, venue concentration, embedded in a model that is otherwise weak, and it reports both facts together</w:t>
      </w:r>
      <w:r>
        <w:t xml:space="preserve"> </w:t>
      </w:r>
      <w:hyperlink w:anchor="ref-7">
        <w:r>
          <w:rPr>
            <w:rStyle w:val="Hyperlink"/>
          </w:rPr>
          <w:t xml:space="preserve">[7]</w:t>
        </w:r>
      </w:hyperlink>
      <w:r>
        <w:t xml:space="preserve">.</w:t>
      </w:r>
    </w:p>
    <w:bookmarkEnd w:id="114"/>
    <w:bookmarkStart w:id="115" w:name="interpreting-the-venue-result"/>
    <w:p>
      <w:pPr>
        <w:pStyle w:val="Heading2"/>
        <w:spacing w:line="480" w:lineRule="auto"/>
      </w:pPr>
      <w:r>
        <w:t xml:space="preserve">Interpreting the venue result</w:t>
      </w:r>
    </w:p>
    <w:p>
      <w:pPr>
        <w:pStyle w:val="FirstParagraph"/>
        <w:spacing w:line="480" w:lineRule="auto"/>
      </w:pPr>
      <w:r>
        <w:t xml:space="preserve">This venue result deserves careful reading, because it is the dissertation’s strongest empirical signal and its most vulnerable to overinterpretation. The venue score is ordinal, coded one, two, and three, so the coefficient assumes a constant increment per venue step that the data cannot verify. A positive, precise coefficient establishes that higher-ranked venues carry higher signal scores on average. It does not establish that the step from AMOS to Acta Astronautica means the same thing as the step from Acta Astronautica to the space-economy family</w:t>
      </w:r>
      <w:r>
        <w:t xml:space="preserve"> </w:t>
      </w:r>
      <w:hyperlink w:anchor="ref-12">
        <w:r>
          <w:rPr>
            <w:rStyle w:val="Hyperlink"/>
          </w:rPr>
          <w:t xml:space="preserve">[12]</w:t>
        </w:r>
      </w:hyperlink>
      <w:r>
        <w:t xml:space="preserve">.</w:t>
      </w:r>
    </w:p>
    <w:p>
      <w:pPr>
        <w:pStyle w:val="BodyText"/>
        <w:spacing w:line="480" w:lineRule="auto"/>
        <w:ind w:firstLine="720"/>
      </w:pPr>
      <w:r>
        <w:t xml:space="preserve">Read with that caution, the finding is still meaningful for the dissertation’s central question. The theory predicted that a topic moving from observed hazard toward priced externality should show its signal most strongly where economics and governance are discussed. The venue coefficient is consistent with that prediction: the carbon ledger of launch appears most densely in the peer-reviewed engineering and economics-oriented sources, exactly where a pricing conversation would have to begin</w:t>
      </w:r>
      <w:r>
        <w:t xml:space="preserve"> </w:t>
      </w:r>
      <w:hyperlink w:anchor="ref-9">
        <w:r>
          <w:rPr>
            <w:rStyle w:val="Hyperlink"/>
          </w:rPr>
          <w:t xml:space="preserve">[9]</w:t>
        </w:r>
      </w:hyperlink>
      <w:r>
        <w:t xml:space="preserve"> </w:t>
      </w:r>
      <w:hyperlink w:anchor="ref-16">
        <w:r>
          <w:rPr>
            <w:rStyle w:val="Hyperlink"/>
          </w:rPr>
          <w:t xml:space="preserve">[16]</w:t>
        </w:r>
      </w:hyperlink>
      <w:r>
        <w:t xml:space="preserve">. The evidence is a screen, not a proof, but it points in the direction the framework anticipated.</w:t>
      </w:r>
    </w:p>
    <w:bookmarkEnd w:id="115"/>
    <w:bookmarkStart w:id="116" w:name="Xe13b928c3a3aa98dd34f842266c63e1702dd7af"/>
    <w:p>
      <w:pPr>
        <w:pStyle w:val="Heading2"/>
        <w:spacing w:line="480" w:lineRule="auto"/>
      </w:pPr>
      <w:r>
        <w:t xml:space="preserve">The magnitude of the venue effect in context</w:t>
      </w:r>
    </w:p>
    <w:p>
      <w:pPr>
        <w:pStyle w:val="FirstParagraph"/>
        <w:spacing w:line="480" w:lineRule="auto"/>
      </w:pPr>
      <w:r>
        <w:t xml:space="preserve">It is worth placing the venue coefficient of 0.9352 on the scale of the outcome to judge whether it is large. The signal score in the corpus ranges from one to ten, with most records scoring between one and five. A coefficient of roughly 0.94 per venue step means that moving across the full three-tier venue range, from AMOS proceedings at one to the space-economy family at three, is associated with an increase of about 1.87 in the signal score, holding recency and citation count fixed. Against an outcome whose typical values sit in the low single digits, that is a substantively meaningful shift, not a trivial one</w:t>
      </w:r>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Precision reinforces the point. With a standard error of 0.3952, the coefficient of 0.9352 sits well over two standard errors from zero, which is what drives its p-value of 0.018 below the five-percent threshold. The design does not overstate this: two standard errors is the conventional minimum for confidence, not a wide margin, and on thirty records the interval around the coefficient remains broad. What the design claims is bounded and defensible: within this corpus, venue family is associated with a real and non-trivial difference in the topic signal, and that association is estimated with enough precision to distinguish it from noise</w:t>
      </w:r>
      <w:r>
        <w:t xml:space="preserve"> </w:t>
      </w:r>
      <w:hyperlink w:anchor="ref-7">
        <w:r>
          <w:rPr>
            <w:rStyle w:val="Hyperlink"/>
          </w:rPr>
          <w:t xml:space="preserve">[7]</w:t>
        </w:r>
      </w:hyperlink>
      <w:r>
        <w:t xml:space="preserve">.</w:t>
      </w:r>
    </w:p>
    <w:p>
      <w:pPr>
        <w:pStyle w:val="BodyText"/>
        <w:spacing w:line="480" w:lineRule="auto"/>
        <w:ind w:firstLine="720"/>
      </w:pPr>
      <w:r>
        <w:t xml:space="preserve">Contrast with the other predictors sharpens the reading. The recency coefficient of 0.0626 and the citation coefficient of 0.0167 are not merely smaller; they are imprecise, with standard errors of 0.1319 and 0.0476 that swamp the point estimates. A coefficient smaller than its own standard error carries no reliable sign. The model therefore does not present three weak effects of differing size. It presents one detectable effect, venue, against two channels where the corpus cannot distinguish any effect from zero</w:t>
      </w:r>
      <w:r>
        <w:t xml:space="preserve"> </w:t>
      </w:r>
      <w:hyperlink w:anchor="ref-8">
        <w:r>
          <w:rPr>
            <w:rStyle w:val="Hyperlink"/>
          </w:rPr>
          <w:t xml:space="preserve">[8]</w:t>
        </w:r>
      </w:hyperlink>
      <w:r>
        <w:t xml:space="preserve">.</w:t>
      </w:r>
    </w:p>
    <w:bookmarkEnd w:id="116"/>
    <w:bookmarkStart w:id="117" w:name="paper-two-temporal-accumulation"/>
    <w:p>
      <w:pPr>
        <w:pStyle w:val="Heading2"/>
        <w:spacing w:line="480" w:lineRule="auto"/>
      </w:pPr>
      <w:r>
        <w:t xml:space="preserve">Paper two: temporal accumulation</w:t>
      </w:r>
    </w:p>
    <w:p>
      <w:pPr>
        <w:pStyle w:val="FirstParagraph"/>
        <w:spacing w:line="480" w:lineRule="auto"/>
      </w:pPr>
      <w:r>
        <w:t xml:space="preserve">Paper two estimates the log-log learning-curve model ln(CitesPlus1_i) = alpha + beta_1 ln(AgeIndex_i) + epsilon_i with robust HC1 standard errors. The fit summary is N = 30, R2 = 0.0021, elasticity b = -0.0800, and the implied progress ratio two-to-the-b of 0.9461. The term summary is: const coefficient 0.7896, standard error 0.3956, p = 0.046; _ln_x coefficient -0.0800, standard error 0.2699, p = 0.7669.</w:t>
      </w:r>
    </w:p>
    <w:p>
      <w:pPr>
        <w:pStyle w:val="BodyText"/>
        <w:spacing w:line="480" w:lineRule="auto"/>
        <w:ind w:firstLine="720"/>
      </w:pPr>
      <w:r>
        <w:t xml:space="preserve">This is a clear null on the substantive question. The R2 of 0.0021 means the age index explains essentially none of the variation in accumulated citations: about two-tenths of one percent. The elasticity of accumulated attention with respect to document age is -0.0800, with a standard error of 0.2699 and a p-value of 0.7669. The point estimate is slightly negative, which would nominally suggest that newer documents carry marginally more attention per unit age, but the standard error is more than three times the coefficient, and the p-value is nowhere near significance. The corpus shows no measurable age-based attention curve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Age explains nothing here. The slope cannot be told from zero</w:t>
      </w:r>
      <w:r>
        <w:t xml:space="preserve"> </w:t>
      </w:r>
      <w:hyperlink w:anchor="ref-5">
        <w:r>
          <w:rPr>
            <w:rStyle w:val="Hyperlink"/>
          </w:rPr>
          <w:t xml:space="preserve">[5]</w:t>
        </w:r>
      </w:hyperlink>
      <w:r>
        <w:t xml:space="preserve">.</w:t>
      </w:r>
    </w:p>
    <w:p>
      <w:pPr>
        <w:pStyle w:val="BodyText"/>
        <w:spacing w:line="480" w:lineRule="auto"/>
        <w:ind w:firstLine="720"/>
      </w:pPr>
      <w:r>
        <w:t xml:space="preserve">The intercept is the only term that clears the threshold, at 0.7896 with a p-value of 0.046. It represents the fitted log of citations-plus-one at a log age of zero, that is, for a one-year-old document, and it recovers a modest baseline of accumulated attention. Its significance is not evidence for the learning-curve hypothesis. A precise intercept with an imprecise slope is exactly the pattern of a flat relationship: the model can pin down the average level of attention but finds no systematic tilt with age. The progress ratio of 0.9461 is the mechanical consequence of the near-zero slope and should not be read as a meaningful experience effect</w:t>
      </w:r>
      <w:r>
        <w:t xml:space="preserve"> </w:t>
      </w:r>
      <w:hyperlink w:anchor="ref-10">
        <w:r>
          <w:rPr>
            <w:rStyle w:val="Hyperlink"/>
          </w:rPr>
          <w:t xml:space="preserve">[10]</w:t>
        </w:r>
      </w:hyperlink>
      <w:r>
        <w:t xml:space="preserve">.</w:t>
      </w:r>
    </w:p>
    <w:bookmarkEnd w:id="117"/>
    <w:bookmarkStart w:id="118" w:name="X82144af383c70936a900af83c19ad6f0f02d393"/>
    <w:p>
      <w:pPr>
        <w:pStyle w:val="Heading2"/>
        <w:spacing w:line="480" w:lineRule="auto"/>
      </w:pPr>
      <w:r>
        <w:t xml:space="preserve">The progress ratio and what it does not mean</w:t>
      </w:r>
    </w:p>
    <w:p>
      <w:pPr>
        <w:pStyle w:val="FirstParagraph"/>
        <w:spacing w:line="480" w:lineRule="auto"/>
      </w:pPr>
      <w:r>
        <w:t xml:space="preserve">A progress ratio, two raised to the elasticity, of 0.9461 appears in the learning-curve output, and this figure invites a misreading the chapter forecloses. In a genuine experience curve, a progress ratio below one signals that each doubling of experience reduces the outcome by a fixed proportion, the hallmark of learning. Read naively, a progress ratio of 0.9461 might suggest that each doubling of document age is associated with roughly a five-percent decline in accumulated attention, a tidy learning story.</w:t>
      </w:r>
    </w:p>
    <w:p>
      <w:pPr>
        <w:pStyle w:val="BodyText"/>
        <w:spacing w:line="480" w:lineRule="auto"/>
        <w:ind w:firstLine="720"/>
      </w:pPr>
      <w:r>
        <w:t xml:space="preserve">That reading is unsupported, and the reason sits in the same output. The elasticity of -0.0800 that generates the progress ratio has a standard error of 0.2699 and a p-value of 0.7669, so it cannot be distinguished from zero. A progress ratio computed from an insignificant slope is a mechanical transformation of noise, not a measured effect. The chapter reports the ratio because the workbook produced it, but it reads the ratio as undefined in substance: with a slope this imprecise, the true progress ratio could as easily sit above one as below it</w:t>
      </w:r>
      <w:r>
        <w:t xml:space="preserve"> </w:t>
      </w:r>
      <w:hyperlink w:anchor="ref-10">
        <w:r>
          <w:rPr>
            <w:rStyle w:val="Hyperlink"/>
          </w:rPr>
          <w:t xml:space="preserve">[10]</w:t>
        </w:r>
      </w:hyperlink>
      <w:r>
        <w:t xml:space="preserve">.</w:t>
      </w:r>
    </w:p>
    <w:p>
      <w:pPr>
        <w:pStyle w:val="BodyText"/>
        <w:spacing w:line="480" w:lineRule="auto"/>
        <w:ind w:firstLine="720"/>
      </w:pPr>
      <w:r>
        <w:t xml:space="preserve">This is a case where honest reporting requires resisting the more interesting interpretation. A five-percent-per-doubling decline would be a finding worth discussing, but the data do not support it. The chapter states the number, states that it derives from an insignificant coefficient, and declines to build any claim on it. The discipline that lets the venue coefficient carry weight is the same discipline that forbids the progress ratio from carrying any</w:t>
      </w:r>
      <w:r>
        <w:t xml:space="preserve"> </w:t>
      </w:r>
      <w:hyperlink w:anchor="ref-5">
        <w:r>
          <w:rPr>
            <w:rStyle w:val="Hyperlink"/>
          </w:rPr>
          <w:t xml:space="preserve">[5]</w:t>
        </w:r>
      </w:hyperlink>
      <w:r>
        <w:t xml:space="preserve">.</w:t>
      </w:r>
    </w:p>
    <w:bookmarkEnd w:id="118"/>
    <w:bookmarkStart w:id="119" w:name="reading-the-two-screens-together"/>
    <w:p>
      <w:pPr>
        <w:pStyle w:val="Heading2"/>
        <w:spacing w:line="480" w:lineRule="auto"/>
      </w:pPr>
      <w:r>
        <w:t xml:space="preserve">Reading the two screens together</w:t>
      </w:r>
    </w:p>
    <w:p>
      <w:pPr>
        <w:pStyle w:val="FirstParagraph"/>
        <w:spacing w:line="480" w:lineRule="auto"/>
      </w:pPr>
      <w:r>
        <w:t xml:space="preserve">Together the two papers give a bounded, coherent answer. Paper one finds that the topic signal has cross-sectional structure along exactly one axis, venue family, and no stable structure along recency or citation attention. Paper two finds no temporal accumulation structure at all. Placed side by side, these results describe a topic that is distributed by venue but not by age: the carbon ledger of launch concentrates in the authoritative and economics-oriented sources, yet it does not behave like a maturing evidence base in which older work anchors newer work</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That combination is itself informative about the topic’s stage of institutionalization. A field with a deep, cumulative back-catalog would show an age curve; this corpus does not. A field whose attention is scattered randomly across venues would show no venue effect; this corpus shows a clear one. The pattern is consistent with a recent, venue-concentrated arrival: the topic has found its way into the venues where pricing and governance are debated, but it has not yet accumulated the longitudinal depth of an established research program</w:t>
      </w:r>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bookmarkEnd w:id="119"/>
    <w:bookmarkStart w:id="120" w:name="the-fit-statistics-read-honestly"/>
    <w:p>
      <w:pPr>
        <w:pStyle w:val="Heading2"/>
        <w:spacing w:line="480" w:lineRule="auto"/>
      </w:pPr>
      <w:r>
        <w:t xml:space="preserve">The fit statistics read honestly</w:t>
      </w:r>
    </w:p>
    <w:p>
      <w:pPr>
        <w:pStyle w:val="FirstParagraph"/>
        <w:spacing w:line="480" w:lineRule="auto"/>
      </w:pPr>
      <w:r>
        <w:t xml:space="preserve">Read together rather than apart, the two fit statistics, R2 of 0.1419 for the cross-sectional model and 0.0021 for the temporal model, tell a coherent story. The cross-sectional model captures a modest but real fraction of the signal-score variation, and that fraction is concentrated in the venue term, since the two other predictors contribute almost nothing to it. Strip the venue predictor conceptually and little explanatory power would remain. The fit is low in absolute terms, as a documentary screen on thirty records should be, but it is not empty, and its content is the venue effect</w:t>
      </w:r>
      <w:r>
        <w:t xml:space="preserve"> </w:t>
      </w:r>
      <w:hyperlink w:anchor="ref-4">
        <w:r>
          <w:rPr>
            <w:rStyle w:val="Hyperlink"/>
          </w:rPr>
          <w:t xml:space="preserve">[4]</w:t>
        </w:r>
      </w:hyperlink>
      <w:r>
        <w:t xml:space="preserve">.</w:t>
      </w:r>
    </w:p>
    <w:p>
      <w:pPr>
        <w:pStyle w:val="BodyText"/>
        <w:spacing w:line="480" w:lineRule="auto"/>
        <w:ind w:firstLine="720"/>
      </w:pPr>
      <w:r>
        <w:t xml:space="preserve">The temporal model’s fit is empty, and that emptiness is itself the finding. An R2 of 0.0021 means the age index explains about two-tenths of one percent of the variation in accumulated citations, which is indistinguishable from nothing. This is not a defect in the estimator; it is the estimator faithfully reporting that document age and accumulated attention are unrelated in this corpus. The elasticity of -0.0800 and its p-value of 0.7669 say the same thing from the coefficient side. A near-zero fit and a near-zero, imprecise slope are two views of a single flat relationship</w:t>
      </w:r>
      <w:r>
        <w:t xml:space="preserve"> </w:t>
      </w:r>
      <w:hyperlink w:anchor="ref-5">
        <w:r>
          <w:rPr>
            <w:rStyle w:val="Hyperlink"/>
          </w:rPr>
          <w:t xml:space="preserve">[5]</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Reading the fit statistics honestly also means resisting a tempting misreading. A low R2 is sometimes taken as a failure of the study, but for a cross-sectional screen on noisy metadata a low R2 with one precise, substantively sized coefficient is a success: it means the model found a real signal amid genuine noise rather than overfitting the noise into a falsely high fit. The adjusted R2 of 0.0429 confirms that the model is not overfit, since it remains positive after penalizing the three predictors against the degrees of freedom they consume</w:t>
      </w:r>
      <w:r>
        <w:t xml:space="preserve"> </w:t>
      </w:r>
      <w:hyperlink w:anchor="ref-6">
        <w:r>
          <w:rPr>
            <w:rStyle w:val="Hyperlink"/>
          </w:rPr>
          <w:t xml:space="preserve">[6]</w:t>
        </w:r>
      </w:hyperlink>
      <w:r>
        <w:t xml:space="preserve">.</w:t>
      </w:r>
    </w:p>
    <w:bookmarkEnd w:id="120"/>
    <w:bookmarkStart w:id="121" w:name="the-intercepts-across-both-models"/>
    <w:p>
      <w:pPr>
        <w:pStyle w:val="Heading2"/>
        <w:spacing w:line="480" w:lineRule="auto"/>
      </w:pPr>
      <w:r>
        <w:t xml:space="preserve">The intercepts across both models</w:t>
      </w:r>
    </w:p>
    <w:p>
      <w:pPr>
        <w:pStyle w:val="FirstParagraph"/>
        <w:spacing w:line="480" w:lineRule="auto"/>
      </w:pPr>
      <w:r>
        <w:t xml:space="preserve">Both intercepts, 1.0797 in the cross-sectional model and 0.7896 in the temporal model, warrant a brief note so their differing significance is not misread. The cross-sectional intercept carries a p-value of 0.5486, well above any threshold, and it represents a fitted signal score at zero recency, zero citations, and a venue score of zero, a point outside the observed data. Its imprecision is expected and inconsequential, because no record sits at that point and no claim rests on it. The temporal intercept, by contrast, carries a p-value of 0.046 and clears the threshold, but its significance is equally uninformative for the substantive hypothesis.</w:t>
      </w:r>
    </w:p>
    <w:p>
      <w:pPr>
        <w:pStyle w:val="BodyText"/>
        <w:spacing w:line="480" w:lineRule="auto"/>
        <w:ind w:firstLine="720"/>
      </w:pPr>
      <w:r>
        <w:t xml:space="preserve">It fixes the fitted log of citations-plus-one at a one-year age, recovering a modest baseline level of attention, while the slope that would signal an age effect remains insignificant. A precise intercept beside an imprecise slope is the arithmetic signature of a flat line: the model knows the average height of the relationship but cannot detect any tilt. Reading the two intercepts side by side reinforces the chapter’s central discipline, that significance attaches to specific quantities and must be interpreted for what each quantity represents rather than counted as a win</w:t>
      </w:r>
      <w:r>
        <w:t xml:space="preserve"> </w:t>
      </w:r>
      <w:hyperlink w:anchor="ref-5">
        <w:r>
          <w:rPr>
            <w:rStyle w:val="Hyperlink"/>
          </w:rPr>
          <w:t xml:space="preserve">[5]</w:t>
        </w:r>
      </w:hyperlink>
      <w:r>
        <w:t xml:space="preserve"> </w:t>
      </w:r>
      <w:hyperlink w:anchor="ref-10">
        <w:r>
          <w:rPr>
            <w:rStyle w:val="Hyperlink"/>
          </w:rPr>
          <w:t xml:space="preserve">[10]</w:t>
        </w:r>
      </w:hyperlink>
      <w:r>
        <w:t xml:space="preserve">.</w:t>
      </w:r>
    </w:p>
    <w:bookmarkEnd w:id="121"/>
    <w:bookmarkStart w:id="122" w:name="what-the-results-do-and-do-not-establish"/>
    <w:p>
      <w:pPr>
        <w:pStyle w:val="Heading2"/>
        <w:spacing w:line="480" w:lineRule="auto"/>
      </w:pPr>
      <w:r>
        <w:t xml:space="preserve">What the results do and do not establish</w:t>
      </w:r>
    </w:p>
    <w:p>
      <w:pPr>
        <w:pStyle w:val="FirstParagraph"/>
        <w:spacing w:line="480" w:lineRule="auto"/>
      </w:pPr>
      <w:r>
        <w:t xml:space="preserve">These results do not prove the broadest policy claim. They do not show that launch emissions are priced, that they should be priced at any particular level, or that governance has moved to internalize them. They show which variables carry observable structure in the retained corpus and which do not. Venue family carries structure; recency, citation attention, and document age do not</w:t>
      </w:r>
      <w:r>
        <w:t xml:space="preserve"> </w:t>
      </w:r>
      <w:hyperlink w:anchor="ref-2">
        <w:r>
          <w:rPr>
            <w:rStyle w:val="Hyperlink"/>
          </w:rPr>
          <w:t xml:space="preserve">[2]</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That distinction is the chapter’s principal safeguard. The analysis is useful precisely because it is modest. It tells a later document-coding study where to look: the authoritative and economics-oriented venues, where the signal concentrates, are the right place to code governance language directly rather than infer it from metadata. It also tells that study what to fix: a corpus of thirty records with many zero-citation rows cannot detect an age curve even if one exists, so a larger corpus with fuller citation coverage is the necessary next instrument. The result is not a rhetorical verdict. It is an auditable measurement step whose every coefficient the next researcher can recompute</w:t>
      </w:r>
      <w:r>
        <w:t xml:space="preserve"> </w:t>
      </w:r>
      <w:hyperlink w:anchor="ref-7">
        <w:r>
          <w:rPr>
            <w:rStyle w:val="Hyperlink"/>
          </w:rPr>
          <w:t xml:space="preserve">[7]</w:t>
        </w:r>
      </w:hyperlink>
      <w:r>
        <w:t xml:space="preserve"> </w:t>
      </w:r>
      <w:hyperlink w:anchor="ref-9">
        <w:r>
          <w:rPr>
            <w:rStyle w:val="Hyperlink"/>
          </w:rPr>
          <w:t xml:space="preserve">[9]</w:t>
        </w:r>
      </w:hyperlink>
      <w:r>
        <w:t xml:space="preserve">.</w:t>
      </w:r>
    </w:p>
    <w:p>
      <w:pPr>
        <w:pStyle w:val="BodyText"/>
        <w:spacing w:line="480" w:lineRule="auto"/>
        <w:ind w:firstLine="720"/>
      </w:pPr>
      <w:r>
        <w:t xml:space="preserve">Stated at its plainest, the results chapter reports one significant coefficient out of eight terms across two models, and that single coefficient is the venue effect. The temptation to dress up eight terms as a rich set of findings is exactly what the design forecloses. Seven of the eight terms cannot be distinguished from zero, and the chapter says so without apology. The one that can, venue family, is precise, substantively sized, and pointed in the direction the framework predicted. A reader who wanted more would be wanting more than a thirty-record documentary screen can honestly provide, and the value of the chapter lies precisely in its refusal to provide it. What it provides instead is a clean, checkable statement of where the corpus holds structure and where it holds only noise</w:t>
      </w:r>
      <w:r>
        <w:t xml:space="preserve"> </w:t>
      </w:r>
      <w:hyperlink w:anchor="ref-4">
        <w:r>
          <w:rPr>
            <w:rStyle w:val="Hyperlink"/>
          </w:rPr>
          <w:t xml:space="preserve">[4]</w:t>
        </w:r>
      </w:hyperlink>
      <w:r>
        <w:t xml:space="preserve"> </w:t>
      </w:r>
      <w:hyperlink w:anchor="ref-8">
        <w:r>
          <w:rPr>
            <w:rStyle w:val="Hyperlink"/>
          </w:rPr>
          <w:t xml:space="preserve">[8]</w:t>
        </w:r>
      </w:hyperlink>
      <w:r>
        <w:t xml:space="preserve">.</w:t>
      </w:r>
    </w:p>
    <w:bookmarkEnd w:id="122"/>
    <w:bookmarkEnd w:id="123"/>
    <w:bookmarkStart w:id="134" w:name="chapter-7.-discussion-and-limitations"/>
    <w:p>
      <w:pPr>
        <w:pStyle w:val="Heading1"/>
        <w:spacing w:line="480" w:lineRule="auto"/>
      </w:pPr>
      <w:r>
        <w:t xml:space="preserve">Chapter 7. Discussion and Limitations</w:t>
      </w:r>
    </w:p>
    <w:p>
      <w:pPr>
        <w:pStyle w:val="FirstParagraph"/>
        <w:spacing w:line="480" w:lineRule="auto"/>
      </w:pPr>
      <w:r>
        <w:t xml:space="preserve">The findings describe a topic caught in mid-transit. The carbon ledger of launch has entered the venues where pricing and governance are debated, shown by the one robust coefficient in the analysis, yet it has not accumulated the longitudinal depth of an established research program, shown by the flat age curve. This chapter interprets what that pattern means, weighs it against the threats to its validity, and states plainly what the data cannot show</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Start w:id="124" w:name="what-the-venue-result-means"/>
    <w:p>
      <w:pPr>
        <w:pStyle w:val="Heading2"/>
        <w:spacing w:line="480" w:lineRule="auto"/>
      </w:pPr>
      <w:r>
        <w:t xml:space="preserve">What the venue result means</w:t>
      </w:r>
    </w:p>
    <w:p>
      <w:pPr>
        <w:pStyle w:val="FirstParagraph"/>
        <w:spacing w:line="480" w:lineRule="auto"/>
      </w:pPr>
      <w:r>
        <w:t xml:space="preserve">This venue coefficient is the dissertation’s substantive contribution, and it means something specific. The topic signal concentrates in the authoritative and economics-oriented venues rather than in operational proceedings. That is consistent with a hazard that has been physically measured and is now migrating toward the disciplines that would have to price it. The life-cycle assessment of reusable launch fleets</w:t>
      </w:r>
      <w:r>
        <w:t xml:space="preserve"> </w:t>
      </w:r>
      <w:hyperlink w:anchor="ref-9">
        <w:r>
          <w:rPr>
            <w:rStyle w:val="Hyperlink"/>
          </w:rPr>
          <w:t xml:space="preserve">[9]</w:t>
        </w:r>
      </w:hyperlink>
      <w:r>
        <w:t xml:space="preserve"> </w:t>
      </w:r>
      <w:r>
        <w:t xml:space="preserve">and the debris-control externality framework</w:t>
      </w:r>
      <w:r>
        <w:t xml:space="preserve"> </w:t>
      </w:r>
      <w:hyperlink w:anchor="ref-16">
        <w:r>
          <w:rPr>
            <w:rStyle w:val="Hyperlink"/>
          </w:rPr>
          <w:t xml:space="preserve">[16]</w:t>
        </w:r>
      </w:hyperlink>
      <w:r>
        <w:t xml:space="preserve"> </w:t>
      </w:r>
      <w:r>
        <w:t xml:space="preserve">are exactly the kind of sources where the signal is strong, and their presence in the higher venue tiers is what drives the coefficient.</w:t>
      </w:r>
    </w:p>
    <w:p>
      <w:pPr>
        <w:pStyle w:val="BodyText"/>
        <w:spacing w:line="480" w:lineRule="auto"/>
        <w:ind w:firstLine="720"/>
      </w:pPr>
      <w:r>
        <w:t xml:space="preserve">One coefficient survived. That is the finding, stated plainly</w:t>
      </w:r>
      <w:r>
        <w:t xml:space="preserve"> </w:t>
      </w:r>
      <w:hyperlink w:anchor="ref-6">
        <w:r>
          <w:rPr>
            <w:rStyle w:val="Hyperlink"/>
          </w:rPr>
          <w:t xml:space="preserve">[6]</w:t>
        </w:r>
      </w:hyperlink>
      <w:r>
        <w:t xml:space="preserve">.</w:t>
      </w:r>
    </w:p>
    <w:p>
      <w:pPr>
        <w:pStyle w:val="BodyText"/>
        <w:spacing w:line="480" w:lineRule="auto"/>
        <w:ind w:firstLine="720"/>
      </w:pPr>
      <w:r>
        <w:t xml:space="preserve">Interpretation must stay proportionate to the evidence. A single significant coefficient in a model that explains fourteen percent of variance and fails its joint F test is a screen, not a verdict. It licenses one claim: within this corpus, venue family is the axis along which the topic organizes itself. It does not license the claim that the field has begun to price launch emissions, only that the conversation has reached the rooms where such pricing would be discussed</w:t>
      </w:r>
      <w:r>
        <w:t xml:space="preserve"> </w:t>
      </w:r>
      <w:hyperlink w:anchor="ref-6">
        <w:r>
          <w:rPr>
            <w:rStyle w:val="Hyperlink"/>
          </w:rPr>
          <w:t xml:space="preserve">[6]</w:t>
        </w:r>
      </w:hyperlink>
      <w:r>
        <w:t xml:space="preserve">. The framework anticipated this direction, and the data are consistent with it, but consistency at design stage is a hypothesis strengthened, not a hypothesis confirmed.</w:t>
      </w:r>
    </w:p>
    <w:bookmarkEnd w:id="124"/>
    <w:bookmarkStart w:id="125" w:name="what-the-null-on-age-means"/>
    <w:p>
      <w:pPr>
        <w:pStyle w:val="Heading2"/>
        <w:spacing w:line="480" w:lineRule="auto"/>
      </w:pPr>
      <w:r>
        <w:t xml:space="preserve">What the null on age means</w:t>
      </w:r>
    </w:p>
    <w:p>
      <w:pPr>
        <w:pStyle w:val="FirstParagraph"/>
        <w:spacing w:line="480" w:lineRule="auto"/>
      </w:pPr>
      <w:r>
        <w:t xml:space="preserve">A flat age curve is equally informative, and it resists a lazy reading. A researcher hoping to show a maturing field would be disappointed by an elasticity of -0.0800 with a p-value of 0.7669. The design instead treats the null as a finding. The topic does not behave like a cumulative literature in which early work anchors later work. Its attention is not organized by age</w:t>
      </w:r>
      <w:r>
        <w:t xml:space="preserve"> </w:t>
      </w:r>
      <w:hyperlink w:anchor="ref-5">
        <w:r>
          <w:rPr>
            <w:rStyle w:val="Hyperlink"/>
          </w:rPr>
          <w:t xml:space="preserve">[5]</w:t>
        </w:r>
      </w:hyperlink>
      <w:r>
        <w:t xml:space="preserve">. For an emerging concern, that is the expected shape, and it tells a later study that the topic’s history is shallow enough that longitudinal designs will need a longer time base than this corpus provides</w:t>
      </w:r>
      <w:r>
        <w:t xml:space="preserve"> </w:t>
      </w:r>
      <w:hyperlink w:anchor="ref-10">
        <w:r>
          <w:rPr>
            <w:rStyle w:val="Hyperlink"/>
          </w:rPr>
          <w:t xml:space="preserve">[10]</w:t>
        </w:r>
      </w:hyperlink>
      <w:r>
        <w:t xml:space="preserve">.</w:t>
      </w:r>
    </w:p>
    <w:p>
      <w:pPr>
        <w:pStyle w:val="BodyText"/>
        <w:spacing w:line="480" w:lineRule="auto"/>
        <w:ind w:firstLine="720"/>
      </w:pPr>
      <w:r>
        <w:t xml:space="preserve">Both results cohere. Venue structure without age structure is the signature of a recent arrival that has found authoritative venues quickly but has not had time to build a deep back-catalog. That reading is speculative in the sense that a thirty-record corpus cannot settle it, but it is the most parsimonious account of the two coefficients, and it points cleanly toward the next study rather than dressing up the present one</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25"/>
    <w:bookmarkStart w:id="126" w:name="X0d2e1a5d3de843dd7e97ffff4ec146fc38fb113"/>
    <w:p>
      <w:pPr>
        <w:pStyle w:val="Heading2"/>
        <w:spacing w:line="480" w:lineRule="auto"/>
      </w:pPr>
      <w:r>
        <w:t xml:space="preserve">The finding against the physical literature</w:t>
      </w:r>
    </w:p>
    <w:p>
      <w:pPr>
        <w:pStyle w:val="FirstParagraph"/>
        <w:spacing w:line="480" w:lineRule="auto"/>
      </w:pPr>
      <w:r>
        <w:t xml:space="preserve">Placing the documentary finding beside the physical literature sharpens what it does and does not add. The physical literature already establishes that launch emissions carry a dominant, exhaust-driven climate burden that reuse does not erase</w:t>
      </w:r>
      <w:r>
        <w:t xml:space="preserve"> </w:t>
      </w:r>
      <w:hyperlink w:anchor="ref-9">
        <w:r>
          <w:rPr>
            <w:rStyle w:val="Hyperlink"/>
          </w:rPr>
          <w:t xml:space="preserve">[9]</w:t>
        </w:r>
      </w:hyperlink>
      <w:r>
        <w:t xml:space="preserve">, and that even carbon-free propellants incur an atmospheric cost through combustion chemistry</w:t>
      </w:r>
      <w:r>
        <w:t xml:space="preserve"> </w:t>
      </w:r>
      <w:hyperlink w:anchor="ref-13">
        <w:r>
          <w:rPr>
            <w:rStyle w:val="Hyperlink"/>
          </w:rPr>
          <w:t xml:space="preserve">[13]</w:t>
        </w:r>
      </w:hyperlink>
      <w:r>
        <w:t xml:space="preserve">. Those are settled results about the world. The documentary finding adds a different kind of fact: not that the burden exists, which is known, but that the field’s own attention to it has organized along venue lines, concentrating where pricing and governance are debated.</w:t>
      </w:r>
    </w:p>
    <w:p>
      <w:pPr>
        <w:pStyle w:val="BodyText"/>
        <w:spacing w:line="480" w:lineRule="auto"/>
        <w:ind w:firstLine="720"/>
      </w:pPr>
      <w:r>
        <w:t xml:space="preserve">That addition is modest but not redundant. A physical result can sit in the literature without the institutional machinery mobilizing around it, and the gap between a measured hazard and a priced one is exactly where governance stalls</w:t>
      </w:r>
      <w:r>
        <w:t xml:space="preserve"> </w:t>
      </w:r>
      <w:hyperlink w:anchor="ref-16">
        <w:r>
          <w:rPr>
            <w:rStyle w:val="Hyperlink"/>
          </w:rPr>
          <w:t xml:space="preserve">[16]</w:t>
        </w:r>
      </w:hyperlink>
      <w:r>
        <w:t xml:space="preserve">. The venue result is a first, weak indicator that the mobilization has begun, that the accounting records have found the venues where a price would be argued. It does not measure the burden; the physical studies do that. It measures where the conversation about the burden currently lives, which is a question those studies do not ask.</w:t>
      </w:r>
    </w:p>
    <w:p>
      <w:pPr>
        <w:pStyle w:val="BodyText"/>
        <w:spacing w:line="480" w:lineRule="auto"/>
        <w:ind w:firstLine="720"/>
      </w:pPr>
      <w:r>
        <w:t xml:space="preserve">Complementary inputs, the two literatures feed the eventual pricing model the title anticipates. The physical work supplies the inventory of what to price</w:t>
      </w:r>
      <w:r>
        <w:t xml:space="preserve"> </w:t>
      </w:r>
      <w:hyperlink w:anchor="ref-9">
        <w:r>
          <w:rPr>
            <w:rStyle w:val="Hyperlink"/>
          </w:rPr>
          <w:t xml:space="preserve">[9]</w:t>
        </w:r>
      </w:hyperlink>
      <w:r>
        <w:t xml:space="preserve"> </w:t>
      </w:r>
      <w:hyperlink w:anchor="ref-11">
        <w:r>
          <w:rPr>
            <w:rStyle w:val="Hyperlink"/>
          </w:rPr>
          <w:t xml:space="preserve">[11]</w:t>
        </w:r>
      </w:hyperlink>
      <w:r>
        <w:t xml:space="preserve"> </w:t>
      </w:r>
      <w:hyperlink w:anchor="ref-13">
        <w:r>
          <w:rPr>
            <w:rStyle w:val="Hyperlink"/>
          </w:rPr>
          <w:t xml:space="preserve">[13]</w:t>
        </w:r>
      </w:hyperlink>
      <w:r>
        <w:t xml:space="preserve"> </w:t>
      </w:r>
      <w:hyperlink w:anchor="ref-15">
        <w:r>
          <w:rPr>
            <w:rStyle w:val="Hyperlink"/>
          </w:rPr>
          <w:t xml:space="preserve">[15]</w:t>
        </w:r>
      </w:hyperlink>
      <w:r>
        <w:t xml:space="preserve">. The documentary screen supplies a reading of whether the institutional conditions for pricing are forming. Neither alone would justify a price, and this dissertation supplies only the second, which is why it presents itself as a design-stage contribution rather than a finished pricing study</w:t>
      </w:r>
      <w:r>
        <w:t xml:space="preserve"> </w:t>
      </w:r>
      <w:hyperlink w:anchor="ref-10">
        <w:r>
          <w:rPr>
            <w:rStyle w:val="Hyperlink"/>
          </w:rPr>
          <w:t xml:space="preserve">[10]</w:t>
        </w:r>
      </w:hyperlink>
      <w:r>
        <w:t xml:space="preserve">.</w:t>
      </w:r>
    </w:p>
    <w:bookmarkEnd w:id="126"/>
    <w:bookmarkStart w:id="127" w:name="the-coherence-of-the-two-results"/>
    <w:p>
      <w:pPr>
        <w:pStyle w:val="Heading2"/>
        <w:spacing w:line="480" w:lineRule="auto"/>
      </w:pPr>
      <w:r>
        <w:t xml:space="preserve">The coherence of the two results</w:t>
      </w:r>
    </w:p>
    <w:p>
      <w:pPr>
        <w:pStyle w:val="FirstParagraph"/>
        <w:spacing w:line="480" w:lineRule="auto"/>
      </w:pPr>
      <w:r>
        <w:t xml:space="preserve">A venue effect beside an age null is sometimes heard as tension, as if a topic that concentrates by venue ought also to show a temporal signature. The discussion resolves that apparent tension rather than leaving it. The two results measure different things and can diverge without contradiction. Venue concentration says the topic has found the authoritative and economics-oriented venues. The age null says the topic has not built a deep, cumulative back-catalog. A recent arrival can display exactly this combination: it enters the right venues quickly, because current work naturally lands in current venues, yet it lacks the years of prior work that an age curve would require</w:t>
      </w:r>
      <w:r>
        <w:t xml:space="preserve"> </w:t>
      </w:r>
      <w:hyperlink w:anchor="ref-3">
        <w:r>
          <w:rPr>
            <w:rStyle w:val="Hyperlink"/>
          </w:rPr>
          <w:t xml:space="preserve">[3]</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Far from undermining each other, the two results reinforce a single reading, that the carbon ledger of launch is a young topic which has nonetheless reached the rooms where its pricing would be argued. The coherence of the pair is stronger evidence than either result alone, because it is the specific joint pattern a maturing-but-recent concern should produce, and no single estimator could have surfaced it</w:t>
      </w:r>
      <w:r>
        <w:t xml:space="preserve"> </w:t>
      </w:r>
      <w:hyperlink w:anchor="ref-4">
        <w:r>
          <w:rPr>
            <w:rStyle w:val="Hyperlink"/>
          </w:rPr>
          <w:t xml:space="preserve">[4]</w:t>
        </w:r>
      </w:hyperlink>
      <w:r>
        <w:t xml:space="preserve"> </w:t>
      </w:r>
      <w:hyperlink w:anchor="ref-16">
        <w:r>
          <w:rPr>
            <w:rStyle w:val="Hyperlink"/>
          </w:rPr>
          <w:t xml:space="preserve">[16]</w:t>
        </w:r>
      </w:hyperlink>
      <w:r>
        <w:t xml:space="preserve">.</w:t>
      </w:r>
    </w:p>
    <w:bookmarkEnd w:id="127"/>
    <w:bookmarkStart w:id="128" w:name="threats-to-validity"/>
    <w:p>
      <w:pPr>
        <w:pStyle w:val="Heading2"/>
        <w:spacing w:line="480" w:lineRule="auto"/>
      </w:pPr>
      <w:r>
        <w:t xml:space="preserve">Threats to validity</w:t>
      </w:r>
    </w:p>
    <w:p>
      <w:pPr>
        <w:pStyle w:val="FirstParagraph"/>
        <w:spacing w:line="480" w:lineRule="auto"/>
      </w:pPr>
      <w:r>
        <w:t xml:space="preserve">Several threats bound the findings. Source selection is the first. The corpus was assembled by a retrieval process, and any structure it shows could reflect the search rather than the field. If the retrieval favored economics-oriented sources for the higher venue tiers, the venue coefficient would partly encode the sampling rule rather than a fact about the discipline. The design cannot rule this out; it can only bound the claim to the retained corpus and hand the question to a study built on a differently sampled base</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Proxy measurement is the second threat. The signal score measures theme-term density in metadata, not substantive importance. The citation count is a local index measure, not a universal count, and the many zero-citation rows reflect index coverage rather than a claim that the work is uncited elsewhere</w:t>
      </w:r>
      <w:r>
        <w:t xml:space="preserve"> </w:t>
      </w:r>
      <w:hyperlink w:anchor="ref-6">
        <w:r>
          <w:rPr>
            <w:rStyle w:val="Hyperlink"/>
          </w:rPr>
          <w:t xml:space="preserve">[6]</w:t>
        </w:r>
      </w:hyperlink>
      <w:r>
        <w:t xml:space="preserve"> </w:t>
      </w:r>
      <w:hyperlink w:anchor="ref-8">
        <w:r>
          <w:rPr>
            <w:rStyle w:val="Hyperlink"/>
          </w:rPr>
          <w:t xml:space="preserve">[8]</w:t>
        </w:r>
      </w:hyperlink>
      <w:r>
        <w:t xml:space="preserve">. The venue score is ordinal and may capture publication practices as much as substantive weight. None of these proxies measures the true atmospheric burden of launch, which no field in the corpus records. The interpretation respects that gap rather than papering over it</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Omitted variables are the third threat. A metadata model cannot include every technical, institutional, or market driver of topic salience. Author prominence, funding source, and disciplinary fashion all plausibly move the signal score, and none enters the model. The venue coefficient could therefore absorb variation that properly belongs to an omitted correlate of venue. The design flags this as a reason to read the coefficient as association within the corpus, never as a causal effect of venue on signal</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w:t>
      </w:r>
    </w:p>
    <w:p>
      <w:pPr>
        <w:pStyle w:val="BodyText"/>
        <w:spacing w:line="480" w:lineRule="auto"/>
        <w:ind w:firstLine="720"/>
      </w:pPr>
      <w:r>
        <w:t xml:space="preserve">Overinterpretation is the fourth threat, and it is the one the design most actively guards against. The prose could easily outrun the evidence if a single significant coefficient were narrated as a discovery about the space sector. By reporting the weak fit and the failed F test alongside the venue result, and by treating the age null as a finding rather than a disappointment, the chapter keeps the interpretation inside the estimator output</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bookmarkEnd w:id="128"/>
    <w:bookmarkStart w:id="129" w:name="alternative-readings-of-the-venue-effect"/>
    <w:p>
      <w:pPr>
        <w:pStyle w:val="Heading2"/>
        <w:spacing w:line="480" w:lineRule="auto"/>
      </w:pPr>
      <w:r>
        <w:t xml:space="preserve">Alternative readings of the venue effect</w:t>
      </w:r>
    </w:p>
    <w:p>
      <w:pPr>
        <w:pStyle w:val="FirstParagraph"/>
        <w:spacing w:line="480" w:lineRule="auto"/>
      </w:pPr>
      <w:r>
        <w:t xml:space="preserve">A careful discussion entertains the readings that would deflate the venue result, not only the one that supports the framework. The first deflationary reading is that the venue score simply tracks metadata richness. Peer-reviewed and economics-oriented sources may carry longer, denser metadata records than conference proceedings, so a term-counting signal score would score them higher for reasons of formatting rather than substance. This reading cannot be dismissed, and it is a genuine limit on how far the coefficient can be pushed. The design’s response is to note that the highest-scoring records are also the ones whose content most directly engages the atmospheric ledger</w:t>
      </w:r>
      <w:r>
        <w:t xml:space="preserve"> </w:t>
      </w:r>
      <w:hyperlink w:anchor="ref-9">
        <w:r>
          <w:rPr>
            <w:rStyle w:val="Hyperlink"/>
          </w:rPr>
          <w:t xml:space="preserve">[9]</w:t>
        </w:r>
      </w:hyperlink>
      <w:r>
        <w:t xml:space="preserve"> </w:t>
      </w:r>
      <w:hyperlink w:anchor="ref-16">
        <w:r>
          <w:rPr>
            <w:rStyle w:val="Hyperlink"/>
          </w:rPr>
          <w:t xml:space="preserve">[16]</w:t>
        </w:r>
      </w:hyperlink>
      <w:r>
        <w:t xml:space="preserve">, which is harder to explain by formatting alone, though not impossible.</w:t>
      </w:r>
    </w:p>
    <w:p>
      <w:pPr>
        <w:pStyle w:val="BodyText"/>
        <w:spacing w:line="480" w:lineRule="auto"/>
        <w:ind w:firstLine="720"/>
      </w:pPr>
      <w:r>
        <w:t xml:space="preserve">A second deflationary reading is that the venue ordering itself encodes the outcome. If the coder placed economics-oriented sources at the top of the venue scale partly because they discuss the theme, then the venue predictor and the signal outcome share a common cause, and the coefficient partly reflects that shared construction. This is a real concern for any ordinal coding, and the honest position is that the venue result is strongest as a description of how the corpus is organized and weakest as a causal claim about venue driving signal. The results chapter already framed it as association within the corpus, and this reading is why that framing was chosen</w:t>
      </w:r>
      <w:r>
        <w:t xml:space="preserve"> </w:t>
      </w:r>
      <w:hyperlink w:anchor="ref-6">
        <w:r>
          <w:rPr>
            <w:rStyle w:val="Hyperlink"/>
          </w:rPr>
          <w:t xml:space="preserve">[6]</w:t>
        </w:r>
      </w:hyperlink>
      <w:r>
        <w:t xml:space="preserve">.</w:t>
      </w:r>
    </w:p>
    <w:p>
      <w:pPr>
        <w:pStyle w:val="BodyText"/>
        <w:spacing w:line="480" w:lineRule="auto"/>
        <w:ind w:firstLine="720"/>
      </w:pPr>
      <w:r>
        <w:t xml:space="preserve">Most benign to the framework is a third reading: the venue effect is exactly what a maturing topic should produce, and the deflationary readings, while valid, do not fully account for a coefficient this precise and this large. The discussion does not adjudicate among the three. It presents all three so a reader can weigh the coefficient against the reading that most threatens it, which is the posture a design-stage screen owes its audience</w:t>
      </w:r>
      <w:r>
        <w:t xml:space="preserve"> </w:t>
      </w:r>
      <w:hyperlink w:anchor="ref-7">
        <w:r>
          <w:rPr>
            <w:rStyle w:val="Hyperlink"/>
          </w:rPr>
          <w:t xml:space="preserve">[7]</w:t>
        </w:r>
      </w:hyperlink>
      <w:r>
        <w:t xml:space="preserve"> </w:t>
      </w:r>
      <w:hyperlink w:anchor="ref-12">
        <w:r>
          <w:rPr>
            <w:rStyle w:val="Hyperlink"/>
          </w:rPr>
          <w:t xml:space="preserve">[12]</w:t>
        </w:r>
      </w:hyperlink>
      <w:r>
        <w:t xml:space="preserve">.</w:t>
      </w:r>
    </w:p>
    <w:bookmarkEnd w:id="129"/>
    <w:bookmarkStart w:id="130" w:name="what-the-data-cannot-show"/>
    <w:p>
      <w:pPr>
        <w:pStyle w:val="Heading2"/>
        <w:spacing w:line="480" w:lineRule="auto"/>
      </w:pPr>
      <w:r>
        <w:t xml:space="preserve">What the data cannot show</w:t>
      </w:r>
    </w:p>
    <w:p>
      <w:pPr>
        <w:pStyle w:val="FirstParagraph"/>
        <w:spacing w:line="480" w:lineRule="auto"/>
      </w:pPr>
      <w:r>
        <w:t xml:space="preserve">This data cannot show that launch emissions are priced. They cannot show that any particular price is warranted. They cannot show a causal path from attention to governance, or from governance to behavior. They cannot show how a differently sampled corpus would behave, nor how attention will accumulate in the future</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These are not evasions; they are the boundary the design drew at the outset and held to throughout.</w:t>
      </w:r>
    </w:p>
    <w:p>
      <w:pPr>
        <w:pStyle w:val="BodyText"/>
        <w:spacing w:line="480" w:lineRule="auto"/>
        <w:ind w:firstLine="720"/>
      </w:pPr>
      <w:r>
        <w:t xml:space="preserve">What the data can show is narrower and real. They show that the carbon ledger of launch is visible in the retained corpus, that its signal concentrates by venue, and that it has no measurable age structure. That is a map of where the field’s attention currently sits, drawn with instruments transparent enough for the next researcher to extend</w:t>
      </w:r>
      <w:r>
        <w:t xml:space="preserve"> </w:t>
      </w:r>
      <w:hyperlink w:anchor="ref-8">
        <w:r>
          <w:rPr>
            <w:rStyle w:val="Hyperlink"/>
          </w:rPr>
          <w:t xml:space="preserve">[8]</w:t>
        </w:r>
      </w:hyperlink>
      <w:r>
        <w:t xml:space="preserve"> </w:t>
      </w:r>
      <w:hyperlink w:anchor="ref-16">
        <w:r>
          <w:rPr>
            <w:rStyle w:val="Hyperlink"/>
          </w:rPr>
          <w:t xml:space="preserve">[16]</w:t>
        </w:r>
      </w:hyperlink>
      <w:r>
        <w:t xml:space="preserve">.</w:t>
      </w:r>
    </w:p>
    <w:bookmarkEnd w:id="130"/>
    <w:bookmarkStart w:id="131" w:name="what-the-finding-implies-for-pricing"/>
    <w:p>
      <w:pPr>
        <w:pStyle w:val="Heading2"/>
        <w:spacing w:line="480" w:lineRule="auto"/>
      </w:pPr>
      <w:r>
        <w:t xml:space="preserve">What the finding implies for pricing</w:t>
      </w:r>
    </w:p>
    <w:p>
      <w:pPr>
        <w:pStyle w:val="FirstParagraph"/>
        <w:spacing w:line="480" w:lineRule="auto"/>
      </w:pPr>
      <w:r>
        <w:t xml:space="preserve">No discussion would be complete without connecting the venue result back to the pricing ambition in the dissertation’s title, even though the study does not price anything. The venue concentration suggests that the records doing the environmental accounting have reached the economics-oriented and peer-reviewed venues where a pricing argument would be made</w:t>
      </w:r>
      <w:r>
        <w:t xml:space="preserve"> </w:t>
      </w:r>
      <w:hyperlink w:anchor="ref-9">
        <w:r>
          <w:rPr>
            <w:rStyle w:val="Hyperlink"/>
          </w:rPr>
          <w:t xml:space="preserve">[9]</w:t>
        </w:r>
      </w:hyperlink>
      <w:r>
        <w:t xml:space="preserve"> </w:t>
      </w:r>
      <w:hyperlink w:anchor="ref-16">
        <w:r>
          <w:rPr>
            <w:rStyle w:val="Hyperlink"/>
          </w:rPr>
          <w:t xml:space="preserve">[16]</w:t>
        </w:r>
      </w:hyperlink>
      <w:r>
        <w:t xml:space="preserve">. That is a precondition for pricing, not pricing itself. A price requires an agreed inventory, a damage function, and an instrument, and none of those follows from a venue coefficient.</w:t>
      </w:r>
    </w:p>
    <w:p>
      <w:pPr>
        <w:pStyle w:val="BodyText"/>
        <w:spacing w:line="480" w:lineRule="auto"/>
        <w:ind w:firstLine="720"/>
      </w:pPr>
      <w:r>
        <w:t xml:space="preserve">What the finding does imply is a sequence. Before a launch-emissions price can be debated seriously, the accounting must reach the venues where economics and governance are argued, and the venue result is weak evidence that this migration has begun. The next precondition, a validated physical inventory, is partly supplied by the life-cycle and emissions literature already in the corpus</w:t>
      </w:r>
      <w:r>
        <w:t xml:space="preserve"> </w:t>
      </w:r>
      <w:hyperlink w:anchor="ref-9">
        <w:r>
          <w:rPr>
            <w:rStyle w:val="Hyperlink"/>
          </w:rPr>
          <w:t xml:space="preserve">[9]</w:t>
        </w:r>
      </w:hyperlink>
      <w:r>
        <w:t xml:space="preserve"> </w:t>
      </w:r>
      <w:hyperlink w:anchor="ref-13">
        <w:r>
          <w:rPr>
            <w:rStyle w:val="Hyperlink"/>
          </w:rPr>
          <w:t xml:space="preserve">[13]</w:t>
        </w:r>
      </w:hyperlink>
      <w:r>
        <w:t xml:space="preserve">, and the materials studies that bound the manufacturing and disposal terms</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The cost literature supplies the baseline against which a price would be judged material</w:t>
      </w:r>
      <w:r>
        <w:t xml:space="preserve"> </w:t>
      </w:r>
      <w:hyperlink w:anchor="ref-10">
        <w:r>
          <w:rPr>
            <w:rStyle w:val="Hyperlink"/>
          </w:rPr>
          <w:t xml:space="preserve">[10]</w:t>
        </w:r>
      </w:hyperlink>
      <w:r>
        <w:t xml:space="preserve">. The dissertation locates the topic at the first precondition and shows the later ones are within reach, which is the most a documentary screen can honestly offer toward a pricing model.</w:t>
      </w:r>
    </w:p>
    <w:p>
      <w:pPr>
        <w:pStyle w:val="BodyText"/>
        <w:spacing w:line="480" w:lineRule="auto"/>
        <w:ind w:firstLine="720"/>
      </w:pPr>
      <w:r>
        <w:t xml:space="preserve">The implication for a policymaker is correspondingly modest. The finding does not recommend a price, a level, or an instrument. It says the institutional conversation has reached the right rooms, and it points to the physical evidence a serious pricing effort would need to assemble next. A policymaker who wanted more would have to commission the document-coding study and the inventory validation that this design names as future work, not treat a venue coefficient as a mandate</w:t>
      </w:r>
      <w:r>
        <w:t xml:space="preserve"> </w:t>
      </w:r>
      <w:hyperlink w:anchor="ref-12">
        <w:r>
          <w:rPr>
            <w:rStyle w:val="Hyperlink"/>
          </w:rPr>
          <w:t xml:space="preserve">[12]</w:t>
        </w:r>
      </w:hyperlink>
      <w:r>
        <w:t xml:space="preserve">.</w:t>
      </w:r>
    </w:p>
    <w:bookmarkEnd w:id="131"/>
    <w:bookmarkStart w:id="132" w:name="a-template-for-institutional-learning"/>
    <w:p>
      <w:pPr>
        <w:pStyle w:val="Heading2"/>
        <w:spacing w:line="480" w:lineRule="auto"/>
      </w:pPr>
      <w:r>
        <w:t xml:space="preserve">A template for institutional learning</w:t>
      </w:r>
    </w:p>
    <w:p>
      <w:pPr>
        <w:pStyle w:val="FirstParagraph"/>
        <w:spacing w:line="480" w:lineRule="auto"/>
      </w:pPr>
      <w:r>
        <w:t xml:space="preserve">A staged template for governance evidence follows. A first pass uses public records and metadata to establish whether a claim is visible and measurable. A second pass adds operator-level, mission-level, or regulatory data. A third pass tests whether the observed association survives stronger controls, matched comparisons, or longitudinal designs. The present work belongs to the first stage, and it names the later stages rather than pretending to have completed them</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That staging is the practical value of a documentary design. A claim that survives source tracing, variable construction, and estimator review is stronger than an impressionistic one. A claim that fails those tests is also useful, because it prevents premature confidence and marks exactly where new data would help. The venue result survives; the recency, citation, and age claims do not. Both outcomes are contributions, because both tell the next study where to spend its effort</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132"/>
    <w:bookmarkStart w:id="133" w:name="why-the-null-results-are-not-failures"/>
    <w:p>
      <w:pPr>
        <w:pStyle w:val="Heading2"/>
        <w:spacing w:line="480" w:lineRule="auto"/>
      </w:pPr>
      <w:r>
        <w:t xml:space="preserve">Why the null results are not failures</w:t>
      </w:r>
    </w:p>
    <w:p>
      <w:pPr>
        <w:pStyle w:val="FirstParagraph"/>
        <w:spacing w:line="480" w:lineRule="auto"/>
      </w:pPr>
      <w:r>
        <w:t xml:space="preserve">A word is owed to the three null results, because a reader trained to prize significant coefficients might read them as the study coming up empty. They are not empty. The recency null tells the next researcher that publication year alone will not sort this literature, so a design leaning on recency as a proxy for salience would be mis-specified. The citation null, given the many zero-citation rows, tells the next researcher that a local index cannot carry the attention measure and that a fuller citation source is required before attention can be tested at all</w:t>
      </w:r>
      <w:r>
        <w:t xml:space="preserve"> </w:t>
      </w:r>
      <w:hyperlink w:anchor="ref-8">
        <w:r>
          <w:rPr>
            <w:rStyle w:val="Hyperlink"/>
          </w:rPr>
          <w:t xml:space="preserve">[8]</w:t>
        </w:r>
      </w:hyperlink>
      <w:r>
        <w:t xml:space="preserve">. Each null redirects effort rather than wasting it.</w:t>
      </w:r>
    </w:p>
    <w:p>
      <w:pPr>
        <w:pStyle w:val="BodyText"/>
        <w:spacing w:line="480" w:lineRule="auto"/>
        <w:ind w:firstLine="720"/>
      </w:pPr>
      <w:r>
        <w:t xml:space="preserve">Most interpretive weight falls on the age null. Read alone, it could mean the topic has no cumulative structure. Read alongside the compressed year distribution, it could mean the corpus lacks the temporal spread to detect one. The discussion holds both possibilities open, and that refusal to collapse them is itself a methodological contribution: it names the specific data improvement, a longer time base with fuller citation coverage, that would let the next study distinguish the two</w:t>
      </w:r>
      <w:r>
        <w:t xml:space="preserve"> </w:t>
      </w:r>
      <w:hyperlink w:anchor="ref-5">
        <w:r>
          <w:rPr>
            <w:rStyle w:val="Hyperlink"/>
          </w:rPr>
          <w:t xml:space="preserve">[5]</w:t>
        </w:r>
      </w:hyperlink>
      <w:r>
        <w:t xml:space="preserve"> </w:t>
      </w:r>
      <w:hyperlink w:anchor="ref-10">
        <w:r>
          <w:rPr>
            <w:rStyle w:val="Hyperlink"/>
          </w:rPr>
          <w:t xml:space="preserve">[10]</w:t>
        </w:r>
      </w:hyperlink>
      <w:r>
        <w:t xml:space="preserve">. A null that specifies its own remedy is more useful than a significant coefficient that hides its fragility.</w:t>
      </w:r>
    </w:p>
    <w:p>
      <w:pPr>
        <w:pStyle w:val="BodyText"/>
        <w:spacing w:line="480" w:lineRule="auto"/>
        <w:ind w:firstLine="720"/>
      </w:pPr>
      <w:r>
        <w:t xml:space="preserve">A null can teach. This one names its own remedy</w:t>
      </w:r>
      <w:r>
        <w:t xml:space="preserve"> </w:t>
      </w:r>
      <w:hyperlink w:anchor="ref-5">
        <w:r>
          <w:rPr>
            <w:rStyle w:val="Hyperlink"/>
          </w:rPr>
          <w:t xml:space="preserve">[5]</w:t>
        </w:r>
      </w:hyperlink>
      <w:r>
        <w:t xml:space="preserve">.</w:t>
      </w:r>
    </w:p>
    <w:p>
      <w:pPr>
        <w:pStyle w:val="BodyText"/>
        <w:spacing w:line="480" w:lineRule="auto"/>
        <w:ind w:firstLine="720"/>
      </w:pPr>
      <w:r>
        <w:t xml:space="preserve">A broader lesson holds: a documentary design earns its keep in exactly these moments. It cannot manufacture a strong effect where the data hold none, and it does not try. What it delivers instead is an honest map: one axis of real structure, three axes of demonstrated noise, and a clear statement of which instrument each next question requires. That map is the discussion’s final product, and it is worth more to a research program than a single flattering number would be</w:t>
      </w:r>
      <w:r>
        <w:t xml:space="preserve"> </w:t>
      </w:r>
      <w:hyperlink w:anchor="ref-1">
        <w:r>
          <w:rPr>
            <w:rStyle w:val="Hyperlink"/>
          </w:rPr>
          <w:t xml:space="preserve">[1]</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This discussion closes on the boundary it has held throughout. The venue result is bounded to the retained corpus, qualified by its ordinal construction, and offered as a screen rather than a proof. The three nulls are bounded the same way, each read as a statement about detectable structure at this sample size rather than as a demonstrated absence. Nothing in the chapter claims more than the coefficients allow, and the discipline of that restraint is itself the contribution. A reader leaves the chapter knowing exactly what the study found, exactly what it could not find, and exactly which threat most endangers each claim, which is the most a design-stage screen can responsibly deliver</w:t>
      </w:r>
      <w:r>
        <w:t xml:space="preserve"> </w:t>
      </w:r>
      <w:hyperlink w:anchor="ref-4">
        <w:r>
          <w:rPr>
            <w:rStyle w:val="Hyperlink"/>
          </w:rPr>
          <w:t xml:space="preserve">[4]</w:t>
        </w:r>
      </w:hyperlink>
      <w:r>
        <w:t xml:space="preserve"> </w:t>
      </w:r>
      <w:hyperlink w:anchor="ref-7">
        <w:r>
          <w:rPr>
            <w:rStyle w:val="Hyperlink"/>
          </w:rPr>
          <w:t xml:space="preserve">[7]</w:t>
        </w:r>
      </w:hyperlink>
      <w:r>
        <w:t xml:space="preserve">. That knowledge, rather than a headline coefficient, is the discussion’s lasting product, and it is the kind of product a research program can build on without first having to discount it</w:t>
      </w:r>
      <w:r>
        <w:t xml:space="preserve"> </w:t>
      </w:r>
      <w:hyperlink w:anchor="ref-16">
        <w:r>
          <w:rPr>
            <w:rStyle w:val="Hyperlink"/>
          </w:rPr>
          <w:t xml:space="preserve">[16]</w:t>
        </w:r>
      </w:hyperlink>
      <w:r>
        <w:t xml:space="preserve">.</w:t>
      </w:r>
    </w:p>
    <w:bookmarkEnd w:id="133"/>
    <w:bookmarkEnd w:id="134"/>
    <w:bookmarkStart w:id="172"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closes with a narrow but durable contribution. It takes</w:t>
      </w:r>
      <w:r>
        <w:t xml:space="preserve"> </w:t>
      </w:r>
      <w:r>
        <w:rPr>
          <w:i/>
          <w:iCs/>
        </w:rPr>
        <w:t xml:space="preserve">The Carbon Ledger of Launch: A Life-Cycle Inventory and Externality-Pricing Mode</w:t>
      </w:r>
      <w:r>
        <w:t xml:space="preserve"> </w:t>
      </w:r>
      <w:r>
        <w:t xml:space="preserve">from a broad domain concern to a reproducible empirical design. The project identifies a literature gap, constructs two source-traced empirical screens, embeds the workbooks, and reports the results with explicit limits. That makes the dissertation useful even where the strongest causal claim remains for future research</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w:t>
      </w:r>
    </w:p>
    <w:bookmarkStart w:id="135" w:name="the-contribution-restated"/>
    <w:p>
      <w:pPr>
        <w:pStyle w:val="Heading2"/>
        <w:spacing w:line="480" w:lineRule="auto"/>
      </w:pPr>
      <w:r>
        <w:t xml:space="preserve">The contribution restated</w:t>
      </w:r>
    </w:p>
    <w:p>
      <w:pPr>
        <w:pStyle w:val="FirstParagraph"/>
        <w:spacing w:line="480" w:lineRule="auto"/>
      </w:pPr>
      <w:r>
        <w:t xml:space="preserve">One falsifiable test, run twice from complementary angles on a corpus every reader can inspect, is the contribution. The first screen shows what can be learned from cross-sectional variation. Paper one estimates an ordinary least squares model with robust HC1 standard errors: N = 30, R2 = 0.1419, F_p = 0.1176; const coefficient 1.0797, p = 0.5486; recency_index coefficient 0.0626, p = 0.635; cites_num coefficient 0.0167, p = 0.7263; venue_score coefficient 0.9352, p = 0.018. The second screen shows what can be learned from accumulation over time. Paper two estimates a log-log learning-curve model with robust HC1 standard errors: N = 30, R2 = 0.0021; const coefficient 0.7896, p = 0.046; _ln_x coefficient -0.0800, p = 0.7669.</w:t>
      </w:r>
    </w:p>
    <w:p>
      <w:pPr>
        <w:pStyle w:val="BodyText"/>
        <w:spacing w:line="480" w:lineRule="auto"/>
        <w:ind w:firstLine="720"/>
      </w:pPr>
      <w:r>
        <w:t xml:space="preserve">These findings are not interchangeable, and their value is cumulative. One establishes that the topic signal has structure across records, concentrated in venue family. The other establishes that the topic has no measurable structure over time. Read together, they describe a recent, venue-concentrated arrival: a hazard that has been physically quantified</w:t>
      </w:r>
      <w:r>
        <w:t xml:space="preserve"> </w:t>
      </w:r>
      <w:hyperlink w:anchor="ref-9">
        <w:r>
          <w:rPr>
            <w:rStyle w:val="Hyperlink"/>
          </w:rPr>
          <w:t xml:space="preserve">[9]</w:t>
        </w:r>
      </w:hyperlink>
      <w:r>
        <w:t xml:space="preserve"> </w:t>
      </w:r>
      <w:hyperlink w:anchor="ref-13">
        <w:r>
          <w:rPr>
            <w:rStyle w:val="Hyperlink"/>
          </w:rPr>
          <w:t xml:space="preserve">[13]</w:t>
        </w:r>
      </w:hyperlink>
      <w:r>
        <w:t xml:space="preserve"> </w:t>
      </w:r>
      <w:r>
        <w:t xml:space="preserve">and has reached the venues where pricing and governance are debated</w:t>
      </w:r>
      <w:r>
        <w:t xml:space="preserve"> </w:t>
      </w:r>
      <w:hyperlink w:anchor="ref-16">
        <w:r>
          <w:rPr>
            <w:rStyle w:val="Hyperlink"/>
          </w:rPr>
          <w:t xml:space="preserve">[16]</w:t>
        </w:r>
      </w:hyperlink>
      <w:r>
        <w:t xml:space="preserve">, but has not yet built the longitudinal depth of an established research program</w:t>
      </w:r>
      <w:r>
        <w:t xml:space="preserve"> </w:t>
      </w:r>
      <w:hyperlink w:anchor="ref-6">
        <w:r>
          <w:rPr>
            <w:rStyle w:val="Hyperlink"/>
          </w:rPr>
          <w:t xml:space="preserve">[6]</w:t>
        </w:r>
      </w:hyperlink>
      <w:r>
        <w:t xml:space="preserve">.</w:t>
      </w:r>
    </w:p>
    <w:bookmarkEnd w:id="135"/>
    <w:bookmarkStart w:id="136" w:name="why-the-modest-result-is-a-real-result"/>
    <w:p>
      <w:pPr>
        <w:pStyle w:val="Heading2"/>
        <w:spacing w:line="480" w:lineRule="auto"/>
      </w:pPr>
      <w:r>
        <w:t xml:space="preserve">Why the modest result is a real result</w:t>
      </w:r>
    </w:p>
    <w:p>
      <w:pPr>
        <w:pStyle w:val="FirstParagraph"/>
        <w:spacing w:line="480" w:lineRule="auto"/>
      </w:pPr>
      <w:r>
        <w:t xml:space="preserve">A dissertation that returned one significant coefficient out of eight terms, in models that mostly fail their joint tests, might seem thin. It is not, and the reason is the discipline of the design. The venue result survived every check the design could apply: it is precise, it is signed in the predicted direction, and it is coded deterministically from the source string rather than inferred from the outcome. The recency, citation, and age claims did not survive, and the design reports their failure with the same candor it reports the success</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That candor is the point. A claim that survives source tracing, variable construction, and estimator review is stronger than an impressionistic one. A claim that fails those tests is also useful, because it prevents premature confidence and marks exactly where new data would help. The dissertation replaces an intuition, that the carbon ledger of launch is becoming an institutional concern, with an auditable statement about where that concern is currently visible and where it is not</w:t>
      </w:r>
      <w:r>
        <w:t xml:space="preserve"> </w:t>
      </w:r>
      <w:hyperlink w:anchor="ref-2">
        <w:r>
          <w:rPr>
            <w:rStyle w:val="Hyperlink"/>
          </w:rPr>
          <w:t xml:space="preserve">[2]</w:t>
        </w:r>
      </w:hyperlink>
      <w:r>
        <w:t xml:space="preserve"> </w:t>
      </w:r>
      <w:hyperlink w:anchor="ref-7">
        <w:r>
          <w:rPr>
            <w:rStyle w:val="Hyperlink"/>
          </w:rPr>
          <w:t xml:space="preserve">[7]</w:t>
        </w:r>
      </w:hyperlink>
      <w:r>
        <w:t xml:space="preserve">.</w:t>
      </w:r>
    </w:p>
    <w:bookmarkEnd w:id="136"/>
    <w:bookmarkStart w:id="137" w:name="the-single-falsifiable-claim-assessed"/>
    <w:p>
      <w:pPr>
        <w:pStyle w:val="Heading2"/>
        <w:spacing w:line="480" w:lineRule="auto"/>
      </w:pPr>
      <w:r>
        <w:t xml:space="preserve">The single falsifiable claim, assessed</w:t>
      </w:r>
    </w:p>
    <w:p>
      <w:pPr>
        <w:pStyle w:val="FirstParagraph"/>
        <w:spacing w:line="480" w:lineRule="auto"/>
      </w:pPr>
      <w:r>
        <w:t xml:space="preserve">The dissertation promised one falsifiable contribution, and it is worth stating how that promise was kept. The null hypothesis held that the topic signal is unrelated to publication recency, citation attention, and venue family. That null was falsifiable, and it was partially falsified: the venue channel rejected the null at conventional significance, while the recency and citation channels did not. A design that had promised a single yes-or-no verdict would have to force this mixed result into one answer. This design instead reports the result at the resolution the data support, which is one rejected channel and two channels where the null stands</w:t>
      </w:r>
      <w:r>
        <w:t xml:space="preserve"> </w:t>
      </w:r>
      <w:hyperlink w:anchor="ref-6">
        <w:r>
          <w:rPr>
            <w:rStyle w:val="Hyperlink"/>
          </w:rPr>
          <w:t xml:space="preserve">[6]</w:t>
        </w:r>
      </w:hyperlink>
      <w:r>
        <w:t xml:space="preserve">.</w:t>
      </w:r>
    </w:p>
    <w:p>
      <w:pPr>
        <w:pStyle w:val="BodyText"/>
        <w:spacing w:line="480" w:lineRule="auto"/>
        <w:ind w:firstLine="720"/>
      </w:pPr>
      <w:r>
        <w:t xml:space="preserve">That resolution is the honest form of a falsifiable contribution. The claim was not merely that some vague signal exists; it was three specific, pre-committed predictions, and the data adjudicated each separately. Pre-committing to the three channels is what let the venue rejection carry weight, because it was not selected after the fact from a larger menu of tests. The venue result is a genuine rejection of a genuine null, and the two standing nulls are genuine failures to reject, each interpretable in its own right</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That temporal hypothesis was falsifiable in the same way and was not rejected. The age elasticity of -0.0800, imprecise and near zero, left the null of no age-based accumulation standing. The design reads this as a finding about the topic’s shallow history rather than a defect in the test, and it names the data improvement that would sharpen the test. A falsifiable claim that survives the attempt to falsify it in one channel, falls in another, and specifies what would strengthen the remaining tests is a complete scientific statement, not a hedge</w:t>
      </w:r>
      <w:r>
        <w:t xml:space="preserve"> </w:t>
      </w:r>
      <w:hyperlink w:anchor="ref-5">
        <w:r>
          <w:rPr>
            <w:rStyle w:val="Hyperlink"/>
          </w:rPr>
          <w:t xml:space="preserve">[5]</w:t>
        </w:r>
      </w:hyperlink>
      <w:r>
        <w:t xml:space="preserve"> </w:t>
      </w:r>
      <w:hyperlink w:anchor="ref-10">
        <w:r>
          <w:rPr>
            <w:rStyle w:val="Hyperlink"/>
          </w:rPr>
          <w:t xml:space="preserve">[10]</w:t>
        </w:r>
      </w:hyperlink>
      <w:r>
        <w:t xml:space="preserve">.</w:t>
      </w:r>
    </w:p>
    <w:bookmarkEnd w:id="137"/>
    <w:bookmarkStart w:id="138" w:name="governance-and-program-relevance"/>
    <w:p>
      <w:pPr>
        <w:pStyle w:val="Heading2"/>
        <w:spacing w:line="480" w:lineRule="auto"/>
      </w:pPr>
      <w:r>
        <w:t xml:space="preserve">Governance and program relevance</w:t>
      </w:r>
    </w:p>
    <w:p>
      <w:pPr>
        <w:pStyle w:val="FirstParagraph"/>
        <w:spacing w:line="480" w:lineRule="auto"/>
      </w:pPr>
      <w:r>
        <w:t xml:space="preserve">Governance relevance follows from the venue result. If the topic signal concentrates in the authoritative and economics-oriented venues, then the institutions that would price launch emissions are already within reach of the conversation. The debris-control literature shows that the sector can formalize an orbital externality once attention concentrates</w:t>
      </w:r>
      <w:r>
        <w:t xml:space="preserve"> </w:t>
      </w:r>
      <w:hyperlink w:anchor="ref-16">
        <w:r>
          <w:rPr>
            <w:rStyle w:val="Hyperlink"/>
          </w:rPr>
          <w:t xml:space="preserve">[16]</w:t>
        </w:r>
      </w:hyperlink>
      <w:r>
        <w:t xml:space="preserve">, and the life-cycle assessment work supplies the physical inventory that any launch-emissions price would need</w:t>
      </w:r>
      <w:r>
        <w:t xml:space="preserve"> </w:t>
      </w:r>
      <w:hyperlink w:anchor="ref-9">
        <w:r>
          <w:rPr>
            <w:rStyle w:val="Hyperlink"/>
          </w:rPr>
          <w:t xml:space="preserve">[9]</w:t>
        </w:r>
      </w:hyperlink>
      <w:r>
        <w:t xml:space="preserve">. The dissertation locates the topic on the path between those two capabilities and shows that it has reached the venue stage but not the cumulative-evidence stage.</w:t>
      </w:r>
    </w:p>
    <w:p>
      <w:pPr>
        <w:pStyle w:val="BodyText"/>
        <w:spacing w:line="480" w:lineRule="auto"/>
        <w:ind w:firstLine="720"/>
      </w:pPr>
      <w:r>
        <w:t xml:space="preserve">For program planners, the practical implication is a staged template for evidence. A first pass uses public records and metadata to establish whether a claim is visible and measurable. A second pass adds operator-level, mission-level, or regulatory data. A third pass tests whether the observed association survives stronger controls, matched comparisons, or longitudinal designs. Space governance and program questions routinely begin with partial records rather than finished datasets, and this staging lets an institution reason responsibly before the perfect dataset arrives</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6">
        <w:r>
          <w:rPr>
            <w:rStyle w:val="Hyperlink"/>
          </w:rPr>
          <w:t xml:space="preserve">[6]</w:t>
        </w:r>
      </w:hyperlink>
      <w:r>
        <w:t xml:space="preserve">. The present work occupies the first stage and names the rest.</w:t>
      </w:r>
    </w:p>
    <w:bookmarkEnd w:id="138"/>
    <w:bookmarkStart w:id="139" w:name="situating-the-contribution-in-the-field"/>
    <w:p>
      <w:pPr>
        <w:pStyle w:val="Heading2"/>
        <w:spacing w:line="480" w:lineRule="auto"/>
      </w:pPr>
      <w:r>
        <w:t xml:space="preserve">Situating the contribution in the field</w:t>
      </w:r>
    </w:p>
    <w:p>
      <w:pPr>
        <w:pStyle w:val="FirstParagraph"/>
        <w:spacing w:line="480" w:lineRule="auto"/>
      </w:pPr>
      <w:r>
        <w:t xml:space="preserve">The contribution earns its place by sitting at a junction the existing literature leaves open. The physical strand quantifies the burden of launch emissions with growing precision</w:t>
      </w:r>
      <w:r>
        <w:t xml:space="preserve"> </w:t>
      </w:r>
      <w:hyperlink w:anchor="ref-9">
        <w:r>
          <w:rPr>
            <w:rStyle w:val="Hyperlink"/>
          </w:rPr>
          <w:t xml:space="preserve">[9]</w:t>
        </w:r>
      </w:hyperlink>
      <w:r>
        <w:t xml:space="preserve"> </w:t>
      </w:r>
      <w:hyperlink w:anchor="ref-13">
        <w:r>
          <w:rPr>
            <w:rStyle w:val="Hyperlink"/>
          </w:rPr>
          <w:t xml:space="preserve">[13]</w:t>
        </w:r>
      </w:hyperlink>
      <w:r>
        <w:t xml:space="preserve">, and the economic strand supplies the externality vocabulary and the control frameworks that would internalize such a burden</w:t>
      </w:r>
      <w:r>
        <w:t xml:space="preserve"> </w:t>
      </w:r>
      <w:hyperlink w:anchor="ref-16">
        <w:r>
          <w:rPr>
            <w:rStyle w:val="Hyperlink"/>
          </w:rPr>
          <w:t xml:space="preserve">[16]</w:t>
        </w:r>
      </w:hyperlink>
      <w:r>
        <w:t xml:space="preserve">. Between them lies a question neither strand asks: has the field’s attention begun to organize around the launch ledger enough to let those two strands meet. The dissertation answers that question, and in doing so it connects a physical literature and an economic literature that have largely developed apart.</w:t>
      </w:r>
    </w:p>
    <w:p>
      <w:pPr>
        <w:pStyle w:val="BodyText"/>
        <w:spacing w:line="480" w:lineRule="auto"/>
        <w:ind w:firstLine="720"/>
      </w:pPr>
      <w:r>
        <w:t xml:space="preserve">This answer is specific. The topic signal concentrates in the venues where the economic and physical conversations could join, but it has not yet accumulated the longitudinal depth of an established program. That places the carbon ledger of launch at an identifiable stage: past first observation, into the authoritative venues, but short of a mature research program with a deep back-catalog. No prior work in the corpus locates the topic on that path, because no prior work asks the maturation question the two screens were built to answer</w:t>
      </w:r>
      <w:r>
        <w:t xml:space="preserve"> </w:t>
      </w:r>
      <w:hyperlink w:anchor="ref-6">
        <w:r>
          <w:rPr>
            <w:rStyle w:val="Hyperlink"/>
          </w:rPr>
          <w:t xml:space="preserve">[6]</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Venue structure, yes. Age structure, no. That pairing is the result</w:t>
      </w:r>
      <w:r>
        <w:t xml:space="preserve"> </w:t>
      </w:r>
      <w:hyperlink w:anchor="ref-6">
        <w:r>
          <w:rPr>
            <w:rStyle w:val="Hyperlink"/>
          </w:rPr>
          <w:t xml:space="preserve">[6]</w:t>
        </w:r>
      </w:hyperlink>
      <w:r>
        <w:t xml:space="preserve">.</w:t>
      </w:r>
    </w:p>
    <w:p>
      <w:pPr>
        <w:pStyle w:val="BodyText"/>
        <w:spacing w:line="480" w:lineRule="auto"/>
        <w:ind w:firstLine="720"/>
      </w:pPr>
      <w:r>
        <w:t xml:space="preserve">The contribution is therefore neither a physical result nor an economic one but a bridging observation about institutional readiness. It tells the physical researchers that their accounting has reached the rooms where pricing is argued, and it tells the economic researchers that the inventory they would need is being assembled in venues adjacent to theirs. That bridging function is the dissertation’s distinctive addition, and it is available only because the documentary design reads the distribution of the literature rather than the content of any single study</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bookmarkEnd w:id="139"/>
    <w:bookmarkStart w:id="140" w:name="the-methodological-contribution"/>
    <w:p>
      <w:pPr>
        <w:pStyle w:val="Heading2"/>
        <w:spacing w:line="480" w:lineRule="auto"/>
      </w:pPr>
      <w:r>
        <w:t xml:space="preserve">The methodological contribution</w:t>
      </w:r>
    </w:p>
    <w:p>
      <w:pPr>
        <w:pStyle w:val="FirstParagraph"/>
        <w:spacing w:line="480" w:lineRule="auto"/>
      </w:pPr>
      <w:r>
        <w:t xml:space="preserve">A knowledge contribution runs alongside the substantive one, and it is methodological. Substantively, the dissertation clarifies what the candidate topic looks like in the available evidence: visible, venue-concentrated, and temporally flat. Methodologically, it demonstrates how to turn a space-domain claim into variables, model output, and a documented appendix without inflating a proxy into a certainty. The knowledge-graph and event-ledger literatures show that provenance-preserving representation of a field’s own documents is feasible and increasingly expected</w:t>
      </w:r>
      <w:r>
        <w:t xml:space="preserve"> </w:t>
      </w:r>
      <w:hyperlink w:anchor="ref-1">
        <w:r>
          <w:rPr>
            <w:rStyle w:val="Hyperlink"/>
          </w:rPr>
          <w:t xml:space="preserve">[1]</w:t>
        </w:r>
      </w:hyperlink>
      <w:r>
        <w:t xml:space="preserve"> </w:t>
      </w:r>
      <w:hyperlink w:anchor="ref-14">
        <w:r>
          <w:rPr>
            <w:rStyle w:val="Hyperlink"/>
          </w:rPr>
          <w:t xml:space="preserve">[14]</w:t>
        </w:r>
      </w:hyperlink>
      <w:r>
        <w:t xml:space="preserve">, and this design brings that standard to a thirty-record dissertation corpus.</w:t>
      </w:r>
    </w:p>
    <w:p>
      <w:pPr>
        <w:pStyle w:val="BodyText"/>
        <w:spacing w:line="480" w:lineRule="auto"/>
        <w:ind w:firstLine="720"/>
      </w:pPr>
      <w:r>
        <w:t xml:space="preserve">This method transfers. Any space governance question that begins as a domain intuition can be run through the same pipeline: retrieve a corpus, code deterministic features, fix the estimators in configuration files, and report only what the workbooks return. The systems-engineering sustainability framework that decomposes a problem into environmental states, vulnerabilities, decisions, and technologies offers a ready template for choosing which features to code</w:t>
      </w:r>
      <w:r>
        <w:t xml:space="preserve"> </w:t>
      </w:r>
      <w:hyperlink w:anchor="ref-12">
        <w:r>
          <w:rPr>
            <w:rStyle w:val="Hyperlink"/>
          </w:rPr>
          <w:t xml:space="preserve">[12]</w:t>
        </w:r>
      </w:hyperlink>
      <w:r>
        <w:t xml:space="preserve">, and the cost-estimation literature offers the baseline against which any future price would be judged</w:t>
      </w:r>
      <w:r>
        <w:t xml:space="preserve"> </w:t>
      </w:r>
      <w:hyperlink w:anchor="ref-10">
        <w:r>
          <w:rPr>
            <w:rStyle w:val="Hyperlink"/>
          </w:rPr>
          <w:t xml:space="preserve">[10]</w:t>
        </w:r>
      </w:hyperlink>
      <w:r>
        <w:t xml:space="preserve">. The dissertation is thus a worked example as much as a finding.</w:t>
      </w:r>
    </w:p>
    <w:bookmarkEnd w:id="140"/>
    <w:bookmarkStart w:id="141" w:name="relevance-beyond-the-single-topic"/>
    <w:p>
      <w:pPr>
        <w:pStyle w:val="Heading2"/>
        <w:spacing w:line="480" w:lineRule="auto"/>
      </w:pPr>
      <w:r>
        <w:t xml:space="preserve">Relevance beyond the single topic</w:t>
      </w:r>
    </w:p>
    <w:p>
      <w:pPr>
        <w:pStyle w:val="FirstParagraph"/>
        <w:spacing w:line="480" w:lineRule="auto"/>
      </w:pPr>
      <w:r>
        <w:t xml:space="preserve">Past the carbon ledger of launch, the contribution generalizes, and naming that reach is part of the conclusion. Space governance is full of hazards that are physically measured before they are institutionally priced: orbital debris is the canonical case</w:t>
      </w:r>
      <w:r>
        <w:t xml:space="preserve"> </w:t>
      </w:r>
      <w:hyperlink w:anchor="ref-16">
        <w:r>
          <w:rPr>
            <w:rStyle w:val="Hyperlink"/>
          </w:rPr>
          <w:t xml:space="preserve">[16]</w:t>
        </w:r>
      </w:hyperlink>
      <w:r>
        <w:t xml:space="preserve">, and the atmospheric burden of launch is a close analog. For any such hazard, the question of whether the field’s attention has begun to organize around a price is answerable with the same two screens this dissertation ran. The method is portable because it depends only on a retrieved corpus, deterministic features, and fixed estimators, none of which is specific to launch emissions</w:t>
      </w:r>
      <w:r>
        <w:t xml:space="preserve"> </w:t>
      </w:r>
      <w:hyperlink w:anchor="ref-1">
        <w:r>
          <w:rPr>
            <w:rStyle w:val="Hyperlink"/>
          </w:rPr>
          <w:t xml:space="preserve">[1]</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That portability matters for a program that must triage many candidate concerns with limited analytic capacity. A cheap documentary screen can tell a program office which emerging hazards have reached the venues where governance is debated and which remain confined to operational proceedings. The former are ripe for a document-coding study and possibly for policy attention; the latter may need more physical evidence before the institutional conversation can begin. The screen does not decide policy, but it sequences analytic effort, and sequencing is exactly what a resource-constrained program needs</w:t>
      </w:r>
      <w:r>
        <w:t xml:space="preserve"> </w:t>
      </w:r>
      <w:hyperlink w:anchor="ref-6">
        <w:r>
          <w:rPr>
            <w:rStyle w:val="Hyperlink"/>
          </w:rPr>
          <w:t xml:space="preserve">[6]</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dissertation thus contributes a reusable instrument alongside its substantive finding. The instrument is a way to read the maturation of an institutional concern from the distribution of its literature, calibrated on a topic where the physical burden is already well established</w:t>
      </w:r>
      <w:r>
        <w:t xml:space="preserve"> </w:t>
      </w:r>
      <w:hyperlink w:anchor="ref-9">
        <w:r>
          <w:rPr>
            <w:rStyle w:val="Hyperlink"/>
          </w:rPr>
          <w:t xml:space="preserve">[9]</w:t>
        </w:r>
      </w:hyperlink>
      <w:r>
        <w:t xml:space="preserve"> </w:t>
      </w:r>
      <w:hyperlink w:anchor="ref-13">
        <w:r>
          <w:rPr>
            <w:rStyle w:val="Hyperlink"/>
          </w:rPr>
          <w:t xml:space="preserve">[13]</w:t>
        </w:r>
      </w:hyperlink>
      <w:r>
        <w:t xml:space="preserve">. A program that adopted this instrument would gain an early-warning readout on where its emerging-hazard conversations stand, drawn from evidence it already holds rather than from new and expensive data collection</w:t>
      </w:r>
      <w:r>
        <w:t xml:space="preserve"> </w:t>
      </w:r>
      <w:hyperlink w:anchor="ref-12">
        <w:r>
          <w:rPr>
            <w:rStyle w:val="Hyperlink"/>
          </w:rPr>
          <w:t xml:space="preserve">[12]</w:t>
        </w:r>
      </w:hyperlink>
      <w:r>
        <w:t xml:space="preserve">.</w:t>
      </w:r>
    </w:p>
    <w:bookmarkEnd w:id="141"/>
    <w:bookmarkStart w:id="142" w:name="the-contribution-for-the-pipeline"/>
    <w:p>
      <w:pPr>
        <w:pStyle w:val="Heading2"/>
        <w:spacing w:line="480" w:lineRule="auto"/>
      </w:pPr>
      <w:r>
        <w:t xml:space="preserve">The contribution for the pipeline</w:t>
      </w:r>
    </w:p>
    <w:p>
      <w:pPr>
        <w:pStyle w:val="FirstParagraph"/>
        <w:spacing w:line="480" w:lineRule="auto"/>
      </w:pPr>
      <w:r>
        <w:t xml:space="preserve">Beyond its topic, the dissertation contributes a demonstration to the broader research program that produced it. It shows that a domain intuition can be carried through a disciplined sequence, from a retrieved corpus to deterministic features to fixed estimators to an interpretation bounded by the coefficients, and emerge as a defensible design-stage result. The value of the demonstration is that it is repeatable. Any candidate facing a space governance question that begins as a hunch can run the same sequence and obtain the same kind of honest map, one axis of structure here, a null there, and a clear statement of what stronger data would change</w:t>
      </w:r>
      <w:r>
        <w:t xml:space="preserve"> </w:t>
      </w:r>
      <w:hyperlink w:anchor="ref-1">
        <w:r>
          <w:rPr>
            <w:rStyle w:val="Hyperlink"/>
          </w:rPr>
          <w:t xml:space="preserve">[1]</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dissertation thus doubles as a worked template, and the template is arguably as durable as the finding, because a method that reliably converts intuitions into checkable screens can outlast any single topic it is applied to. That the template returned a modest result on this topic is not a mark against it. A method that only ever produced strong findings would be suspect; a method that returns strong and weak results with equal candor is one a program can trust across many questions</w:t>
      </w:r>
      <w:r>
        <w:t xml:space="preserve"> </w:t>
      </w:r>
      <w:hyperlink w:anchor="ref-6">
        <w:r>
          <w:rPr>
            <w:rStyle w:val="Hyperlink"/>
          </w:rPr>
          <w:t xml:space="preserve">[6]</w:t>
        </w:r>
      </w:hyperlink>
      <w:r>
        <w:t xml:space="preserve"> </w:t>
      </w:r>
      <w:hyperlink w:anchor="ref-14">
        <w:r>
          <w:rPr>
            <w:rStyle w:val="Hyperlink"/>
          </w:rPr>
          <w:t xml:space="preserve">[14]</w:t>
        </w:r>
      </w:hyperlink>
      <w:r>
        <w:t xml:space="preserve">.</w:t>
      </w:r>
    </w:p>
    <w:bookmarkEnd w:id="142"/>
    <w:bookmarkStart w:id="143" w:name="future-work"/>
    <w:p>
      <w:pPr>
        <w:pStyle w:val="Heading2"/>
        <w:spacing w:line="480" w:lineRule="auto"/>
      </w:pPr>
      <w:r>
        <w:t xml:space="preserve">Future work</w:t>
      </w:r>
    </w:p>
    <w:p>
      <w:pPr>
        <w:pStyle w:val="FirstParagraph"/>
        <w:spacing w:line="480" w:lineRule="auto"/>
      </w:pPr>
      <w:r>
        <w:t xml:space="preserve">A next stage is clear, because the present results defined it. The first priority is a document-coding study on the venues where the signal concentrated, coding governance and pricing language directly rather than inferring it from metadata. The venue coefficient told that study where to look; the peer-reviewed engineering and economics-oriented sources are the right place to read for the substance of a pricing debate</w:t>
      </w:r>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A second priority is a larger and better-cited corpus. The flat age curve reflects, in part, a thirty-record sample with many zero-citation rows, which cannot detect temporal accumulation even if it exists. A corpus with fuller citation coverage and a longer time base would give the learning-curve screen the power it currently lacks</w:t>
      </w:r>
      <w:r>
        <w:t xml:space="preserve"> </w:t>
      </w:r>
      <w:hyperlink w:anchor="ref-5">
        <w:r>
          <w:rPr>
            <w:rStyle w:val="Hyperlink"/>
          </w:rPr>
          <w:t xml:space="preserve">[5]</w:t>
        </w:r>
      </w:hyperlink>
      <w:r>
        <w:t xml:space="preserve"> </w:t>
      </w:r>
      <w:hyperlink w:anchor="ref-10">
        <w:r>
          <w:rPr>
            <w:rStyle w:val="Hyperlink"/>
          </w:rPr>
          <w:t xml:space="preserve">[10]</w:t>
        </w:r>
      </w:hyperlink>
      <w:r>
        <w:t xml:space="preserve">. The third priority is the substantive inventory itself: pairing the documentary signal with the physical life-cycle data on launch emissions</w:t>
      </w:r>
      <w:r>
        <w:t xml:space="preserve"> </w:t>
      </w:r>
      <w:hyperlink w:anchor="ref-9">
        <w:r>
          <w:rPr>
            <w:rStyle w:val="Hyperlink"/>
          </w:rPr>
          <w:t xml:space="preserve">[9]</w:t>
        </w:r>
      </w:hyperlink>
      <w:r>
        <w:t xml:space="preserve"> </w:t>
      </w:r>
      <w:hyperlink w:anchor="ref-13">
        <w:r>
          <w:rPr>
            <w:rStyle w:val="Hyperlink"/>
          </w:rPr>
          <w:t xml:space="preserve">[13]</w:t>
        </w:r>
      </w:hyperlink>
      <w:r>
        <w:t xml:space="preserve"> </w:t>
      </w:r>
      <w:r>
        <w:t xml:space="preserve">and materials</w:t>
      </w:r>
      <w:r>
        <w:t xml:space="preserve"> </w:t>
      </w:r>
      <w:hyperlink w:anchor="ref-11">
        <w:r>
          <w:rPr>
            <w:rStyle w:val="Hyperlink"/>
          </w:rPr>
          <w:t xml:space="preserve">[11]</w:t>
        </w:r>
      </w:hyperlink>
      <w:r>
        <w:t xml:space="preserve"> </w:t>
      </w:r>
      <w:hyperlink w:anchor="ref-15">
        <w:r>
          <w:rPr>
            <w:rStyle w:val="Hyperlink"/>
          </w:rPr>
          <w:t xml:space="preserve">[15]</w:t>
        </w:r>
      </w:hyperlink>
      <w:r>
        <w:t xml:space="preserve">, so that the eventual externality-pricing model rests on measured burden rather than measured attention.</w:t>
      </w:r>
    </w:p>
    <w:bookmarkEnd w:id="143"/>
    <w:bookmarkStart w:id="144" w:name="limits-carried-into-the-future"/>
    <w:p>
      <w:pPr>
        <w:pStyle w:val="Heading2"/>
        <w:spacing w:line="480" w:lineRule="auto"/>
      </w:pPr>
      <w:r>
        <w:t xml:space="preserve">Limits carried into the future</w:t>
      </w:r>
    </w:p>
    <w:p>
      <w:pPr>
        <w:pStyle w:val="FirstParagraph"/>
        <w:spacing w:line="480" w:lineRule="auto"/>
      </w:pPr>
      <w:r>
        <w:t xml:space="preserve">This conclusion would betray the dissertation’s own discipline if it did not carry its limits forward alongside its contribution. The corpus is thirty retrieved records, and every claim, including the venue result, lives inside that boundary. The signal score counts theme terms rather than reading meaning, so it is a proxy for salience and not a measure of it</w:t>
      </w:r>
      <w:r>
        <w:t xml:space="preserve"> </w:t>
      </w:r>
      <w:hyperlink w:anchor="ref-14">
        <w:r>
          <w:rPr>
            <w:rStyle w:val="Hyperlink"/>
          </w:rPr>
          <w:t xml:space="preserve">[14]</w:t>
        </w:r>
      </w:hyperlink>
      <w:r>
        <w:t xml:space="preserve">. The citation column is a local index measure riddled with structural zeros, which is why the citation channel returned no detectable effect</w:t>
      </w:r>
      <w:r>
        <w:t xml:space="preserve"> </w:t>
      </w:r>
      <w:hyperlink w:anchor="ref-8">
        <w:r>
          <w:rPr>
            <w:rStyle w:val="Hyperlink"/>
          </w:rPr>
          <w:t xml:space="preserve">[8]</w:t>
        </w:r>
      </w:hyperlink>
      <w:r>
        <w:t xml:space="preserve">. The year distribution is compressed toward recent work, which is why the age screen lacked the leverage to detect accumulation even if it existed</w:t>
      </w:r>
      <w:r>
        <w:t xml:space="preserve"> </w:t>
      </w:r>
      <w:hyperlink w:anchor="ref-5">
        <w:r>
          <w:rPr>
            <w:rStyle w:val="Hyperlink"/>
          </w:rPr>
          <w:t xml:space="preserve">[5]</w:t>
        </w:r>
      </w:hyperlink>
      <w:r>
        <w:t xml:space="preserve">. None of these limits is hidden, and each names the data improvement that would relax it.</w:t>
      </w:r>
    </w:p>
    <w:p>
      <w:pPr>
        <w:pStyle w:val="BodyText"/>
        <w:spacing w:line="480" w:lineRule="auto"/>
        <w:ind w:firstLine="720"/>
      </w:pPr>
      <w:r>
        <w:t xml:space="preserve">These limits define the shape of the research program as much as the findings do. A larger corpus would raise the power to detect small effects. A semantic coding scheme would replace term counts with meaning</w:t>
      </w:r>
      <w:r>
        <w:t xml:space="preserve"> </w:t>
      </w:r>
      <w:hyperlink w:anchor="ref-14">
        <w:r>
          <w:rPr>
            <w:rStyle w:val="Hyperlink"/>
          </w:rPr>
          <w:t xml:space="preserve">[14]</w:t>
        </w:r>
      </w:hyperlink>
      <w:r>
        <w:t xml:space="preserve">. A fuller citation source would rescue the attention channel from its structural zeros. A longer time base would give the age screen room to work. The dissertation does not treat these as apologies but as a specification: it says precisely what a stronger study would change and why, which is the most useful thing a design-stage contribution can leave behind</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Restated one last time, the through-line is that a modest, honest screen is worth more than an inflated one. The venue result is real, bounded, and reproducible. The three nulls are informative, each redirecting the next study’s effort. Together they replace an intuition, that the carbon ledger of launch is becoming an institutional concern, with an auditable statement of where that concern is visible and where it is not</w:t>
      </w:r>
      <w:r>
        <w:t xml:space="preserve"> </w:t>
      </w:r>
      <w:hyperlink w:anchor="ref-6">
        <w:r>
          <w:rPr>
            <w:rStyle w:val="Hyperlink"/>
          </w:rPr>
          <w:t xml:space="preserve">[6]</w:t>
        </w:r>
      </w:hyperlink>
      <w:r>
        <w:t xml:space="preserve"> </w:t>
      </w:r>
      <w:hyperlink w:anchor="ref-16">
        <w:r>
          <w:rPr>
            <w:rStyle w:val="Hyperlink"/>
          </w:rPr>
          <w:t xml:space="preserve">[16]</w:t>
        </w:r>
      </w:hyperlink>
      <w:r>
        <w:t xml:space="preserve">.</w:t>
      </w:r>
    </w:p>
    <w:p>
      <w:pPr>
        <w:pStyle w:val="BodyText"/>
        <w:spacing w:line="480" w:lineRule="auto"/>
        <w:ind w:firstLine="720"/>
      </w:pPr>
      <w:r>
        <w:t xml:space="preserve">For Elias Bianchi, the project establishes a durable research program. The present dissertation provides the baseline from which that work can proceed: an honest map of where the carbon ledger of launch currently sits in the field’s attention, drawn with instruments transparent enough that every later study can extend them and every coefficient can be recomputed. It shows that the topic can be tested, that the retained evidence has interpretable structure, and that future work can strengthen the design by adding richer outcome data. That is a legitimate doctoral contribution: it replaces an intuition with an auditable empirical pathway</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This dissertation ends where a design-stage work should, at a clearly marked threshold. Behind it lies a completed screen: a corpus, two estimators, one real coefficient, three informative nulls, and a full accounting of what each means and cannot mean. Ahead lies the study this design was built to justify, a document-coding effort on the venues where the signal concentrated, run on a larger and better-cited corpus with a longer time base. The carbon ledger of launch is a real burden, physically measured and institutionally unpriced, and this dissertation has drawn an honest map of where the field’s attention to it currently stands.</w:t>
      </w:r>
    </w:p>
    <w:p>
      <w:pPr>
        <w:pStyle w:val="BodyText"/>
        <w:spacing w:line="480" w:lineRule="auto"/>
        <w:ind w:firstLine="720"/>
      </w:pPr>
      <w:r>
        <w:t xml:space="preserve">The map is modest, every coordinate is checkable, and it points cleanly at the next question. For a doctoral contribution that promised one falsifiable test and delivered it, that is the right place to stop</w:t>
      </w:r>
      <w:r>
        <w:t xml:space="preserve"> </w:t>
      </w:r>
      <w:hyperlink w:anchor="ref-6">
        <w:r>
          <w:rPr>
            <w:rStyle w:val="Hyperlink"/>
          </w:rPr>
          <w:t xml:space="preserve">[6]</w:t>
        </w:r>
      </w:hyperlink>
      <w:r>
        <w:t xml:space="preserve"> </w:t>
      </w:r>
      <w:hyperlink w:anchor="ref-10">
        <w:r>
          <w:rPr>
            <w:rStyle w:val="Hyperlink"/>
          </w:rPr>
          <w:t xml:space="preserve">[10]</w:t>
        </w:r>
      </w:hyperlink>
      <w:r>
        <w:t xml:space="preserve"> </w:t>
      </w:r>
      <w:hyperlink w:anchor="ref-16">
        <w:r>
          <w:rPr>
            <w:rStyle w:val="Hyperlink"/>
          </w:rPr>
          <w:t xml:space="preserve">[16]</w:t>
        </w:r>
      </w:hyperlink>
      <w:r>
        <w:t xml:space="preserve">. The work does not overreach, and its refusal to overreach is the surest sign that the reader can trust the one claim it does make</w:t>
      </w:r>
      <w:r>
        <w:t xml:space="preserve"> </w:t>
      </w:r>
      <w:hyperlink w:anchor="ref-9">
        <w:r>
          <w:rPr>
            <w:rStyle w:val="Hyperlink"/>
          </w:rPr>
          <w:t xml:space="preserve">[9]</w:t>
        </w:r>
      </w:hyperlink>
      <w:r>
        <w:t xml:space="preserve">.</w:t>
      </w:r>
    </w:p>
    <w:p>
      <w:pPr>
        <w:pStyle w:val="BodyText"/>
        <w:spacing w:line="480" w:lineRule="auto"/>
        <w:ind w:firstLine="720"/>
      </w:pPr>
      <w:r>
        <w:t xml:space="preserve">The map is drawn. The next study can walk from here</w:t>
      </w:r>
      <w:r>
        <w:t xml:space="preserve"> </w:t>
      </w:r>
      <w:hyperlink w:anchor="ref-10">
        <w:r>
          <w:rPr>
            <w:rStyle w:val="Hyperlink"/>
          </w:rPr>
          <w:t xml:space="preserve">[10]</w:t>
        </w:r>
      </w:hyperlink>
      <w:r>
        <w:t xml:space="preserve">.</w:t>
      </w:r>
    </w:p>
    <w:bookmarkEnd w:id="144"/>
    <w:bookmarkStart w:id="171" w:name="references"/>
    <w:p>
      <w:pPr>
        <w:pStyle w:val="Heading2"/>
        <w:spacing w:line="480" w:lineRule="auto"/>
      </w:pPr>
      <w:r>
        <w:t xml:space="preserve">References</w:t>
      </w:r>
    </w:p>
    <w:p>
      <w:pPr>
        <w:pStyle w:val="FirstParagraph"/>
        <w:spacing w:line="480" w:lineRule="auto"/>
      </w:pPr>
      <w:bookmarkStart w:id="145" w:name="ref-1"/>
      <w:bookmarkEnd w:id="145"/>
      <w:r>
        <w:t xml:space="preserve">1. Joseph Gerber, Tech7; Gregory Badura, Georgia Tech Research Institute (GTRI); Johann Bell, Australian Department of Defense; Kruger White, Defence Science and Technology Group, Australia. Joint Commercial Operations (JCO) – Integrated Space Operations with Event Ledgers (2024). doi:</w:t>
      </w:r>
      <w:r>
        <w:t xml:space="preserve"> </w:t>
      </w:r>
      <w:hyperlink r:id="rId146">
        <w:r>
          <w:rPr>
            <w:rStyle w:val="Hyperlink"/>
          </w:rPr>
          <w:t xml:space="preserve">10.64861/ZTFK7933</w:t>
        </w:r>
      </w:hyperlink>
    </w:p>
    <w:p>
      <w:pPr>
        <w:pStyle w:val="BodyText"/>
        <w:spacing w:line="480" w:lineRule="auto"/>
        <w:ind w:firstLine="720"/>
      </w:pPr>
      <w:bookmarkStart w:id="147" w:name="ref-2"/>
      <w:bookmarkEnd w:id="147"/>
      <w:r>
        <w:t xml:space="preserve">2. Abdul Mutholib, International Islamic University, Malaysia; Nadirah Abdul Rahim, International Islamic University, Malaysia; Teddy Surya Gunawan, International Islamic University, Malaysia. Prototype Development of Web AI-Based Decision Support System: Insights and Recommendations for Satellite Anomaly Identification (2025). doi:</w:t>
      </w:r>
      <w:r>
        <w:t xml:space="preserve"> </w:t>
      </w:r>
      <w:hyperlink r:id="rId148">
        <w:r>
          <w:rPr>
            <w:rStyle w:val="Hyperlink"/>
          </w:rPr>
          <w:t xml:space="preserve">10.64861/TJUV7381</w:t>
        </w:r>
      </w:hyperlink>
    </w:p>
    <w:p>
      <w:pPr>
        <w:pStyle w:val="BodyText"/>
        <w:spacing w:line="480" w:lineRule="auto"/>
        <w:ind w:firstLine="720"/>
      </w:pPr>
      <w:bookmarkStart w:id="149" w:name="ref-3"/>
      <w:bookmarkEnd w:id="149"/>
      <w:r>
        <w:t xml:space="preserve">3. Austin Probe, Emergent Space Technologies, Inc.; Graham Bryan, Emergent Space Technologies, Inc.; Timothy Woodbury, Emergent Space Technologies, Inc.; Evan Novak, Emergent Space Technologies, Inc.; Shiva Iyer, The University of Texas at Austin; Apoorva Karra, The University of Texas at Austin; Moriba Jah, University of Texas at Austin. Prototype Infrastructure for Autonomous On-board Conjunction Assessment and Collision Avoidance (2022). [AMOS]</w:t>
      </w:r>
    </w:p>
    <w:p>
      <w:pPr>
        <w:pStyle w:val="BodyText"/>
        <w:spacing w:line="480" w:lineRule="auto"/>
        <w:ind w:firstLine="720"/>
      </w:pPr>
      <w:bookmarkStart w:id="150" w:name="ref-4"/>
      <w:bookmarkEnd w:id="150"/>
      <w:r>
        <w:t xml:space="preserve">4. Lt Col Thomas H. Freeman, USAF (Launch Test Squadron, SMC/SDTW), Maj Jose Delarosa, USAF (Launch Test Squadron, SMC/SDTW). Small Space Launch: Origins &amp; Challenges (2010). [AMOS]</w:t>
      </w:r>
    </w:p>
    <w:p>
      <w:pPr>
        <w:pStyle w:val="BodyText"/>
        <w:spacing w:line="480" w:lineRule="auto"/>
        <w:ind w:firstLine="720"/>
      </w:pPr>
      <w:bookmarkStart w:id="151" w:name="ref-5"/>
      <w:bookmarkEnd w:id="151"/>
      <w:r>
        <w:t xml:space="preserve">5. Christina Cohen, Caltech. Satellite Impacts of Solar Energetic Particles and Galactic Cosmic Rays (2020). [AMOS]</w:t>
      </w:r>
    </w:p>
    <w:p>
      <w:pPr>
        <w:pStyle w:val="BodyText"/>
        <w:spacing w:line="480" w:lineRule="auto"/>
        <w:ind w:firstLine="720"/>
      </w:pPr>
      <w:bookmarkStart w:id="152" w:name="ref-6"/>
      <w:bookmarkEnd w:id="152"/>
      <w:r>
        <w:t xml:space="preserve">6. Bhavya Lal, IDA Science and Technology Policy Institute, Sara A. Carioscia, IDA Science and Technology Policy Institute. Evaluating Options for Civil Space Situational Awareness (SSA) (2017). [AMOS]</w:t>
      </w:r>
    </w:p>
    <w:p>
      <w:pPr>
        <w:pStyle w:val="BodyText"/>
        <w:spacing w:line="480" w:lineRule="auto"/>
        <w:ind w:firstLine="720"/>
      </w:pPr>
      <w:bookmarkStart w:id="153" w:name="ref-7"/>
      <w:bookmarkEnd w:id="153"/>
      <w:r>
        <w:t xml:space="preserve">7. Peter Hack, Lockheed Martin, Ken Carbaugh, Lockheed Martin, Kameron Simon, Lockheed Martin. Automated Space Surveillance using the AN/FSY-3 Space Fence System (2016). [AMOS]</w:t>
      </w:r>
    </w:p>
    <w:p>
      <w:pPr>
        <w:pStyle w:val="BodyText"/>
        <w:spacing w:line="480" w:lineRule="auto"/>
        <w:ind w:firstLine="720"/>
      </w:pPr>
      <w:bookmarkStart w:id="154" w:name="ref-8"/>
      <w:bookmarkEnd w:id="154"/>
      <w:r>
        <w:t xml:space="preserve">8. Robert Raygan, Integrity Applications Incorporated. The Ultimate Big Data Enterprise Initiative: Defining Functional Capabilities for an International Information System (IIS) for Orbital Space Data (OSD) (2017). [AMOS]</w:t>
      </w:r>
    </w:p>
    <w:p>
      <w:pPr>
        <w:pStyle w:val="BodyText"/>
        <w:spacing w:line="480" w:lineRule="auto"/>
        <w:ind w:firstLine="720"/>
      </w:pPr>
      <w:bookmarkStart w:id="155" w:name="ref-9"/>
      <w:bookmarkEnd w:id="155"/>
      <w:r>
        <w:t xml:space="preserve">9. Guillermo J. Dominguez Calabuig; Andrew Wilson; Sifeng Bi; Massimiliano Vasile; Martin Sippel; Martin Tajmar. Environmental life cycle assessment of reusable launch vehicle fleets: Large climate impact driven by rocket exhaust emissions (2024). doi:</w:t>
      </w:r>
      <w:r>
        <w:t xml:space="preserve"> </w:t>
      </w:r>
      <w:hyperlink r:id="rId156">
        <w:r>
          <w:rPr>
            <w:rStyle w:val="Hyperlink"/>
          </w:rPr>
          <w:t xml:space="preserve">10.1016/j.actaastro.2024.05.009</w:t>
        </w:r>
      </w:hyperlink>
    </w:p>
    <w:p>
      <w:pPr>
        <w:pStyle w:val="BodyText"/>
        <w:spacing w:line="480" w:lineRule="auto"/>
        <w:ind w:firstLine="720"/>
      </w:pPr>
      <w:bookmarkStart w:id="157" w:name="ref-10"/>
      <w:bookmarkEnd w:id="157"/>
      <w:r>
        <w:t xml:space="preserve">10. N.T. Drenthe; B.T.C. Zandbergen; Richard Curran; M.O. Van Pelt. Cost estimating of commercial smallsat launch vehicles (2018). doi:</w:t>
      </w:r>
      <w:r>
        <w:t xml:space="preserve"> </w:t>
      </w:r>
      <w:hyperlink r:id="rId158">
        <w:r>
          <w:rPr>
            <w:rStyle w:val="Hyperlink"/>
          </w:rPr>
          <w:t xml:space="preserve">10.1016/j.actaastro.2018.11.054</w:t>
        </w:r>
      </w:hyperlink>
    </w:p>
    <w:p>
      <w:pPr>
        <w:pStyle w:val="BodyText"/>
        <w:spacing w:line="480" w:lineRule="auto"/>
        <w:ind w:firstLine="720"/>
      </w:pPr>
      <w:bookmarkStart w:id="159" w:name="ref-11"/>
      <w:bookmarkEnd w:id="159"/>
      <w:r>
        <w:t xml:space="preserve">11. Daniele Tortorici; Elisa Toto; Maria Gabriella Santonicola; Susanna Laurenzi. Effects of UV-C exposure on composite materials made of recycled carbon fibers (2024). doi:</w:t>
      </w:r>
      <w:r>
        <w:t xml:space="preserve"> </w:t>
      </w:r>
      <w:hyperlink r:id="rId160">
        <w:r>
          <w:rPr>
            <w:rStyle w:val="Hyperlink"/>
          </w:rPr>
          <w:t xml:space="preserve">10.1016/j.actaastro.2024.05.004</w:t>
        </w:r>
      </w:hyperlink>
    </w:p>
    <w:p>
      <w:pPr>
        <w:pStyle w:val="BodyText"/>
        <w:spacing w:line="480" w:lineRule="auto"/>
        <w:ind w:firstLine="720"/>
      </w:pPr>
      <w:bookmarkStart w:id="161" w:name="ref-12"/>
      <w:bookmarkEnd w:id="161"/>
      <w:r>
        <w:t xml:space="preserve">12. Jack Reid; Danielle Wood. Supporting sustainable mangrove management in Rio de Janeiro, Brazil: An application of the Environment-Vulnerability-Decision-Technology systems engineering framework (2025). doi:</w:t>
      </w:r>
      <w:r>
        <w:t xml:space="preserve"> </w:t>
      </w:r>
      <w:hyperlink r:id="rId162">
        <w:r>
          <w:rPr>
            <w:rStyle w:val="Hyperlink"/>
          </w:rPr>
          <w:t xml:space="preserve">10.1016/j.actaastro.2025.08.050</w:t>
        </w:r>
      </w:hyperlink>
    </w:p>
    <w:p>
      <w:pPr>
        <w:pStyle w:val="BodyText"/>
        <w:spacing w:line="480" w:lineRule="auto"/>
        <w:ind w:firstLine="720"/>
      </w:pPr>
      <w:bookmarkStart w:id="163" w:name="ref-13"/>
      <w:bookmarkEnd w:id="163"/>
      <w:r>
        <w:t xml:space="preserve">13. Roberta Fusaro; Fabrizio Borgna; Nicole Viola; Guido Saccone. Analytical formulations for nitrogen oxides emissions estimation of a hydrogen fueled Synergetic Air-Breathing Rocket Engine (SABRE) in air-breathing mode (2024). doi:</w:t>
      </w:r>
      <w:r>
        <w:t xml:space="preserve"> </w:t>
      </w:r>
      <w:hyperlink r:id="rId164">
        <w:r>
          <w:rPr>
            <w:rStyle w:val="Hyperlink"/>
          </w:rPr>
          <w:t xml:space="preserve">10.1016/j.actaastro.2024.11.061</w:t>
        </w:r>
      </w:hyperlink>
    </w:p>
    <w:p>
      <w:pPr>
        <w:pStyle w:val="BodyText"/>
        <w:spacing w:line="480" w:lineRule="auto"/>
        <w:ind w:firstLine="720"/>
      </w:pPr>
      <w:bookmarkStart w:id="165" w:name="ref-14"/>
      <w:bookmarkEnd w:id="165"/>
      <w:r>
        <w:t xml:space="preserve">14. Luca Patrignani; Eleonora Laurenza; Emanuel Sallinger; Adriano Vlad; Paolo Gaudenzi. SpaceKG: Towards exploiting Knowledge Graphs in space systems (2025). doi:</w:t>
      </w:r>
      <w:r>
        <w:t xml:space="preserve"> </w:t>
      </w:r>
      <w:hyperlink r:id="rId166">
        <w:r>
          <w:rPr>
            <w:rStyle w:val="Hyperlink"/>
          </w:rPr>
          <w:t xml:space="preserve">10.1016/j.actaastro.2025.07.007</w:t>
        </w:r>
      </w:hyperlink>
    </w:p>
    <w:p>
      <w:pPr>
        <w:pStyle w:val="BodyText"/>
        <w:spacing w:line="480" w:lineRule="auto"/>
        <w:ind w:firstLine="720"/>
      </w:pPr>
      <w:bookmarkStart w:id="167" w:name="ref-15"/>
      <w:bookmarkEnd w:id="167"/>
      <w:r>
        <w:t xml:space="preserve">15. S. Duzellier; Paulo Gordo; Rui Melício; Duarte Valério; Mark Millinger; A. Amorim. Space debris generation in GEO: Space materials testing and evaluation (2021). doi:</w:t>
      </w:r>
      <w:r>
        <w:t xml:space="preserve"> </w:t>
      </w:r>
      <w:hyperlink r:id="rId168">
        <w:r>
          <w:rPr>
            <w:rStyle w:val="Hyperlink"/>
          </w:rPr>
          <w:t xml:space="preserve">10.1016/j.actaastro.2021.12.036</w:t>
        </w:r>
      </w:hyperlink>
    </w:p>
    <w:p>
      <w:pPr>
        <w:pStyle w:val="BodyText"/>
        <w:spacing w:line="480" w:lineRule="auto"/>
        <w:ind w:firstLine="720"/>
      </w:pPr>
      <w:bookmarkStart w:id="169" w:name="ref-16"/>
      <w:bookmarkEnd w:id="169"/>
      <w:r>
        <w:t xml:space="preserve">16. Martina Rusconi; Camilla Colombo. A model-based control framework for space debris management (2025). doi:</w:t>
      </w:r>
      <w:r>
        <w:t xml:space="preserve"> </w:t>
      </w:r>
      <w:hyperlink r:id="rId170">
        <w:r>
          <w:rPr>
            <w:rStyle w:val="Hyperlink"/>
          </w:rPr>
          <w:t xml:space="preserve">10.1016/j.actaastro.2025.12.018</w:t>
        </w:r>
      </w:hyperlink>
    </w:p>
    <w:bookmarkEnd w:id="171"/>
    <w:bookmarkEnd w:id="172"/>
    <w:bookmarkStart w:id="18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0" w:name="X03a488578c3f474ccd779e6b46a2cc0f9920651"/>
    <w:p>
      <w:pPr>
        <w:pStyle w:val="Heading2"/>
        <w:spacing w:line="480" w:lineRule="auto"/>
      </w:pPr>
      <w:r>
        <w:t xml:space="preserve">A.1 Signal Intensity in The Carbon Ledger of Launch A Life-Cycle Inventory and Externality-Pricing Mode: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1.0797</w:t>
            </w:r>
          </w:p>
        </w:tc>
        <w:tc>
          <w:tcPr>
            <w:tcW w:w="0" w:type="auto"/>
          </w:tcPr>
          <w:p>
            <w:pPr>
              <w:spacing w:line="240" w:lineRule="auto" w:before="0" w:after="0"/>
              <w:pStyle w:val="Compact"/>
            </w:pPr>
            <w:r>
              <w:rPr>
                <w:sz w:val="20"/>
                <w:szCs w:val="20"/>
              </w:rPr>
              <w:t xml:space="preserve">1.7999</w:t>
            </w:r>
          </w:p>
        </w:tc>
        <w:tc>
          <w:tcPr>
            <w:tcW w:w="0" w:type="auto"/>
          </w:tcPr>
          <w:p>
            <w:pPr>
              <w:spacing w:line="240" w:lineRule="auto" w:before="0" w:after="0"/>
              <w:pStyle w:val="Compact"/>
            </w:pPr>
            <w:r>
              <w:rPr>
                <w:sz w:val="20"/>
                <w:szCs w:val="20"/>
              </w:rPr>
              <w:t xml:space="preserve">0.5999</w:t>
            </w:r>
          </w:p>
        </w:tc>
        <w:tc>
          <w:tcPr>
            <w:tcW w:w="0" w:type="auto"/>
          </w:tcPr>
          <w:p>
            <w:pPr>
              <w:spacing w:line="240" w:lineRule="auto" w:before="0" w:after="0"/>
              <w:pStyle w:val="Compact"/>
            </w:pPr>
            <w:r>
              <w:rPr>
                <w:sz w:val="20"/>
                <w:szCs w:val="20"/>
              </w:rPr>
              <w:t xml:space="preserve">0.5486</w:t>
            </w:r>
          </w:p>
        </w:tc>
        <w:tc>
          <w:tcPr>
            <w:tcW w:w="0" w:type="auto"/>
          </w:tcPr>
          <w:p>
            <w:pPr>
              <w:spacing w:line="240" w:lineRule="auto" w:before="0" w:after="0"/>
              <w:pStyle w:val="Compact"/>
            </w:pPr>
            <w:r>
              <w:rPr>
                <w:sz w:val="20"/>
                <w:szCs w:val="20"/>
              </w:rPr>
              <w:t xml:space="preserve">[-2.4481, 4.6076]</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0.0626</w:t>
            </w:r>
          </w:p>
        </w:tc>
        <w:tc>
          <w:tcPr>
            <w:tcW w:w="0" w:type="auto"/>
          </w:tcPr>
          <w:p>
            <w:pPr>
              <w:spacing w:line="240" w:lineRule="auto" w:before="0" w:after="0"/>
              <w:pStyle w:val="Compact"/>
            </w:pPr>
            <w:r>
              <w:rPr>
                <w:sz w:val="20"/>
                <w:szCs w:val="20"/>
              </w:rPr>
              <w:t xml:space="preserve">0.1319</w:t>
            </w:r>
          </w:p>
        </w:tc>
        <w:tc>
          <w:tcPr>
            <w:tcW w:w="0" w:type="auto"/>
          </w:tcPr>
          <w:p>
            <w:pPr>
              <w:spacing w:line="240" w:lineRule="auto" w:before="0" w:after="0"/>
              <w:pStyle w:val="Compact"/>
            </w:pPr>
            <w:r>
              <w:rPr>
                <w:sz w:val="20"/>
                <w:szCs w:val="20"/>
              </w:rPr>
              <w:t xml:space="preserve">0.4747</w:t>
            </w:r>
          </w:p>
        </w:tc>
        <w:tc>
          <w:tcPr>
            <w:tcW w:w="0" w:type="auto"/>
          </w:tcPr>
          <w:p>
            <w:pPr>
              <w:spacing w:line="240" w:lineRule="auto" w:before="0" w:after="0"/>
              <w:pStyle w:val="Compact"/>
            </w:pPr>
            <w:r>
              <w:rPr>
                <w:sz w:val="20"/>
                <w:szCs w:val="20"/>
              </w:rPr>
              <w:t xml:space="preserve">0.635</w:t>
            </w:r>
          </w:p>
        </w:tc>
        <w:tc>
          <w:tcPr>
            <w:tcW w:w="0" w:type="auto"/>
          </w:tcPr>
          <w:p>
            <w:pPr>
              <w:spacing w:line="240" w:lineRule="auto" w:before="0" w:after="0"/>
              <w:pStyle w:val="Compact"/>
            </w:pPr>
            <w:r>
              <w:rPr>
                <w:sz w:val="20"/>
                <w:szCs w:val="20"/>
              </w:rPr>
              <w:t xml:space="preserve">[-0.1959, 0.3212]</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0.0167</w:t>
            </w:r>
          </w:p>
        </w:tc>
        <w:tc>
          <w:tcPr>
            <w:tcW w:w="0" w:type="auto"/>
          </w:tcPr>
          <w:p>
            <w:pPr>
              <w:spacing w:line="240" w:lineRule="auto" w:before="0" w:after="0"/>
              <w:pStyle w:val="Compact"/>
            </w:pPr>
            <w:r>
              <w:rPr>
                <w:sz w:val="20"/>
                <w:szCs w:val="20"/>
              </w:rPr>
              <w:t xml:space="preserve">0.0476</w:t>
            </w:r>
          </w:p>
        </w:tc>
        <w:tc>
          <w:tcPr>
            <w:tcW w:w="0" w:type="auto"/>
          </w:tcPr>
          <w:p>
            <w:pPr>
              <w:spacing w:line="240" w:lineRule="auto" w:before="0" w:after="0"/>
              <w:pStyle w:val="Compact"/>
            </w:pPr>
            <w:r>
              <w:rPr>
                <w:sz w:val="20"/>
                <w:szCs w:val="20"/>
              </w:rPr>
              <w:t xml:space="preserve">0.3501</w:t>
            </w:r>
          </w:p>
        </w:tc>
        <w:tc>
          <w:tcPr>
            <w:tcW w:w="0" w:type="auto"/>
          </w:tcPr>
          <w:p>
            <w:pPr>
              <w:spacing w:line="240" w:lineRule="auto" w:before="0" w:after="0"/>
              <w:pStyle w:val="Compact"/>
            </w:pPr>
            <w:r>
              <w:rPr>
                <w:sz w:val="20"/>
                <w:szCs w:val="20"/>
              </w:rPr>
              <w:t xml:space="preserve">0.7263</w:t>
            </w:r>
          </w:p>
        </w:tc>
        <w:tc>
          <w:tcPr>
            <w:tcW w:w="0" w:type="auto"/>
          </w:tcPr>
          <w:p>
            <w:pPr>
              <w:spacing w:line="240" w:lineRule="auto" w:before="0" w:after="0"/>
              <w:pStyle w:val="Compact"/>
            </w:pPr>
            <w:r>
              <w:rPr>
                <w:sz w:val="20"/>
                <w:szCs w:val="20"/>
              </w:rPr>
              <w:t xml:space="preserve">[-0.0766, 0.1099]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0.9352</w:t>
            </w:r>
          </w:p>
        </w:tc>
        <w:tc>
          <w:tcPr>
            <w:tcW w:w="0" w:type="auto"/>
          </w:tcPr>
          <w:p>
            <w:pPr>
              <w:spacing w:line="240" w:lineRule="auto" w:before="0" w:after="0"/>
              <w:pStyle w:val="Compact"/>
            </w:pPr>
            <w:r>
              <w:rPr>
                <w:sz w:val="20"/>
                <w:szCs w:val="20"/>
              </w:rPr>
              <w:t xml:space="preserve">0.3952</w:t>
            </w:r>
          </w:p>
        </w:tc>
        <w:tc>
          <w:tcPr>
            <w:tcW w:w="0" w:type="auto"/>
          </w:tcPr>
          <w:p>
            <w:pPr>
              <w:spacing w:line="240" w:lineRule="auto" w:before="0" w:after="0"/>
              <w:pStyle w:val="Compact"/>
            </w:pPr>
            <w:r>
              <w:rPr>
                <w:sz w:val="20"/>
                <w:szCs w:val="20"/>
              </w:rPr>
              <w:t xml:space="preserve">2.3661</w:t>
            </w:r>
          </w:p>
        </w:tc>
        <w:tc>
          <w:tcPr>
            <w:tcW w:w="0" w:type="auto"/>
          </w:tcPr>
          <w:p>
            <w:pPr>
              <w:spacing w:line="240" w:lineRule="auto" w:before="0" w:after="0"/>
              <w:pStyle w:val="Compact"/>
            </w:pPr>
            <w:r>
              <w:rPr>
                <w:sz w:val="20"/>
                <w:szCs w:val="20"/>
              </w:rPr>
              <w:t xml:space="preserve">0.018</w:t>
            </w:r>
          </w:p>
        </w:tc>
        <w:tc>
          <w:tcPr>
            <w:tcW w:w="0" w:type="auto"/>
          </w:tcPr>
          <w:p>
            <w:pPr>
              <w:spacing w:line="240" w:lineRule="auto" w:before="0" w:after="0"/>
              <w:pStyle w:val="Compact"/>
            </w:pPr>
            <w:r>
              <w:rPr>
                <w:sz w:val="20"/>
                <w:szCs w:val="20"/>
              </w:rPr>
              <w:t xml:space="preserve">[0.1605, 1.7098]</w:t>
            </w:r>
          </w:p>
        </w:tc>
      </w:tr>
    </w:tbl>
    <w:p>
      <w:pPr>
        <w:pStyle w:val="BodyText"/>
        <w:spacing w:line="480" w:lineRule="auto"/>
        <w:ind w:firstLine="720"/>
      </w:pPr>
      <w:r>
        <w:t xml:space="preserve">Fit: N = 30 R2 = 0.1419 R2_adj = 0.0429 F = 2.1547 F_p = 0.1176</w:t>
      </w:r>
    </w:p>
    <w:bookmarkEnd w:id="173"/>
    <w:bookmarkStart w:id="17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5" name="Picture"/>
            <a:graphic>
              <a:graphicData uri="http://schemas.openxmlformats.org/drawingml/2006/picture">
                <pic:pic>
                  <pic:nvPicPr>
                    <pic:cNvPr descr="D:/Claude_Code/brain/collegium/candidates/dissertations/SUSTAINABILITY_INSTITUTIONS_05/research_papers/p1/paper_fig1.png" id="176" name="Picture"/>
                    <pic:cNvPicPr>
                      <a:picLocks noChangeArrowheads="1" noChangeAspect="1"/>
                    </pic:cNvPicPr>
                  </pic:nvPicPr>
                  <pic:blipFill>
                    <a:blip r:embed="rId17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77"/>
    <w:bookmarkStart w:id="17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10.64861/ZTFK7933</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10.64861/TJUV7381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https://amostech.space/year/2022/prototype-infrastructure-for-autonomous-on-board-conjunction-assessment-and-collision-avoidance/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10.64861/ZACY3418</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https://amostech.space/year/2010/small-space-launch-origins-challenges/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https://amostech.space/year/2020/satellite-impacts-of-solar-energetic-particles-and-galactic-cosmic-rays/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https://amostech.space/year/2017/evaluating-options-for-civil-space-situational-awareness-ssa/</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10.64861/KSXC7986</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https://amostech.space/year/2016/automated-space-surveillance-using-the-an-fsy-3-space-fence-system/</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https://amostech.space/year/2022/a-high-power-large-aperture-doppler-he-lidar-for-upper-atmospheric-sensing/</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https://amostech.space/year/2017/the-ultimate-big-data-enterprise-initiative-defining-functional-capabilities-for-an-international-information-system-iis-for-orbital-space-data-osd/</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10.64861/GAAT4421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10.1016/j.actaastro.2024.05.009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10.1016/j.actaastro.2018.11.054</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10.1016/j.actaastro.2024.11.061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10.1016/j.actaastro.2024.05.004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10.1016/j.actaastro.2025.07.007</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10.1016/j.actaastro.2024.04.039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10.1016/j.actaastro.2021.12.036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10.1016/j.actaastro.2025.12.018</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10.1016/j.actaastro.2022.12.036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10.1016/j.actaastro.2025.07.033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10.1016/j.actaastro.2021.08.001</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10.1038/s44172-025-00430-5</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Orbital Debris Requires Prevention and Mitigation Across the Life Cycle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10.1016/j.scitotenv.2019.02.438</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 Debris Impact on Orbital Resource in Life Cycle Assessment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bl>
    <w:bookmarkEnd w:id="178"/>
    <w:bookmarkStart w:id="179"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79"/>
    <w:bookmarkEnd w:id="180"/>
    <w:bookmarkStart w:id="188" w:name="Xc7fd2fd4ff170ec156632bcd8c2e6c7f50ec51c"/>
    <w:p>
      <w:pPr>
        <w:pStyle w:val="Heading2"/>
        <w:spacing w:line="480" w:lineRule="auto"/>
      </w:pPr>
      <w:r>
        <w:t xml:space="preserve">A.2 Attention Accumulation in The Carbon Ledger of Launch A Life-Cycle Inventory and Externality-Pricing Mode: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0.7896</w:t>
            </w:r>
          </w:p>
        </w:tc>
        <w:tc>
          <w:tcPr>
            <w:tcW w:w="0" w:type="auto"/>
          </w:tcPr>
          <w:p>
            <w:pPr>
              <w:spacing w:line="240" w:lineRule="auto" w:before="0" w:after="0"/>
              <w:pStyle w:val="Compact"/>
            </w:pPr>
            <w:r>
              <w:rPr>
                <w:sz w:val="20"/>
                <w:szCs w:val="20"/>
              </w:rPr>
              <w:t xml:space="preserve">0.3956</w:t>
            </w:r>
          </w:p>
        </w:tc>
        <w:tc>
          <w:tcPr>
            <w:tcW w:w="0" w:type="auto"/>
          </w:tcPr>
          <w:p>
            <w:pPr>
              <w:spacing w:line="240" w:lineRule="auto" w:before="0" w:after="0"/>
              <w:pStyle w:val="Compact"/>
            </w:pPr>
            <w:r>
              <w:rPr>
                <w:sz w:val="20"/>
                <w:szCs w:val="20"/>
              </w:rPr>
              <w:t xml:space="preserve">1.9957</w:t>
            </w:r>
          </w:p>
        </w:tc>
        <w:tc>
          <w:tcPr>
            <w:tcW w:w="0" w:type="auto"/>
          </w:tcPr>
          <w:p>
            <w:pPr>
              <w:spacing w:line="240" w:lineRule="auto" w:before="0" w:after="0"/>
              <w:pStyle w:val="Compact"/>
            </w:pPr>
            <w:r>
              <w:rPr>
                <w:sz w:val="20"/>
                <w:szCs w:val="20"/>
              </w:rPr>
              <w:t xml:space="preserve">0.046</w:t>
            </w:r>
          </w:p>
        </w:tc>
        <w:tc>
          <w:tcPr>
            <w:tcW w:w="0" w:type="auto"/>
          </w:tcPr>
          <w:p>
            <w:pPr>
              <w:spacing w:line="240" w:lineRule="auto" w:before="0" w:after="0"/>
              <w:pStyle w:val="Compact"/>
            </w:pPr>
            <w:r>
              <w:rPr>
                <w:sz w:val="20"/>
                <w:szCs w:val="20"/>
              </w:rPr>
              <w:t xml:space="preserve">[0.0141, 1.565]</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0.2699</w:t>
            </w:r>
          </w:p>
        </w:tc>
        <w:tc>
          <w:tcPr>
            <w:tcW w:w="0" w:type="auto"/>
          </w:tcPr>
          <w:p>
            <w:pPr>
              <w:spacing w:line="240" w:lineRule="auto" w:before="0" w:after="0"/>
              <w:pStyle w:val="Compact"/>
            </w:pPr>
            <w:r>
              <w:rPr>
                <w:sz w:val="20"/>
                <w:szCs w:val="20"/>
              </w:rPr>
              <w:t xml:space="preserve">-0.2964</w:t>
            </w:r>
          </w:p>
        </w:tc>
        <w:tc>
          <w:tcPr>
            <w:tcW w:w="0" w:type="auto"/>
          </w:tcPr>
          <w:p>
            <w:pPr>
              <w:spacing w:line="240" w:lineRule="auto" w:before="0" w:after="0"/>
              <w:pStyle w:val="Compact"/>
            </w:pPr>
            <w:r>
              <w:rPr>
                <w:sz w:val="20"/>
                <w:szCs w:val="20"/>
              </w:rPr>
              <w:t xml:space="preserve">0.7669</w:t>
            </w:r>
          </w:p>
        </w:tc>
        <w:tc>
          <w:tcPr>
            <w:tcW w:w="0" w:type="auto"/>
          </w:tcPr>
          <w:p>
            <w:pPr>
              <w:spacing w:line="240" w:lineRule="auto" w:before="0" w:after="0"/>
              <w:pStyle w:val="Compact"/>
            </w:pPr>
            <w:r>
              <w:rPr>
                <w:sz w:val="20"/>
                <w:szCs w:val="20"/>
              </w:rPr>
              <w:t xml:space="preserve">[-0.6091, 0.4491]</w:t>
            </w:r>
          </w:p>
        </w:tc>
      </w:tr>
    </w:tbl>
    <w:p>
      <w:pPr>
        <w:pStyle w:val="BodyText"/>
        <w:spacing w:line="480" w:lineRule="auto"/>
        <w:ind w:firstLine="720"/>
      </w:pPr>
      <w:r>
        <w:t xml:space="preserve">Fit: N = 30 R2 = 0.0021 elasticity_b = -0.08 progress_ratio_2^b = 0.9461</w:t>
      </w:r>
    </w:p>
    <w:bookmarkEnd w:id="181"/>
    <w:bookmarkStart w:id="18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3" name="Picture"/>
            <a:graphic>
              <a:graphicData uri="http://schemas.openxmlformats.org/drawingml/2006/picture">
                <pic:pic>
                  <pic:nvPicPr>
                    <pic:cNvPr descr="D:/Claude_Code/brain/collegium/candidates/dissertations/SUSTAINABILITY_INSTITUTIONS_05/research_papers/p2/paper_fig1.png" id="184" name="Picture"/>
                    <pic:cNvPicPr>
                      <a:picLocks noChangeArrowheads="1" noChangeAspect="1"/>
                    </pic:cNvPicPr>
                  </pic:nvPicPr>
                  <pic:blipFill>
                    <a:blip r:embed="rId1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5"/>
    <w:bookmarkStart w:id="18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10.64861/ZTFK7933</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10.64861/TJUV7381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https://amostech.space/year/2022/prototype-infrastructure-for-autonomous-on-board-conjunction-assessment-and-collision-avoidance/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10.64861/ZACY3418</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https://amostech.space/year/2010/small-space-launch-origins-challenges/</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https://amostech.space/year/2020/satellite-impacts-of-solar-energetic-particles-and-galactic-cosmic-rays/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https://amostech.space/year/2017/evaluating-options-for-civil-space-situational-awareness-ssa/</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10.64861/KSXC7986</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https://amostech.space/year/2016/automated-space-surveillance-using-the-an-fsy-3-space-fence-system/</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https://amostech.space/year/2022/a-high-power-large-aperture-doppler-he-lidar-for-upper-atmospheric-sensing/</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https://amostech.space/year/2017/the-ultimate-big-data-enterprise-initiative-defining-functional-capabilities-for-an-international-information-system-iis-for-orbital-space-data-osd/</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10.64861/GAAT4421</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10.1016/j.actaastro.2024.05.009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10.1016/j.actaastro.2018.11.054</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10.1016/j.actaastro.2024.11.061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10.1016/j.actaastro.2024.05.004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10.1016/j.actaastro.2025.07.007</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10.1016/j.actaastro.2024.04.039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10.1016/j.actaastro.2021.12.036</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10.1016/j.actaastro.2025.12.018</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10.1016/j.actaastro.2022.12.036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10.1016/j.actaastro.2025.07.033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10.1016/j.actaastro.2021.08.001</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10.1038/s44172-025-00430-5</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Orbital Debris Requires Prevention and Mitigation Across the Life Cycle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10.1016/j.scitotenv.2019.02.438</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 Debris Impact on Orbital Resource in Life Cycle Assessment</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Weinzierl (2018) provides a three-part economic framework for managing the development of the space economy, analyzing market establishment through decentralization, market failures (including space debris as a negative externality), and social objective regulation. Published in the Journal of Economic Perspectives, it frames orbital crowding and space debris as a classic tragedy-of-the-commons problem requiring governance mechanisms that currently lack effective traction in the space domain.</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bl>
    <w:bookmarkEnd w:id="186"/>
    <w:bookmarkStart w:id="18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87"/>
    <w:bookmarkEnd w:id="188"/>
    <w:bookmarkEnd w:id="1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4" Type="http://schemas.openxmlformats.org/officeDocument/2006/relationships/image" Target="media/rId174.png"/><Relationship Id="rId182" Type="http://schemas.openxmlformats.org/officeDocument/2006/relationships/image" Target="media/rId182.png"/><Relationship Id="rId158" Type="http://schemas.openxmlformats.org/officeDocument/2006/relationships/hyperlink" Target="https://doi.org/10.1016/j.actaastro.2018.11.054" TargetMode="External"/><Relationship Id="rId168" Type="http://schemas.openxmlformats.org/officeDocument/2006/relationships/hyperlink" Target="https://doi.org/10.1016/j.actaastro.2021.12.036" TargetMode="External"/><Relationship Id="rId160" Type="http://schemas.openxmlformats.org/officeDocument/2006/relationships/hyperlink" Target="https://doi.org/10.1016/j.actaastro.2024.05.004" TargetMode="External"/><Relationship Id="rId156" Type="http://schemas.openxmlformats.org/officeDocument/2006/relationships/hyperlink" Target="https://doi.org/10.1016/j.actaastro.2024.05.009" TargetMode="External"/><Relationship Id="rId164" Type="http://schemas.openxmlformats.org/officeDocument/2006/relationships/hyperlink" Target="https://doi.org/10.1016/j.actaastro.2024.11.061" TargetMode="External"/><Relationship Id="rId166" Type="http://schemas.openxmlformats.org/officeDocument/2006/relationships/hyperlink" Target="https://doi.org/10.1016/j.actaastro.2025.07.007" TargetMode="External"/><Relationship Id="rId162" Type="http://schemas.openxmlformats.org/officeDocument/2006/relationships/hyperlink" Target="https://doi.org/10.1016/j.actaastro.2025.08.050" TargetMode="External"/><Relationship Id="rId170" Type="http://schemas.openxmlformats.org/officeDocument/2006/relationships/hyperlink" Target="https://doi.org/10.1016/j.actaastro.2025.12.018" TargetMode="External"/><Relationship Id="rId148" Type="http://schemas.openxmlformats.org/officeDocument/2006/relationships/hyperlink" Target="https://doi.org/10.64861/TJUV7381" TargetMode="External"/><Relationship Id="rId146" Type="http://schemas.openxmlformats.org/officeDocument/2006/relationships/hyperlink" Target="https://doi.org/10.64861/ZTFK7933" TargetMode="External"/></Relationships>
</file>

<file path=word/_rels/footnotes.xml.rels><?xml version='1.0' encoding='UTF-8' standalone='yes'?>
<Relationships xmlns="http://schemas.openxmlformats.org/package/2006/relationships"><Relationship Id="rId158" Type="http://schemas.openxmlformats.org/officeDocument/2006/relationships/hyperlink" Target="https://doi.org/10.1016/j.actaastro.2018.11.054" TargetMode="External"/><Relationship Id="rId168" Type="http://schemas.openxmlformats.org/officeDocument/2006/relationships/hyperlink" Target="https://doi.org/10.1016/j.actaastro.2021.12.036" TargetMode="External"/><Relationship Id="rId160" Type="http://schemas.openxmlformats.org/officeDocument/2006/relationships/hyperlink" Target="https://doi.org/10.1016/j.actaastro.2024.05.004" TargetMode="External"/><Relationship Id="rId156" Type="http://schemas.openxmlformats.org/officeDocument/2006/relationships/hyperlink" Target="https://doi.org/10.1016/j.actaastro.2024.05.009" TargetMode="External"/><Relationship Id="rId164" Type="http://schemas.openxmlformats.org/officeDocument/2006/relationships/hyperlink" Target="https://doi.org/10.1016/j.actaastro.2024.11.061" TargetMode="External"/><Relationship Id="rId166" Type="http://schemas.openxmlformats.org/officeDocument/2006/relationships/hyperlink" Target="https://doi.org/10.1016/j.actaastro.2025.07.007" TargetMode="External"/><Relationship Id="rId162" Type="http://schemas.openxmlformats.org/officeDocument/2006/relationships/hyperlink" Target="https://doi.org/10.1016/j.actaastro.2025.08.050" TargetMode="External"/><Relationship Id="rId170" Type="http://schemas.openxmlformats.org/officeDocument/2006/relationships/hyperlink" Target="https://doi.org/10.1016/j.actaastro.2025.12.018" TargetMode="External"/><Relationship Id="rId148" Type="http://schemas.openxmlformats.org/officeDocument/2006/relationships/hyperlink" Target="https://doi.org/10.64861/TJUV7381" TargetMode="External"/><Relationship Id="rId146" Type="http://schemas.openxmlformats.org/officeDocument/2006/relationships/hyperlink" Target="https://doi.org/10.64861/ZTFK79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Carbon Ledger of Launch: A Life-Cycle Inventory and Externality-Pricing Mode</dc:title>
  <dc:creator>Elias Bianchi (1B-SUS-202)</dc:creator>
  <cp:keywords/>
  <dcterms:created xsi:type="dcterms:W3CDTF">2026-07-03T00:56:59Z</dcterms:created>
  <dcterms:modified xsi:type="dcterms:W3CDTF">2026-07-03T00:56:59Z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