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7b47858f0f732fcdefda6059e7967f0273e255a"/>
    <w:p>
      <w:pPr>
        <w:pStyle w:val="Heading1"/>
      </w:pPr>
      <w:r>
        <w:t xml:space="preserve">Signal Intensity in Present Bias on Orbit Does Operator Discounting of Future Collision Risk Explai: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Suki Pereira (1B-SUS-231) and the dissertation project</w:t>
      </w:r>
      <w:r>
        <w:t xml:space="preserve"> </w:t>
      </w:r>
      <w:r>
        <w:rPr>
          <w:i/>
          <w:iCs/>
        </w:rPr>
        <w:t xml:space="preserve">Present Bias on Orbit: Does Operator Discounting of Future Collision Risk Explai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R2=0.2249817232517901, R2_adj=0.13555653747315044, F=3.127415430775816, F_p=0.0428443372544313. The exact term summary is: const coef=9.148956973586426 p=2.227366180967969e-13; recency_index coef=-0.10961106466088699 p=0.3481901224771049; cites_num coef=0.009911781968198145 p=0.7826032306208792; venue_score coef=-1.403598489068677 p=0.04117100217212011.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5" w:name="references"/>
    <w:p>
      <w:pPr>
        <w:pStyle w:val="Heading2"/>
      </w:pPr>
      <w:r>
        <w:t xml:space="preserve">References</w:t>
      </w:r>
    </w:p>
    <w:p>
      <w:pPr>
        <w:pStyle w:val="FirstParagraph"/>
      </w:pPr>
      <w:bookmarkStart w:id="67" w:name="ref-1"/>
      <w:bookmarkEnd w:id="67"/>
      <w:r>
        <w:t xml:space="preserve">1. Ryan Frigm, Omitron, Inc., Lauren Johnson, Omitron, Inc.. Total Probability of Collision as a Metric for Finite Conjunction Assessment and Collision Risk Management (2015). [AMOS]</w:t>
      </w:r>
      <w:r>
        <w:t xml:space="preserve"> </w:t>
      </w:r>
      <w:bookmarkStart w:id="68" w:name="ref-2"/>
      <w:bookmarkEnd w:id="68"/>
      <w:r>
        <w:t xml:space="preserve">2. Operational Collision Risk Management – Evaluating and Mitigating High-Risk Conjunction Events Matthew Duncan (SpaceNav), Joshua Wysack (SpaceNav). Operational Collision Risk Management –Evaluating and Mitigating High-Risk Conjunction Events (2011). [AMOS]</w:t>
      </w:r>
      <w:r>
        <w:t xml:space="preserve"> </w:t>
      </w:r>
      <w:bookmarkStart w:id="69" w:name="ref-3"/>
      <w:bookmarkEnd w:id="69"/>
      <w:r>
        <w:t xml:space="preserve">3. Mark Vincent, Raytheon. Paving the Bridge between Academia and Operations for Orbital Debris Risk Mitigation (2016). [AMOS]</w:t>
      </w:r>
      <w:r>
        <w:t xml:space="preserve"> </w:t>
      </w:r>
      <w:bookmarkStart w:id="70" w:name="ref-4"/>
      <w:bookmarkEnd w:id="70"/>
      <w:r>
        <w:t xml:space="preserve">4. Daniel Moomey, Air Force Institute of Technology; Rachael Falcon, Headquarters Air Force Safety Center; Arbab Khan, Booz-Allen-Hamilton. Trending and Analysis of Payload vs. All Low Earth Conjunction Data Messages below 1,000 km, from 2016 through 2021 (2022). [AMOS]</w:t>
      </w:r>
      <w:r>
        <w:t xml:space="preserve"> </w:t>
      </w:r>
      <w:bookmarkStart w:id="71" w:name="ref-5"/>
      <w:bookmarkEnd w:id="71"/>
      <w:r>
        <w:t xml:space="preserve">5. David Sibert (ExoAnalytic Solutions, Inc.), Maj David Borgeson (USAF Space Command Space and Missile Systems Center), Glenn Peterson (The Aerospace Corporation), Alan Jenkin (The Aerospace Corporation), Marlon Sorge (The Aerospace Corporation). Operational Impact of Improved Space Tracking on Collision Avoidance in the Future LEO Space Debris Environment (2010). [AMOS]</w:t>
      </w:r>
      <w:r>
        <w:t xml:space="preserve"> </w:t>
      </w:r>
      <w:bookmarkStart w:id="72" w:name="ref-6"/>
      <w:bookmarkEnd w:id="72"/>
      <w:r>
        <w:t xml:space="preserve">6. Kristen Tetreault, Virginia Tech; Shane Ross, Virginia Tech; Kevin Schroeder, Virginia Tech; Jonathan Black, Virginia Tech. Fragmentation Event Identification Using Back Propagation with Variable Ballistic Coefficient Calculation (2018). [AMOS]</w:t>
      </w:r>
      <w:r>
        <w:t xml:space="preserve"> </w:t>
      </w:r>
      <w:bookmarkStart w:id="73" w:name="ref-7"/>
      <w:bookmarkEnd w:id="73"/>
      <w:r>
        <w:t xml:space="preserve">7. David Sibert (ExoAnalytic Solutions, Inc.), Maj David Borgeson (USAF Space Command Space and Missile Systems Center), Glenn Peterson (The Aerospace Corporation), Alan Jenkin (The Aerospace Corporation), Marlon Sorge (The Aerospace Corporation). Operation Impact of Improved Space Tracking on Collision Avoidance in the Future Leo Space Debris Environment (2010). [AMOS]</w:t>
      </w:r>
      <w:r>
        <w:t xml:space="preserve"> </w:t>
      </w:r>
      <w:bookmarkStart w:id="74" w:name="ref-8"/>
      <w:bookmarkEnd w:id="74"/>
      <w:r>
        <w:t xml:space="preserve">8. Matthew Duncan (SpaceNav), Joe Frisbee (NASA/JSC), Josh Wysack (SpaceNav). Probability Forecasting Using Monte Carlo Simulation (2014). [AMOS]</w:t>
      </w:r>
    </w:p>
    <w:bookmarkEnd w:id="75"/>
    <w:bookmarkStart w:id="76"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9.149</w:t>
            </w:r>
          </w:p>
        </w:tc>
        <w:tc>
          <w:tcPr>
            <w:tcW w:w="0" w:type="auto"/>
          </w:tcPr>
          <w:p>
            <w:pPr>
              <w:spacing w:line="240" w:lineRule="auto" w:before="0" w:after="0"/>
              <w:pStyle w:val="Compact"/>
            </w:pPr>
            <w:r>
              <w:rPr>
                <w:sz w:val="20"/>
                <w:szCs w:val="20"/>
              </w:rPr>
              <w:t xml:space="preserve">1.2474</w:t>
            </w:r>
          </w:p>
        </w:tc>
        <w:tc>
          <w:tcPr>
            <w:tcW w:w="0" w:type="auto"/>
          </w:tcPr>
          <w:p>
            <w:pPr>
              <w:spacing w:line="240" w:lineRule="auto" w:before="0" w:after="0"/>
              <w:pStyle w:val="Compact"/>
            </w:pPr>
            <w:r>
              <w:rPr>
                <w:sz w:val="20"/>
                <w:szCs w:val="20"/>
              </w:rPr>
              <w:t xml:space="preserve">7.3344</w:t>
            </w:r>
          </w:p>
        </w:tc>
        <w:tc>
          <w:tcPr>
            <w:tcW w:w="0" w:type="auto"/>
          </w:tcPr>
          <w:p>
            <w:pPr>
              <w:spacing w:line="240" w:lineRule="auto" w:before="0" w:after="0"/>
              <w:pStyle w:val="Compact"/>
            </w:pPr>
            <w:r>
              <w:rPr>
                <w:sz w:val="20"/>
                <w:szCs w:val="20"/>
              </w:rPr>
              <w:t xml:space="preserve">2.227e-13</w:t>
            </w:r>
          </w:p>
        </w:tc>
        <w:tc>
          <w:tcPr>
            <w:tcW w:w="0" w:type="auto"/>
          </w:tcPr>
          <w:p>
            <w:pPr>
              <w:spacing w:line="240" w:lineRule="auto" w:before="0" w:after="0"/>
              <w:pStyle w:val="Compact"/>
            </w:pPr>
            <w:r>
              <w:rPr>
                <w:sz w:val="20"/>
                <w:szCs w:val="20"/>
              </w:rPr>
              <w:t xml:space="preserve">[6.7041, 11.5938]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0.1168</w:t>
            </w:r>
          </w:p>
        </w:tc>
        <w:tc>
          <w:tcPr>
            <w:tcW w:w="0" w:type="auto"/>
          </w:tcPr>
          <w:p>
            <w:pPr>
              <w:spacing w:line="240" w:lineRule="auto" w:before="0" w:after="0"/>
              <w:pStyle w:val="Compact"/>
            </w:pPr>
            <w:r>
              <w:rPr>
                <w:sz w:val="20"/>
                <w:szCs w:val="20"/>
              </w:rPr>
              <w:t xml:space="preserve">-0.9381</w:t>
            </w:r>
          </w:p>
        </w:tc>
        <w:tc>
          <w:tcPr>
            <w:tcW w:w="0" w:type="auto"/>
          </w:tcPr>
          <w:p>
            <w:pPr>
              <w:spacing w:line="240" w:lineRule="auto" w:before="0" w:after="0"/>
              <w:pStyle w:val="Compact"/>
            </w:pPr>
            <w:r>
              <w:rPr>
                <w:sz w:val="20"/>
                <w:szCs w:val="20"/>
              </w:rPr>
              <w:t xml:space="preserve">0.3482</w:t>
            </w:r>
          </w:p>
        </w:tc>
        <w:tc>
          <w:tcPr>
            <w:tcW w:w="0" w:type="auto"/>
          </w:tcPr>
          <w:p>
            <w:pPr>
              <w:spacing w:line="240" w:lineRule="auto" w:before="0" w:after="0"/>
              <w:pStyle w:val="Compact"/>
            </w:pPr>
            <w:r>
              <w:rPr>
                <w:sz w:val="20"/>
                <w:szCs w:val="20"/>
              </w:rPr>
              <w:t xml:space="preserve">[-0.3386, 0.1194]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0.7826</w:t>
            </w:r>
          </w:p>
        </w:tc>
        <w:tc>
          <w:tcPr>
            <w:tcW w:w="0" w:type="auto"/>
          </w:tcPr>
          <w:p>
            <w:pPr>
              <w:spacing w:line="240" w:lineRule="auto" w:before="0" w:after="0"/>
              <w:pStyle w:val="Compact"/>
            </w:pPr>
            <w:r>
              <w:rPr>
                <w:sz w:val="20"/>
                <w:szCs w:val="20"/>
              </w:rPr>
              <w:t xml:space="preserve">[-0.0605, 0.0803]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-1.4036</w:t>
            </w:r>
          </w:p>
        </w:tc>
        <w:tc>
          <w:tcPr>
            <w:tcW w:w="0" w:type="auto"/>
          </w:tcPr>
          <w:p>
            <w:pPr>
              <w:spacing w:line="240" w:lineRule="auto" w:before="0" w:after="0"/>
              <w:pStyle w:val="Compact"/>
            </w:pPr>
            <w:r>
              <w:rPr>
                <w:sz w:val="20"/>
                <w:szCs w:val="20"/>
              </w:rPr>
              <w:t xml:space="preserve">0.6874</w:t>
            </w:r>
          </w:p>
        </w:tc>
        <w:tc>
          <w:tcPr>
            <w:tcW w:w="0" w:type="auto"/>
          </w:tcPr>
          <w:p>
            <w:pPr>
              <w:spacing w:line="240" w:lineRule="auto" w:before="0" w:after="0"/>
              <w:pStyle w:val="Compact"/>
            </w:pPr>
            <w:r>
              <w:rPr>
                <w:sz w:val="20"/>
                <w:szCs w:val="20"/>
              </w:rPr>
              <w:t xml:space="preserve">-2.0418</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[-2.7509, -0.0563]</w:t>
            </w:r>
          </w:p>
        </w:tc>
      </w:tr>
    </w:tbl>
    <w:p>
      <w:pPr>
        <w:pStyle w:val="BodyText"/>
      </w:pPr>
      <w:r>
        <w:t xml:space="preserve">Fit: N = 30 R2 = 0.225 R2_adj = 0.1356 F = 3.1274 F_p = 0.0428</w:t>
      </w:r>
    </w:p>
    <w:p>
      <w:pPr>
        <w:pStyle w:val="CaptionedFigure"/>
      </w:pPr>
      <w:r>
        <w:drawing>
          <wp:inline>
            <wp:extent cx="5669280" cy="3657600"/>
            <wp:effectExtent b="0" l="0" r="0" t="0"/>
            <wp:docPr descr="Figure 1. Topic-signal score by publication recency, conditioning on citation attention and venue family." title="" id="78" name="Picture"/>
            <a:graphic>
              <a:graphicData uri="http://schemas.openxmlformats.org/drawingml/2006/picture">
                <pic:pic>
                  <pic:nvPicPr>
                    <pic:cNvPr descr="D:\Claude_Code\brain\collegium\candidates\dissertations\SUSTAINABILITY_INSTITUTIONS_04\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https://amostech.space/year/2015/total-probability-of-collision-as-a-metric-for-finite-conjunction-assessment-and-collision-risk-management/</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https://amostech.space/year/2011/operational-collision-risk-management-evaluating-and-mitigating-high-risk-conjunction-events/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https://amostech.space/year/2016/paving-the-bridge-between-academia-and-operations-for-orbital-debris-risk-mitigation/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https://amostech.space/year/2022/trending-and-analysis-of-payload-vs-all-low-earth-conjunction-data-messages-below-1000-km-from-2016-through-2021/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https://amostech.space/year/2010/operational-impact-of-improved-space-tracking-on-collision-avoidance-in-the-future-leo-space-debris-environment/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https://amostech.space/year/2010/operation-impact-of-improved-space-tracking-on-collision-avoidance-in-the-future-leo-space-debris-environment/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https://amostech.space/year/2014/probability-forecasting-using-monte-carlo-simulation/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10.64861/TUTU2866</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https://amostech.space/year/2013/geo-collision-avoidance-using-a-service-vehicle/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10.1016/j.actaastro.2024.12.022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10.1016/j.actaastro.2025.11.006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10.1016/j.actaastro.2024.09.063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10.1016/j.actaastro.2022.09.019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9.149</w:t>
            </w:r>
          </w:p>
        </w:tc>
        <w:tc>
          <w:tcPr>
            <w:tcW w:w="0" w:type="auto"/>
          </w:tcPr>
          <w:p>
            <w:pPr>
              <w:spacing w:line="240" w:lineRule="auto" w:before="0" w:after="0"/>
              <w:pStyle w:val="Compact"/>
            </w:pPr>
            <w:r>
              <w:rPr>
                <w:sz w:val="20"/>
                <w:szCs w:val="20"/>
              </w:rPr>
              <w:t xml:space="preserve">1.2474</w:t>
            </w:r>
          </w:p>
        </w:tc>
        <w:tc>
          <w:tcPr>
            <w:tcW w:w="0" w:type="auto"/>
          </w:tcPr>
          <w:p>
            <w:pPr>
              <w:spacing w:line="240" w:lineRule="auto" w:before="0" w:after="0"/>
              <w:pStyle w:val="Compact"/>
            </w:pPr>
            <w:r>
              <w:rPr>
                <w:sz w:val="20"/>
                <w:szCs w:val="20"/>
              </w:rPr>
              <w:t xml:space="preserve">7.3344</w:t>
            </w:r>
          </w:p>
        </w:tc>
        <w:tc>
          <w:tcPr>
            <w:tcW w:w="0" w:type="auto"/>
          </w:tcPr>
          <w:p>
            <w:pPr>
              <w:spacing w:line="240" w:lineRule="auto" w:before="0" w:after="0"/>
              <w:pStyle w:val="Compact"/>
            </w:pPr>
            <w:r>
              <w:rPr>
                <w:sz w:val="20"/>
                <w:szCs w:val="20"/>
              </w:rPr>
              <w:t xml:space="preserve">2.227e-13</w:t>
            </w:r>
          </w:p>
        </w:tc>
        <w:tc>
          <w:tcPr>
            <w:tcW w:w="0" w:type="auto"/>
          </w:tcPr>
          <w:p>
            <w:pPr>
              <w:spacing w:line="240" w:lineRule="auto" w:before="0" w:after="0"/>
              <w:pStyle w:val="Compact"/>
            </w:pPr>
            <w:r>
              <w:rPr>
                <w:sz w:val="20"/>
                <w:szCs w:val="20"/>
              </w:rPr>
              <w:t xml:space="preserve">[6.7041, 11.5938]</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0.1168</w:t>
            </w:r>
          </w:p>
        </w:tc>
        <w:tc>
          <w:tcPr>
            <w:tcW w:w="0" w:type="auto"/>
          </w:tcPr>
          <w:p>
            <w:pPr>
              <w:spacing w:line="240" w:lineRule="auto" w:before="0" w:after="0"/>
              <w:pStyle w:val="Compact"/>
            </w:pPr>
            <w:r>
              <w:rPr>
                <w:sz w:val="20"/>
                <w:szCs w:val="20"/>
              </w:rPr>
              <w:t xml:space="preserve">-0.9381</w:t>
            </w:r>
          </w:p>
        </w:tc>
        <w:tc>
          <w:tcPr>
            <w:tcW w:w="0" w:type="auto"/>
          </w:tcPr>
          <w:p>
            <w:pPr>
              <w:spacing w:line="240" w:lineRule="auto" w:before="0" w:after="0"/>
              <w:pStyle w:val="Compact"/>
            </w:pPr>
            <w:r>
              <w:rPr>
                <w:sz w:val="20"/>
                <w:szCs w:val="20"/>
              </w:rPr>
              <w:t xml:space="preserve">0.3482</w:t>
            </w:r>
          </w:p>
        </w:tc>
        <w:tc>
          <w:tcPr>
            <w:tcW w:w="0" w:type="auto"/>
          </w:tcPr>
          <w:p>
            <w:pPr>
              <w:spacing w:line="240" w:lineRule="auto" w:before="0" w:after="0"/>
              <w:pStyle w:val="Compact"/>
            </w:pPr>
            <w:r>
              <w:rPr>
                <w:sz w:val="20"/>
                <w:szCs w:val="20"/>
              </w:rPr>
              <w:t xml:space="preserve">[-0.3386, 0.1194]</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0.7826</w:t>
            </w:r>
          </w:p>
        </w:tc>
        <w:tc>
          <w:tcPr>
            <w:tcW w:w="0" w:type="auto"/>
          </w:tcPr>
          <w:p>
            <w:pPr>
              <w:spacing w:line="240" w:lineRule="auto" w:before="0" w:after="0"/>
              <w:pStyle w:val="Compact"/>
            </w:pPr>
            <w:r>
              <w:rPr>
                <w:sz w:val="20"/>
                <w:szCs w:val="20"/>
              </w:rPr>
              <w:t xml:space="preserve">[-0.0605, 0.0803]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-1.4036</w:t>
            </w:r>
          </w:p>
        </w:tc>
        <w:tc>
          <w:tcPr>
            <w:tcW w:w="0" w:type="auto"/>
          </w:tcPr>
          <w:p>
            <w:pPr>
              <w:spacing w:line="240" w:lineRule="auto" w:before="0" w:after="0"/>
              <w:pStyle w:val="Compact"/>
            </w:pPr>
            <w:r>
              <w:rPr>
                <w:sz w:val="20"/>
                <w:szCs w:val="20"/>
              </w:rPr>
              <w:t xml:space="preserve">0.6874</w:t>
            </w:r>
          </w:p>
        </w:tc>
        <w:tc>
          <w:tcPr>
            <w:tcW w:w="0" w:type="auto"/>
          </w:tcPr>
          <w:p>
            <w:pPr>
              <w:spacing w:line="240" w:lineRule="auto" w:before="0" w:after="0"/>
              <w:pStyle w:val="Compact"/>
            </w:pPr>
            <w:r>
              <w:rPr>
                <w:sz w:val="20"/>
                <w:szCs w:val="20"/>
              </w:rPr>
              <w:t xml:space="preserve">-2.0418</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[-2.7509, -0.0563]</w:t>
            </w:r>
          </w:p>
        </w:tc>
      </w:tr>
    </w:tbl>
    <w:p>
      <w:pPr>
        <w:pStyle w:val="BodyText"/>
      </w:pPr>
      <w:r>
        <w:t xml:space="preserve">Fit: N = 30 R2 = 0.225 R2_adj = 0.1356 F = 3.1274 F_p = 0.0428</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2026-06-29T09:45:40Z</dcterms:created>
  <dcterms:modified xsi:type="dcterms:W3CDTF">2026-06-29T09:45:40Z</dcterms:modified>
</cp:coreProperties>
</file>

<file path=docProps/custom.xml><?xml version="1.0" encoding="utf-8"?>
<Properties xmlns="http://schemas.openxmlformats.org/officeDocument/2006/custom-properties" xmlns:vt="http://schemas.openxmlformats.org/officeDocument/2006/docPropsVTypes"/>
</file>