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PRESENT BIAS ON ORBIT: DOES OPERATOR DISCOUNTING OF FUTURE COLLISION RISK EXPLAI</w:t>
      </w:r>
    </w:p>
    <w:p>
      <w:pPr>
        <w:jc w:val="center"/>
      </w:pPr>
    </w:p>
    <w:p>
      <w:pPr>
        <w:jc w:val="center"/>
      </w:pPr>
      <w:r>
        <w:rPr>
          <w:rFonts w:ascii="Times New Roman" w:hAnsi="Times New Roman"/>
          <w:sz w:val="24"/>
        </w:rPr>
        <w:t>by</w:t>
      </w:r>
    </w:p>
    <w:p>
      <w:pPr>
        <w:jc w:val="center"/>
      </w:pPr>
      <w:r>
        <w:rPr>
          <w:rFonts w:ascii="Times New Roman" w:hAnsi="Times New Roman"/>
          <w:b/>
          <w:sz w:val="28"/>
        </w:rPr>
        <w:t>Suki Pereira</w:t>
      </w:r>
    </w:p>
    <w:p>
      <w:pPr>
        <w:jc w:val="center"/>
      </w:pPr>
      <w:r>
        <w:rPr>
          <w:rFonts w:ascii="Times New Roman" w:hAnsi="Times New Roman"/>
          <w:sz w:val="24"/>
        </w:rPr>
        <w:t>1B-SUS-231</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8" w:name="chapter-1.-introduction"/>
    <w:p>
      <w:pPr>
        <w:pStyle w:val="Heading1"/>
        <w:spacing w:line="480" w:lineRule="auto"/>
      </w:pPr>
      <w:r>
        <w:t xml:space="preserve">Chapter 1. Introduction</w:t>
      </w:r>
    </w:p>
    <w:p>
      <w:pPr>
        <w:pStyle w:val="FirstParagraph"/>
        <w:spacing w:line="480" w:lineRule="auto"/>
      </w:pPr>
      <w:r>
        <w:t xml:space="preserve">A collision does not announce itself. The physics that governs a conjunction in low Earth orbit is fast, indifferent, and unforgiving, but the institutions that are supposed to price that risk move on a slower clock. This dissertation,</w:t>
      </w:r>
      <w:r>
        <w:t xml:space="preserve"> </w:t>
      </w:r>
      <w:r>
        <w:rPr>
          <w:i/>
          <w:iCs/>
        </w:rPr>
        <w:t xml:space="preserve">Present Bias on Orbit: Does Operator Discounting of Future Collision Risk Explain Governance Lag</w:t>
      </w:r>
      <w:r>
        <w:t xml:space="preserve">, begins from the gap between those two clocks. It asks a narrow, testable version of a large question. When operators and the analysts who serve them weigh a distant, probabilistic loss against a near, certain cost, do they behave as if the future is discounted steeply, and can that discounting be seen in the documentary trace that the field leaves behind</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The framing is deliberately modest. Present bias is a behavioral claim about how decision makers trade the present against the future, and it is tempting to reach for it as a sweeping explanation of why space governance hardens late. This project resists that temptation. It treats the behavioral claim as a hypothesis about evidence, not as a settled account of motive. The unit of analysis is a retrieved source record. The observable is the intensity with which the candidate theme appears in that record, together with the recency, citation attention, and venue family attached to it. If operator discounting shapes the field, then the documentary corpus that the field produces should carry a measurable fingerprint of that shaping. If it does not, the corpus should return weak and unstable associations, and the honest thing to report is that weakness.</w:t>
      </w:r>
    </w:p>
    <w:bookmarkStart w:id="61" w:name="the-problem-and-why-it-matters"/>
    <w:p>
      <w:pPr>
        <w:pStyle w:val="Heading2"/>
        <w:spacing w:line="480" w:lineRule="auto"/>
      </w:pPr>
      <w:r>
        <w:t xml:space="preserve">The problem and why it matters</w:t>
      </w:r>
    </w:p>
    <w:p>
      <w:pPr>
        <w:pStyle w:val="FirstParagraph"/>
        <w:spacing w:line="480" w:lineRule="auto"/>
      </w:pPr>
      <w:r>
        <w:t xml:space="preserve">Space governance problems tend to become visible before institutions agree on a rule. Conjunction assessment illustrates the pattern. Operators have known for more than a decade how to compute a probability of collision, how to screen a catalog for high-risk pairs, and how to decide whether a maneuver is warranted</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operational literature is precise about the metric and the decision threshold. It is far less precise about the incentive structure that determines whether an operator acts on a warning when acting is costly now and the payoff is a loss avoided years later. That silence is the space this dissertation occupies.</w:t>
      </w:r>
    </w:p>
    <w:p>
      <w:pPr>
        <w:pStyle w:val="BodyText"/>
        <w:spacing w:line="480" w:lineRule="auto"/>
        <w:ind w:firstLine="720"/>
      </w:pPr>
      <w:r>
        <w:t xml:space="preserve">The stakes are concrete. The population of active satellites is growing under constellation deployment plans that were not contemplated when the current coordination norms took shape, and forecast models tie that growth to macroeconomic drivers rather than to any deliberate carrying-capacity ceiling</w:t>
      </w:r>
      <w:r>
        <w:t xml:space="preserve"> </w:t>
      </w:r>
      <w:hyperlink w:anchor="ref-8">
        <w:r>
          <w:rPr>
            <w:rStyle w:val="Hyperlink"/>
          </w:rPr>
          <w:t xml:space="preserve">[8]</w:t>
        </w:r>
      </w:hyperlink>
      <w:r>
        <w:t xml:space="preserve"> </w:t>
      </w:r>
      <w:hyperlink w:anchor="ref-9">
        <w:r>
          <w:rPr>
            <w:rStyle w:val="Hyperlink"/>
          </w:rPr>
          <w:t xml:space="preserve">[9]</w:t>
        </w:r>
      </w:hyperlink>
      <w:r>
        <w:t xml:space="preserve">. Every additional object raises the conjunction rate faster than linearly, and every fragmentation event seeds a debris field that persists across the decision horizons of the operators who caused it</w:t>
      </w:r>
      <w:r>
        <w:t xml:space="preserve"> </w:t>
      </w:r>
      <w:hyperlink w:anchor="ref-6">
        <w:r>
          <w:rPr>
            <w:rStyle w:val="Hyperlink"/>
          </w:rPr>
          <w:t xml:space="preserve">[6]</w:t>
        </w:r>
      </w:hyperlink>
      <w:r>
        <w:t xml:space="preserve">. If those operators discount the future steeply, then the private cost calculus that governs a single maneuver decision will systematically underweight the shared, delayed cost that the maneuver would have averted. That is the mechanism this dissertation names and then subjects to a documentary test.</w:t>
      </w:r>
    </w:p>
    <w:p>
      <w:pPr>
        <w:pStyle w:val="BodyText"/>
        <w:spacing w:line="480" w:lineRule="auto"/>
        <w:ind w:firstLine="720"/>
      </w:pPr>
      <w:r>
        <w:t xml:space="preserve">Two gaps organize the inquiry. The first is the gap between technical work and institutional explanation. A source record can identify an operational risk with great precision and still say nothing about why governance language around that risk stays loose</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 second is the gap between policy salience and measurement. Citation attention, publication recency, and venue family reveal how a topic distributes across a retrieved corpus, but those signals are proxies, and a proxy demands interpretation before it can carry weight</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Consider what the operational record already establishes. The probability of collision can be computed to high fidelity, aggregated across a full conjunction assessment, and turned into a management metric that a mission planner can act on</w:t>
      </w:r>
      <w:r>
        <w:t xml:space="preserve"> </w:t>
      </w:r>
      <w:hyperlink w:anchor="ref-1">
        <w:r>
          <w:rPr>
            <w:rStyle w:val="Hyperlink"/>
          </w:rPr>
          <w:t xml:space="preserve">[1]</w:t>
        </w:r>
      </w:hyperlink>
      <w:r>
        <w:t xml:space="preserve">. High-risk conjunction events can be evaluated and mitigated with procedures that are now routine at several operations centers</w:t>
      </w:r>
      <w:r>
        <w:t xml:space="preserve"> </w:t>
      </w:r>
      <w:hyperlink w:anchor="ref-2">
        <w:r>
          <w:rPr>
            <w:rStyle w:val="Hyperlink"/>
          </w:rPr>
          <w:t xml:space="preserve">[2]</w:t>
        </w:r>
      </w:hyperlink>
      <w:r>
        <w:t xml:space="preserve">. Improved tracking measurably reduces the number of unnecessary maneuvers while catching the dangerous pairs earlier</w:t>
      </w:r>
      <w:r>
        <w:t xml:space="preserve"> </w:t>
      </w:r>
      <w:hyperlink w:anchor="ref-5">
        <w:r>
          <w:rPr>
            <w:rStyle w:val="Hyperlink"/>
          </w:rPr>
          <w:t xml:space="preserve">[5]</w:t>
        </w:r>
      </w:hyperlink>
      <w:r>
        <w:t xml:space="preserve">. None of that operational maturity resolves the incentive question. A perfectly calibrated warning still has to be paid for by an operator who bears the maneuver cost today and shares the avoided-collision benefit with every other operator in the same shell.</w:t>
      </w:r>
    </w:p>
    <w:bookmarkEnd w:id="61"/>
    <w:bookmarkStart w:id="62" w:name="the-single-falsifiable-contribution"/>
    <w:p>
      <w:pPr>
        <w:pStyle w:val="Heading2"/>
        <w:spacing w:line="480" w:lineRule="auto"/>
      </w:pPr>
      <w:r>
        <w:t xml:space="preserve">The single falsifiable contribution</w:t>
      </w:r>
    </w:p>
    <w:p>
      <w:pPr>
        <w:pStyle w:val="FirstParagraph"/>
        <w:spacing w:line="480" w:lineRule="auto"/>
      </w:pPr>
      <w:r>
        <w:t xml:space="preserve">This dissertation makes one falsifiable claim, and it states that claim so it can be rejected by the data the candidate actually holds.</w:t>
      </w:r>
    </w:p>
    <w:p>
      <w:pPr>
        <w:pStyle w:val="BodyText"/>
        <w:spacing w:line="480" w:lineRule="auto"/>
        <w:ind w:firstLine="720"/>
      </w:pPr>
      <w:r>
        <w:t xml:space="preserve">H0: the candidate topic signal is unrelated to publication recency, citation attention, and venue family in the retrieved source corpus.</w:t>
      </w:r>
    </w:p>
    <w:p>
      <w:pPr>
        <w:pStyle w:val="BodyText"/>
        <w:spacing w:line="480" w:lineRule="auto"/>
        <w:ind w:firstLine="720"/>
      </w:pPr>
      <w:r>
        <w:t xml:space="preserve">H1: the candidate topic signal is systematically related to publication recency, citation attention, and venue family in the retrieved source corpus.</w:t>
      </w:r>
    </w:p>
    <w:p>
      <w:pPr>
        <w:pStyle w:val="BodyText"/>
        <w:spacing w:line="480" w:lineRule="auto"/>
        <w:ind w:firstLine="720"/>
      </w:pPr>
      <w:r>
        <w:t xml:space="preserve">The contribution is not a new collision metric, a new debris model, or a new treaty proposal. It is a disciplined bridge from source retrieval to interpretation. The design converts a behavioral intuition into a document-level test whose inputs, transformations, and outputs are all inspectable. A reader can trace the path from the selection of a source, to the construction of a variable, to the coefficient printed by an estimator, to the sentence that interprets it. That traceability is the deliverable. Where the evidence is strong the dissertation says so; where it is only suggestive the dissertation says that too; and where a proxy is too weak to support a policy claim, the dissertation reports the weakness rather than dressing it in confident prose</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62"/>
    <w:bookmarkStart w:id="63" w:name="the-empirical-spine"/>
    <w:p>
      <w:pPr>
        <w:pStyle w:val="Heading2"/>
        <w:spacing w:line="480" w:lineRule="auto"/>
      </w:pPr>
      <w:r>
        <w:t xml:space="preserve">The empirical spine</w:t>
      </w:r>
    </w:p>
    <w:p>
      <w:pPr>
        <w:pStyle w:val="FirstParagraph"/>
        <w:spacing w:line="480" w:lineRule="auto"/>
      </w:pPr>
      <w:r>
        <w:t xml:space="preserve">Two empirical papers carry the weight of the argument, and they answer complementary questions rather than the same question twice.</w:t>
      </w:r>
    </w:p>
    <w:p>
      <w:pPr>
        <w:pStyle w:val="BodyText"/>
        <w:spacing w:line="480" w:lineRule="auto"/>
        <w:ind w:firstLine="720"/>
      </w:pPr>
      <w:r>
        <w:t xml:space="preserve">Paper 1 asks how the topic appears in retrieved source metadata. It estimates an ordinary least squares model of topic-signal intensity on three predictors: a publication recency index, a reported citation count, and an ordinal venue-family score. Its hypotheses restate the dissertation-level test at the level of a single cross section. H0 holds that the topic-signal score is unrelated to recency, citation attention, and venue family. H1 holds that the score increases with recency and citation attention. The estimator is fit on thirty retrieved records with robust HC1 standard errors, and it returns N = 30, R2 = 0.225, and a model F p-value of 0.0428. The venue-family coefficient is signed and precise at conventional levels; the recency and citation coefficients are not. Those are the numbers, and Chapter 6 reads them without embellishment.</w:t>
      </w:r>
    </w:p>
    <w:p>
      <w:pPr>
        <w:pStyle w:val="BodyText"/>
        <w:spacing w:line="480" w:lineRule="auto"/>
        <w:ind w:firstLine="720"/>
      </w:pPr>
      <w:r>
        <w:t xml:space="preserve">Paper 2 asks whether attention accumulates with a measurable temporal shape. It fits a log-log learning-curve model of citation counts against an article-age index, again on thirty records with robust HC1 standard errors. It returns N = 30, R2 = 0.141, an age elasticity of -0.595, and an implied progress ratio of 0.662. The age coefficient is negative and precise, which says that older records in this particular corpus do not simply accrue more citations in proportion to their age; the accumulation is sublinear and, in the raw counts, dominated by a handful of well-cited journal articles</w:t>
      </w:r>
      <w:r>
        <w:t xml:space="preserve"> </w:t>
      </w:r>
      <w:hyperlink w:anchor="ref-13">
        <w:r>
          <w:rPr>
            <w:rStyle w:val="Hyperlink"/>
          </w:rPr>
          <w:t xml:space="preserve">[13]</w:t>
        </w:r>
      </w:hyperlink>
      <w:r>
        <w:t xml:space="preserve">. One paper studies cross-sectional structure. The other studies accumulation over time. Read together they bound what the present evidence can support.</w:t>
      </w:r>
    </w:p>
    <w:p>
      <w:pPr>
        <w:pStyle w:val="BodyText"/>
        <w:spacing w:line="480" w:lineRule="auto"/>
        <w:ind w:firstLine="720"/>
      </w:pPr>
      <w:r>
        <w:t xml:space="preserve">Neither paper settles the policy question, and the dissertation never pretends otherwise. A cross-sectional association inside a thirty-record corpus is a screen, not a causal estimate. The value of the two screens is that they show which variables carry observable structure, which proxies are too noisy to lean on, and where a stronger, document-coded design would have to go next</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63"/>
    <w:bookmarkStart w:id="64" w:name="why-present-bias-and-why-now"/>
    <w:p>
      <w:pPr>
        <w:pStyle w:val="Heading2"/>
        <w:spacing w:line="480" w:lineRule="auto"/>
      </w:pPr>
      <w:r>
        <w:t xml:space="preserve">Why present bias, and why now</w:t>
      </w:r>
    </w:p>
    <w:p>
      <w:pPr>
        <w:pStyle w:val="FirstParagraph"/>
        <w:spacing w:line="480" w:lineRule="auto"/>
      </w:pPr>
      <w:r>
        <w:t xml:space="preserve">The behavioral framing is a choice, and the choice deserves defense before the chapters build on it. There are simpler stories available for why orbital coordination lags. One is coordination failure in the ordinary game-theoretic sense: operators would act if they trusted others to act, and the absence of an enforcement mechanism leaves everyone waiting. Another is pure cost: maneuvers are expensive, tracking is imperfect, and operators rationally accept residual risk. A third is regulatory inertia, the slow grind of international rule-making that has little to do with operator psychology at all. Each of these is real, and none of them requires present bias to explain the lag.</w:t>
      </w:r>
    </w:p>
    <w:p>
      <w:pPr>
        <w:pStyle w:val="BodyText"/>
        <w:spacing w:line="480" w:lineRule="auto"/>
        <w:ind w:firstLine="720"/>
      </w:pPr>
      <w:r>
        <w:t xml:space="preserve">Present bias earns its place because it explains a specific pattern the other stories do not. Operators do not merely accept risk uniformly; they accept distant risk far more readily than near risk, and they invest in near-term capability, better tracking, sharper metrics, faster screening, while underinvesting in the long-horizon institutions that would price the shared cost</w:t>
      </w:r>
      <w:r>
        <w:t xml:space="preserve"> </w:t>
      </w:r>
      <w:hyperlink w:anchor="ref-1">
        <w:r>
          <w:rPr>
            <w:rStyle w:val="Hyperlink"/>
          </w:rPr>
          <w:t xml:space="preserve">[1]</w:t>
        </w:r>
      </w:hyperlink>
      <w:r>
        <w:t xml:space="preserve"> </w:t>
      </w:r>
      <w:hyperlink w:anchor="ref-5">
        <w:r>
          <w:rPr>
            <w:rStyle w:val="Hyperlink"/>
          </w:rPr>
          <w:t xml:space="preserve">[5]</w:t>
        </w:r>
      </w:hyperlink>
      <w:r>
        <w:t xml:space="preserve">. That asymmetry between the near and the far is the signature of intertemporal discounting rather than of flat cost or flat coordination failure. The field’s own output, dense with near-term operational vocabulary and thin on institutional design, is the observable that motivates looking for the pattern documentarily. Whether the observable actually reflects the mechanism is what the two papers test, and the honest posture is that the test can be consistent with present bias without proving it against the simpler alternatives.</w:t>
      </w:r>
    </w:p>
    <w:p>
      <w:pPr>
        <w:pStyle w:val="BodyText"/>
        <w:spacing w:line="480" w:lineRule="auto"/>
        <w:ind w:firstLine="720"/>
      </w:pPr>
      <w:r>
        <w:t xml:space="preserve">The timing of the question is not incidental. Constellation deployment has moved the orbital population onto a growth path tied to macroeconomic drivers rather than to any managed ceiling, and the forecasting literature makes that trajectory explicit</w:t>
      </w:r>
      <w:r>
        <w:t xml:space="preserve"> </w:t>
      </w:r>
      <w:hyperlink w:anchor="ref-8">
        <w:r>
          <w:rPr>
            <w:rStyle w:val="Hyperlink"/>
          </w:rPr>
          <w:t xml:space="preserve">[8]</w:t>
        </w:r>
      </w:hyperlink>
      <w:r>
        <w:t xml:space="preserve"> </w:t>
      </w:r>
      <w:hyperlink w:anchor="ref-9">
        <w:r>
          <w:rPr>
            <w:rStyle w:val="Hyperlink"/>
          </w:rPr>
          <w:t xml:space="preserve">[9]</w:t>
        </w:r>
      </w:hyperlink>
      <w:r>
        <w:t xml:space="preserve">. A discounting problem that was tolerable when the environment was sparse becomes acute when the environment is filling, because the delayed, shared cost that operators underweight is itself growing. The question of whether the field reasons in a present-biased way is therefore not academic. It bears on whether the current, largely voluntary coordination arrangements can scale with the hazard, or whether the gap between near-term capability and long-horizon institution will widen exactly as the stakes rise.</w:t>
      </w:r>
    </w:p>
    <w:bookmarkEnd w:id="64"/>
    <w:bookmarkStart w:id="65" w:name="X0717b95d2c5079b42fa96f8d622936cd2a1086b"/>
    <w:p>
      <w:pPr>
        <w:pStyle w:val="Heading2"/>
        <w:spacing w:line="480" w:lineRule="auto"/>
      </w:pPr>
      <w:r>
        <w:t xml:space="preserve">Scope conditions and what this dissertation is not</w:t>
      </w:r>
    </w:p>
    <w:p>
      <w:pPr>
        <w:pStyle w:val="FirstParagraph"/>
        <w:spacing w:line="480" w:lineRule="auto"/>
      </w:pPr>
      <w:r>
        <w:t xml:space="preserve">Three boundaries fix the scope, and stating them early prevents the reader from expecting what will not come. This is not a study of any single collision, near miss, or operator, and it does not adjudicate any particular maneuver decision. It works one level up, on the documentary trace the field produces, and its unit is a source record rather than an event or an actor</w:t>
      </w:r>
      <w:r>
        <w:t xml:space="preserve"> </w:t>
      </w:r>
      <w:hyperlink w:anchor="ref-2">
        <w:r>
          <w:rPr>
            <w:rStyle w:val="Hyperlink"/>
          </w:rPr>
          <w:t xml:space="preserve">[2]</w:t>
        </w:r>
      </w:hyperlink>
      <w:r>
        <w:t xml:space="preserve"> </w:t>
      </w:r>
      <w:hyperlink w:anchor="ref-4">
        <w:r>
          <w:rPr>
            <w:rStyle w:val="Hyperlink"/>
          </w:rPr>
          <w:t xml:space="preserve">[4]</w:t>
        </w:r>
      </w:hyperlink>
      <w:r>
        <w:t xml:space="preserve">. It is not a causal study, for reasons Chapter 4 develops in full: there is no treatment, no assignment, and no counterfactual corpus. And it is not a policy proposal. The dissertation offers evidence that the institutional gap is the one to watch, but it does not draft a coordination rule, price an externality, or recommend a treaty article.</w:t>
      </w:r>
    </w:p>
    <w:p>
      <w:pPr>
        <w:pStyle w:val="BodyText"/>
        <w:spacing w:line="480" w:lineRule="auto"/>
        <w:ind w:firstLine="720"/>
      </w:pPr>
      <w:r>
        <w:t xml:space="preserve">What the dissertation is, precisely, is a disciplined first look. It takes a compelling behavioral intuition about a technical community and asks whether that intuition survives contact with the community’s own documentary output, measured deterministically and reported with its uncertainty attached. The design’s ambition is calibrated to its data. Thirty records can support a screen, and a screen honestly reported is worth more to a successor study than a sweeping claim built on the same thirty rows. The chapters that follow hold to that calibration without exception</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65"/>
    <w:bookmarkStart w:id="66" w:name="roadmap"/>
    <w:p>
      <w:pPr>
        <w:pStyle w:val="Heading2"/>
        <w:spacing w:line="480" w:lineRule="auto"/>
      </w:pPr>
      <w:r>
        <w:t xml:space="preserve">Roadmap</w:t>
      </w:r>
    </w:p>
    <w:p>
      <w:pPr>
        <w:pStyle w:val="FirstParagraph"/>
        <w:spacing w:line="480" w:lineRule="auto"/>
      </w:pPr>
      <w:r>
        <w:t xml:space="preserve">The chapters follow the logic of the argument. Chapter 2 situates the project against the operational conjunction-assessment literature, the constellation-growth and debris-removal literature, and the small body of work that applies behavioral and common-pool-resource reasoning to orbit</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Chapter 3 states the mechanism, present bias as steep discounting of a shared future loss, and derives the testable predictions that the two papers evaluate. Chapter 4 sets out the estimators and explains, honestly, the sense in which a documentary screen identifies anything at all. Chapter 5 describes the dataset: how the thirty records were retrieved, how each variable was constructed, and where the provenance of every row is preserved. Chapter 6 reports the estimator output exactly and interprets the signs and magnitudes. Chapter 7 turns to what the findings mean and, at equal length, to what they cannot show. Chapter 8 states the contribution, draws the governance and program implications that the bounded evidence can actually bear, and specifies the next data collection</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tone throughout is conditional by design. Every number in this dissertation is a workbook result, reproducible from the retained records, and every substantive claim is contingent on the sources available to the candidate. A dissertation can clarify an evidentiary chain or it can hide weak inference behind fluent narrative. This one chooses the first path, and it accepts the cost of that choice, which is that some of its most interesting coefficients are the ones it declines to over-read</w:t>
      </w:r>
      <w:r>
        <w:t xml:space="preserve"> </w:t>
      </w:r>
      <w:hyperlink w:anchor="ref-3">
        <w:r>
          <w:rPr>
            <w:rStyle w:val="Hyperlink"/>
          </w:rPr>
          <w:t xml:space="preserve">[3]</w:t>
        </w:r>
      </w:hyperlink>
      <w:r>
        <w:t xml:space="preserve"> </w:t>
      </w:r>
      <w:hyperlink w:anchor="ref-12">
        <w:r>
          <w:rPr>
            <w:rStyle w:val="Hyperlink"/>
          </w:rPr>
          <w:t xml:space="preserve">[12]</w:t>
        </w:r>
      </w:hyperlink>
      <w:r>
        <w:t xml:space="preserve">.</w:t>
      </w:r>
    </w:p>
    <w:bookmarkEnd w:id="66"/>
    <w:bookmarkStart w:id="67" w:name="X7e990b9d03d55f1ee4f61ba7dde6d9fc420f783"/>
    <w:p>
      <w:pPr>
        <w:pStyle w:val="Heading2"/>
        <w:spacing w:line="480" w:lineRule="auto"/>
      </w:pPr>
      <w:r>
        <w:t xml:space="preserve">The evidentiary standard this dissertation holds itself to</w:t>
      </w:r>
    </w:p>
    <w:p>
      <w:pPr>
        <w:pStyle w:val="FirstParagraph"/>
        <w:spacing w:line="480" w:lineRule="auto"/>
      </w:pPr>
      <w:r>
        <w:t xml:space="preserve">It is worth being explicit about the standard by which the following chapters should be judged, because the standard is unusual for a project that reaches toward a behavioral claim. The ambition is not to persuade. It is to make every inferential step checkable by a reader who begins from skepticism. That standard has three parts, and each shapes how the argument is built.</w:t>
      </w:r>
    </w:p>
    <w:p>
      <w:pPr>
        <w:pStyle w:val="BodyText"/>
        <w:spacing w:line="480" w:lineRule="auto"/>
        <w:ind w:firstLine="720"/>
      </w:pPr>
      <w:r>
        <w:t xml:space="preserve">The first part is reproducibility. There is no step in either paper that depends on a random draw, a tuning choice, or an undisclosed transformation. The outcome variables are deterministic counts, the predictors are arithmetic functions of publication year and reported metadata, and the estimators return a unique least-squares solution for the given data matrix. A reader with the analysis file can regenerate every coefficient reported in Chapter 6, which means the results are not asserted but exhibited</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second part is provenance. Every row in the corpus retains a source column, a conference address for the operational proceedings and a digital object identifier for the journal articles, so that a claim about a record can be traced back to the record itself</w:t>
      </w:r>
      <w:r>
        <w:t xml:space="preserve"> </w:t>
      </w:r>
      <w:hyperlink w:anchor="ref-2">
        <w:r>
          <w:rPr>
            <w:rStyle w:val="Hyperlink"/>
          </w:rPr>
          <w:t xml:space="preserve">[2]</w:t>
        </w:r>
      </w:hyperlink>
      <w:r>
        <w:t xml:space="preserve"> </w:t>
      </w:r>
      <w:hyperlink w:anchor="ref-13">
        <w:r>
          <w:rPr>
            <w:rStyle w:val="Hyperlink"/>
          </w:rPr>
          <w:t xml:space="preserve">[13]</w:t>
        </w:r>
      </w:hyperlink>
      <w:r>
        <w:t xml:space="preserve">. This matters because behavioral arguments about fields are especially prone to selective illustration, in which a memorable example stands in for a pattern that the full corpus does not support. Preserving provenance for all thirty records makes that substitution visible and therefore harder to commit.</w:t>
      </w:r>
    </w:p>
    <w:p>
      <w:pPr>
        <w:pStyle w:val="BodyText"/>
        <w:spacing w:line="480" w:lineRule="auto"/>
        <w:ind w:firstLine="720"/>
      </w:pPr>
      <w:r>
        <w:t xml:space="preserve">The third part is symmetric reporting. The dissertation commits, in advance, to reporting its imprecise coefficients with the same prominence as its precise ones. A recency coefficient that lands at zero and a citation coefficient that is indistinguishable from noise are not failures to be buried; they are findings about the limits of the corpus, and they carry as much information for a successor study as the precise venue coefficient does</w:t>
      </w:r>
      <w:r>
        <w:t xml:space="preserve"> </w:t>
      </w:r>
      <w:hyperlink w:anchor="ref-5">
        <w:r>
          <w:rPr>
            <w:rStyle w:val="Hyperlink"/>
          </w:rPr>
          <w:t xml:space="preserve">[5]</w:t>
        </w:r>
      </w:hyperlink>
      <w:r>
        <w:t xml:space="preserve">. A reader should therefore expect the results chapter to spend real effort on what the data could not show, and should treat that effort as a feature of the design rather than a hedge.</w:t>
      </w:r>
    </w:p>
    <w:p>
      <w:pPr>
        <w:pStyle w:val="BodyText"/>
        <w:spacing w:line="480" w:lineRule="auto"/>
        <w:ind w:firstLine="720"/>
      </w:pPr>
      <w:r>
        <w:t xml:space="preserve">Held to that standard, the contribution is small but solid. It is one falsifiable test, executed transparently, reported symmetrically, and pointed deliberately at the next study that a stronger evidence base would enable. The behavioral question that opens this chapter, whether operators discount the orbital future too steeply, is not answered here. What is delivered is a disciplined first measurement of whether the field’s own documentary output carries the fingerprint that answer would require, and an honest account of how far thirty records can and cannot take that measurement</w:t>
      </w:r>
      <w:r>
        <w:t xml:space="preserve"> </w:t>
      </w:r>
      <w:hyperlink w:anchor="ref-6">
        <w:r>
          <w:rPr>
            <w:rStyle w:val="Hyperlink"/>
          </w:rPr>
          <w:t xml:space="preserve">[6]</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A final orienting note concerns the relationship between the two empirical papers and the dissertation that houses them. The papers are not appendices bolted onto a narrative; they are the load-bearing structure, and the chapters exist to frame, interpret, and bound them. Chapter 6 reports their output verbatim, down to the last decimal of each coefficient and p-value, because the design’s credibility rests on the reader being able to see that no number was rounded toward the hypothesis or quietly adjusted. The surrounding chapters earn their place by making those numbers interpretable: Chapter 2 by situating them in the field, Chapter 3 by deriving what they should look like if the mechanism operates, Chapters 4 and 5 by documenting how they were produced, and Chapters 7 and 8 by weighing what they can and cannot support</w:t>
      </w:r>
      <w:r>
        <w:t xml:space="preserve"> </w:t>
      </w:r>
      <w:hyperlink w:anchor="ref-1">
        <w:r>
          <w:rPr>
            <w:rStyle w:val="Hyperlink"/>
          </w:rPr>
          <w:t xml:space="preserve">[1]</w:t>
        </w:r>
      </w:hyperlink>
      <w:r>
        <w:t xml:space="preserve"> </w:t>
      </w:r>
      <w:hyperlink w:anchor="ref-5">
        <w:r>
          <w:rPr>
            <w:rStyle w:val="Hyperlink"/>
          </w:rPr>
          <w:t xml:space="preserve">[5]</w:t>
        </w:r>
      </w:hyperlink>
      <w:r>
        <w:t xml:space="preserve">. Read that way, the dissertation is a single argument with an empirical core, not a survey with a data appendix, and the reader should hold every framing claim accountable to the coefficients that Chapter 6 will print without adornment</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w:t>
      </w:r>
    </w:p>
    <w:bookmarkEnd w:id="67"/>
    <w:bookmarkEnd w:id="68"/>
    <w:bookmarkStart w:id="78" w:name="chapter-2.-literature-review"/>
    <w:p>
      <w:pPr>
        <w:pStyle w:val="Heading1"/>
        <w:spacing w:line="480" w:lineRule="auto"/>
      </w:pPr>
      <w:r>
        <w:t xml:space="preserve">Chapter 2. Literature Review</w:t>
      </w:r>
    </w:p>
    <w:p>
      <w:pPr>
        <w:pStyle w:val="FirstParagraph"/>
        <w:spacing w:line="480" w:lineRule="auto"/>
      </w:pPr>
      <w:r>
        <w:t xml:space="preserve">The literature that bears on this dissertation splits into three streams that rarely speak to one another. One stream is operational and precise: it tells us how to measure collision risk and how to decide whether to act on it. A second stream is architectural and forward looking: it forecasts how the orbital population will grow and how the debris environment will respond. A third stream, thinner than the other two, borrows from economics and institutional theory to ask why operators and states behave as they do when a shared resource is at stake. This chapter reads across all three, because the dissertation’s contribution lives in the seam between them.</w:t>
      </w:r>
    </w:p>
    <w:bookmarkStart w:id="69" w:name="X97614910a9023779c780df9342309aecc158362"/>
    <w:p>
      <w:pPr>
        <w:pStyle w:val="Heading2"/>
        <w:spacing w:line="480" w:lineRule="auto"/>
      </w:pPr>
      <w:r>
        <w:t xml:space="preserve">Measuring the risk: the operational conjunction literature</w:t>
      </w:r>
    </w:p>
    <w:p>
      <w:pPr>
        <w:pStyle w:val="FirstParagraph"/>
        <w:spacing w:line="480" w:lineRule="auto"/>
      </w:pPr>
      <w:r>
        <w:t xml:space="preserve">The operational literature has largely solved the measurement problem, and it is worth being explicit about how thoroughly it has done so, because that maturity is exactly what makes the governance lag puzzling. Frigm and Johnson formalize a total probability of collision that aggregates over a finite conjunction assessment, giving an operator a single management metric rather than a scatter of pairwise probabilities</w:t>
      </w:r>
      <w:r>
        <w:t xml:space="preserve"> </w:t>
      </w:r>
      <w:hyperlink w:anchor="ref-1">
        <w:r>
          <w:rPr>
            <w:rStyle w:val="Hyperlink"/>
          </w:rPr>
          <w:t xml:space="preserve">[1]</w:t>
        </w:r>
      </w:hyperlink>
      <w:r>
        <w:t xml:space="preserve">. That metric matters because it converts a diffuse hazard into a number a mission planner can defend to a program manager. Duncan and Wysack extend the operational side, laying out how a center evaluates a high-risk conjunction and decides on mitigation, including the awkward cases where the probability sits in the ambiguous band that neither clearly warrants nor clearly excuses a maneuver</w:t>
      </w:r>
      <w:r>
        <w:t xml:space="preserve"> </w:t>
      </w:r>
      <w:hyperlink w:anchor="ref-2">
        <w:r>
          <w:rPr>
            <w:rStyle w:val="Hyperlink"/>
          </w:rPr>
          <w:t xml:space="preserve">[2]</w:t>
        </w:r>
      </w:hyperlink>
      <w:r>
        <w:t xml:space="preserve">.</w:t>
      </w:r>
    </w:p>
    <w:p>
      <w:pPr>
        <w:pStyle w:val="BodyText"/>
        <w:spacing w:line="480" w:lineRule="auto"/>
        <w:ind w:firstLine="720"/>
      </w:pPr>
      <w:r>
        <w:t xml:space="preserve">Estimation sits underneath. Here too the field is well developed. Monte Carlo forecasting of collision probability handles the nonlinearity and non-Gaussian geometry that closed-form methods miss, at the cost of computation that operations centers have learned to budget for</w:t>
      </w:r>
      <w:r>
        <w:t xml:space="preserve"> </w:t>
      </w:r>
      <w:hyperlink w:anchor="ref-7">
        <w:r>
          <w:rPr>
            <w:rStyle w:val="Hyperlink"/>
          </w:rPr>
          <w:t xml:space="preserve">[7]</w:t>
        </w:r>
      </w:hyperlink>
      <w:r>
        <w:t xml:space="preserve">. The precision of the input orbital data feeds directly into the quality of the warning, and recent work quantifies how much accuracy and covariance realism change the maneuver decision at the margin</w:t>
      </w:r>
      <w:r>
        <w:t xml:space="preserve"> </w:t>
      </w:r>
      <w:hyperlink w:anchor="ref-14">
        <w:r>
          <w:rPr>
            <w:rStyle w:val="Hyperlink"/>
          </w:rPr>
          <w:t xml:space="preserve">[14]</w:t>
        </w:r>
      </w:hyperlink>
      <w:r>
        <w:t xml:space="preserve">. The lesson across these papers is consistent. The technical community can tell an operator, with defensible uncertainty, how likely a collision is and what a maneuver would buy. What it cannot tell the operator is whether the maneuver is worth its private cost given that the avoided loss is shared and delayed.</w:t>
      </w:r>
    </w:p>
    <w:p>
      <w:pPr>
        <w:pStyle w:val="BodyText"/>
        <w:spacing w:line="480" w:lineRule="auto"/>
        <w:ind w:firstLine="720"/>
      </w:pPr>
      <w:r>
        <w:t xml:space="preserve">Two further operational results sharpen the point. Better information helps. It does not, by itself, change incentives. Sibert and colleagues show that improved space tracking materially reduces unnecessary maneuvers while catching the genuinely dangerous conjunctions earlier, which is to say that better information tightens the decision but does not change its incentive structure</w:t>
      </w:r>
      <w:r>
        <w:t xml:space="preserve"> </w:t>
      </w:r>
      <w:hyperlink w:anchor="ref-5">
        <w:r>
          <w:rPr>
            <w:rStyle w:val="Hyperlink"/>
          </w:rPr>
          <w:t xml:space="preserve">[5]</w:t>
        </w:r>
      </w:hyperlink>
      <w:r>
        <w:t xml:space="preserve">. Moomey and coauthors trend the payload-versus-everything conjunction data-message volume below one thousand kilometers across five years and document the sheer growth in warning traffic that operators now absorb</w:t>
      </w:r>
      <w:r>
        <w:t xml:space="preserve"> </w:t>
      </w:r>
      <w:hyperlink w:anchor="ref-4">
        <w:r>
          <w:rPr>
            <w:rStyle w:val="Hyperlink"/>
          </w:rPr>
          <w:t xml:space="preserve">[4]</w:t>
        </w:r>
      </w:hyperlink>
      <w:r>
        <w:t xml:space="preserve">. More warnings do not mechanically produce more action. An operator drowning in conjunction data messages must still decide which ones to pay for, and that triage is where discounting of the future enters.</w:t>
      </w:r>
    </w:p>
    <w:bookmarkEnd w:id="69"/>
    <w:bookmarkStart w:id="70" w:name="Xb7c23d9727e58366035b0ed3475df4398795812"/>
    <w:p>
      <w:pPr>
        <w:pStyle w:val="Heading2"/>
        <w:spacing w:line="480" w:lineRule="auto"/>
      </w:pPr>
      <w:r>
        <w:t xml:space="preserve">Bridging to institutions: the operations-to-governance gap</w:t>
      </w:r>
    </w:p>
    <w:p>
      <w:pPr>
        <w:pStyle w:val="FirstParagraph"/>
        <w:spacing w:line="480" w:lineRule="auto"/>
      </w:pPr>
      <w:r>
        <w:t xml:space="preserve">A smaller set of papers explicitly notices the gap this dissertation targets. Vincent frames the distance between academic debris-risk research and the operational world as a bridge that has to be paved deliberately, arguing that operational relevance is not a byproduct of good science but a separate design goal</w:t>
      </w:r>
      <w:r>
        <w:t xml:space="preserve"> </w:t>
      </w:r>
      <w:hyperlink w:anchor="ref-3">
        <w:r>
          <w:rPr>
            <w:rStyle w:val="Hyperlink"/>
          </w:rPr>
          <w:t xml:space="preserve">[3]</w:t>
        </w:r>
      </w:hyperlink>
      <w:r>
        <w:t xml:space="preserve">. That framing is congenial to the present project, because it treats the translation problem, from measurement to institutional action, as a first-order concern rather than an afterthought. The fragmentation-identification work of Tetreault and colleagues sits on the technical side of the same bridge: it improves the field’s ability to attribute a debris cloud to a source event, which is a precondition for any regime that would assign responsibility for the shared cost of a breakup</w:t>
      </w:r>
      <w:r>
        <w:t xml:space="preserve"> </w:t>
      </w:r>
      <w:hyperlink w:anchor="ref-6">
        <w:r>
          <w:rPr>
            <w:rStyle w:val="Hyperlink"/>
          </w:rPr>
          <w:t xml:space="preserve">[6]</w:t>
        </w:r>
      </w:hyperlink>
      <w:r>
        <w:t xml:space="preserve">.</w:t>
      </w:r>
    </w:p>
    <w:p>
      <w:pPr>
        <w:pStyle w:val="BodyText"/>
        <w:spacing w:line="480" w:lineRule="auto"/>
        <w:ind w:firstLine="720"/>
      </w:pPr>
      <w:r>
        <w:t xml:space="preserve">The governance-facing systems literature has begun to formalize the coordination problem at the level of the whole traffic environment. Sorge and a large multi-institution team catalog improvements to spacecraft collision avoidance and, in doing so, map where the coordination burden falls and where it is currently unpriced</w:t>
      </w:r>
      <w:r>
        <w:t xml:space="preserve"> </w:t>
      </w:r>
      <w:hyperlink w:anchor="ref-11">
        <w:r>
          <w:rPr>
            <w:rStyle w:val="Hyperlink"/>
          </w:rPr>
          <w:t xml:space="preserve">[11]</w:t>
        </w:r>
      </w:hyperlink>
      <w:r>
        <w:t xml:space="preserve">. That work is the closest the operational community comes to institutional design, and it is instructive precisely because it stops short of the incentive analysis. It describes what better coordination would look like without modeling why a self-interested operator would pay for it.</w:t>
      </w:r>
    </w:p>
    <w:bookmarkEnd w:id="70"/>
    <w:bookmarkStart w:id="71" w:name="Xa8ec707c8c0dd6115c6ab7faa8de83ab2b72911"/>
    <w:p>
      <w:pPr>
        <w:pStyle w:val="Heading2"/>
        <w:spacing w:line="480" w:lineRule="auto"/>
      </w:pPr>
      <w:r>
        <w:t xml:space="preserve">The growth of the hazard: constellations, debris, and removal</w:t>
      </w:r>
    </w:p>
    <w:p>
      <w:pPr>
        <w:pStyle w:val="FirstParagraph"/>
        <w:spacing w:line="480" w:lineRule="auto"/>
      </w:pPr>
      <w:r>
        <w:t xml:space="preserve">The second stream looks forward. It forecasts the environment that governance will have to manage. Retagne and Colombo tie satellite launch traffic to global gross domestic product and published constellation plans, producing a forecast in which the orbital population tracks an economic driver rather than any deliberate ceiling</w:t>
      </w:r>
      <w:r>
        <w:t xml:space="preserve"> </w:t>
      </w:r>
      <w:hyperlink w:anchor="ref-8">
        <w:r>
          <w:rPr>
            <w:rStyle w:val="Hyperlink"/>
          </w:rPr>
          <w:t xml:space="preserve">[8]</w:t>
        </w:r>
      </w:hyperlink>
      <w:r>
        <w:t xml:space="preserve">. That result matters for the discounting argument, because a population that grows with the economy will keep pushing the conjunction rate upward regardless of whether any individual operator internalizes the shared cost. Anderson, Cardin, and Grogan approach the same growth from the design side, using staged deployment under demand uncertainty to show how a constellation operator rationally hedges its own commitment, which is a private optimization that says nothing about the aggregate debris externality</w:t>
      </w:r>
      <w:r>
        <w:t xml:space="preserve"> </w:t>
      </w:r>
      <w:hyperlink w:anchor="ref-9">
        <w:r>
          <w:rPr>
            <w:rStyle w:val="Hyperlink"/>
          </w:rPr>
          <w:t xml:space="preserve">[9]</w:t>
        </w:r>
      </w:hyperlink>
      <w:r>
        <w:t xml:space="preserve">.</w:t>
      </w:r>
    </w:p>
    <w:p>
      <w:pPr>
        <w:pStyle w:val="BodyText"/>
        <w:spacing w:line="480" w:lineRule="auto"/>
        <w:ind w:firstLine="720"/>
      </w:pPr>
      <w:r>
        <w:t xml:space="preserve">On the mitigation side, the active-debris-removal literature has matured from feasibility studies to policy-informing optimization. Simha and colleagues plan removal missions explicitly to inform policy decisions, optimizing which objects to retrieve to reduce future collision risk most efficiently</w:t>
      </w:r>
      <w:r>
        <w:t xml:space="preserve"> </w:t>
      </w:r>
      <w:hyperlink w:anchor="ref-10">
        <w:r>
          <w:rPr>
            <w:rStyle w:val="Hyperlink"/>
          </w:rPr>
          <w:t xml:space="preserve">[10]</w:t>
        </w:r>
      </w:hyperlink>
      <w:r>
        <w:t xml:space="preserve">. Their framing is telling: removal is expensive and its benefits are shared and delayed, which is the textbook shape of a problem that a present-biased actor will underinvest in. The comprehensive geosynchronous collision-likelihood assessment of Oltrogge and coauthors extends the risk picture to the GEO belt, where the objects are fewer but the consequences of a breakup persist even longer and the incentive to defer is correspondingly stronger</w:t>
      </w:r>
      <w:r>
        <w:t xml:space="preserve"> </w:t>
      </w:r>
      <w:hyperlink w:anchor="ref-13">
        <w:r>
          <w:rPr>
            <w:rStyle w:val="Hyperlink"/>
          </w:rPr>
          <w:t xml:space="preserve">[13]</w:t>
        </w:r>
      </w:hyperlink>
      <w:r>
        <w:t xml:space="preserve">. Sensor and estimation advances continue on their own track, from vision-based debris trajectory estimation to messaging-service constellation architecture, each expanding what the field can observe without resolving why observation translates unevenly into action</w:t>
      </w:r>
      <w:r>
        <w:t xml:space="preserve"> </w:t>
      </w:r>
      <w:hyperlink w:anchor="ref-12">
        <w:r>
          <w:rPr>
            <w:rStyle w:val="Hyperlink"/>
          </w:rPr>
          <w:t xml:space="preserve">[12]</w:t>
        </w:r>
      </w:hyperlink>
      <w:r>
        <w:t xml:space="preserve"> </w:t>
      </w:r>
      <w:hyperlink w:anchor="ref-15">
        <w:r>
          <w:rPr>
            <w:rStyle w:val="Hyperlink"/>
          </w:rPr>
          <w:t xml:space="preserve">[15]</w:t>
        </w:r>
      </w:hyperlink>
      <w:r>
        <w:t xml:space="preserve">.</w:t>
      </w:r>
    </w:p>
    <w:bookmarkEnd w:id="71"/>
    <w:bookmarkStart w:id="72" w:name="Xc993df0b182db1e63241b3c19574ad5d611d2e3"/>
    <w:p>
      <w:pPr>
        <w:pStyle w:val="Heading2"/>
        <w:spacing w:line="480" w:lineRule="auto"/>
      </w:pPr>
      <w:r>
        <w:t xml:space="preserve">Behavior and the commons: the thin third stream</w:t>
      </w:r>
    </w:p>
    <w:p>
      <w:pPr>
        <w:pStyle w:val="FirstParagraph"/>
        <w:spacing w:line="480" w:lineRule="auto"/>
      </w:pPr>
      <w:r>
        <w:t xml:space="preserve">The third stream is the smallest. This dissertation extends it. Working analyses that frame orbit as a common-pool resource draw on Ostrom’s design principles and on the fisheries analogy to argue that orbital carrying capacity behaves like any shared stock that rational users will overexploit absent coordination. Complementary working analyses apply behavioral economics directly, invoking the discounting and framing results associated with Kahneman to explain why operators and states default to near-term reasoning even when the long-term hazard is well understood. Those analyses supply the mechanism this dissertation tests, and they are represented in the source corpus as the venue-family-three records that anchor one end of the ordinal venue scale.</w:t>
      </w:r>
    </w:p>
    <w:p>
      <w:pPr>
        <w:pStyle w:val="BodyText"/>
        <w:spacing w:line="480" w:lineRule="auto"/>
        <w:ind w:firstLine="720"/>
      </w:pPr>
      <w:r>
        <w:t xml:space="preserve">What the thin third stream lacks is an empirical link back to the operational and forecasting streams. It asserts that present bias operates on orbit; it does not show a documentary fingerprint of that bias in the field’s own output. The gap is therefore not a lack of concepts but a lack of measurement. The operational stream measures risk without incentives, the forecasting stream measures growth without behavior, and the behavioral stream theorizes behavior without a documentary test. This dissertation does not resolve that division. It builds one narrow, auditable bridge across it, by asking whether the intensity of the candidate theme, its recency, and its venue placement carry structure that a behavioral account would predict</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72"/>
    <w:bookmarkStart w:id="73" w:name="Xb20f7a14547eba4d7510e0adadc1d872d061c31"/>
    <w:p>
      <w:pPr>
        <w:pStyle w:val="Heading2"/>
        <w:spacing w:line="480" w:lineRule="auto"/>
      </w:pPr>
      <w:r>
        <w:t xml:space="preserve">The debris feedback and the horizon problem</w:t>
      </w:r>
    </w:p>
    <w:p>
      <w:pPr>
        <w:pStyle w:val="FirstParagraph"/>
        <w:spacing w:line="480" w:lineRule="auto"/>
      </w:pPr>
      <w:r>
        <w:t xml:space="preserve">One feature of the orbital environment sharpens the discounting argument more than any other, and the literature documents it thoroughly: the debris population feeds back on itself. A collision or a fragmentation does not merely destroy an asset; it seeds a cloud of debris that persists for years to decades and that itself raises the probability of further collisions</w:t>
      </w:r>
      <w:r>
        <w:t xml:space="preserve"> </w:t>
      </w:r>
      <w:hyperlink w:anchor="ref-6">
        <w:r>
          <w:rPr>
            <w:rStyle w:val="Hyperlink"/>
          </w:rPr>
          <w:t xml:space="preserve">[6]</w:t>
        </w:r>
      </w:hyperlink>
      <w:r>
        <w:t xml:space="preserve">. Tetreault and colleagues improve the field’s ability to identify and attribute fragmentation events, which is the observational precondition for tracking that feedback</w:t>
      </w:r>
      <w:r>
        <w:t xml:space="preserve"> </w:t>
      </w:r>
      <w:hyperlink w:anchor="ref-6">
        <w:r>
          <w:rPr>
            <w:rStyle w:val="Hyperlink"/>
          </w:rPr>
          <w:t xml:space="preserve">[6]</w:t>
        </w:r>
      </w:hyperlink>
      <w:r>
        <w:t xml:space="preserve">. Oltrogge and coauthors extend the collision-likelihood picture to the geosynchronous belt, where orbital lifetimes are effectively permanent on any policy-relevant horizon, so that the delayed cost an operator underweights is not merely delayed but close to irreversible</w:t>
      </w:r>
      <w:r>
        <w:t xml:space="preserve"> </w:t>
      </w:r>
      <w:hyperlink w:anchor="ref-13">
        <w:r>
          <w:rPr>
            <w:rStyle w:val="Hyperlink"/>
          </w:rPr>
          <w:t xml:space="preserve">[13]</w:t>
        </w:r>
      </w:hyperlink>
      <w:r>
        <w:t xml:space="preserve">.</w:t>
      </w:r>
    </w:p>
    <w:p>
      <w:pPr>
        <w:pStyle w:val="BodyText"/>
        <w:spacing w:line="480" w:lineRule="auto"/>
        <w:ind w:firstLine="720"/>
      </w:pPr>
      <w:r>
        <w:t xml:space="preserve">That feedback is what turns a garden-variety intertemporal-choice problem into a governance emergency. When the future cost is both shared and self-amplifying, steep discounting does not just underprovide a benefit; it lets a reversible situation drift toward an irreversible one. The active-debris-removal literature responds to exactly this shape, planning removals to arrest the feedback before it compounds, and it optimizes those removals with policy consequences explicitly in view</w:t>
      </w:r>
      <w:r>
        <w:t xml:space="preserve"> </w:t>
      </w:r>
      <w:hyperlink w:anchor="ref-10">
        <w:r>
          <w:rPr>
            <w:rStyle w:val="Hyperlink"/>
          </w:rPr>
          <w:t xml:space="preserve">[10]</w:t>
        </w:r>
      </w:hyperlink>
      <w:r>
        <w:t xml:space="preserve">. Simha and colleagues frame removal as a decision whose payoff is realized over the long horizon that a present-biased actor discounts most heavily, which is why removal has proven so hard to finance despite being technically mature</w:t>
      </w:r>
      <w:r>
        <w:t xml:space="preserve"> </w:t>
      </w:r>
      <w:hyperlink w:anchor="ref-10">
        <w:r>
          <w:rPr>
            <w:rStyle w:val="Hyperlink"/>
          </w:rPr>
          <w:t xml:space="preserve">[10]</w:t>
        </w:r>
      </w:hyperlink>
      <w:r>
        <w:t xml:space="preserve">. The horizon problem, in short, is not incidental to the dissertation’s question; it is what makes the question urgent, and the literature that documents the feedback is what licenses treating discounting as more than an academic curiosity</w:t>
      </w:r>
      <w:r>
        <w:t xml:space="preserve"> </w:t>
      </w:r>
      <w:hyperlink w:anchor="ref-8">
        <w:r>
          <w:rPr>
            <w:rStyle w:val="Hyperlink"/>
          </w:rPr>
          <w:t xml:space="preserve">[8]</w:t>
        </w:r>
      </w:hyperlink>
      <w:r>
        <w:t xml:space="preserve">.</w:t>
      </w:r>
    </w:p>
    <w:bookmarkEnd w:id="73"/>
    <w:bookmarkStart w:id="74" w:name="X7be87ca34be155f7ec4131d37aaa70563bae5d5"/>
    <w:p>
      <w:pPr>
        <w:pStyle w:val="Heading2"/>
        <w:spacing w:line="480" w:lineRule="auto"/>
      </w:pPr>
      <w:r>
        <w:t xml:space="preserve">Method precedents: what the two estimators borrow</w:t>
      </w:r>
    </w:p>
    <w:p>
      <w:pPr>
        <w:pStyle w:val="FirstParagraph"/>
        <w:spacing w:line="480" w:lineRule="auto"/>
      </w:pPr>
      <w:r>
        <w:t xml:space="preserve">The estimators are not novel. Their precedents sit inside the same literature. The learning-curve form of Paper 2 descends from the progress-ratio tradition, in which a logged slope translates directly into a doubling factor, and the tradition is congenial to bibliometric work because citation accumulation, like production cost, is a quantity that grows or decays multiplicatively with a time base. The operational forecasting literature already reasons in this register. Monte Carlo probability forecasting treats collision likelihood as a distribution to be sampled rather than a point to be computed, and its comfort with logged, multiplicative reasoning is the same comfort the learning-curve model relies on</w:t>
      </w:r>
      <w:r>
        <w:t xml:space="preserve"> </w:t>
      </w:r>
      <w:hyperlink w:anchor="ref-7">
        <w:r>
          <w:rPr>
            <w:rStyle w:val="Hyperlink"/>
          </w:rPr>
          <w:t xml:space="preserve">[7]</w:t>
        </w:r>
      </w:hyperlink>
      <w:r>
        <w:t xml:space="preserve">. Retagne and Colombo’s GDP-linked launch forecast is likewise a model of a quantity that scales with a driver, and it legitimizes reading citation accumulation as a scaling relationship rather than a linear trend</w:t>
      </w:r>
      <w:r>
        <w:t xml:space="preserve"> </w:t>
      </w:r>
      <w:hyperlink w:anchor="ref-8">
        <w:r>
          <w:rPr>
            <w:rStyle w:val="Hyperlink"/>
          </w:rPr>
          <w:t xml:space="preserve">[8]</w:t>
        </w:r>
      </w:hyperlink>
      <w:r>
        <w:t xml:space="preserve">.</w:t>
      </w:r>
    </w:p>
    <w:p>
      <w:pPr>
        <w:pStyle w:val="BodyText"/>
        <w:spacing w:line="480" w:lineRule="auto"/>
        <w:ind w:firstLine="720"/>
      </w:pPr>
      <w:r>
        <w:t xml:space="preserve">The ordinary least squares design of Paper 1 has an even longer pedigree, and the relevant question is not whether the estimator is sound but whether its assumptions survive a thirty-record corpus with correlated predictors. The operational literature offers a useful discipline here. Sibert and colleagues, in quantifying how tracking accuracy changes maneuver rates, are careful to distinguish an association that holds across their sample from a causal effect that would require a controlled comparison, and that same care governs how Paper 1 reads its venue coefficient</w:t>
      </w:r>
      <w:r>
        <w:t xml:space="preserve"> </w:t>
      </w:r>
      <w:hyperlink w:anchor="ref-5">
        <w:r>
          <w:rPr>
            <w:rStyle w:val="Hyperlink"/>
          </w:rPr>
          <w:t xml:space="preserve">[5]</w:t>
        </w:r>
      </w:hyperlink>
      <w:r>
        <w:t xml:space="preserve">. Dolado-Perez and coauthors, working on orbital data precision, model the propagation of measurement error into decision-relevant quantities, which is a direct analog to how the topic-signal score’s crudeness propagates into the fit of Paper 1</w:t>
      </w:r>
      <w:r>
        <w:t xml:space="preserve"> </w:t>
      </w:r>
      <w:hyperlink w:anchor="ref-14">
        <w:r>
          <w:rPr>
            <w:rStyle w:val="Hyperlink"/>
          </w:rPr>
          <w:t xml:space="preserve">[14]</w:t>
        </w:r>
      </w:hyperlink>
      <w:r>
        <w:t xml:space="preserve">. The dissertation borrows not just the estimators but the interpretive restraint these operational papers model.</w:t>
      </w:r>
    </w:p>
    <w:bookmarkEnd w:id="74"/>
    <w:bookmarkStart w:id="75" w:name="what-the-literature-does-not-settle"/>
    <w:p>
      <w:pPr>
        <w:pStyle w:val="Heading2"/>
        <w:spacing w:line="480" w:lineRule="auto"/>
      </w:pPr>
      <w:r>
        <w:t xml:space="preserve">What the literature does not settle</w:t>
      </w:r>
    </w:p>
    <w:p>
      <w:pPr>
        <w:pStyle w:val="FirstParagraph"/>
        <w:spacing w:line="480" w:lineRule="auto"/>
      </w:pPr>
      <w:r>
        <w:t xml:space="preserve">Reading across the three streams also clarifies what remains genuinely open, and the open questions are what license the dissertation’s narrow contribution. The operational literature does not settle why well-measured risk translates unevenly into action; it measures the risk and stops</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forecasting literature does not settle whether the growth it projects will be met by coordination or by attrition; it projects the trajectory and leaves the institutional response unmodeled</w:t>
      </w:r>
      <w:r>
        <w:t xml:space="preserve"> </w:t>
      </w:r>
      <w:hyperlink w:anchor="ref-8">
        <w:r>
          <w:rPr>
            <w:rStyle w:val="Hyperlink"/>
          </w:rPr>
          <w:t xml:space="preserve">[8]</w:t>
        </w:r>
      </w:hyperlink>
      <w:r>
        <w:t xml:space="preserve"> </w:t>
      </w:r>
      <w:hyperlink w:anchor="ref-9">
        <w:r>
          <w:rPr>
            <w:rStyle w:val="Hyperlink"/>
          </w:rPr>
          <w:t xml:space="preserve">[9]</w:t>
        </w:r>
      </w:hyperlink>
      <w:r>
        <w:t xml:space="preserve">. The removal literature does not settle who pays for a shared benefit; it optimizes the engineering of removal and hands the financing question to policy</w:t>
      </w:r>
      <w:r>
        <w:t xml:space="preserve"> </w:t>
      </w:r>
      <w:hyperlink w:anchor="ref-10">
        <w:r>
          <w:rPr>
            <w:rStyle w:val="Hyperlink"/>
          </w:rPr>
          <w:t xml:space="preserve">[10]</w:t>
        </w:r>
      </w:hyperlink>
      <w:r>
        <w:t xml:space="preserve">. And the behavioral working analyses do not settle whether their mechanism is visible in evidence; they assert it from theory and analogy.</w:t>
      </w:r>
    </w:p>
    <w:p>
      <w:pPr>
        <w:pStyle w:val="BodyText"/>
        <w:spacing w:line="480" w:lineRule="auto"/>
        <w:ind w:firstLine="720"/>
      </w:pPr>
      <w:r>
        <w:t xml:space="preserve">That last gap is the one this dissertation can actually touch. It cannot resolve the incentive question, model the growth response, or finance debris removal. What it can do is test whether the mechanism the behavioral stream asserts leaves a measurable trace in the field’s documentary output, and report that test with its uncertainty attached. The geosynchronous assessment of Oltrogge and colleagues is a reminder of why even a small test is worth running: in the GEO belt the consequences of inaction persist across decades, so a field that reasons in a present-biased way will underinvest exactly where the future cost is largest</w:t>
      </w:r>
      <w:r>
        <w:t xml:space="preserve"> </w:t>
      </w:r>
      <w:hyperlink w:anchor="ref-13">
        <w:r>
          <w:rPr>
            <w:rStyle w:val="Hyperlink"/>
          </w:rPr>
          <w:t xml:space="preserve">[13]</w:t>
        </w:r>
      </w:hyperlink>
      <w:r>
        <w:t xml:space="preserve">. Sensor-fusion and messaging-architecture advances keep expanding what the field can observe, but observation has never been the constraint; the constraint is the translation from observation to institution, and that is where the documentary fingerprint, if it exists, should appear</w:t>
      </w:r>
      <w:r>
        <w:t xml:space="preserve"> </w:t>
      </w:r>
      <w:hyperlink w:anchor="ref-12">
        <w:r>
          <w:rPr>
            <w:rStyle w:val="Hyperlink"/>
          </w:rPr>
          <w:t xml:space="preserve">[12]</w:t>
        </w:r>
      </w:hyperlink>
      <w:r>
        <w:t xml:space="preserve"> </w:t>
      </w:r>
      <w:hyperlink w:anchor="ref-15">
        <w:r>
          <w:rPr>
            <w:rStyle w:val="Hyperlink"/>
          </w:rPr>
          <w:t xml:space="preserve">[15]</w:t>
        </w:r>
      </w:hyperlink>
      <w:r>
        <w:t xml:space="preserve">.</w:t>
      </w:r>
    </w:p>
    <w:bookmarkEnd w:id="75"/>
    <w:bookmarkStart w:id="76" w:name="X04029f0dfdd4420c71fd791d5c94236e3f18ecb"/>
    <w:p>
      <w:pPr>
        <w:pStyle w:val="Heading2"/>
        <w:spacing w:line="480" w:lineRule="auto"/>
      </w:pPr>
      <w:r>
        <w:t xml:space="preserve">The measurement stream and the proxies it justifies</w:t>
      </w:r>
    </w:p>
    <w:p>
      <w:pPr>
        <w:pStyle w:val="FirstParagraph"/>
        <w:spacing w:line="480" w:lineRule="auto"/>
      </w:pPr>
      <w:r>
        <w:t xml:space="preserve">A last thread connects the operational literature to the dissertation’s own measurement choices. The proxies are crude. Publication recency, citation count, and venue family are all imperfect, and the operational literature’s own treatment of proxy quality is instructive about how to handle them. Dolado-Perez and colleagues show how improving the precision and accuracy of orbital data changes the downstream decision, which is a direct lesson that a noisy input propagates into a noisy output and must be read accordingly</w:t>
      </w:r>
      <w:r>
        <w:t xml:space="preserve"> </w:t>
      </w:r>
      <w:hyperlink w:anchor="ref-14">
        <w:r>
          <w:rPr>
            <w:rStyle w:val="Hyperlink"/>
          </w:rPr>
          <w:t xml:space="preserve">[14]</w:t>
        </w:r>
      </w:hyperlink>
      <w:r>
        <w:t xml:space="preserve">. The dissertation applies the same logic to its documentary proxies: a lexical signal score is a noisy proxy for substantive engagement, a local citation count is a noisy proxy for influence, and an ordinal venue code is a coarse proxy for knowledge-production mode. The operational literature’s habit of quantifying how input quality bounds output confidence is exactly the habit the dissertation carries into its interpretation of its own coefficients</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Sorge and coauthors’ catalog of collision-avoidance improvements is the closest analog in the literature to what this study attempts at the documentary level</w:t>
      </w:r>
      <w:r>
        <w:t xml:space="preserve"> </w:t>
      </w:r>
      <w:hyperlink w:anchor="ref-11">
        <w:r>
          <w:rPr>
            <w:rStyle w:val="Hyperlink"/>
          </w:rPr>
          <w:t xml:space="preserve">[11]</w:t>
        </w:r>
      </w:hyperlink>
      <w:r>
        <w:t xml:space="preserve">. They map where coordination effort is spent and where it is missing across the traffic environment, and they do so without claiming to resolve the incentive question that determines whether the missing effort will materialize. The dissertation occupies the same posture one level up: it maps where the coordination theme is concentrated in the field’s output, and it stops short of claiming to explain why. That shared restraint, mapping the structure without over-claiming the cause, is what makes the operational literature a fitting foundation for a documentary screen rather than a rival to it</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76"/>
    <w:bookmarkStart w:id="77" w:name="positioning-the-contribution"/>
    <w:p>
      <w:pPr>
        <w:pStyle w:val="Heading2"/>
        <w:spacing w:line="480" w:lineRule="auto"/>
      </w:pPr>
      <w:r>
        <w:t xml:space="preserve">Positioning the contribution</w:t>
      </w:r>
    </w:p>
    <w:p>
      <w:pPr>
        <w:pStyle w:val="FirstParagraph"/>
        <w:spacing w:line="480" w:lineRule="auto"/>
      </w:pPr>
      <w:r>
        <w:t xml:space="preserve">Read as a whole, the three streams justify a bounded empirical move rather than a grand synthesis. The operational papers establish that risk measurement is not the binding constraint</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5">
        <w:r>
          <w:rPr>
            <w:rStyle w:val="Hyperlink"/>
          </w:rPr>
          <w:t xml:space="preserve">[5]</w:t>
        </w:r>
      </w:hyperlink>
      <w:r>
        <w:t xml:space="preserve"> </w:t>
      </w:r>
      <w:hyperlink w:anchor="ref-7">
        <w:r>
          <w:rPr>
            <w:rStyle w:val="Hyperlink"/>
          </w:rPr>
          <w:t xml:space="preserve">[7]</w:t>
        </w:r>
      </w:hyperlink>
      <w:r>
        <w:t xml:space="preserve">. The forecasting and removal papers establish that the hazard is growing and that its mitigation has the shared-and-delayed cost structure that invites underinvestment</w:t>
      </w:r>
      <w:r>
        <w:t xml:space="preserve"> </w:t>
      </w:r>
      <w:hyperlink w:anchor="ref-8">
        <w:r>
          <w:rPr>
            <w:rStyle w:val="Hyperlink"/>
          </w:rPr>
          <w:t xml:space="preserve">[8]</w:t>
        </w:r>
      </w:hyperlink>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13">
        <w:r>
          <w:rPr>
            <w:rStyle w:val="Hyperlink"/>
          </w:rPr>
          <w:t xml:space="preserve">[13]</w:t>
        </w:r>
      </w:hyperlink>
      <w:r>
        <w:t xml:space="preserve">. The behavioral working analyses supply the mechanism but not the test. The dissertation’s place is to take the mechanism seriously enough to look for it in the corpus, while being disciplined enough to report that a thirty-record documentary screen can only ever be a first indication of what a fuller, document-coded study would need to confirm</w:t>
      </w:r>
      <w:r>
        <w:t xml:space="preserve"> </w:t>
      </w:r>
      <w:hyperlink w:anchor="ref-11">
        <w:r>
          <w:rPr>
            <w:rStyle w:val="Hyperlink"/>
          </w:rPr>
          <w:t xml:space="preserve">[11]</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Read across all three streams, one absence is conspicuous, and it is the absence this dissertation is built around. Nowhere in the operational, forecasting, or behavioral literature is there an empirical link between the field’s documentary structure and the behavioral disposition the third stream asserts. The operational papers measure risk, the forecasting papers project growth, the behavioral papers theorize discounting, and none tests whether the theorized discounting is visible in the documentary record the field itself produces</w:t>
      </w:r>
      <w:r>
        <w:t xml:space="preserve"> </w:t>
      </w:r>
      <w:hyperlink w:anchor="ref-1">
        <w:r>
          <w:rPr>
            <w:rStyle w:val="Hyperlink"/>
          </w:rPr>
          <w:t xml:space="preserve">[1]</w:t>
        </w:r>
      </w:hyperlink>
      <w:r>
        <w:t xml:space="preserve"> </w:t>
      </w:r>
      <w:hyperlink w:anchor="ref-8">
        <w:r>
          <w:rPr>
            <w:rStyle w:val="Hyperlink"/>
          </w:rPr>
          <w:t xml:space="preserve">[8]</w:t>
        </w:r>
      </w:hyperlink>
      <w:r>
        <w:t xml:space="preserve">. That untested link is a small, specific, and reachable target. The dissertation does not claim it is the most important question in space governance; it claims only that it is a question the available evidence can actually address, which is a rarer property than importance and the one a design-stage inquiry should prize</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literature also sets the standard the dissertation’s interpretation must meet. When Sibert and colleagues report that improved tracking reduces unnecessary maneuvers, they attach the finding to a defined sample and resist projecting it to a universal claim</w:t>
      </w:r>
      <w:r>
        <w:t xml:space="preserve"> </w:t>
      </w:r>
      <w:hyperlink w:anchor="ref-5">
        <w:r>
          <w:rPr>
            <w:rStyle w:val="Hyperlink"/>
          </w:rPr>
          <w:t xml:space="preserve">[5]</w:t>
        </w:r>
      </w:hyperlink>
      <w:r>
        <w:t xml:space="preserve">. When Retagne and Colombo forecast launch traffic from an economic driver, they state the conditions under which the forecast holds</w:t>
      </w:r>
      <w:r>
        <w:t xml:space="preserve"> </w:t>
      </w:r>
      <w:hyperlink w:anchor="ref-8">
        <w:r>
          <w:rPr>
            <w:rStyle w:val="Hyperlink"/>
          </w:rPr>
          <w:t xml:space="preserve">[8]</w:t>
        </w:r>
      </w:hyperlink>
      <w:r>
        <w:t xml:space="preserve">. That habit of bounding a result to its evidence is the habit the dissertation adopts wholesale, and it is why the chapters that follow read their coefficients as conditional statements about a retrieved corpus rather than as verdicts about the field entire</w:t>
      </w:r>
      <w:r>
        <w:t xml:space="preserve"> </w:t>
      </w:r>
      <w:hyperlink w:anchor="ref-1">
        <w:r>
          <w:rPr>
            <w:rStyle w:val="Hyperlink"/>
          </w:rPr>
          <w:t xml:space="preserve">[1]</w:t>
        </w:r>
      </w:hyperlink>
      <w:r>
        <w:t xml:space="preserve"> </w:t>
      </w:r>
      <w:hyperlink w:anchor="ref-14">
        <w:r>
          <w:rPr>
            <w:rStyle w:val="Hyperlink"/>
          </w:rPr>
          <w:t xml:space="preserve">[14]</w:t>
        </w:r>
      </w:hyperlink>
      <w:r>
        <w:t xml:space="preserve">.</w:t>
      </w:r>
    </w:p>
    <w:bookmarkEnd w:id="77"/>
    <w:bookmarkEnd w:id="78"/>
    <w:bookmarkStart w:id="90" w:name="Xcfcc00a3ded59aed0c781c16bfc121f2a509603"/>
    <w:p>
      <w:pPr>
        <w:pStyle w:val="Heading1"/>
        <w:spacing w:line="480" w:lineRule="auto"/>
      </w:pPr>
      <w:r>
        <w:t xml:space="preserve">Chapter 3. Theoretical Framework and Hypotheses</w:t>
      </w:r>
    </w:p>
    <w:p>
      <w:pPr>
        <w:pStyle w:val="FirstParagraph"/>
        <w:spacing w:line="480" w:lineRule="auto"/>
      </w:pPr>
      <w:r>
        <w:t xml:space="preserve">This chapter states the mechanism and turns it into predictions that a documentary corpus can test. The mechanism is present bias. The prediction is that a field shaped by present bias will leave a particular fingerprint in the timing, attention, and venue placement of its own literature. Neither the mechanism nor the prediction is exotic. The discipline of the chapter lies in refusing to claim more than a thirty-record screen can deliver, and in specifying in advance what pattern would count as evidence for the hypothesis and what pattern would count against it.</w:t>
      </w:r>
    </w:p>
    <w:bookmarkStart w:id="79" w:name="Xbf628422b2c6070383097c0f40d3f86dbbe78e9"/>
    <w:p>
      <w:pPr>
        <w:pStyle w:val="Heading2"/>
        <w:spacing w:line="480" w:lineRule="auto"/>
      </w:pPr>
      <w:r>
        <w:t xml:space="preserve">The mechanism: steep discounting of a shared future loss</w:t>
      </w:r>
    </w:p>
    <w:p>
      <w:pPr>
        <w:pStyle w:val="FirstParagraph"/>
        <w:spacing w:line="480" w:lineRule="auto"/>
      </w:pPr>
      <w:r>
        <w:t xml:space="preserve">Present bias, in the behavioral tradition, describes a decision maker who applies a disproportionately heavy discount to costs and benefits that arrive later than the present moment. The near term is weighted as if it were more real than the distant term, and the distortion is not a rounding error but a structural feature of how people and organizations actually choose. Applied to orbit, the mechanism has a clean shape. An operator facing a conjunction warning must pay a maneuver cost now, in propellant, in mission life, in operational disruption, to avoid a collision whose probability is real but distributed across a future horizon</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benefit of maneuvering is not merely delayed; it is also shared. A collision avoided protects not only the operator’s own asset but every other object that the resulting debris cloud would have threatened</w:t>
      </w:r>
      <w:r>
        <w:t xml:space="preserve"> </w:t>
      </w:r>
      <w:hyperlink w:anchor="ref-6">
        <w:r>
          <w:rPr>
            <w:rStyle w:val="Hyperlink"/>
          </w:rPr>
          <w:t xml:space="preserve">[6]</w:t>
        </w:r>
      </w:hyperlink>
      <w:r>
        <w:t xml:space="preserve">.</w:t>
      </w:r>
    </w:p>
    <w:p>
      <w:pPr>
        <w:pStyle w:val="BodyText"/>
        <w:spacing w:line="480" w:lineRule="auto"/>
        <w:ind w:firstLine="720"/>
      </w:pPr>
      <w:r>
        <w:t xml:space="preserve">Two features of the payoff structure interact to make orbit a hard case. The loss is delayed, which activates present bias in the ordinary way. The loss is also common, which means that even a perfectly patient operator captures only a fraction of the benefit its maneuver produces. Orbit therefore combines an intertemporal distortion with a commons distortion, and the two reinforce each other. The behavioral working analyses in the source corpus make exactly this argument, drawing on discounting and framing results to explain default near-term reasoning, and pairing them with common-pool-resource principles to explain why the shared benefit is underprovided. The mechanism this dissertation tests is the joint operation of those two distortions.</w:t>
      </w:r>
    </w:p>
    <w:bookmarkEnd w:id="79"/>
    <w:bookmarkStart w:id="80" w:name="Xc00884ace9a7f97e840fc777ac0d3104c657597"/>
    <w:p>
      <w:pPr>
        <w:pStyle w:val="Heading2"/>
        <w:spacing w:line="480" w:lineRule="auto"/>
      </w:pPr>
      <w:r>
        <w:t xml:space="preserve">From mechanism to documentary fingerprint</w:t>
      </w:r>
    </w:p>
    <w:p>
      <w:pPr>
        <w:pStyle w:val="FirstParagraph"/>
        <w:spacing w:line="480" w:lineRule="auto"/>
      </w:pPr>
      <w:r>
        <w:t xml:space="preserve">A behavioral mechanism operating inside a technical community should shape what that community writes down, when it writes it, and where it publishes it. The reasoning proceeds in three steps.</w:t>
      </w:r>
    </w:p>
    <w:p>
      <w:pPr>
        <w:pStyle w:val="BodyText"/>
        <w:spacing w:line="480" w:lineRule="auto"/>
        <w:ind w:firstLine="720"/>
      </w:pPr>
      <w:r>
        <w:t xml:space="preserve">First, timing. If the field is only lately organizing its attention around the coordination problem, the candidate theme should appear more intensely in recent records than in older ones. A present-biased field attends to a problem when it becomes salient, and salience for orbital coordination has risen as constellation deployment has accelerated</w:t>
      </w:r>
      <w:r>
        <w:t xml:space="preserve"> </w:t>
      </w:r>
      <w:hyperlink w:anchor="ref-8">
        <w:r>
          <w:rPr>
            <w:rStyle w:val="Hyperlink"/>
          </w:rPr>
          <w:t xml:space="preserve">[8]</w:t>
        </w:r>
      </w:hyperlink>
      <w:r>
        <w:t xml:space="preserve"> </w:t>
      </w:r>
      <w:hyperlink w:anchor="ref-9">
        <w:r>
          <w:rPr>
            <w:rStyle w:val="Hyperlink"/>
          </w:rPr>
          <w:t xml:space="preserve">[9]</w:t>
        </w:r>
      </w:hyperlink>
      <w:r>
        <w:t xml:space="preserve">. The recency index operationalizes this step: it measures how recent a record is relative to the earliest record in the corpus, and the timing prediction is that topic-signal intensity rises with recency.</w:t>
      </w:r>
    </w:p>
    <w:p>
      <w:pPr>
        <w:pStyle w:val="BodyText"/>
        <w:spacing w:line="480" w:lineRule="auto"/>
        <w:ind w:firstLine="720"/>
      </w:pPr>
      <w:r>
        <w:t xml:space="preserve">Second, attention. Citation counts proxy for the weight the field assigns to a record. If the coordination theme draws disproportionate attention, records that carry it strongly should also carry more citations. This is the weakest of the three links, because citation counts in a specialized corpus are dominated by venue norms and indexing coverage rather than by intrinsic thematic pull, and the dissertation flags that weakness before testing it</w:t>
      </w:r>
      <w:r>
        <w:t xml:space="preserve"> </w:t>
      </w:r>
      <w:hyperlink w:anchor="ref-13">
        <w:r>
          <w:rPr>
            <w:rStyle w:val="Hyperlink"/>
          </w:rPr>
          <w:t xml:space="preserve">[13]</w:t>
        </w:r>
      </w:hyperlink>
      <w:r>
        <w:t xml:space="preserve">.</w:t>
      </w:r>
    </w:p>
    <w:p>
      <w:pPr>
        <w:pStyle w:val="BodyText"/>
        <w:spacing w:line="480" w:lineRule="auto"/>
        <w:ind w:firstLine="720"/>
      </w:pPr>
      <w:r>
        <w:t xml:space="preserve">Third, venue. Where a record is published encodes what kind of claim it makes. The corpus spans three venue families, ordered from the operational conference proceedings at one end, through the archival journal literature in the middle, to the behavioral and economic working analyses at the other end. The venue-family score is ordinal by construction, and the prediction about it is genuinely ambiguous ex ante. A behavioral account could predict that the coordination theme concentrates in the economics-facing venues, which would push signal up with venue score, or that the operational venues carry it most intensely because that is where the maneuver decision actually lives, which would push signal down with venue score.</w:t>
      </w:r>
    </w:p>
    <w:bookmarkEnd w:id="80"/>
    <w:bookmarkStart w:id="81" w:name="X08d83fc0bddfc6031c0715c937fcfe662108137"/>
    <w:p>
      <w:pPr>
        <w:pStyle w:val="Heading2"/>
        <w:spacing w:line="480" w:lineRule="auto"/>
      </w:pPr>
      <w:r>
        <w:t xml:space="preserve">A worked illustration of the two distortions</w:t>
      </w:r>
    </w:p>
    <w:p>
      <w:pPr>
        <w:pStyle w:val="FirstParagraph"/>
        <w:spacing w:line="480" w:lineRule="auto"/>
      </w:pPr>
      <w:r>
        <w:t xml:space="preserve">The stacking of the commons and present-bias distortions is easier to see through a stylized calculation, offered purely to make the mechanism concrete rather than as a calibrated model. Suppose a maneuver costs an operator a unit of value now. Suppose not maneuvering carries a small probability of a collision whose total loss, spread across all affected assets, is many times that unit, but realized only years later. A patient operator internalizing the full social loss would maneuver whenever the discounted expected loss exceeded the unit cost. The commons distortion enters first: the operator captures only its own share of the avoided loss, perhaps a small fraction if the debris would have threatened many assets, so the privately relevant benefit shrinks toward the maneuver cost. The present-bias distortion enters second: the operator applies an extra discount to the future loss because it is future, shrinking the privately relevant benefit again.</w:t>
      </w:r>
    </w:p>
    <w:p>
      <w:pPr>
        <w:pStyle w:val="BodyText"/>
        <w:spacing w:line="480" w:lineRule="auto"/>
        <w:ind w:firstLine="720"/>
      </w:pPr>
      <w:r>
        <w:t xml:space="preserve">The two shrinkages compound multiplicatively, and their product can easily drop the privately perceived benefit below the certain present cost even when the true social benefit far exceeds it. That is the formal shape of underinvestment in collision avoidance, and it maps cleanly onto the observation that operators invest heavily in the near-term capability that lowers their own maneuver cost, better tracking, sharper metrics, faster screening, while the long-horizon institutions that would internalize the shared loss develop slowly</w:t>
      </w:r>
      <w:r>
        <w:t xml:space="preserve"> </w:t>
      </w:r>
      <w:hyperlink w:anchor="ref-1">
        <w:r>
          <w:rPr>
            <w:rStyle w:val="Hyperlink"/>
          </w:rPr>
          <w:t xml:space="preserve">[1]</w:t>
        </w:r>
      </w:hyperlink>
      <w:r>
        <w:t xml:space="preserve"> </w:t>
      </w:r>
      <w:hyperlink w:anchor="ref-5">
        <w:r>
          <w:rPr>
            <w:rStyle w:val="Hyperlink"/>
          </w:rPr>
          <w:t xml:space="preserve">[5]</w:t>
        </w:r>
      </w:hyperlink>
      <w:r>
        <w:t xml:space="preserve"> </w:t>
      </w:r>
      <w:hyperlink w:anchor="ref-7">
        <w:r>
          <w:rPr>
            <w:rStyle w:val="Hyperlink"/>
          </w:rPr>
          <w:t xml:space="preserve">[7]</w:t>
        </w:r>
      </w:hyperlink>
      <w:r>
        <w:t xml:space="preserve">. The illustration is not evidence; it is a device for seeing why the documentary prediction takes the form it does. A field governed by this arithmetic will write intensely about the near-term, privately-payable side of the problem and comparatively little about the distant, shared side, which is precisely the venue-family pattern the dissertation tests</w:t>
      </w:r>
      <w:r>
        <w:t xml:space="preserve"> </w:t>
      </w:r>
      <w:hyperlink w:anchor="ref-11">
        <w:r>
          <w:rPr>
            <w:rStyle w:val="Hyperlink"/>
          </w:rPr>
          <w:t xml:space="preserve">[11]</w:t>
        </w:r>
      </w:hyperlink>
      <w:r>
        <w:t xml:space="preserve">.</w:t>
      </w:r>
    </w:p>
    <w:bookmarkEnd w:id="81"/>
    <w:bookmarkStart w:id="82" w:name="the-behavioral-grounding"/>
    <w:p>
      <w:pPr>
        <w:pStyle w:val="Heading2"/>
        <w:spacing w:line="480" w:lineRule="auto"/>
      </w:pPr>
      <w:r>
        <w:t xml:space="preserve">The behavioral grounding</w:t>
      </w:r>
    </w:p>
    <w:p>
      <w:pPr>
        <w:pStyle w:val="FirstParagraph"/>
        <w:spacing w:line="480" w:lineRule="auto"/>
      </w:pPr>
      <w:r>
        <w:t xml:space="preserve">The behavioral commitments underlying the mechanism are drawn from the working analyses in the source corpus, which import the discounting and framing tradition into the space domain. Those analyses argue that operators and states default to near-term reasoning even when the long-term hazard is well understood, and they pair that discounting claim with a common-pool-resource framing in which a shared orbital stock is overexploited absent coordination. The pairing is deliberate and it is what distinguishes the mechanism from a generic appeal to short-sightedness. Discounting alone would predict underinvestment in any delayed benefit; the commons framing explains why the specific delayed benefit here, collision avoidance, is underprovided even by operators who are not especially impatient, because the benefit is shared</w:t>
      </w:r>
      <w:r>
        <w:t xml:space="preserve"> </w:t>
      </w:r>
      <w:hyperlink w:anchor="ref-3">
        <w:r>
          <w:rPr>
            <w:rStyle w:val="Hyperlink"/>
          </w:rPr>
          <w:t xml:space="preserve">[3]</w:t>
        </w:r>
      </w:hyperlink>
      <w:r>
        <w:t xml:space="preserve">.</w:t>
      </w:r>
    </w:p>
    <w:p>
      <w:pPr>
        <w:pStyle w:val="BodyText"/>
        <w:spacing w:line="480" w:lineRule="auto"/>
        <w:ind w:firstLine="720"/>
      </w:pPr>
      <w:r>
        <w:t xml:space="preserve">This grounding also fixes the mechanism’s falsification conditions. If the behavioral account were wrong, the field’s documentary output would show no systematic concentration of the coordination theme by venue, and citation attention would accumulate with age in the ordinary maturing-literature way. The mechanism therefore does not merely predict a pattern; it forbids its opposite, and a screen that found the opposite would count against it</w:t>
      </w:r>
      <w:r>
        <w:t xml:space="preserve"> </w:t>
      </w:r>
      <w:hyperlink w:anchor="ref-4">
        <w:r>
          <w:rPr>
            <w:rStyle w:val="Hyperlink"/>
          </w:rPr>
          <w:t xml:space="preserve">[4]</w:t>
        </w:r>
      </w:hyperlink>
      <w:r>
        <w:t xml:space="preserve"> </w:t>
      </w:r>
      <w:hyperlink w:anchor="ref-13">
        <w:r>
          <w:rPr>
            <w:rStyle w:val="Hyperlink"/>
          </w:rPr>
          <w:t xml:space="preserve">[13]</w:t>
        </w:r>
      </w:hyperlink>
      <w:r>
        <w:t xml:space="preserve">. That forbidding is what makes the test worth running even at small scale, and it is what the two papers are built to evaluate.</w:t>
      </w:r>
    </w:p>
    <w:bookmarkEnd w:id="82"/>
    <w:bookmarkStart w:id="83" w:name="the-primary-hypothesis"/>
    <w:p>
      <w:pPr>
        <w:pStyle w:val="Heading2"/>
        <w:spacing w:line="480" w:lineRule="auto"/>
      </w:pPr>
      <w:r>
        <w:t xml:space="preserve">The primary hypothesis</w:t>
      </w:r>
    </w:p>
    <w:p>
      <w:pPr>
        <w:pStyle w:val="FirstParagraph"/>
        <w:spacing w:line="480" w:lineRule="auto"/>
      </w:pPr>
      <w:r>
        <w:t xml:space="preserve">The dissertation-level test restates the prospectus in falsifiable form. The null, H0, holds that within the retrieved source corpus the candidate topic signal bears no relationship to publication recency, to citation attention, or to venue family. The alternative, H1, holds that the topic signal is systematically related to at least one of those three metadata dimensions. Rejecting H0 requires that at least one predictor carry a signed, precise coefficient. Failing to reject H0 is itself informative, because it would say that the documentary fingerprint the mechanism predicts is not visible at this corpus size, which bounds how much weight the behavioral account can bear without a stronger design</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83"/>
    <w:bookmarkStart w:id="84" w:name="X10670db19e14f707026ab261bc41905d99f3ed7"/>
    <w:p>
      <w:pPr>
        <w:pStyle w:val="Heading2"/>
        <w:spacing w:line="480" w:lineRule="auto"/>
      </w:pPr>
      <w:r>
        <w:t xml:space="preserve">Why a documentary fingerprint is the right observable</w:t>
      </w:r>
    </w:p>
    <w:p>
      <w:pPr>
        <w:pStyle w:val="FirstParagraph"/>
        <w:spacing w:line="480" w:lineRule="auto"/>
      </w:pPr>
      <w:r>
        <w:t xml:space="preserve">A reasonable objection is that the mechanism concerns operator decisions, so the right observable is operator behavior, not the field’s literature. The dissertation accepts the objection’s premise and answers it with a claim about feasibility and a claim about validity. On feasibility, operator decision records, conjunction data messages received against maneuvers executed, are held privately and are not accessible for a design-stage study, whereas the field’s documentary output is public and inspectable</w:t>
      </w:r>
      <w:r>
        <w:t xml:space="preserve"> </w:t>
      </w:r>
      <w:hyperlink w:anchor="ref-2">
        <w:r>
          <w:rPr>
            <w:rStyle w:val="Hyperlink"/>
          </w:rPr>
          <w:t xml:space="preserve">[2]</w:t>
        </w:r>
      </w:hyperlink>
      <w:r>
        <w:t xml:space="preserve"> </w:t>
      </w:r>
      <w:hyperlink w:anchor="ref-4">
        <w:r>
          <w:rPr>
            <w:rStyle w:val="Hyperlink"/>
          </w:rPr>
          <w:t xml:space="preserve">[4]</w:t>
        </w:r>
      </w:hyperlink>
      <w:r>
        <w:t xml:space="preserve">. On validity, the literature a field produces is not independent of how the field reasons; it is where the field allocates its analytic effort, and allocation of effort is exactly what a present-biased disposition distorts. A field that reasons about the near term will study the near term, and the study of the near term is what the documentary record captures</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observable is therefore one step removed from the mechanism, and the chapter is candid that the step is real. A documentary fingerprint is evidence about where the field puts its attention, and attention is a plausible but imperfect proxy for the underlying disposition. The gap between the observable and the mechanism is precisely why the two papers are framed as screens rather than tests of the behavioral claim itself, and why Chapter 7 spends its length on what the documentary evidence cannot license</w:t>
      </w:r>
      <w:r>
        <w:t xml:space="preserve"> </w:t>
      </w:r>
      <w:hyperlink w:anchor="ref-3">
        <w:r>
          <w:rPr>
            <w:rStyle w:val="Hyperlink"/>
          </w:rPr>
          <w:t xml:space="preserve">[3]</w:t>
        </w:r>
      </w:hyperlink>
      <w:r>
        <w:t xml:space="preserve"> </w:t>
      </w:r>
      <w:hyperlink w:anchor="ref-11">
        <w:r>
          <w:rPr>
            <w:rStyle w:val="Hyperlink"/>
          </w:rPr>
          <w:t xml:space="preserve">[11]</w:t>
        </w:r>
      </w:hyperlink>
      <w:r>
        <w:t xml:space="preserve">. Naming the gap here, before any coefficient is read, is what keeps the interpretation honest when the numbers arrive.</w:t>
      </w:r>
    </w:p>
    <w:bookmarkEnd w:id="84"/>
    <w:bookmarkStart w:id="85" w:name="the-two-testable-predictions"/>
    <w:p>
      <w:pPr>
        <w:pStyle w:val="Heading2"/>
        <w:spacing w:line="480" w:lineRule="auto"/>
      </w:pPr>
      <w:r>
        <w:t xml:space="preserve">The two testable predictions</w:t>
      </w:r>
    </w:p>
    <w:p>
      <w:pPr>
        <w:pStyle w:val="FirstParagraph"/>
        <w:spacing w:line="480" w:lineRule="auto"/>
      </w:pPr>
      <w:r>
        <w:t xml:space="preserve">The two empirical papers evaluate two sharper predictions derived from the mechanism.</w:t>
      </w:r>
    </w:p>
    <w:p>
      <w:pPr>
        <w:pStyle w:val="BodyText"/>
        <w:spacing w:line="480" w:lineRule="auto"/>
        <w:ind w:firstLine="720"/>
      </w:pPr>
      <w:r>
        <w:t xml:space="preserve">Prediction 1, cross-sectional structure. If present bias shapes the field’s attention, topic-signal intensity should vary systematically with the three metadata predictors. Paper 1 tests this with an ordinary least squares model. The directional expectation from the timing and attention links is that signal rises with recency and with citation count. The venue link is left two-sided for the reason given above. The model is fit on thirty records, and its verdict is read from the sign and precision of each coefficient rather than from any single headline number.</w:t>
      </w:r>
    </w:p>
    <w:p>
      <w:pPr>
        <w:pStyle w:val="BodyText"/>
        <w:spacing w:line="480" w:lineRule="auto"/>
        <w:ind w:firstLine="720"/>
      </w:pPr>
      <w:r>
        <w:t xml:space="preserve">Prediction 2, temporal accumulation. If attention in this field accumulates in the ordinary way, older records should carry more citations, and the elasticity of citations with respect to age should be positive. Paper 2 tests this with a log-log learning-curve model. The interesting possibility, which the data in fact realize, is that the elasticity is negative: the field’s citations are concentrated in a few recent journal articles rather than accruing steadily to the older conference proceedings</w:t>
      </w:r>
      <w:r>
        <w:t xml:space="preserve"> </w:t>
      </w:r>
      <w:hyperlink w:anchor="ref-7">
        <w:r>
          <w:rPr>
            <w:rStyle w:val="Hyperlink"/>
          </w:rPr>
          <w:t xml:space="preserve">[7]</w:t>
        </w:r>
      </w:hyperlink>
      <w:r>
        <w:t xml:space="preserve"> </w:t>
      </w:r>
      <w:hyperlink w:anchor="ref-13">
        <w:r>
          <w:rPr>
            <w:rStyle w:val="Hyperlink"/>
          </w:rPr>
          <w:t xml:space="preserve">[13]</w:t>
        </w:r>
      </w:hyperlink>
      <w:r>
        <w:t xml:space="preserve">. A negative age elasticity is consistent with a present-biased attention pattern, in which the field’s citing behavior favors the recent over the foundational, though the dissertation treats that reading as suggestive rather than confirmed.</w:t>
      </w:r>
    </w:p>
    <w:bookmarkEnd w:id="85"/>
    <w:bookmarkStart w:id="86" w:name="X8da7d71368bd19ed83a430b25aac0552d26cf82"/>
    <w:p>
      <w:pPr>
        <w:pStyle w:val="Heading2"/>
        <w:spacing w:line="480" w:lineRule="auto"/>
      </w:pPr>
      <w:r>
        <w:t xml:space="preserve">Auxiliary expectations and what would falsify them</w:t>
      </w:r>
    </w:p>
    <w:p>
      <w:pPr>
        <w:pStyle w:val="FirstParagraph"/>
        <w:spacing w:line="480" w:lineRule="auto"/>
      </w:pPr>
      <w:r>
        <w:t xml:space="preserve">Three auxiliary expectations discipline the interpretation. If the venue-family coefficient is precise and negative, the operational conference venues carry the coordination theme more intensely than the economics-facing venues, which would locate the field’s attention closer to the maneuver decision than to the institutional theory. If the recency coefficient is imprecise, the timing link is not visible at this corpus size, and the dissertation must not claim a temporal trend it cannot support. If the citation coefficient is imprecise, the attention proxy is too noisy to carry the argument, which is the outcome the chapter has warned about from the start.</w:t>
      </w:r>
    </w:p>
    <w:bookmarkEnd w:id="86"/>
    <w:bookmarkStart w:id="87" w:name="a-sharper-statement-of-the-mechanism"/>
    <w:p>
      <w:pPr>
        <w:pStyle w:val="Heading2"/>
        <w:spacing w:line="480" w:lineRule="auto"/>
      </w:pPr>
      <w:r>
        <w:t xml:space="preserve">A sharper statement of the mechanism</w:t>
      </w:r>
    </w:p>
    <w:p>
      <w:pPr>
        <w:pStyle w:val="FirstParagraph"/>
        <w:spacing w:line="480" w:lineRule="auto"/>
      </w:pPr>
      <w:r>
        <w:t xml:space="preserve">It helps to make the discounting mechanism precise enough to see why it predicts what it predicts. Consider an operator facing a conjunction warning at time zero. Maneuvering costs a fixed amount now, in propellant and mission life. Not maneuvering leaves a probability of collision that, if realized, imposes a loss at some later time, and that loss is not borne by the operator alone but shared across every asset the resulting debris would threaten</w:t>
      </w:r>
      <w:r>
        <w:t xml:space="preserve"> </w:t>
      </w:r>
      <w:hyperlink w:anchor="ref-1">
        <w:r>
          <w:rPr>
            <w:rStyle w:val="Hyperlink"/>
          </w:rPr>
          <w:t xml:space="preserve">[1]</w:t>
        </w:r>
      </w:hyperlink>
      <w:r>
        <w:t xml:space="preserve"> </w:t>
      </w:r>
      <w:hyperlink w:anchor="ref-6">
        <w:r>
          <w:rPr>
            <w:rStyle w:val="Hyperlink"/>
          </w:rPr>
          <w:t xml:space="preserve">[6]</w:t>
        </w:r>
      </w:hyperlink>
      <w:r>
        <w:t xml:space="preserve">. A patient, self-interested operator weighs the certain present cost against the discounted expected future loss, but captures only its own share of the avoided loss. A present-biased operator applies an extra, disproportionate discount to the future term specifically because it is future, on top of the ordinary discount that patience would justify.</w:t>
      </w:r>
    </w:p>
    <w:p>
      <w:pPr>
        <w:pStyle w:val="BodyText"/>
        <w:spacing w:line="480" w:lineRule="auto"/>
        <w:ind w:firstLine="720"/>
      </w:pPr>
      <w:r>
        <w:t xml:space="preserve">Two distortions therefore stack. The commons distortion shrinks the benefit the operator internalizes to its private share. The present-bias distortion shrinks the future term again because it arrives later. Their product is an operator who acts on near-term, privately-captured concerns far more readily than on distant, shared ones. The prediction for the documentary corpus follows directly. The field’s output should be dense with the near-term, privately-relevant material, the collision metrics, the screening procedures, the tracking studies that make a maneuver decision payable, and comparatively thin on the distant, shared material, the institutional and economic reasoning that would price the externality</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 venue-family prediction is the corpus-level shadow of this stacking: the theme should be intense where the payable decision lives and thinner where the shared future is theorized.</w:t>
      </w:r>
    </w:p>
    <w:bookmarkEnd w:id="87"/>
    <w:bookmarkStart w:id="88" w:name="Xc11579cc8736a9505a7b9ff7f376ae5eb0a41c7"/>
    <w:p>
      <w:pPr>
        <w:pStyle w:val="Heading2"/>
        <w:spacing w:line="480" w:lineRule="auto"/>
      </w:pPr>
      <w:r>
        <w:t xml:space="preserve">Rival explanations and why the test still discriminates</w:t>
      </w:r>
    </w:p>
    <w:p>
      <w:pPr>
        <w:pStyle w:val="FirstParagraph"/>
        <w:spacing w:line="480" w:lineRule="auto"/>
      </w:pPr>
      <w:r>
        <w:t xml:space="preserve">A careful reader will object that the same documentary pattern could arise without any present bias at all. Three rivals deserve naming. First, publication convention: operational communities publish in conference proceedings and theorists publish in journals and working analyses, so venue and content correlate for sociological reasons that have nothing to do with discounting</w:t>
      </w:r>
      <w:r>
        <w:t xml:space="preserve"> </w:t>
      </w:r>
      <w:hyperlink w:anchor="ref-3">
        <w:r>
          <w:rPr>
            <w:rStyle w:val="Hyperlink"/>
          </w:rPr>
          <w:t xml:space="preserve">[3]</w:t>
        </w:r>
      </w:hyperlink>
      <w:r>
        <w:t xml:space="preserve">. Second, indexing coverage: the local citation index systematically records zero for proceedings, so any temporal citation pattern partly reflects what the index tracks rather than what the field values</w:t>
      </w:r>
      <w:r>
        <w:t xml:space="preserve"> </w:t>
      </w:r>
      <w:hyperlink w:anchor="ref-13">
        <w:r>
          <w:rPr>
            <w:rStyle w:val="Hyperlink"/>
          </w:rPr>
          <w:t xml:space="preserve">[13]</w:t>
        </w:r>
      </w:hyperlink>
      <w:r>
        <w:t xml:space="preserve">. Third, ordinary maturation reversed by recency of the journal core: the newest journal articles are simply the ones currently being cited, with no behavioral content required</w:t>
      </w:r>
      <w:r>
        <w:t xml:space="preserve"> </w:t>
      </w:r>
      <w:hyperlink w:anchor="ref-7">
        <w:r>
          <w:rPr>
            <w:rStyle w:val="Hyperlink"/>
          </w:rPr>
          <w:t xml:space="preserve">[7]</w:t>
        </w:r>
      </w:hyperlink>
      <w:r>
        <w:t xml:space="preserve">.</w:t>
      </w:r>
    </w:p>
    <w:p>
      <w:pPr>
        <w:pStyle w:val="BodyText"/>
        <w:spacing w:line="480" w:lineRule="auto"/>
        <w:ind w:firstLine="720"/>
      </w:pPr>
      <w:r>
        <w:t xml:space="preserve">These rivals are real, and the dissertation does not claim to defeat them from thirty records. What it claims is narrower and defensible. The test still discriminates in one direction: if the venue and age coefficients had come back null or opposite in sign, the behavioral account would have been embarrassed, because the mechanism makes a directional prediction and a null result would fail it. A precise negative venue coefficient and a precise negative age elasticity are consistent with the mechanism and do not by themselves rule out the rivals. That asymmetry, falsifiable against the mechanism, consistent-but-not-decisive for it, is exactly the epistemic status a documentary screen should have, and Chapter 7 develops it at length</w:t>
      </w:r>
      <w:r>
        <w:t xml:space="preserve"> </w:t>
      </w:r>
      <w:hyperlink w:anchor="ref-4">
        <w:r>
          <w:rPr>
            <w:rStyle w:val="Hyperlink"/>
          </w:rPr>
          <w:t xml:space="preserve">[4]</w:t>
        </w:r>
      </w:hyperlink>
      <w:r>
        <w:t xml:space="preserve"> </w:t>
      </w:r>
      <w:hyperlink w:anchor="ref-11">
        <w:r>
          <w:rPr>
            <w:rStyle w:val="Hyperlink"/>
          </w:rPr>
          <w:t xml:space="preserve">[11]</w:t>
        </w:r>
      </w:hyperlink>
      <w:r>
        <w:t xml:space="preserve">. The framework earns the right to be tested, not the right to be believed.</w:t>
      </w:r>
    </w:p>
    <w:bookmarkEnd w:id="88"/>
    <w:bookmarkStart w:id="89" w:name="summary-of-predictions"/>
    <w:p>
      <w:pPr>
        <w:pStyle w:val="Heading2"/>
        <w:spacing w:line="480" w:lineRule="auto"/>
      </w:pPr>
      <w:r>
        <w:t xml:space="preserve">Summary of predictions</w:t>
      </w:r>
    </w:p>
    <w:p>
      <w:pPr>
        <w:pStyle w:val="FirstParagraph"/>
        <w:spacing w:line="480" w:lineRule="auto"/>
      </w:pPr>
      <w:r>
        <w:t xml:space="preserve">The chapter’s predictions can be stated compactly. Topic-signal intensity should vary with the metadata predictors, with the venue link the strongest candidate and its sign left open ex ante (Paper 1, H1). Citation accumulation should have a measurable temporal shape, with a negative age elasticity consistent with a present-oriented citing culture (Paper 2, H1). The recency-of-signal and citation-of-signal links are predicted but flagged as fragile, and their failure to reach precision is pre-committed as informative rather than disappointing</w:t>
      </w:r>
      <w:r>
        <w:t xml:space="preserve"> </w:t>
      </w:r>
      <w:hyperlink w:anchor="ref-5">
        <w:r>
          <w:rPr>
            <w:rStyle w:val="Hyperlink"/>
          </w:rPr>
          <w:t xml:space="preserve">[5]</w:t>
        </w:r>
      </w:hyperlink>
      <w:r>
        <w:t xml:space="preserve"> </w:t>
      </w:r>
      <w:hyperlink w:anchor="ref-14">
        <w:r>
          <w:rPr>
            <w:rStyle w:val="Hyperlink"/>
          </w:rPr>
          <w:t xml:space="preserve">[14]</w:t>
        </w:r>
      </w:hyperlink>
      <w:r>
        <w:t xml:space="preserve">. Each of these predictions is falsifiable against the estimator output reported in Chapter 6. The framework does not predict a single tidy result. It predicts a structured pattern in which some links are visible and others are not, and it commits in advance to reporting the imprecise links as evidence about the limits of the corpus rather than hiding them</w:t>
      </w:r>
      <w:r>
        <w:t xml:space="preserve"> </w:t>
      </w:r>
      <w:hyperlink w:anchor="ref-2">
        <w:r>
          <w:rPr>
            <w:rStyle w:val="Hyperlink"/>
          </w:rPr>
          <w:t xml:space="preserve">[2]</w:t>
        </w:r>
      </w:hyperlink>
      <w:r>
        <w:t xml:space="preserve"> </w:t>
      </w:r>
      <w:hyperlink w:anchor="ref-5">
        <w:r>
          <w:rPr>
            <w:rStyle w:val="Hyperlink"/>
          </w:rPr>
          <w:t xml:space="preserve">[5]</w:t>
        </w:r>
      </w:hyperlink>
      <w:r>
        <w:t xml:space="preserve">. That commitment is what separates a documentary screen from a fishing expedition. The mechanism is stated, the predictions are derived from it, the tests are specified before the numbers are read, and the chapter that reads the numbers is bound by what was declared here</w:t>
      </w:r>
      <w:r>
        <w:t xml:space="preserve"> </w:t>
      </w:r>
      <w:hyperlink w:anchor="ref-11">
        <w:r>
          <w:rPr>
            <w:rStyle w:val="Hyperlink"/>
          </w:rPr>
          <w:t xml:space="preserve">[11]</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The framework’s ambition is calibrated to its evidence, and that calibration is itself a theoretical commitment. A grander framework would predict a precise magnitude for each channel and stake its credibility on matching it. This one predicts only directions and relative strengths, because thirty records cannot adjudicate magnitudes with any confidence</w:t>
      </w:r>
      <w:r>
        <w:t xml:space="preserve"> </w:t>
      </w:r>
      <w:hyperlink w:anchor="ref-4">
        <w:r>
          <w:rPr>
            <w:rStyle w:val="Hyperlink"/>
          </w:rPr>
          <w:t xml:space="preserve">[4]</w:t>
        </w:r>
      </w:hyperlink>
      <w:r>
        <w:t xml:space="preserve">. Predicting less, and predicting it more carefully, is what lets the test discriminate at all: a prediction the data could not evaluate would be no prediction. The chapter therefore ends where a design-stage theory should, with falsifiable directional claims that a small corpus can actually test and a clear statement of which of those claims the dissertation expects to hold and which it expects to fail</w:t>
      </w:r>
      <w:r>
        <w:t xml:space="preserve"> </w:t>
      </w:r>
      <w:hyperlink w:anchor="ref-5">
        <w:r>
          <w:rPr>
            <w:rStyle w:val="Hyperlink"/>
          </w:rPr>
          <w:t xml:space="preserve">[5]</w:t>
        </w:r>
      </w:hyperlink>
      <w:r>
        <w:t xml:space="preserve"> </w:t>
      </w:r>
      <w:hyperlink w:anchor="ref-13">
        <w:r>
          <w:rPr>
            <w:rStyle w:val="Hyperlink"/>
          </w:rPr>
          <w:t xml:space="preserve">[13]</w:t>
        </w:r>
      </w:hyperlink>
      <w:r>
        <w:t xml:space="preserve">.</w:t>
      </w:r>
    </w:p>
    <w:bookmarkEnd w:id="89"/>
    <w:bookmarkEnd w:id="90"/>
    <w:bookmarkStart w:id="101" w:name="X940caaf6d3ac92c12a69529db0381ad3e868d7e"/>
    <w:p>
      <w:pPr>
        <w:pStyle w:val="Heading1"/>
        <w:spacing w:line="480" w:lineRule="auto"/>
      </w:pPr>
      <w:r>
        <w:t xml:space="preserve">Chapter 4. Methodology and Identification</w:t>
      </w:r>
    </w:p>
    <w:p>
      <w:pPr>
        <w:pStyle w:val="FirstParagraph"/>
        <w:spacing w:line="480" w:lineRule="auto"/>
      </w:pPr>
      <w:r>
        <w:t xml:space="preserve">This chapter sets out the two estimators and confronts, without evasion, the question of what a documentary screen can and cannot identify. The honest answer is that neither estimator recovers a causal effect of operator discounting on governance outcomes. What they recover is structure in a retrieved corpus: whether topic-signal intensity co-varies with observable metadata, and whether citation attention accumulates with a measurable temporal shape. Those are descriptive targets, and the chapter is explicit that describing structure in a corpus is a first step toward, not a substitute for, a causal design.</w:t>
      </w:r>
    </w:p>
    <w:bookmarkStart w:id="91" w:name="Xb231d62d8938df0d6b3f0bf9041132464ae46fe"/>
    <w:p>
      <w:pPr>
        <w:pStyle w:val="Heading2"/>
        <w:spacing w:line="480" w:lineRule="auto"/>
      </w:pPr>
      <w:r>
        <w:t xml:space="preserve">Estimator one: ordinary least squares on topic-signal intensity</w:t>
      </w:r>
    </w:p>
    <w:p>
      <w:pPr>
        <w:pStyle w:val="FirstParagraph"/>
        <w:spacing w:line="480" w:lineRule="auto"/>
      </w:pPr>
      <w:r>
        <w:t xml:space="preserve">Paper 1 estimates a linear model of topic-signal intensity on three predictors. The specification is</w:t>
      </w:r>
    </w:p>
    <w:p>
      <w:pPr>
        <w:pStyle w:val="BodyText"/>
        <w:spacing w:line="480" w:lineRule="auto"/>
        <w:ind w:firstLine="720"/>
      </w:pPr>
      <w:r>
        <w:t xml:space="preserve">SignalScore_i = alpha + beta_1 RecencyIndex_i + beta_2 Cites_i + beta_3 VenueScore_i + epsilon_i.</w:t>
      </w:r>
    </w:p>
    <w:p>
      <w:pPr>
        <w:pStyle w:val="BodyText"/>
        <w:spacing w:line="480" w:lineRule="auto"/>
        <w:ind w:firstLine="720"/>
      </w:pPr>
      <w:r>
        <w:t xml:space="preserve">The outcome is the composite topic-signal score, a deterministic count of candidate-theme term hits across the title, snippet, keyword field, and author metadata of each retrieved record. The three predictors are the recency index, the reported citation count, and the ordinal venue-family score defined in Chapter 5. The estimator is ordinary least squares. Standard errors are heteroskedasticity-robust of the HC1 form, chosen because the residual variance is unlikely to be constant across a corpus that mixes short conference abstracts with long journal records, and because HC1 makes a small-sample correction that is appropriate at N = 30</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choice of ordinary least squares deserves a word. The outcome is a bounded count, and a purist might reach for a count model. Two considerations favor the linear specification here. The signal score is a composite of four sub-counts and behaves more like a continuous index than a pure Poisson count, and the sample is small enough that the interpretability of a linear coefficient outweighs the marginal efficiency of a count link. The linear model also keeps the estimator transparent, which is the governing value of the whole design: a reader can reconstruct every fitted value from the coefficients and the data matrix</w:t>
      </w:r>
      <w:r>
        <w:t xml:space="preserve"> </w:t>
      </w:r>
      <w:hyperlink w:anchor="ref-3">
        <w:r>
          <w:rPr>
            <w:rStyle w:val="Hyperlink"/>
          </w:rPr>
          <w:t xml:space="preserve">[3]</w:t>
        </w:r>
      </w:hyperlink>
      <w:r>
        <w:t xml:space="preserve">.</w:t>
      </w:r>
    </w:p>
    <w:bookmarkEnd w:id="91"/>
    <w:bookmarkStart w:id="92" w:name="estimator-two-the-log-log-learning-curve"/>
    <w:p>
      <w:pPr>
        <w:pStyle w:val="Heading2"/>
        <w:spacing w:line="480" w:lineRule="auto"/>
      </w:pPr>
      <w:r>
        <w:t xml:space="preserve">Estimator two: the log-log learning curve</w:t>
      </w:r>
    </w:p>
    <w:p>
      <w:pPr>
        <w:pStyle w:val="FirstParagraph"/>
        <w:spacing w:line="480" w:lineRule="auto"/>
      </w:pPr>
      <w:r>
        <w:t xml:space="preserve">Paper 2 estimates a learning-curve model of citation accumulation against article age. The specification is</w:t>
      </w:r>
    </w:p>
    <w:p>
      <w:pPr>
        <w:pStyle w:val="BodyText"/>
        <w:spacing w:line="480" w:lineRule="auto"/>
        <w:ind w:firstLine="720"/>
      </w:pPr>
      <w:r>
        <w:t xml:space="preserve">ln(CitesPlus1_i) = alpha + beta_1 ln(AgeIndex_i) + epsilon_i.</w:t>
      </w:r>
    </w:p>
    <w:p>
      <w:pPr>
        <w:pStyle w:val="BodyText"/>
        <w:spacing w:line="480" w:lineRule="auto"/>
        <w:ind w:firstLine="720"/>
      </w:pPr>
      <w:r>
        <w:t xml:space="preserve">The outcome is the reported citation count plus one, incremented so that the logarithm is defined for the many uncited records in the corpus. The single predictor is the logarithm of an age index equal to 2026 minus the publication year plus one. Because both sides are logged, the slope is an elasticity: it reports the percentage change in citations-plus-one associated with a one percent change in article age. The learning-curve form is borrowed from the classical progress-ratio tradition, in which a logged slope translates directly into a doubling factor, and the model is estimated by ordinary least squares with HC1 robust standard errors for the same small-sample reasons as Paper 1</w:t>
      </w:r>
      <w:r>
        <w:t xml:space="preserve"> </w:t>
      </w:r>
      <w:hyperlink w:anchor="ref-7">
        <w:r>
          <w:rPr>
            <w:rStyle w:val="Hyperlink"/>
          </w:rPr>
          <w:t xml:space="preserve">[7]</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The elasticity has a clean interpretation and a clean falsification. A positive elasticity would say that older records accumulate more citations, the ordinary pattern in a maturing literature. A negative elasticity says the opposite: that in this corpus, citations concentrate in the younger records, which is the pattern a present-biased citing culture would produce. The progress ratio, computed as two raised to the elasticity, expresses the same fact as a multiplicative factor per doubling of age. Reporting both the elasticity and the progress ratio lets a reader check the temporal claim in whichever metric is more intuitive.</w:t>
      </w:r>
    </w:p>
    <w:bookmarkEnd w:id="92"/>
    <w:bookmarkStart w:id="93" w:name="Xddc5f02ac1453443d5aff0d2f8ad770e3e26ff2"/>
    <w:p>
      <w:pPr>
        <w:pStyle w:val="Heading2"/>
        <w:spacing w:line="480" w:lineRule="auto"/>
      </w:pPr>
      <w:r>
        <w:t xml:space="preserve">What identification means here, and what it does not</w:t>
      </w:r>
    </w:p>
    <w:p>
      <w:pPr>
        <w:pStyle w:val="FirstParagraph"/>
        <w:spacing w:line="480" w:lineRule="auto"/>
      </w:pPr>
      <w:r>
        <w:t xml:space="preserve">Call it what it is. Neither model identifies a causal effect. The chapter states plainly what the two estimators do and do not license.</w:t>
      </w:r>
    </w:p>
    <w:p>
      <w:pPr>
        <w:pStyle w:val="BodyText"/>
        <w:spacing w:line="480" w:lineRule="auto"/>
        <w:ind w:firstLine="720"/>
      </w:pPr>
      <w:r>
        <w:t xml:space="preserve">They do not identify the effect of operator discounting on any governance outcome. There is no treatment, no assignment mechanism, no counterfactual corpus in which operators are patient. The models describe association inside a single retrieved sample. A precise venue coefficient means that venue family and signal intensity co-vary in these thirty records; it does not mean that venue family causes signal intensity, still less that operator psychology causes either.</w:t>
      </w:r>
    </w:p>
    <w:p>
      <w:pPr>
        <w:pStyle w:val="BodyText"/>
        <w:spacing w:line="480" w:lineRule="auto"/>
        <w:ind w:firstLine="720"/>
      </w:pPr>
      <w:r>
        <w:t xml:space="preserve">What the estimators do identify is descriptive structure under three stated conditions. First, the outcome and predictors must be measured deterministically from the retained metadata, so that the same corpus produces the same coefficients on re-estimation. That condition holds by construction: every variable is a reproducible transformation of a source column</w:t>
      </w:r>
      <w:r>
        <w:t xml:space="preserve"> </w:t>
      </w:r>
      <w:hyperlink w:anchor="ref-5">
        <w:r>
          <w:rPr>
            <w:rStyle w:val="Hyperlink"/>
          </w:rPr>
          <w:t xml:space="preserve">[5]</w:t>
        </w:r>
      </w:hyperlink>
      <w:r>
        <w:t xml:space="preserve">. Second, the robust standard errors must be read as sampling variability within the corpus, not as inference to a wider population of all space literature, because the corpus was retrieved for topical fit rather than drawn as a probability sample. Third, the coefficients must be interpreted conditionally: each predictor’s estimate holds the others fixed, which matters most for the venue score, since venue family and recency are correlated in the corpus and the regression is what separates them</w:t>
      </w:r>
      <w:r>
        <w:t xml:space="preserve"> </w:t>
      </w:r>
      <w:hyperlink w:anchor="ref-11">
        <w:r>
          <w:rPr>
            <w:rStyle w:val="Hyperlink"/>
          </w:rPr>
          <w:t xml:space="preserve">[11]</w:t>
        </w:r>
      </w:hyperlink>
      <w:r>
        <w:t xml:space="preserve">.</w:t>
      </w:r>
    </w:p>
    <w:bookmarkEnd w:id="93"/>
    <w:bookmarkStart w:id="94" w:name="why-this-design-is-still-worth-running"/>
    <w:p>
      <w:pPr>
        <w:pStyle w:val="Heading2"/>
        <w:spacing w:line="480" w:lineRule="auto"/>
      </w:pPr>
      <w:r>
        <w:t xml:space="preserve">Why this design is still worth running</w:t>
      </w:r>
    </w:p>
    <w:p>
      <w:pPr>
        <w:pStyle w:val="FirstParagraph"/>
        <w:spacing w:line="480" w:lineRule="auto"/>
      </w:pPr>
      <w:r>
        <w:t xml:space="preserve">A skeptic might ask why a screen that cannot identify a causal effect is worth the effort. The answer is that the screen does three things a narrative could not. It disciplines the evidence by forcing every claim through a coefficient with a standard error, which makes over-reach visible. It ranks the predictors by how much observable structure they carry, which tells a later, better-resourced study where to look first. And it produces a fully auditable record, from source retrieval to fitted value, that a defense committee or a replication attempt can inspect line by line</w:t>
      </w:r>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The design also protects against a specific failure mode common to behavioral claims about complex systems, which is the temptation to confirm a compelling story with selective illustration. By pre-committing in Chapter 3 to a fixed specification and by reporting the imprecise coefficients alongside the precise ones, the two papers make it costly to mistake a suggestive anecdote for a finding. That protection is not free. It means the dissertation reports a model with modest fit and several imprecise terms, and it means the headline result is a single precise venue coefficient rather than a sweeping vindication of the mechanism. The trade is deliberate, and it is the right trade for a design-stage inquiry whose value lies in its traceability rather than in the size of its claims</w:t>
      </w:r>
      <w:r>
        <w:t xml:space="preserve"> </w:t>
      </w:r>
      <w:hyperlink w:anchor="ref-6">
        <w:r>
          <w:rPr>
            <w:rStyle w:val="Hyperlink"/>
          </w:rPr>
          <w:t xml:space="preserve">[6]</w:t>
        </w:r>
      </w:hyperlink>
      <w:r>
        <w:t xml:space="preserve"> </w:t>
      </w:r>
      <w:hyperlink w:anchor="ref-14">
        <w:r>
          <w:rPr>
            <w:rStyle w:val="Hyperlink"/>
          </w:rPr>
          <w:t xml:space="preserve">[14]</w:t>
        </w:r>
      </w:hyperlink>
      <w:r>
        <w:t xml:space="preserve">.</w:t>
      </w:r>
    </w:p>
    <w:bookmarkEnd w:id="94"/>
    <w:bookmarkStart w:id="95" w:name="estimators-considered-and-set-aside"/>
    <w:p>
      <w:pPr>
        <w:pStyle w:val="Heading2"/>
        <w:spacing w:line="480" w:lineRule="auto"/>
      </w:pPr>
      <w:r>
        <w:t xml:space="preserve">Estimators considered and set aside</w:t>
      </w:r>
    </w:p>
    <w:p>
      <w:pPr>
        <w:pStyle w:val="FirstParagraph"/>
        <w:spacing w:line="480" w:lineRule="auto"/>
      </w:pPr>
      <w:r>
        <w:t xml:space="preserve">Choosing an estimator is partly choosing what not to use, and the alternatives illuminate why the two simple models are the right ones here. A count model for Paper 1, such as Poisson or negative binomial regression, would respect the count nature of the signal score and could handle overdispersion. It was set aside for two reasons. The signal score is a composite of four sub-counts and behaves more like a bounded index than a pure event count, so the count-model assumption of a rate process is a poor fit. And at thirty observations the efficiency gain from a count link is small relative to the interpretive cost: a linear coefficient is directly readable as a change in signal points, whereas a Poisson coefficient requires exponentiation and a baseline to interpret</w:t>
      </w:r>
      <w:r>
        <w:t xml:space="preserve"> </w:t>
      </w:r>
      <w:hyperlink w:anchor="ref-1">
        <w:r>
          <w:rPr>
            <w:rStyle w:val="Hyperlink"/>
          </w:rPr>
          <w:t xml:space="preserve">[1]</w:t>
        </w:r>
      </w:hyperlink>
      <w:r>
        <w:t xml:space="preserve"> </w:t>
      </w:r>
      <w:hyperlink w:anchor="ref-4">
        <w:r>
          <w:rPr>
            <w:rStyle w:val="Hyperlink"/>
          </w:rPr>
          <w:t xml:space="preserve">[4]</w:t>
        </w:r>
      </w:hyperlink>
      <w:r>
        <w:t xml:space="preserve">. Transparency wins the trade.</w:t>
      </w:r>
    </w:p>
    <w:p>
      <w:pPr>
        <w:pStyle w:val="BodyText"/>
        <w:spacing w:line="480" w:lineRule="auto"/>
        <w:ind w:firstLine="720"/>
      </w:pPr>
      <w:r>
        <w:t xml:space="preserve">Regularization was the next candidate. A ridge or lasso estimator would address the correlated predictors by shrinking coefficients toward zero. It was set aside because regularization introduces a tuning parameter and a shrinkage bias that would compromise the deterministic, fully-reproducible character the design requires. A reader cannot audit a coefficient that depends on a penalty chosen by cross-validation on thirty rows, and the whole point of the design is that every number be reconstructable without a modeling choice hidden in a hyperparameter</w:t>
      </w:r>
      <w:r>
        <w:t xml:space="preserve"> </w:t>
      </w:r>
      <w:hyperlink w:anchor="ref-5">
        <w:r>
          <w:rPr>
            <w:rStyle w:val="Hyperlink"/>
          </w:rPr>
          <w:t xml:space="preserve">[5]</w:t>
        </w:r>
      </w:hyperlink>
      <w:r>
        <w:t xml:space="preserve">.</w:t>
      </w:r>
    </w:p>
    <w:p>
      <w:pPr>
        <w:pStyle w:val="BodyText"/>
        <w:spacing w:line="480" w:lineRule="auto"/>
        <w:ind w:firstLine="720"/>
      </w:pPr>
      <w:r>
        <w:t xml:space="preserve">For Paper 2, a nonlinear growth model, logistic or Gompertz, could capture saturation in citation accumulation. It was set aside because such models demand more data than thirty records can support and because the learning-curve form has a clean, interpretable slope, the elasticity, that a saturating model would obscure. The log-log specification is the simplest form that turns citation accumulation into a single readable elasticity, and simplicity is the governing value</w:t>
      </w:r>
      <w:r>
        <w:t xml:space="preserve"> </w:t>
      </w:r>
      <w:hyperlink w:anchor="ref-7">
        <w:r>
          <w:rPr>
            <w:rStyle w:val="Hyperlink"/>
          </w:rPr>
          <w:t xml:space="preserve">[7]</w:t>
        </w:r>
      </w:hyperlink>
      <w:r>
        <w:t xml:space="preserve"> </w:t>
      </w:r>
      <w:hyperlink w:anchor="ref-13">
        <w:r>
          <w:rPr>
            <w:rStyle w:val="Hyperlink"/>
          </w:rPr>
          <w:t xml:space="preserve">[13]</w:t>
        </w:r>
      </w:hyperlink>
      <w:r>
        <w:t xml:space="preserve">. In each case the sophisticated alternative was rejected not because it is wrong in general but because it trades away the auditability that is this design’s reason for existing.</w:t>
      </w:r>
    </w:p>
    <w:bookmarkEnd w:id="95"/>
    <w:bookmarkStart w:id="96" w:name="inference-under-retrieval-sampling"/>
    <w:p>
      <w:pPr>
        <w:pStyle w:val="Heading2"/>
        <w:spacing w:line="480" w:lineRule="auto"/>
      </w:pPr>
      <w:r>
        <w:t xml:space="preserve">Inference under retrieval sampling</w:t>
      </w:r>
    </w:p>
    <w:p>
      <w:pPr>
        <w:pStyle w:val="FirstParagraph"/>
        <w:spacing w:line="480" w:lineRule="auto"/>
      </w:pPr>
      <w:r>
        <w:t xml:space="preserve">One question is genuinely delicate. What do the robust standard errors mean when the corpus was retrieved rather than randomly sampled? Classical inference imagines the thirty records as one draw from a population, with the standard errors describing how the coefficients would vary across repeated draws. That imagination does not straightforwardly apply here, because there is no well-defined population from which the corpus was drawn at random; it was assembled for topical fit</w:t>
      </w:r>
      <w:r>
        <w:t xml:space="preserve"> </w:t>
      </w:r>
      <w:hyperlink w:anchor="ref-4">
        <w:r>
          <w:rPr>
            <w:rStyle w:val="Hyperlink"/>
          </w:rPr>
          <w:t xml:space="preserve">[4]</w:t>
        </w:r>
      </w:hyperlink>
      <w:r>
        <w:t xml:space="preserve">.</w:t>
      </w:r>
    </w:p>
    <w:p>
      <w:pPr>
        <w:pStyle w:val="BodyText"/>
        <w:spacing w:line="480" w:lineRule="auto"/>
        <w:ind w:firstLine="720"/>
      </w:pPr>
      <w:r>
        <w:t xml:space="preserve">The dissertation adopts a deliberately modest interpretation. The standard errors describe sampling variability under the counterfactual of re-drawing records with the same retrieval characteristics, and they are read as a discipline on over-interpretation within the corpus rather than as a license to project to all space literature. A precise coefficient means the association is stable enough that it would likely survive minor perturbations of which records happened to be retrieved; an imprecise coefficient means it would not</w:t>
      </w:r>
      <w:r>
        <w:t xml:space="preserve"> </w:t>
      </w:r>
      <w:hyperlink w:anchor="ref-5">
        <w:r>
          <w:rPr>
            <w:rStyle w:val="Hyperlink"/>
          </w:rPr>
          <w:t xml:space="preserve">[5]</w:t>
        </w:r>
      </w:hyperlink>
      <w:r>
        <w:t xml:space="preserve"> </w:t>
      </w:r>
      <w:hyperlink w:anchor="ref-14">
        <w:r>
          <w:rPr>
            <w:rStyle w:val="Hyperlink"/>
          </w:rPr>
          <w:t xml:space="preserve">[14]</w:t>
        </w:r>
      </w:hyperlink>
      <w:r>
        <w:t xml:space="preserve">. This is a weaker warrant than a probability sample provides, and the dissertation states that weakness rather than borrowing the stronger language of population inference it has not earned. The interpretation is consistent with how the operational literature treats its own non-random samples of conjunction events, which are likewise selected by operational relevance rather than drawn at random, and which are read for structure rather than for population projection</w:t>
      </w:r>
      <w:r>
        <w:t xml:space="preserve"> </w:t>
      </w:r>
      <w:hyperlink w:anchor="ref-2">
        <w:r>
          <w:rPr>
            <w:rStyle w:val="Hyperlink"/>
          </w:rPr>
          <w:t xml:space="preserve">[2]</w:t>
        </w:r>
      </w:hyperlink>
      <w:r>
        <w:t xml:space="preserve">.</w:t>
      </w:r>
    </w:p>
    <w:bookmarkEnd w:id="96"/>
    <w:bookmarkStart w:id="97" w:name="X2680fd3f719dbe3ce71caf8b5ba1d9706b8cd5d"/>
    <w:p>
      <w:pPr>
        <w:pStyle w:val="Heading2"/>
        <w:spacing w:line="480" w:lineRule="auto"/>
      </w:pPr>
      <w:r>
        <w:t xml:space="preserve">The regression assumptions, examined honestly</w:t>
      </w:r>
    </w:p>
    <w:p>
      <w:pPr>
        <w:pStyle w:val="FirstParagraph"/>
        <w:spacing w:line="480" w:lineRule="auto"/>
      </w:pPr>
      <w:r>
        <w:t xml:space="preserve">A linear model carries assumptions, and a dissertation that prizes transparency should examine them rather than recite them. Consider each in turn for Paper 1.</w:t>
      </w:r>
    </w:p>
    <w:p>
      <w:pPr>
        <w:pStyle w:val="BodyText"/>
        <w:spacing w:line="480" w:lineRule="auto"/>
        <w:ind w:firstLine="720"/>
      </w:pPr>
      <w:r>
        <w:t xml:space="preserve">Linearity in the predictors is the strongest assumption, and it is most questionable for the venue-family score, which is ordinal rather than interval. Treating the three venue levels as equally spaced imposes a constant marginal effect of moving one step up the scale, which the data cannot verify at N = 30. The dissertation accepts this as a modeling economy: with thirty records, estimating separate indicators for each venue level would spend degrees of freedom the sample cannot spare, and the single ordered coefficient is the disciplined compromise. The interpretation in Chapter 6 is careful to speak of a per-step association rather than a precise interval effect</w:t>
      </w:r>
      <w:r>
        <w:t xml:space="preserve"> </w:t>
      </w:r>
      <w:hyperlink w:anchor="ref-3">
        <w:r>
          <w:rPr>
            <w:rStyle w:val="Hyperlink"/>
          </w:rPr>
          <w:t xml:space="preserve">[3]</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Independence of the errors is plausible but not guaranteed. The corpus contains a pair of near-duplicate operational records, two versions of the same tracking-improvement study, which are not independent draws</w:t>
      </w:r>
      <w:r>
        <w:t xml:space="preserve"> </w:t>
      </w:r>
      <w:hyperlink w:anchor="ref-5">
        <w:r>
          <w:rPr>
            <w:rStyle w:val="Hyperlink"/>
          </w:rPr>
          <w:t xml:space="preserve">[5]</w:t>
        </w:r>
      </w:hyperlink>
      <w:r>
        <w:t xml:space="preserve">. Their presence inflates the effective similarity of two rows and mildly understates the true sampling variability. The dissertation flags this rather than dropping the rows, because the retained corpus is the object of study and altering it would break the auditability that governs the whole design. The effect on the venue coefficient is small, since both records share the same venue level, but honesty requires naming it.</w:t>
      </w:r>
    </w:p>
    <w:p>
      <w:pPr>
        <w:pStyle w:val="BodyText"/>
        <w:spacing w:line="480" w:lineRule="auto"/>
        <w:ind w:firstLine="720"/>
      </w:pPr>
      <w:r>
        <w:t xml:space="preserve">Homoskedasticity almost certainly fails. That failure is precisely why the robust HC1 standard errors were chosen. The residual variance is unlikely to be constant across a corpus mixing terse conference abstracts with long journal records, and the HC1 form corrects the standard errors for that heteroskedasticity while applying a finite-sample adjustment appropriate at thirty observations</w:t>
      </w:r>
      <w:r>
        <w:t xml:space="preserve"> </w:t>
      </w:r>
      <w:hyperlink w:anchor="ref-1">
        <w:r>
          <w:rPr>
            <w:rStyle w:val="Hyperlink"/>
          </w:rPr>
          <w:t xml:space="preserve">[1]</w:t>
        </w:r>
      </w:hyperlink>
      <w:r>
        <w:t xml:space="preserve"> </w:t>
      </w:r>
      <w:hyperlink w:anchor="ref-4">
        <w:r>
          <w:rPr>
            <w:rStyle w:val="Hyperlink"/>
          </w:rPr>
          <w:t xml:space="preserve">[4]</w:t>
        </w:r>
      </w:hyperlink>
      <w:r>
        <w:t xml:space="preserve">. Using classical standard errors here would understate uncertainty and risk a false claim of precision, so the robust form is not a refinement but a requirement given the data.</w:t>
      </w:r>
    </w:p>
    <w:bookmarkEnd w:id="97"/>
    <w:bookmarkStart w:id="98" w:name="Xe7d96d8ddfee7ab58e5161bd00ab202587d1a76"/>
    <w:p>
      <w:pPr>
        <w:pStyle w:val="Heading2"/>
        <w:spacing w:line="480" w:lineRule="auto"/>
      </w:pPr>
      <w:r>
        <w:t xml:space="preserve">The two models as complements, not substitutes</w:t>
      </w:r>
    </w:p>
    <w:p>
      <w:pPr>
        <w:pStyle w:val="FirstParagraph"/>
        <w:spacing w:line="480" w:lineRule="auto"/>
      </w:pPr>
      <w:r>
        <w:t xml:space="preserve">Why two models, not one? The choice is deliberate rather than redundant. Paper 1 conditions on three predictors simultaneously and asks how signal intensity is structured across them; it is a cross-sectional decomposition. Paper 2 isolates a single temporal relationship and asks how citation attention scales with age; it is a longitudinal shape. The two draw on the same thirty records but partition the variation differently, and neither could substitute for the other</w:t>
      </w:r>
      <w:r>
        <w:t xml:space="preserve"> </w:t>
      </w:r>
      <w:hyperlink w:anchor="ref-7">
        <w:r>
          <w:rPr>
            <w:rStyle w:val="Hyperlink"/>
          </w:rPr>
          <w:t xml:space="preserve">[7]</w:t>
        </w:r>
      </w:hyperlink>
      <w:r>
        <w:t xml:space="preserve"> </w:t>
      </w:r>
      <w:hyperlink w:anchor="ref-13">
        <w:r>
          <w:rPr>
            <w:rStyle w:val="Hyperlink"/>
          </w:rPr>
          <w:t xml:space="preserve">[13]</w:t>
        </w:r>
      </w:hyperlink>
      <w:r>
        <w:t xml:space="preserve">. A single combined model that put both signal and citations on the same side would blur the two questions and would strain a thirty-record sample past what it can support.</w:t>
      </w:r>
    </w:p>
    <w:p>
      <w:pPr>
        <w:pStyle w:val="BodyText"/>
        <w:spacing w:line="480" w:lineRule="auto"/>
        <w:ind w:firstLine="720"/>
      </w:pPr>
      <w:r>
        <w:t xml:space="preserve">Running them separately buys a specific analytic good: internal cross-checking. If the two independent views of the same corpus told contradictory stories, that contradiction would itself be a finding, a sign that the corpus structure is fragile or that one estimator is picking up an artifact. If they converge, as Chapter 6 finds they do, the convergence is modest corroboration from orthogonal directions</w:t>
      </w:r>
      <w:r>
        <w:t xml:space="preserve"> </w:t>
      </w:r>
      <w:hyperlink w:anchor="ref-5">
        <w:r>
          <w:rPr>
            <w:rStyle w:val="Hyperlink"/>
          </w:rPr>
          <w:t xml:space="preserve">[5]</w:t>
        </w:r>
      </w:hyperlink>
      <w:r>
        <w:t xml:space="preserve">. This is the closest thing to a robustness check that a corpus this small permits, and it is the reason the design pays the cost of two models rather than economizing on one</w:t>
      </w:r>
      <w:r>
        <w:t xml:space="preserve"> </w:t>
      </w:r>
      <w:hyperlink w:anchor="ref-1">
        <w:r>
          <w:rPr>
            <w:rStyle w:val="Hyperlink"/>
          </w:rPr>
          <w:t xml:space="preserve">[1]</w:t>
        </w:r>
      </w:hyperlink>
      <w:r>
        <w:t xml:space="preserve"> </w:t>
      </w:r>
      <w:hyperlink w:anchor="ref-11">
        <w:r>
          <w:rPr>
            <w:rStyle w:val="Hyperlink"/>
          </w:rPr>
          <w:t xml:space="preserve">[11]</w:t>
        </w:r>
      </w:hyperlink>
      <w:r>
        <w:t xml:space="preserve">.</w:t>
      </w:r>
    </w:p>
    <w:bookmarkEnd w:id="98"/>
    <w:bookmarkStart w:id="99" w:name="X6a6ab33bc929cf8edf1f8add8e92ee68a32ba5b"/>
    <w:p>
      <w:pPr>
        <w:pStyle w:val="Heading2"/>
        <w:spacing w:line="480" w:lineRule="auto"/>
      </w:pPr>
      <w:r>
        <w:t xml:space="preserve">Interpreting the elasticity and the progress ratio</w:t>
      </w:r>
    </w:p>
    <w:p>
      <w:pPr>
        <w:pStyle w:val="FirstParagraph"/>
        <w:spacing w:line="480" w:lineRule="auto"/>
      </w:pPr>
      <w:r>
        <w:t xml:space="preserve">Paper 2’s log-log form repays a closer look at how its single coefficient should be read, because an elasticity is easy to state and easy to over-interpret. The slope on logged age is the percentage change in citations-plus-one associated with a one percent change in article age, evaluated across the range the data actually cover. It is not a prediction for any single record, and it is not a claim that any particular older paper will have fewer citations than any particular newer one. It summarizes the average multiplicative relationship in the corpus</w:t>
      </w:r>
      <w:r>
        <w:t xml:space="preserve"> </w:t>
      </w:r>
      <w:hyperlink w:anchor="ref-7">
        <w:r>
          <w:rPr>
            <w:rStyle w:val="Hyperlink"/>
          </w:rPr>
          <w:t xml:space="preserve">[7]</w:t>
        </w:r>
      </w:hyperlink>
      <w:r>
        <w:t xml:space="preserve">.</w:t>
      </w:r>
    </w:p>
    <w:p>
      <w:pPr>
        <w:pStyle w:val="BodyText"/>
        <w:spacing w:line="480" w:lineRule="auto"/>
        <w:ind w:firstLine="720"/>
      </w:pPr>
      <w:r>
        <w:t xml:space="preserve">The progress ratio, two raised to the elasticity, restates the same relationship per doubling of age, which is often the more intuitive framing. A progress ratio below one means that doubling a record’s age is associated with fewer citations-plus-one, not more, which inverts the naive expectation that older work accrues more citations over time. The inversion is not paradoxical once the corpus structure is recalled: the old records are mostly uncited proceedings and the citations concentrate in a recent journal core, so age and citation run in opposite directions here</w:t>
      </w:r>
      <w:r>
        <w:t xml:space="preserve"> </w:t>
      </w:r>
      <w:hyperlink w:anchor="ref-13">
        <w:r>
          <w:rPr>
            <w:rStyle w:val="Hyperlink"/>
          </w:rPr>
          <w:t xml:space="preserve">[13]</w:t>
        </w:r>
      </w:hyperlink>
      <w:r>
        <w:t xml:space="preserve">. Reporting both the elasticity and the progress ratio lets a reader check the temporal claim in whichever metric they find more transparent, and it guards against the coefficient being read as a per-record forecast rather than a corpus-level summary.</w:t>
      </w:r>
    </w:p>
    <w:bookmarkEnd w:id="99"/>
    <w:bookmarkStart w:id="100" w:name="estimation-robustness-and-computation"/>
    <w:p>
      <w:pPr>
        <w:pStyle w:val="Heading2"/>
        <w:spacing w:line="480" w:lineRule="auto"/>
      </w:pPr>
      <w:r>
        <w:t xml:space="preserve">Estimation, robustness, and computation</w:t>
      </w:r>
    </w:p>
    <w:p>
      <w:pPr>
        <w:pStyle w:val="FirstParagraph"/>
        <w:spacing w:line="480" w:lineRule="auto"/>
      </w:pPr>
      <w:r>
        <w:t xml:space="preserve">Both models are estimated on the same thirty-record analysis file, with the outcome and predictors constructed exactly as Chapter 5 describes. The estimation is deterministic: there is no random seed, no resampling, and no tuning parameter, so the reported coefficients are the unique least-squares solution for the given data matrix. Robustness within the confines of a thirty-record sample is limited, and the chapter does not pretend otherwise. The most useful robustness check available is the internal consistency between the two papers, which draw on the same records but ask orthogonal questions, one cross-sectional and one temporal. Where the two paint a coherent picture, confidence rises modestly; where they diverge, the divergence is itself reported as information about the corpus rather than smoothed away</w:t>
      </w:r>
      <w:r>
        <w:t xml:space="preserve"> </w:t>
      </w:r>
      <w:hyperlink w:anchor="ref-5">
        <w:r>
          <w:rPr>
            <w:rStyle w:val="Hyperlink"/>
          </w:rPr>
          <w:t xml:space="preserve">[5]</w:t>
        </w:r>
      </w:hyperlink>
      <w:r>
        <w:t xml:space="preserve"> </w:t>
      </w:r>
      <w:hyperlink w:anchor="ref-7">
        <w:r>
          <w:rPr>
            <w:rStyle w:val="Hyperlink"/>
          </w:rPr>
          <w:t xml:space="preserve">[7]</w:t>
        </w:r>
      </w:hyperlink>
      <w:r>
        <w:t xml:space="preserve">. Chapter 6 turns to the numbers those procedures produce.</w:t>
      </w:r>
    </w:p>
    <w:p>
      <w:pPr>
        <w:pStyle w:val="BodyText"/>
        <w:spacing w:line="480" w:lineRule="auto"/>
        <w:ind w:firstLine="720"/>
      </w:pPr>
      <w:r>
        <w:t xml:space="preserve">A concluding word on the spirit of the method. The two estimators are simple by design, and the simplicity is a virtue rather than a limitation given the task. A more elaborate design could squeeze marginally more from thirty records, but it would do so by introducing choices, penalties, links, and tuning that a reader could not audit without re-running the analyst’s judgment</w:t>
      </w:r>
      <w:r>
        <w:t xml:space="preserve"> </w:t>
      </w:r>
      <w:hyperlink w:anchor="ref-1">
        <w:r>
          <w:rPr>
            <w:rStyle w:val="Hyperlink"/>
          </w:rPr>
          <w:t xml:space="preserve">[1]</w:t>
        </w:r>
      </w:hyperlink>
      <w:r>
        <w:t xml:space="preserve">. The dissertation trades that marginal power for complete transparency, on the view that a screen whose every step is checkable is worth more to a successor study than a screen that is slightly more efficient but partly opaque. The methodology chapter therefore ends as it began, with a defense of restraint: the right estimator for this task is the one a skeptic can fully reconstruct, and both papers were built to that specification</w:t>
      </w:r>
      <w:r>
        <w:t xml:space="preserve"> </w:t>
      </w:r>
      <w:hyperlink w:anchor="ref-4">
        <w:r>
          <w:rPr>
            <w:rStyle w:val="Hyperlink"/>
          </w:rPr>
          <w:t xml:space="preserve">[4]</w:t>
        </w:r>
      </w:hyperlink>
      <w:r>
        <w:t xml:space="preserve"> </w:t>
      </w:r>
      <w:hyperlink w:anchor="ref-14">
        <w:r>
          <w:rPr>
            <w:rStyle w:val="Hyperlink"/>
          </w:rPr>
          <w:t xml:space="preserve">[14]</w:t>
        </w:r>
      </w:hyperlink>
      <w:r>
        <w:t xml:space="preserve">.</w:t>
      </w:r>
    </w:p>
    <w:bookmarkEnd w:id="100"/>
    <w:bookmarkEnd w:id="101"/>
    <w:bookmarkStart w:id="113" w:name="chapter-5.-data-and-measurement"/>
    <w:p>
      <w:pPr>
        <w:pStyle w:val="Heading1"/>
        <w:spacing w:line="480" w:lineRule="auto"/>
      </w:pPr>
      <w:r>
        <w:t xml:space="preserve">Chapter 5. Data and Measurement</w:t>
      </w:r>
    </w:p>
    <w:p>
      <w:pPr>
        <w:pStyle w:val="FirstParagraph"/>
        <w:spacing w:line="480" w:lineRule="auto"/>
      </w:pPr>
      <w:r>
        <w:t xml:space="preserve">The data are the spine of this dissertation, and the design lives or dies on whether they are honestly described. This chapter documents the corpus: how the thirty records were retrieved, how each variable was built from them, where the raw sources sit, and what the descriptive shape of the data implies before any estimator runs. The governing principle is auditability. Every row carries a source column, every variable is a deterministic transformation of retained metadata, and nothing in the analysis file cannot be reconstructed from the records themselves.</w:t>
      </w:r>
    </w:p>
    <w:bookmarkStart w:id="102" w:name="the-corpus-and-its-provenance"/>
    <w:p>
      <w:pPr>
        <w:pStyle w:val="Heading2"/>
        <w:spacing w:line="480" w:lineRule="auto"/>
      </w:pPr>
      <w:r>
        <w:t xml:space="preserve">The corpus and its provenance</w:t>
      </w:r>
    </w:p>
    <w:p>
      <w:pPr>
        <w:pStyle w:val="FirstParagraph"/>
        <w:spacing w:line="480" w:lineRule="auto"/>
      </w:pPr>
      <w:r>
        <w:t xml:space="preserve">The analysis file contains thirty retrieved source records. They span three venue families and sixteen publication years, from 2010 to 2026, and they were assembled to fit the candidate topic rather than drawn as a probability sample of all space literature. That distinction is stated here because it governs how the inferential results in Chapter 6 may be read: the corpus supports description of its own structure, not projection to a wider universe</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Three groups make up the corpus. They are grouped by origin. The largest comprises operational conference proceedings, retrieved from the archival record of the space surveillance and conjunction-assessment community, covering the total-probability metric, operational risk management, tracking improvements, fragmentation identification, and Monte Carlo forecasting</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7">
        <w:r>
          <w:rPr>
            <w:rStyle w:val="Hyperlink"/>
          </w:rPr>
          <w:t xml:space="preserve">[7]</w:t>
        </w:r>
      </w:hyperlink>
      <w:r>
        <w:t xml:space="preserve">. A second group comprises peer-reviewed journal articles on constellation forecasting, staged deployment, active debris removal, geosynchronous collision likelihood, sensor-based debris estimation, and traffic-management coordination</w:t>
      </w:r>
      <w:r>
        <w:t xml:space="preserve"> </w:t>
      </w:r>
      <w:hyperlink w:anchor="ref-8">
        <w:r>
          <w:rPr>
            <w:rStyle w:val="Hyperlink"/>
          </w:rPr>
          <w:t xml:space="preserve">[8]</w:t>
        </w:r>
      </w:hyperlink>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hyperlink w:anchor="ref-12">
        <w:r>
          <w:rPr>
            <w:rStyle w:val="Hyperlink"/>
          </w:rPr>
          <w:t xml:space="preserve">[12]</w:t>
        </w:r>
      </w:hyperlink>
      <w:r>
        <w:t xml:space="preserve"> </w:t>
      </w:r>
      <w:hyperlink w:anchor="ref-13">
        <w:r>
          <w:rPr>
            <w:rStyle w:val="Hyperlink"/>
          </w:rPr>
          <w:t xml:space="preserve">[13]</w:t>
        </w:r>
      </w:hyperlink>
      <w:r>
        <w:t xml:space="preserve">. A third, smaller group comprises behavioral and economic working analyses that frame orbit as a common-pool resource and apply discounting and framing reasoning to operator behavior. Each record retains its source identifier, a conference URL for the proceedings and a digital object identifier for the journal articles, so the provenance of every observation is preserved and checkable.</w:t>
      </w:r>
    </w:p>
    <w:bookmarkEnd w:id="102"/>
    <w:bookmarkStart w:id="103" w:name="X867d32f50edad61433e46d902c09434addd1398"/>
    <w:p>
      <w:pPr>
        <w:pStyle w:val="Heading2"/>
        <w:spacing w:line="480" w:lineRule="auto"/>
      </w:pPr>
      <w:r>
        <w:t xml:space="preserve">Constructing the outcome: the topic-signal score</w:t>
      </w:r>
    </w:p>
    <w:p>
      <w:pPr>
        <w:pStyle w:val="FirstParagraph"/>
        <w:spacing w:line="480" w:lineRule="auto"/>
      </w:pPr>
      <w:r>
        <w:t xml:space="preserve">Start with the outcome. It is the composite topic-signal score. It is built deterministically by counting candidate-theme term hits across four fields of each record: the title, the snippet, the keyword field, and the author metadata. The four sub-counts are summed into a single index. Because the construction is a fixed rule applied to fixed text, the score is reproducible: the same record always yields the same score, and a reader can recompute any row by hand from the retained fields.</w:t>
      </w:r>
    </w:p>
    <w:p>
      <w:pPr>
        <w:pStyle w:val="BodyText"/>
        <w:spacing w:line="480" w:lineRule="auto"/>
        <w:ind w:firstLine="720"/>
      </w:pPr>
      <w:r>
        <w:t xml:space="preserve">The signal score ranges from one to eleven across the corpus, with a distribution that is neither symmetric nor heavily skewed. Records rich in candidate-theme vocabulary, such as the fragmentation-identification proceeding and the sensor-fusion journal article, sit near the top of the range</w:t>
      </w:r>
      <w:r>
        <w:t xml:space="preserve"> </w:t>
      </w:r>
      <w:hyperlink w:anchor="ref-6">
        <w:r>
          <w:rPr>
            <w:rStyle w:val="Hyperlink"/>
          </w:rPr>
          <w:t xml:space="preserve">[6]</w:t>
        </w:r>
      </w:hyperlink>
      <w:r>
        <w:t xml:space="preserve"> </w:t>
      </w:r>
      <w:hyperlink w:anchor="ref-12">
        <w:r>
          <w:rPr>
            <w:rStyle w:val="Hyperlink"/>
          </w:rPr>
          <w:t xml:space="preserve">[12]</w:t>
        </w:r>
      </w:hyperlink>
      <w:r>
        <w:t xml:space="preserve">. Records whose titles and keywords emphasize adjacent but distinct concerns, such as pure messaging-service constellation architecture, sit near the bottom</w:t>
      </w:r>
      <w:r>
        <w:t xml:space="preserve"> </w:t>
      </w:r>
      <w:hyperlink w:anchor="ref-15">
        <w:r>
          <w:rPr>
            <w:rStyle w:val="Hyperlink"/>
          </w:rPr>
          <w:t xml:space="preserve">[15]</w:t>
        </w:r>
      </w:hyperlink>
      <w:r>
        <w:t xml:space="preserve">. That spread is what the ordinary least squares model in Paper 1 attempts to explain, and its modest range at N = 30 is one reason the model’s fit is bounded rather than large.</w:t>
      </w:r>
    </w:p>
    <w:bookmarkEnd w:id="103"/>
    <w:bookmarkStart w:id="104" w:name="constructing-the-predictors"/>
    <w:p>
      <w:pPr>
        <w:pStyle w:val="Heading2"/>
        <w:spacing w:line="480" w:lineRule="auto"/>
      </w:pPr>
      <w:r>
        <w:t xml:space="preserve">Constructing the predictors</w:t>
      </w:r>
    </w:p>
    <w:p>
      <w:pPr>
        <w:pStyle w:val="FirstParagraph"/>
        <w:spacing w:line="480" w:lineRule="auto"/>
      </w:pPr>
      <w:r>
        <w:t xml:space="preserve">Three predictors enter Paper 1, and one enters Paper 2. Each is a transparent transformation of the retained metadata.</w:t>
      </w:r>
    </w:p>
    <w:p>
      <w:pPr>
        <w:pStyle w:val="BodyText"/>
        <w:spacing w:line="480" w:lineRule="auto"/>
        <w:ind w:firstLine="720"/>
      </w:pPr>
      <w:r>
        <w:t xml:space="preserve">The recency index measures how recent a record is relative to the earliest record in the sample. It is computed as the publication year minus the minimum publication year in the corpus plus one, so the 2010 records take the value one and the 2026 record takes the value seventeen. The transformation is monotonic and preserves the spacing between years, which is what the timing prediction in Chapter 3 requires.</w:t>
      </w:r>
    </w:p>
    <w:p>
      <w:pPr>
        <w:pStyle w:val="BodyText"/>
        <w:spacing w:line="480" w:lineRule="auto"/>
        <w:ind w:firstLine="720"/>
      </w:pPr>
      <w:r>
        <w:t xml:space="preserve">The citation count is the reported number of citations from the local index, parsed directly from the retrieved metadata and set to zero when the index reported no count. Its distribution is stark. The conference proceedings and the working analyses report zero citations in the local index, while the journal articles carry counts ranging from three to fifty-one, with the geosynchronous collision-likelihood article at the top</w:t>
      </w:r>
      <w:r>
        <w:t xml:space="preserve"> </w:t>
      </w:r>
      <w:hyperlink w:anchor="ref-13">
        <w:r>
          <w:rPr>
            <w:rStyle w:val="Hyperlink"/>
          </w:rPr>
          <w:t xml:space="preserve">[13]</w:t>
        </w:r>
      </w:hyperlink>
      <w:r>
        <w:t xml:space="preserve">. That concentration means the citation predictor is effectively a journal indicator crossed with a magnitude, and the dissertation flags that entanglement as a limit on how much the citation coefficient can bear.</w:t>
      </w:r>
    </w:p>
    <w:p>
      <w:pPr>
        <w:pStyle w:val="BodyText"/>
        <w:spacing w:line="480" w:lineRule="auto"/>
        <w:ind w:firstLine="720"/>
      </w:pPr>
      <w:r>
        <w:t xml:space="preserve">The venue-family score is an ordinal code with three levels: the operational conference proceedings score one, the peer-reviewed journal articles score two, and the behavioral and economic working analyses score three. The ordering is deliberate but should not be over-read as an interval scale. It captures a rough movement from operational to archival to institutional-theoretic venues, and the regression treats it as a single ordered predictor rather than as a set of indicators, which is a modeling economy that the small sample makes necessary</w:t>
      </w:r>
      <w:r>
        <w:t xml:space="preserve"> </w:t>
      </w:r>
      <w:hyperlink w:anchor="ref-3">
        <w:r>
          <w:rPr>
            <w:rStyle w:val="Hyperlink"/>
          </w:rPr>
          <w:t xml:space="preserve">[3]</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The age index used in Paper 2 is a distinct temporal transformation. It is computed as 2026 minus the publication year plus one, so the 2026 record takes the value one and the 2010 records take the value seventeen. Age and recency are mechanically related, being reflections of the same publication year around different anchors, but they enter different models with different outcomes, and keeping them separate preserves the clean interpretation of each estimator.</w:t>
      </w:r>
    </w:p>
    <w:bookmarkEnd w:id="104"/>
    <w:bookmarkStart w:id="105" w:name="X55a33b2144e1dfcf827a57e48f32fa33b249522"/>
    <w:p>
      <w:pPr>
        <w:pStyle w:val="Heading2"/>
        <w:spacing w:line="480" w:lineRule="auto"/>
      </w:pPr>
      <w:r>
        <w:t xml:space="preserve">The citation-plus-one transform and the log domain</w:t>
      </w:r>
    </w:p>
    <w:p>
      <w:pPr>
        <w:pStyle w:val="FirstParagraph"/>
        <w:spacing w:line="480" w:lineRule="auto"/>
      </w:pPr>
      <w:r>
        <w:t xml:space="preserve">Paper 2 requires a logarithm of the citation count, and most records in the corpus are uncited in the local index, so a raw log is undefined for them. The standard remedy is applied: the outcome is the citation count plus one, which maps every uncited record to a defined value of zero on the log scale and preserves the ordering of the cited records. The transform is not cosmetic. It determines how the many zero-citation proceedings enter the learning-curve fit, and it is one reason the estimated age elasticity is negative: the uncited older proceedings pull the log-citation surface down at the high-age end, while the well-cited recent journal articles lift it at the low-age end</w:t>
      </w:r>
      <w:r>
        <w:t xml:space="preserve"> </w:t>
      </w:r>
      <w:hyperlink w:anchor="ref-7">
        <w:r>
          <w:rPr>
            <w:rStyle w:val="Hyperlink"/>
          </w:rPr>
          <w:t xml:space="preserve">[7]</w:t>
        </w:r>
      </w:hyperlink>
      <w:r>
        <w:t xml:space="preserve"> </w:t>
      </w:r>
      <w:hyperlink w:anchor="ref-13">
        <w:r>
          <w:rPr>
            <w:rStyle w:val="Hyperlink"/>
          </w:rPr>
          <w:t xml:space="preserve">[13]</w:t>
        </w:r>
      </w:hyperlink>
      <w:r>
        <w:t xml:space="preserve">.</w:t>
      </w:r>
    </w:p>
    <w:bookmarkEnd w:id="105"/>
    <w:bookmarkStart w:id="106" w:name="X3c8935ee7105c57d217b8efcdc81be76edb3e46"/>
    <w:p>
      <w:pPr>
        <w:pStyle w:val="Heading2"/>
        <w:spacing w:line="480" w:lineRule="auto"/>
      </w:pPr>
      <w:r>
        <w:t xml:space="preserve">Descriptive shape and what it foreshadows</w:t>
      </w:r>
    </w:p>
    <w:p>
      <w:pPr>
        <w:pStyle w:val="FirstParagraph"/>
        <w:spacing w:line="480" w:lineRule="auto"/>
      </w:pPr>
      <w:r>
        <w:t xml:space="preserve">Before any coefficient is read, the descriptive shape of the corpus tells a coherent story. The operational proceedings are older, uncited in the local index, and moderately high in topic signal, because they use the candidate-theme vocabulary heavily even though the index does not track their citations</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5">
        <w:r>
          <w:rPr>
            <w:rStyle w:val="Hyperlink"/>
          </w:rPr>
          <w:t xml:space="preserve">[5]</w:t>
        </w:r>
      </w:hyperlink>
      <w:r>
        <w:t xml:space="preserve">. The journal articles are newer, carry the only nonzero citation counts, and vary widely in topic signal depending on how central coordination is to their subject</w:t>
      </w:r>
      <w:r>
        <w:t xml:space="preserve"> </w:t>
      </w:r>
      <w:hyperlink w:anchor="ref-8">
        <w:r>
          <w:rPr>
            <w:rStyle w:val="Hyperlink"/>
          </w:rPr>
          <w:t xml:space="preserve">[8]</w:t>
        </w:r>
      </w:hyperlink>
      <w:r>
        <w:t xml:space="preserve"> </w:t>
      </w:r>
      <w:hyperlink w:anchor="ref-10">
        <w:r>
          <w:rPr>
            <w:rStyle w:val="Hyperlink"/>
          </w:rPr>
          <w:t xml:space="preserve">[10]</w:t>
        </w:r>
      </w:hyperlink>
      <w:r>
        <w:t xml:space="preserve"> </w:t>
      </w:r>
      <w:hyperlink w:anchor="ref-11">
        <w:r>
          <w:rPr>
            <w:rStyle w:val="Hyperlink"/>
          </w:rPr>
          <w:t xml:space="preserve">[11]</w:t>
        </w:r>
      </w:hyperlink>
      <w:r>
        <w:t xml:space="preserve">. The working analyses are recent, uncited in the index, and coded to the highest venue level.</w:t>
      </w:r>
    </w:p>
    <w:p>
      <w:pPr>
        <w:pStyle w:val="BodyText"/>
        <w:spacing w:line="480" w:lineRule="auto"/>
        <w:ind w:firstLine="720"/>
      </w:pPr>
      <w:r>
        <w:t xml:space="preserve">Two features of that shape foreshadow the results. First, venue family is correlated with both recency and citation count, which is exactly why the multivariate regression is needed to separate their contributions rather than reading any bivariate pattern at face value. Second, the citation counts are so concentrated in the journal group that the citation predictor and the venue-two records nearly coincide, which will show up in Chapter 6 as an imprecise citation coefficient. The data, in other words, were built to be honest about their own limits, and those limits are visible in the descriptive statistics before the estimator confirms them</w:t>
      </w:r>
      <w:r>
        <w:t xml:space="preserve"> </w:t>
      </w:r>
      <w:hyperlink w:anchor="ref-4">
        <w:r>
          <w:rPr>
            <w:rStyle w:val="Hyperlink"/>
          </w:rPr>
          <w:t xml:space="preserve">[4]</w:t>
        </w:r>
      </w:hyperlink>
      <w:r>
        <w:t xml:space="preserve"> </w:t>
      </w:r>
      <w:hyperlink w:anchor="ref-6">
        <w:r>
          <w:rPr>
            <w:rStyle w:val="Hyperlink"/>
          </w:rPr>
          <w:t xml:space="preserve">[6]</w:t>
        </w:r>
      </w:hyperlink>
      <w:r>
        <w:t xml:space="preserve"> </w:t>
      </w:r>
      <w:hyperlink w:anchor="ref-14">
        <w:r>
          <w:rPr>
            <w:rStyle w:val="Hyperlink"/>
          </w:rPr>
          <w:t xml:space="preserve">[14]</w:t>
        </w:r>
      </w:hyperlink>
      <w:r>
        <w:t xml:space="preserve">.</w:t>
      </w:r>
    </w:p>
    <w:bookmarkEnd w:id="106"/>
    <w:bookmarkStart w:id="107" w:name="Xb0d8a13dd1b93a72a10a8caa191bd5fff141f5e"/>
    <w:p>
      <w:pPr>
        <w:pStyle w:val="Heading2"/>
        <w:spacing w:line="480" w:lineRule="auto"/>
      </w:pPr>
      <w:r>
        <w:t xml:space="preserve">The three venue families as measurement anchors</w:t>
      </w:r>
    </w:p>
    <w:p>
      <w:pPr>
        <w:pStyle w:val="FirstParagraph"/>
        <w:spacing w:line="480" w:lineRule="auto"/>
      </w:pPr>
      <w:r>
        <w:t xml:space="preserve">The venue-family score does more work than a simple control variable, so it deserves a closer look at what each level anchors. Level one, the operational proceedings, is where the field records its practice: the total-probability metric, the operational risk-management procedures, the tracking-improvement studies, the fragmentation-identification methods</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These records are written by and for practitioners, they privilege the payable, near-term decision, and they are uncited in the local index regardless of their operational influence. Level two, the journal articles, is where the field records its research: constellation forecasting, staged deployment, removal optimization, geosynchronous risk, sensor fusion</w:t>
      </w:r>
      <w:r>
        <w:t xml:space="preserve"> </w:t>
      </w:r>
      <w:hyperlink w:anchor="ref-8">
        <w:r>
          <w:rPr>
            <w:rStyle w:val="Hyperlink"/>
          </w:rPr>
          <w:t xml:space="preserve">[8]</w:t>
        </w:r>
      </w:hyperlink>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13">
        <w:r>
          <w:rPr>
            <w:rStyle w:val="Hyperlink"/>
          </w:rPr>
          <w:t xml:space="preserve">[13]</w:t>
        </w:r>
      </w:hyperlink>
      <w:r>
        <w:t xml:space="preserve">. These are peer-reviewed, carry the corpus’s only nonzero citation counts, and range widely in how central coordination is to their subject. Level three, the working analyses, is where the field records its theory, applying economic and institutional reasoning to orbit.</w:t>
      </w:r>
    </w:p>
    <w:p>
      <w:pPr>
        <w:pStyle w:val="BodyText"/>
        <w:spacing w:line="480" w:lineRule="auto"/>
        <w:ind w:firstLine="720"/>
      </w:pPr>
      <w:r>
        <w:t xml:space="preserve">Reading the venue score as an anchor rather than a mere ordinal clarifies why its coefficient carries the dissertation’s headline. A movement up the scale is a movement across modes of knowledge production, from practice through research to theory, and the topic-signal score’s variation across that movement is a statement about where in the field’s division of labor the coordination theme concentrates. That interpretive weight is why Chapter 4 examines the linearity assumption on the venue term so carefully, and why Chapter 7 treats the venue coefficient as consistent with, but not proof of, the behavioral mechanism</w:t>
      </w:r>
      <w:r>
        <w:t xml:space="preserve"> </w:t>
      </w:r>
      <w:hyperlink w:anchor="ref-3">
        <w:r>
          <w:rPr>
            <w:rStyle w:val="Hyperlink"/>
          </w:rPr>
          <w:t xml:space="preserve">[3]</w:t>
        </w:r>
      </w:hyperlink>
      <w:r>
        <w:t xml:space="preserve"> </w:t>
      </w:r>
      <w:hyperlink w:anchor="ref-11">
        <w:r>
          <w:rPr>
            <w:rStyle w:val="Hyperlink"/>
          </w:rPr>
          <w:t xml:space="preserve">[11]</w:t>
        </w:r>
      </w:hyperlink>
      <w:r>
        <w:t xml:space="preserve">.</w:t>
      </w:r>
    </w:p>
    <w:bookmarkEnd w:id="107"/>
    <w:bookmarkStart w:id="108" w:name="X9731e68222cd3da561282feacb58e86b77241be"/>
    <w:p>
      <w:pPr>
        <w:pStyle w:val="Heading2"/>
        <w:spacing w:line="480" w:lineRule="auto"/>
      </w:pPr>
      <w:r>
        <w:t xml:space="preserve">Retrieval and the boundaries of the corpus</w:t>
      </w:r>
    </w:p>
    <w:p>
      <w:pPr>
        <w:pStyle w:val="FirstParagraph"/>
        <w:spacing w:line="480" w:lineRule="auto"/>
      </w:pPr>
      <w:r>
        <w:t xml:space="preserve">The corpus was retrieved, not sampled. That distinction shapes everything that can be claimed from it. Retrieval selects records for fit to the candidate theme, which is appropriate for a screen whose purpose is to characterize the structure of the relevant literature, but which forecloses inference to the population of all space literature. A record’s presence in the corpus reflects both its relevance and the reach of the retrieval, and neither is a random process. The dissertation treats the thirty records as the object of study, a defined and inspectable set, rather than as a sample standing in for a larger unseen whole</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venue families were not chosen arbitrarily; they correspond to three genuinely different modes of knowledge production in this field. The operational proceedings document what practitioners do, written by the analysts who run conjunction assessment at operations centers, and they privilege procedure and metric over theory</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5">
        <w:r>
          <w:rPr>
            <w:rStyle w:val="Hyperlink"/>
          </w:rPr>
          <w:t xml:space="preserve">[5]</w:t>
        </w:r>
      </w:hyperlink>
      <w:r>
        <w:t xml:space="preserve">. The journal articles document what researchers establish, subject to peer review, and they span the technical range from sensor fusion to removal optimization to traffic-management coordination</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hyperlink w:anchor="ref-12">
        <w:r>
          <w:rPr>
            <w:rStyle w:val="Hyperlink"/>
          </w:rPr>
          <w:t xml:space="preserve">[12]</w:t>
        </w:r>
      </w:hyperlink>
      <w:r>
        <w:t xml:space="preserve">. The working analyses document what theorists propose, applying economic and institutional reasoning to orbit without the operational or peer-review constraints of the other two families. Coding these into an ordinal scale compresses a real three-way distinction, and the compression is a deliberate, disclosed simplification.</w:t>
      </w:r>
    </w:p>
    <w:bookmarkEnd w:id="108"/>
    <w:bookmarkStart w:id="109" w:name="edge-cases-in-variable-construction"/>
    <w:p>
      <w:pPr>
        <w:pStyle w:val="Heading2"/>
        <w:spacing w:line="480" w:lineRule="auto"/>
      </w:pPr>
      <w:r>
        <w:t xml:space="preserve">Edge cases in variable construction</w:t>
      </w:r>
    </w:p>
    <w:p>
      <w:pPr>
        <w:pStyle w:val="FirstParagraph"/>
        <w:spacing w:line="480" w:lineRule="auto"/>
      </w:pPr>
      <w:r>
        <w:t xml:space="preserve">Honest measurement documents the awkward rows too. Three edge cases deserve explicit treatment.</w:t>
      </w:r>
    </w:p>
    <w:p>
      <w:pPr>
        <w:pStyle w:val="BodyText"/>
        <w:spacing w:line="480" w:lineRule="auto"/>
        <w:ind w:firstLine="720"/>
      </w:pPr>
      <w:r>
        <w:t xml:space="preserve">The first is the near-duplicate pair among the operational proceedings: two records of the same tracking-improvement study, differing only in a minor title variation</w:t>
      </w:r>
      <w:r>
        <w:t xml:space="preserve"> </w:t>
      </w:r>
      <w:hyperlink w:anchor="ref-5">
        <w:r>
          <w:rPr>
            <w:rStyle w:val="Hyperlink"/>
          </w:rPr>
          <w:t xml:space="preserve">[5]</w:t>
        </w:r>
      </w:hyperlink>
      <w:r>
        <w:t xml:space="preserve">. Both were retained rather than merged, because merging would alter the corpus and break the one-to-one correspondence between rows and retrieved records that the design depends on. Their retention slightly reduces the effective independence of the sample, a limitation carried forward to Chapter 4’s treatment of the error structure and Chapter 7’s threats to validity.</w:t>
      </w:r>
    </w:p>
    <w:p>
      <w:pPr>
        <w:pStyle w:val="BodyText"/>
        <w:spacing w:line="480" w:lineRule="auto"/>
        <w:ind w:firstLine="720"/>
      </w:pPr>
      <w:r>
        <w:t xml:space="preserve">The second is the set of records whose source column is a descriptive string rather than a resolvable identifier, the behavioral working analyses that exist as unpublished proposals and presentations rather than as indexed publications. These carry the highest venue-family score and a citation count of zero in the local index, not because they lack influence but because the index does not track their kind of document. The dissertation records them faithfully, with their descriptive provenance intact, and it flags in Chapter 7 that their zero citation counts are an artifact of coverage rather than a measure of neglect.</w:t>
      </w:r>
    </w:p>
    <w:p>
      <w:pPr>
        <w:pStyle w:val="BodyText"/>
        <w:spacing w:line="480" w:lineRule="auto"/>
        <w:ind w:firstLine="720"/>
      </w:pPr>
      <w:r>
        <w:t xml:space="preserve">The third is the single record whose signal score of zero-theme-hits produces the floor of the outcome distribution, a messaging-architecture journal article whose subject is adjacent to but distinct from the coordination theme</w:t>
      </w:r>
      <w:r>
        <w:t xml:space="preserve"> </w:t>
      </w:r>
      <w:hyperlink w:anchor="ref-15">
        <w:r>
          <w:rPr>
            <w:rStyle w:val="Hyperlink"/>
          </w:rPr>
          <w:t xml:space="preserve">[15]</w:t>
        </w:r>
      </w:hyperlink>
      <w:r>
        <w:t xml:space="preserve">. Its low score is correct: the record genuinely engages the candidate theme only glancingly. Retaining it rather than filtering it preserves the honest spread of the outcome and prevents the corpus from being quietly curated toward the hypothesis.</w:t>
      </w:r>
    </w:p>
    <w:bookmarkEnd w:id="109"/>
    <w:bookmarkStart w:id="110" w:name="X53b967853863e9a2b2ee2f5097808409eaf783b"/>
    <w:p>
      <w:pPr>
        <w:pStyle w:val="Heading2"/>
        <w:spacing w:line="480" w:lineRule="auto"/>
      </w:pPr>
      <w:r>
        <w:t xml:space="preserve">The distribution of each variable in detail</w:t>
      </w:r>
    </w:p>
    <w:p>
      <w:pPr>
        <w:pStyle w:val="FirstParagraph"/>
        <w:spacing w:line="480" w:lineRule="auto"/>
      </w:pPr>
      <w:r>
        <w:t xml:space="preserve">A dissertation that leans on thirty records should describe their distribution closely enough that a reader can picture the data. The publication years cluster in two regions. The operational proceedings spread across 2010 through 2018, with the two 2010 tracking-improvement records at the early edge and the fragmentation-identification record at 2018</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 journal articles concentrate in the recent window, 2018 through 2026, with the geosynchronous assessment at 2018 and the launch-traffic forecast at 2026</w:t>
      </w:r>
      <w:r>
        <w:t xml:space="preserve"> </w:t>
      </w:r>
      <w:hyperlink w:anchor="ref-8">
        <w:r>
          <w:rPr>
            <w:rStyle w:val="Hyperlink"/>
          </w:rPr>
          <w:t xml:space="preserve">[8]</w:t>
        </w:r>
      </w:hyperlink>
      <w:r>
        <w:t xml:space="preserve"> </w:t>
      </w:r>
      <w:hyperlink w:anchor="ref-13">
        <w:r>
          <w:rPr>
            <w:rStyle w:val="Hyperlink"/>
          </w:rPr>
          <w:t xml:space="preserve">[13]</w:t>
        </w:r>
      </w:hyperlink>
      <w:r>
        <w:t xml:space="preserve">. The working analyses sit in a single year band. The recency and age indices are therefore not smoothly spread; they are bimodal, with an older proceedings mode and a newer journal-and-analysis mode, and that bimodality is what correlates the temporal indices with venue family.</w:t>
      </w:r>
    </w:p>
    <w:p>
      <w:pPr>
        <w:pStyle w:val="BodyText"/>
        <w:spacing w:line="480" w:lineRule="auto"/>
        <w:ind w:firstLine="720"/>
      </w:pPr>
      <w:r>
        <w:t xml:space="preserve">Citation counts are the most skewed variable in the corpus. The mode is zero, held by every proceeding and every working analysis, and the nonzero counts belong entirely to the journal group, ranging from three to fifty-one</w:t>
      </w:r>
      <w:r>
        <w:t xml:space="preserve"> </w:t>
      </w:r>
      <w:hyperlink w:anchor="ref-13">
        <w:r>
          <w:rPr>
            <w:rStyle w:val="Hyperlink"/>
          </w:rPr>
          <w:t xml:space="preserve">[13]</w:t>
        </w:r>
      </w:hyperlink>
      <w:r>
        <w:t xml:space="preserve">. The mean is pulled well above the median by the single highly-cited geosynchronous record, and the distribution has the long right tail typical of citation data. This shape is why the citation predictor in Paper 1 is effectively a journal indicator interacted with a magnitude, and why Paper 2’s log-plus-one transform is necessary before the counts can enter a logarithmic model at all</w:t>
      </w:r>
      <w:r>
        <w:t xml:space="preserve"> </w:t>
      </w:r>
      <w:hyperlink w:anchor="ref-7">
        <w:r>
          <w:rPr>
            <w:rStyle w:val="Hyperlink"/>
          </w:rPr>
          <w:t xml:space="preserve">[7]</w:t>
        </w:r>
      </w:hyperlink>
      <w:r>
        <w:t xml:space="preserve">.</w:t>
      </w:r>
    </w:p>
    <w:p>
      <w:pPr>
        <w:pStyle w:val="BodyText"/>
        <w:spacing w:line="480" w:lineRule="auto"/>
        <w:ind w:firstLine="720"/>
      </w:pPr>
      <w:r>
        <w:t xml:space="preserve">The signal score is the best-behaved of the variables, spread across its one-to-eleven range without a dominant mode or an extreme tail. Records engaging the coordination theme heavily, the fragmentation-identification proceeding and the sensor-fusion article, anchor the high end; records engaging it glancingly, the messaging-architecture article, anchor the low end</w:t>
      </w:r>
      <w:r>
        <w:t xml:space="preserve"> </w:t>
      </w:r>
      <w:hyperlink w:anchor="ref-6">
        <w:r>
          <w:rPr>
            <w:rStyle w:val="Hyperlink"/>
          </w:rPr>
          <w:t xml:space="preserve">[6]</w:t>
        </w:r>
      </w:hyperlink>
      <w:r>
        <w:t xml:space="preserve"> </w:t>
      </w:r>
      <w:hyperlink w:anchor="ref-12">
        <w:r>
          <w:rPr>
            <w:rStyle w:val="Hyperlink"/>
          </w:rPr>
          <w:t xml:space="preserve">[12]</w:t>
        </w:r>
      </w:hyperlink>
      <w:r>
        <w:t xml:space="preserve"> </w:t>
      </w:r>
      <w:hyperlink w:anchor="ref-15">
        <w:r>
          <w:rPr>
            <w:rStyle w:val="Hyperlink"/>
          </w:rPr>
          <w:t xml:space="preserve">[15]</w:t>
        </w:r>
      </w:hyperlink>
      <w:r>
        <w:t xml:space="preserve">. That spread is what gives Paper 1 something to explain, and its moderate range is one reason the model’s fit is bounded rather than large. The venue-family score, by contrast, takes only three values by construction, and its distribution reflects the corpus composition: the largest group is the operational proceedings at level one, a substantial group of journal articles at level two, and a smaller cluster of working analyses at level three.</w:t>
      </w:r>
    </w:p>
    <w:bookmarkEnd w:id="110"/>
    <w:bookmarkStart w:id="111" w:name="reproducibility-of-the-analysis-file"/>
    <w:p>
      <w:pPr>
        <w:pStyle w:val="Heading2"/>
        <w:spacing w:line="480" w:lineRule="auto"/>
      </w:pPr>
      <w:r>
        <w:t xml:space="preserve">Reproducibility of the analysis file</w:t>
      </w:r>
    </w:p>
    <w:p>
      <w:pPr>
        <w:pStyle w:val="FirstParagraph"/>
        <w:spacing w:line="480" w:lineRule="auto"/>
      </w:pPr>
      <w:r>
        <w:t xml:space="preserve">The analysis file is the object that makes the whole design checkable, and its construction deserves a note. Each row corresponds to exactly one retrieved record, joined to the deterministic feature columns computed from that record’s metadata. There is no aggregation, no imputation, and no dropped observation between the retrieved records and the estimation matrix, so the file is a faithful, one-to-one representation of the corpus. A reader can open it, read the source column of any row, retrieve the underlying record, and recompute every feature by applying the documented rules</w:t>
      </w:r>
      <w:r>
        <w:t xml:space="preserve"> </w:t>
      </w:r>
      <w:hyperlink w:anchor="ref-1">
        <w:r>
          <w:rPr>
            <w:rStyle w:val="Hyperlink"/>
          </w:rPr>
          <w:t xml:space="preserve">[1]</w:t>
        </w:r>
      </w:hyperlink>
      <w:r>
        <w:t xml:space="preserve"> </w:t>
      </w:r>
      <w:hyperlink w:anchor="ref-2">
        <w:r>
          <w:rPr>
            <w:rStyle w:val="Hyperlink"/>
          </w:rPr>
          <w:t xml:space="preserve">[2]</w:t>
        </w:r>
      </w:hyperlink>
      <w:r>
        <w:t xml:space="preserve">. That property is not a convenience; it is the concrete mechanism by which the dissertation’s claim to auditability is redeemed, and it is why the descriptive statistics above can be trusted to describe the same data the estimators consumed</w:t>
      </w:r>
      <w:r>
        <w:t xml:space="preserve"> </w:t>
      </w:r>
      <w:hyperlink w:anchor="ref-4">
        <w:r>
          <w:rPr>
            <w:rStyle w:val="Hyperlink"/>
          </w:rPr>
          <w:t xml:space="preserve">[4]</w:t>
        </w:r>
      </w:hyperlink>
      <w:r>
        <w:t xml:space="preserve"> </w:t>
      </w:r>
      <w:hyperlink w:anchor="ref-13">
        <w:r>
          <w:rPr>
            <w:rStyle w:val="Hyperlink"/>
          </w:rPr>
          <w:t xml:space="preserve">[13]</w:t>
        </w:r>
      </w:hyperlink>
      <w:r>
        <w:t xml:space="preserve">.</w:t>
      </w:r>
    </w:p>
    <w:bookmarkEnd w:id="111"/>
    <w:bookmarkStart w:id="112" w:name="provenance-as-a-design-commitment"/>
    <w:p>
      <w:pPr>
        <w:pStyle w:val="Heading2"/>
        <w:spacing w:line="480" w:lineRule="auto"/>
      </w:pPr>
      <w:r>
        <w:t xml:space="preserve">Provenance as a design commitment</w:t>
      </w:r>
    </w:p>
    <w:p>
      <w:pPr>
        <w:pStyle w:val="FirstParagraph"/>
        <w:spacing w:line="480" w:lineRule="auto"/>
      </w:pPr>
      <w:r>
        <w:t xml:space="preserve">The source column is not clerical. It is the mechanism by which the whole design remains falsifiable. A reader who doubts a coefficient can pull the underlying records, recompute the signal score from the retained fields, recheck the venue coding against the actual publication venue, and confirm the citation count against the local index</w:t>
      </w:r>
      <w:r>
        <w:t xml:space="preserve"> </w:t>
      </w:r>
      <w:hyperlink w:anchor="ref-2">
        <w:r>
          <w:rPr>
            <w:rStyle w:val="Hyperlink"/>
          </w:rPr>
          <w:t xml:space="preserve">[2]</w:t>
        </w:r>
      </w:hyperlink>
      <w:r>
        <w:t xml:space="preserve"> </w:t>
      </w:r>
      <w:hyperlink w:anchor="ref-13">
        <w:r>
          <w:rPr>
            <w:rStyle w:val="Hyperlink"/>
          </w:rPr>
          <w:t xml:space="preserve">[13]</w:t>
        </w:r>
      </w:hyperlink>
      <w:r>
        <w:t xml:space="preserve">. Behavioral claims about fields are unusually vulnerable to a gap between the pattern asserted and the evidence retained, and preserving provenance for all thirty records closes that gap. The dataset is small enough to be checked by hand and structured so that checking is invited rather than obstructed, which is the concrete form the dissertation’s commitment to auditability takes</w:t>
      </w:r>
      <w:r>
        <w:t xml:space="preserve"> </w:t>
      </w:r>
      <w:hyperlink w:anchor="ref-6">
        <w:r>
          <w:rPr>
            <w:rStyle w:val="Hyperlink"/>
          </w:rPr>
          <w:t xml:space="preserve">[6]</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Taken together, the data chapter delivers a clear picture of what the estimators in Chapter 6 will be working with: thirty records, three venue families, a bimodal spread of publication years, a heavily skewed citation distribution concentrated in the journal group, and a moderately spread signal score that gives the cross-sectional model something to explain</w:t>
      </w:r>
      <w:r>
        <w:t xml:space="preserve"> </w:t>
      </w:r>
      <w:hyperlink w:anchor="ref-1">
        <w:r>
          <w:rPr>
            <w:rStyle w:val="Hyperlink"/>
          </w:rPr>
          <w:t xml:space="preserve">[1]</w:t>
        </w:r>
      </w:hyperlink>
      <w:r>
        <w:t xml:space="preserve"> </w:t>
      </w:r>
      <w:hyperlink w:anchor="ref-13">
        <w:r>
          <w:rPr>
            <w:rStyle w:val="Hyperlink"/>
          </w:rPr>
          <w:t xml:space="preserve">[13]</w:t>
        </w:r>
      </w:hyperlink>
      <w:r>
        <w:t xml:space="preserve">. Every one of these features shapes a result reported later, and each was documented here so that no result arrives as a surprise divorced from its data. The descriptive shape and the estimator output are two views of the same thirty records, and the honesty of the second depends entirely on the candor of the first</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12"/>
    <w:bookmarkEnd w:id="113"/>
    <w:bookmarkStart w:id="122" w:name="chapter-6.-results"/>
    <w:p>
      <w:pPr>
        <w:pStyle w:val="Heading1"/>
        <w:spacing w:line="480" w:lineRule="auto"/>
      </w:pPr>
      <w:r>
        <w:t xml:space="preserve">Chapter 6. Results</w:t>
      </w:r>
    </w:p>
    <w:p>
      <w:pPr>
        <w:pStyle w:val="FirstParagraph"/>
        <w:spacing w:line="480" w:lineRule="auto"/>
      </w:pPr>
      <w:r>
        <w:t xml:space="preserve">This chapter reports the exact output of the two empirical workbooks and interprets the signs and magnitudes without embellishment. The numbers are the numbers. Where a coefficient is signed and precise, the chapter reads it as structure inside the retained corpus. Where a coefficient is imprecise, the chapter reads that imprecision as evidence about the limits of the present data, exactly as Chapters 3 and 4 committed it to do</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Start w:id="114" w:name="Xf5c33cc6e22811d11feeb7ade9a99a4cc762057"/>
    <w:p>
      <w:pPr>
        <w:pStyle w:val="Heading2"/>
        <w:spacing w:line="480" w:lineRule="auto"/>
      </w:pPr>
      <w:r>
        <w:t xml:space="preserve">Paper 1: cross-sectional structure in topic-signal intensity</w:t>
      </w:r>
    </w:p>
    <w:p>
      <w:pPr>
        <w:pStyle w:val="FirstParagraph"/>
        <w:spacing w:line="480" w:lineRule="auto"/>
      </w:pPr>
      <w:r>
        <w:t xml:space="preserve">Paper 1 estimates the ordinary least squares model of topic-signal intensity on recency, citation attention, and venue family, with robust HC1 standard errors, on the thirty-record analysis file. The model fit is N = 30, R2 = 0.2249817232517901, adjusted R2 = 0.13555653747315044, F = 3.127415430775816, and F p = 0.0428443372544313. The model as a whole is significant at the five percent level, and it accounts for about twenty-two percent of the variation in the signal score, with the adjusted figure near fourteen percent once the three predictors are penalized. That is a modest fit, and the chapter treats it that way: the model captures real but partial structure.</w:t>
      </w:r>
    </w:p>
    <w:p>
      <w:pPr>
        <w:pStyle w:val="BodyText"/>
        <w:spacing w:line="480" w:lineRule="auto"/>
        <w:ind w:firstLine="720"/>
      </w:pPr>
      <w:r>
        <w:t xml:space="preserve">The term-level estimates are as follows. The constant has coefficient 9.148956973586426 with p = 2.227366180967969e-13. The recency index has coefficient -0.10961106466088699 with p = 0.3481901224771049. The citation count has coefficient 0.009911781968198145 with p = 0.7826032306208792. The venue-family score has coefficient -1.403598489068677 with p = 0.04117100217212011.</w:t>
      </w:r>
    </w:p>
    <w:p>
      <w:pPr>
        <w:pStyle w:val="BodyText"/>
        <w:spacing w:line="480" w:lineRule="auto"/>
        <w:ind w:firstLine="720"/>
      </w:pPr>
      <w:r>
        <w:t xml:space="preserve">Read term by term, the model delivers one precise result and two imprecise ones, which is a structured pattern rather than a null. The constant is precise to an extreme degree, but a constant near nine simply anchors the fitted signal score at the baseline levels of the predictors and carries no behavioral content on its own. The substantive story is in the three slopes.</w:t>
      </w:r>
    </w:p>
    <w:p>
      <w:pPr>
        <w:pStyle w:val="BodyText"/>
        <w:spacing w:line="480" w:lineRule="auto"/>
        <w:ind w:firstLine="720"/>
      </w:pPr>
      <w:r>
        <w:t xml:space="preserve">The venue-family coefficient is the headline. It is negative. Its point estimate is about -1.40, and it is precise at the five percent level with p just above 0.041. The sign matters for the mechanism. Moving up the venue scale, from the operational conference proceedings at level one, through the archival journal articles at level two, toward the behavioral working analyses at level three, is associated with a lower topic-signal score, by roughly 1.40 points per venue step, holding recency and citation attention fixed. In plain terms, the candidate theme appears most intensely in the operational venues and less intensely as the corpus moves toward the economics-facing venues</w:t>
      </w:r>
      <w:r>
        <w:t xml:space="preserve"> </w:t>
      </w:r>
      <w:hyperlink w:anchor="ref-3">
        <w:r>
          <w:rPr>
            <w:rStyle w:val="Hyperlink"/>
          </w:rPr>
          <w:t xml:space="preserve">[3]</w:t>
        </w:r>
      </w:hyperlink>
      <w:r>
        <w:t xml:space="preserve"> </w:t>
      </w:r>
      <w:hyperlink w:anchor="ref-11">
        <w:r>
          <w:rPr>
            <w:rStyle w:val="Hyperlink"/>
          </w:rPr>
          <w:t xml:space="preserve">[11]</w:t>
        </w:r>
      </w:hyperlink>
      <w:r>
        <w:t xml:space="preserve">. Chapter 3 left this prediction two-sided on purpose, and the data resolve it toward the operational end: the coordination theme lives closest to the maneuver decision, not to the institutional theory that interprets it.</w:t>
      </w:r>
    </w:p>
    <w:p>
      <w:pPr>
        <w:pStyle w:val="BodyText"/>
        <w:spacing w:line="480" w:lineRule="auto"/>
        <w:ind w:firstLine="720"/>
      </w:pPr>
      <w:r>
        <w:t xml:space="preserve">The recency coefficient is negative and imprecise. Its point estimate of about -0.11 would, taken literally, say that more recent records carry slightly less topic signal, but with p near 0.35 the coefficient is indistinguishable from zero, and the dissertation declines to read a temporal trend from it. The timing prediction of Chapter 3 is not visible at this corpus size. That is a genuine finding about the data rather than a disappointment to be explained away: with thirty records spanning sixteen years, the recency link the mechanism predicts does not surface once venue and citation are held fixed</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citation coefficient is positive, tiny, and the least precise of the three. Its point estimate of about 0.0099 with p near 0.78 sits squarely at zero. The chapter had warned in Chapter 5 that citation counts in this corpus are almost perfectly confounded with the journal venue group, since only the journal articles carry nonzero counts, and the imprecise coefficient is that warning realized. The attention proxy is too weak to carry the argument, and the model correctly refuses to let it</w:t>
      </w:r>
      <w:r>
        <w:t xml:space="preserve"> </w:t>
      </w:r>
      <w:hyperlink w:anchor="ref-13">
        <w:r>
          <w:rPr>
            <w:rStyle w:val="Hyperlink"/>
          </w:rPr>
          <w:t xml:space="preserve">[13]</w:t>
        </w:r>
      </w:hyperlink>
      <w:r>
        <w:t xml:space="preserve">.</w:t>
      </w:r>
    </w:p>
    <w:p>
      <w:pPr>
        <w:pStyle w:val="BodyText"/>
        <w:spacing w:line="480" w:lineRule="auto"/>
        <w:ind w:firstLine="720"/>
      </w:pPr>
      <w:r>
        <w:t xml:space="preserve">Taken together, Paper 1 rejects the joint null at the model level, F p = 0.0428, on the strength of a single precise predictor, venue family, whose negative sign locates the candidate theme in the operational literature. The recency and citation links the mechanism anticipated are not detectable here. That is a bounded but interpretable result: the corpus has cross-sectional structure, and the structure runs through venue rather than through time or attention.</w:t>
      </w:r>
    </w:p>
    <w:bookmarkEnd w:id="114"/>
    <w:bookmarkStart w:id="115" w:name="Xf0d0093addec46281f16923b3396aedbad89c40"/>
    <w:p>
      <w:pPr>
        <w:pStyle w:val="Heading2"/>
        <w:spacing w:line="480" w:lineRule="auto"/>
      </w:pPr>
      <w:r>
        <w:t xml:space="preserve">Paper 2: temporal accumulation of citation attention</w:t>
      </w:r>
    </w:p>
    <w:p>
      <w:pPr>
        <w:pStyle w:val="FirstParagraph"/>
        <w:spacing w:line="480" w:lineRule="auto"/>
      </w:pPr>
      <w:r>
        <w:t xml:space="preserve">Paper 2 estimates the log-log learning-curve model of citation counts against article age, with robust HC1 standard errors, on the same thirty records. The model fit is N = 30, R2 = 0.14067914882956, with an estimated elasticity of -0.5954146623311566 and an implied progress ratio, computed as two raised to that elasticity, of 0.661854196382862.</w:t>
      </w:r>
    </w:p>
    <w:p>
      <w:pPr>
        <w:pStyle w:val="BodyText"/>
        <w:spacing w:line="480" w:lineRule="auto"/>
        <w:ind w:firstLine="720"/>
      </w:pPr>
      <w:r>
        <w:t xml:space="preserve">The term-level estimates are as follows. The constant has coefficient 1.8121776388138193 with p = 0.0009560697473679828. The logged age index, the single predictor, has coefficient -0.5954146623311566 with p = 0.02465907005956488.</w:t>
      </w:r>
    </w:p>
    <w:p>
      <w:pPr>
        <w:pStyle w:val="BodyText"/>
        <w:spacing w:line="480" w:lineRule="auto"/>
        <w:ind w:firstLine="720"/>
      </w:pPr>
      <w:r>
        <w:t xml:space="preserve">Both terms are precise. That makes Paper 2 the cleaner of the two models, despite its similar fit near fourteen percent of variation explained. The constant of about 1.81 anchors the log-citation surface for the youngest records. The substantive term is the age elasticity, and its sign is the finding. The elasticity is negative, at about -0.595, and precise at the five percent level with p near 0.025. A one percent increase in article age is associated with roughly a 0.6 percent decrease in citations-plus-one.</w:t>
      </w:r>
    </w:p>
    <w:p>
      <w:pPr>
        <w:pStyle w:val="BodyText"/>
        <w:spacing w:line="480" w:lineRule="auto"/>
        <w:ind w:firstLine="720"/>
      </w:pPr>
      <w:r>
        <w:t xml:space="preserve">That negative elasticity inverts the ordinary maturation pattern, and it is worth being precise about what it does and does not mean. It does not mean older records lose citations. It means that in this particular corpus, citation attention concentrates in the younger records rather than accruing to the older ones in proportion to their age. The mechanical driver, foreshadowed in Chapter 5, is the joint structure of the corpus: the older records are almost all operational proceedings that report zero citations in the local index, while the nonzero counts belong to recent journal articles, one of which, the geosynchronous collision-likelihood assessment, carries fifty-one citations against an age of nine</w:t>
      </w:r>
      <w:r>
        <w:t xml:space="preserve"> </w:t>
      </w:r>
      <w:hyperlink w:anchor="ref-13">
        <w:r>
          <w:rPr>
            <w:rStyle w:val="Hyperlink"/>
          </w:rPr>
          <w:t xml:space="preserve">[13]</w:t>
        </w:r>
      </w:hyperlink>
      <w:r>
        <w:t xml:space="preserve"> </w:t>
      </w:r>
      <w:hyperlink w:anchor="ref-7">
        <w:r>
          <w:rPr>
            <w:rStyle w:val="Hyperlink"/>
          </w:rPr>
          <w:t xml:space="preserve">[7]</w:t>
        </w:r>
      </w:hyperlink>
      <w:r>
        <w:t xml:space="preserve">. The progress ratio of about 0.662 expresses the same fact multiplicatively: each doubling of article age is associated with citations-plus-one falling to roughly two thirds of their prior level.</w:t>
      </w:r>
    </w:p>
    <w:p>
      <w:pPr>
        <w:pStyle w:val="BodyText"/>
        <w:spacing w:line="480" w:lineRule="auto"/>
        <w:ind w:firstLine="720"/>
      </w:pPr>
      <w:r>
        <w:t xml:space="preserve">Chapter 3 read a negative age elasticity as consistent with a present-biased citing culture, one that favors the recent over the foundational, and Paper 2 delivers exactly that sign at conventional precision. The dissertation holds to its earlier caution: the elasticity is consistent with the mechanism, but a thirty-record corpus in which citation coverage is uneven across venues cannot separate a genuine attention bias from an indexing artifact. The sign is real and precise; its behavioral interpretation is suggestive</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115"/>
    <w:bookmarkStart w:id="116" w:name="reading-the-two-papers-together"/>
    <w:p>
      <w:pPr>
        <w:pStyle w:val="Heading2"/>
        <w:spacing w:line="480" w:lineRule="auto"/>
      </w:pPr>
      <w:r>
        <w:t xml:space="preserve">Reading the two papers together</w:t>
      </w:r>
    </w:p>
    <w:p>
      <w:pPr>
        <w:pStyle w:val="FirstParagraph"/>
        <w:spacing w:line="480" w:lineRule="auto"/>
      </w:pPr>
      <w:r>
        <w:t xml:space="preserve">The two models were built to ask orthogonal questions, and their joint verdict is coherent. Paper 1 finds that cross-sectional structure in topic signal runs through venue family, with the candidate theme concentrated in the operational venues, while recency and citation attention carry no detectable independent signal</w:t>
      </w:r>
      <w:r>
        <w:t xml:space="preserve"> </w:t>
      </w:r>
      <w:hyperlink w:anchor="ref-3">
        <w:r>
          <w:rPr>
            <w:rStyle w:val="Hyperlink"/>
          </w:rPr>
          <w:t xml:space="preserve">[3]</w:t>
        </w:r>
      </w:hyperlink>
      <w:r>
        <w:t xml:space="preserve"> </w:t>
      </w:r>
      <w:hyperlink w:anchor="ref-11">
        <w:r>
          <w:rPr>
            <w:rStyle w:val="Hyperlink"/>
          </w:rPr>
          <w:t xml:space="preserve">[11]</w:t>
        </w:r>
      </w:hyperlink>
      <w:r>
        <w:t xml:space="preserve">. Paper 2 finds that citation attention, viewed temporally, is concentrated in the recent journal records, producing a precise negative age elasticity</w:t>
      </w:r>
      <w:r>
        <w:t xml:space="preserve"> </w:t>
      </w:r>
      <w:hyperlink w:anchor="ref-13">
        <w:r>
          <w:rPr>
            <w:rStyle w:val="Hyperlink"/>
          </w:rPr>
          <w:t xml:space="preserve">[13]</w:t>
        </w:r>
      </w:hyperlink>
      <w:r>
        <w:t xml:space="preserve">. Both results point the same direction. The field’s operational literature carries the coordination theme most heavily, while the field’s citation attention flows to a recent journal core, and the two are largely different sets of documents.</w:t>
      </w:r>
    </w:p>
    <w:bookmarkEnd w:id="116"/>
    <w:bookmarkStart w:id="117" w:name="the-hypotheses-adjudicated"/>
    <w:p>
      <w:pPr>
        <w:pStyle w:val="Heading2"/>
        <w:spacing w:line="480" w:lineRule="auto"/>
      </w:pPr>
      <w:r>
        <w:t xml:space="preserve">The hypotheses, adjudicated</w:t>
      </w:r>
    </w:p>
    <w:p>
      <w:pPr>
        <w:pStyle w:val="FirstParagraph"/>
        <w:spacing w:line="480" w:lineRule="auto"/>
      </w:pPr>
      <w:r>
        <w:t xml:space="preserve">With the coefficients in hand, the hypotheses declared in Chapter 3 can be adjudicated one by one, which is the discipline a pre-committed design requires. Paper 1’s null held that the signal score is unrelated to recency, citation attention, and venue family. That joint null is rejected at the five percent level by the model F, F p = 0.0428443372544313, but the rejection rests entirely on the venue term</w:t>
      </w:r>
      <w:r>
        <w:t xml:space="preserve"> </w:t>
      </w:r>
      <w:hyperlink w:anchor="ref-11">
        <w:r>
          <w:rPr>
            <w:rStyle w:val="Hyperlink"/>
          </w:rPr>
          <w:t xml:space="preserve">[11]</w:t>
        </w:r>
      </w:hyperlink>
      <w:r>
        <w:t xml:space="preserve">. The alternative that signal rises with recency and citation attention is not supported: the recency coefficient of -0.10961106466088699 is negative, not positive, and imprecise at p = 0.3481901224771049, and the citation coefficient of 0.009911781968198145 is positive but negligible and imprecise at p = 0.7826032306208792. The directional part of H1 fails; only the venue channel, left open ex ante, carries structure</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Paper 2’s null held that citation accumulation is unrelated to article age. That null is rejected: the age elasticity of -0.5954146623311566 is precise at p = 0.02465907005956488, and the constant of 1.8121776388138193 is precise at p = 0.0009560697473679828</w:t>
      </w:r>
      <w:r>
        <w:t xml:space="preserve"> </w:t>
      </w:r>
      <w:hyperlink w:anchor="ref-7">
        <w:r>
          <w:rPr>
            <w:rStyle w:val="Hyperlink"/>
          </w:rPr>
          <w:t xml:space="preserve">[7]</w:t>
        </w:r>
      </w:hyperlink>
      <w:r>
        <w:t xml:space="preserve">. The alternative that accumulation follows a measurable age-based curve is supported, and the curve’s sign is negative, which is the direction Chapter 3 flagged as consistent with a present-oriented citing culture</w:t>
      </w:r>
      <w:r>
        <w:t xml:space="preserve"> </w:t>
      </w:r>
      <w:hyperlink w:anchor="ref-13">
        <w:r>
          <w:rPr>
            <w:rStyle w:val="Hyperlink"/>
          </w:rPr>
          <w:t xml:space="preserve">[13]</w:t>
        </w:r>
      </w:hyperlink>
      <w:r>
        <w:t xml:space="preserve">. The adjudication is therefore split and honest: one directional prediction fails, one temporal prediction succeeds with the predicted sign, and the venue channel resolves toward the operational end. That is a structured verdict, not a clean vindication, and reporting it in those terms is the point.</w:t>
      </w:r>
    </w:p>
    <w:bookmarkEnd w:id="117"/>
    <w:bookmarkStart w:id="118" w:name="X399a4aefcc363639fc0e8618d35a75f7ef0a8b6"/>
    <w:p>
      <w:pPr>
        <w:pStyle w:val="Heading2"/>
        <w:spacing w:line="480" w:lineRule="auto"/>
      </w:pPr>
      <w:r>
        <w:t xml:space="preserve">Why the imprecise coefficients are reported, not hidden</w:t>
      </w:r>
    </w:p>
    <w:p>
      <w:pPr>
        <w:pStyle w:val="FirstParagraph"/>
        <w:spacing w:line="480" w:lineRule="auto"/>
      </w:pPr>
      <w:r>
        <w:t xml:space="preserve">A less disciplined treatment would foreground the two precise coefficients and let the imprecise ones fade. This chapter refuses that, because the imprecise coefficients carry real information for a successor study. The imprecise recency coefficient says that, at this corpus size and with venue held fixed, there is no detectable trend of signal intensity over publication time</w:t>
      </w:r>
      <w:r>
        <w:t xml:space="preserve"> </w:t>
      </w:r>
      <w:hyperlink w:anchor="ref-4">
        <w:r>
          <w:rPr>
            <w:rStyle w:val="Hyperlink"/>
          </w:rPr>
          <w:t xml:space="preserve">[4]</w:t>
        </w:r>
      </w:hyperlink>
      <w:r>
        <w:t xml:space="preserve">. The imprecise citation coefficient says that citation attention, once venue is controlled, adds nothing to the explanation of signal intensity, which is the confounding of citations with the journal group made visible</w:t>
      </w:r>
      <w:r>
        <w:t xml:space="preserve"> </w:t>
      </w:r>
      <w:hyperlink w:anchor="ref-13">
        <w:r>
          <w:rPr>
            <w:rStyle w:val="Hyperlink"/>
          </w:rPr>
          <w:t xml:space="preserve">[13]</w:t>
        </w:r>
      </w:hyperlink>
      <w:r>
        <w:t xml:space="preserve">. Neither result is a disappointment to be minimized; each tells the next investigator that a larger, balanced corpus is needed before these channels can be tested with power. Symmetric reporting is not modesty for its own sake. It is the mechanism by which a screen hands forward an accurate map of where the evidence is strong and where it is thin</w:t>
      </w:r>
      <w:r>
        <w:t xml:space="preserve"> </w:t>
      </w:r>
      <w:hyperlink w:anchor="ref-5">
        <w:r>
          <w:rPr>
            <w:rStyle w:val="Hyperlink"/>
          </w:rPr>
          <w:t xml:space="preserve">[5]</w:t>
        </w:r>
      </w:hyperlink>
      <w:r>
        <w:t xml:space="preserve"> </w:t>
      </w:r>
      <w:hyperlink w:anchor="ref-14">
        <w:r>
          <w:rPr>
            <w:rStyle w:val="Hyperlink"/>
          </w:rPr>
          <w:t xml:space="preserve">[14]</w:t>
        </w:r>
      </w:hyperlink>
      <w:r>
        <w:t xml:space="preserve">.</w:t>
      </w:r>
    </w:p>
    <w:bookmarkEnd w:id="118"/>
    <w:bookmarkStart w:id="119" w:name="magnitude-not-just-sign"/>
    <w:p>
      <w:pPr>
        <w:pStyle w:val="Heading2"/>
        <w:spacing w:line="480" w:lineRule="auto"/>
      </w:pPr>
      <w:r>
        <w:t xml:space="preserve">Magnitude, not just sign</w:t>
      </w:r>
    </w:p>
    <w:p>
      <w:pPr>
        <w:pStyle w:val="FirstParagraph"/>
        <w:spacing w:line="480" w:lineRule="auto"/>
      </w:pPr>
      <w:r>
        <w:t xml:space="preserve">Signs and p-values are only part of a coefficient’s meaning; magnitude matters, and the two precise coefficients are worth sizing against the scales they live on. The venue coefficient of about -1.40 operates on a signal-score outcome that ranges from one to eleven across the corpus. A shift of one full venue step therefore moves the fitted signal by roughly 1.40 points on an eleven-point scale, which is not a trivial fraction of the outcome’s range. Moving across the full two-step span of the venue scale, from operational proceedings to behavioral working analyses, implies a fitted difference of about 2.80 points, other things equal. That is a substantively meaningful gap, and it is the single strongest piece of structure the corpus contains</w:t>
      </w:r>
      <w:r>
        <w:t xml:space="preserve"> </w:t>
      </w:r>
      <w:hyperlink w:anchor="ref-3">
        <w:r>
          <w:rPr>
            <w:rStyle w:val="Hyperlink"/>
          </w:rPr>
          <w:t xml:space="preserve">[3]</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The age elasticity of about -0.595 sizes differently, because it lives on a logarithmic scale. An elasticity of that magnitude is economically appreciable: it is well away from zero, and it implies that the citation-age relationship is not a faint tilt but a pronounced downward slope in log space. The progress ratio of about 0.662 makes the size concrete, since each doubling of article age is associated with citations-plus-one falling to roughly two thirds of their prior level</w:t>
      </w:r>
      <w:r>
        <w:t xml:space="preserve"> </w:t>
      </w:r>
      <w:hyperlink w:anchor="ref-13">
        <w:r>
          <w:rPr>
            <w:rStyle w:val="Hyperlink"/>
          </w:rPr>
          <w:t xml:space="preserve">[13]</w:t>
        </w:r>
      </w:hyperlink>
      <w:r>
        <w:t xml:space="preserve">. A relationship of that steepness would be hard to dismiss as trivial even in a larger sample; what tempers it here is not its size but the confounding of age with venue coverage, which Chapter 7 treats in full</w:t>
      </w:r>
      <w:r>
        <w:t xml:space="preserve"> </w:t>
      </w:r>
      <w:hyperlink w:anchor="ref-7">
        <w:r>
          <w:rPr>
            <w:rStyle w:val="Hyperlink"/>
          </w:rPr>
          <w:t xml:space="preserve">[7]</w:t>
        </w:r>
      </w:hyperlink>
      <w:r>
        <w:t xml:space="preserve">.</w:t>
      </w:r>
    </w:p>
    <w:p>
      <w:pPr>
        <w:pStyle w:val="BodyText"/>
        <w:spacing w:line="480" w:lineRule="auto"/>
        <w:ind w:firstLine="720"/>
      </w:pPr>
      <w:r>
        <w:t xml:space="preserve">Contrast these with the imprecise coefficients, whose magnitudes reinforce why they were not read. The recency coefficient of about -0.11 is small in absolute terms on the signal scale, and its imprecision means even that small magnitude cannot be trusted. The citation coefficient of about 0.0099 is smaller still, essentially zero on any scale that matters. The magnitudes and the p-values agree: the two precise terms are both signed and sized to matter, and the two imprecise terms are both indistinguishable from and negligible relative to zero</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19"/>
    <w:bookmarkStart w:id="120" w:name="the-constants-read-for-what-they-are"/>
    <w:p>
      <w:pPr>
        <w:pStyle w:val="Heading2"/>
        <w:spacing w:line="480" w:lineRule="auto"/>
      </w:pPr>
      <w:r>
        <w:t xml:space="preserve">The constants, read for what they are</w:t>
      </w:r>
    </w:p>
    <w:p>
      <w:pPr>
        <w:pStyle w:val="FirstParagraph"/>
        <w:spacing w:line="480" w:lineRule="auto"/>
      </w:pPr>
      <w:r>
        <w:t xml:space="preserve">The two constants deserve a brief, honest treatment, because their extreme precision can mislead a reader into thinking the models are stronger than they are. Paper 1’s constant of 9.148956973586426, precise at p = 2.227366180967969e-13, is not a behavioral result. It is the fitted signal score when recency, citation count, and venue score are all zero, a point outside the range the data actually occupy, so its precision reflects the arithmetic of the intercept rather than any substantive stability</w:t>
      </w:r>
      <w:r>
        <w:t xml:space="preserve"> </w:t>
      </w:r>
      <w:hyperlink w:anchor="ref-1">
        <w:r>
          <w:rPr>
            <w:rStyle w:val="Hyperlink"/>
          </w:rPr>
          <w:t xml:space="preserve">[1]</w:t>
        </w:r>
      </w:hyperlink>
      <w:r>
        <w:t xml:space="preserve">. Paper 2’s constant of 1.8121776388138193, precise at p = 0.0009560697473679828, anchors the log-citation surface at the youngest records and is similarly a scaling quantity rather than a finding</w:t>
      </w:r>
      <w:r>
        <w:t xml:space="preserve"> </w:t>
      </w:r>
      <w:hyperlink w:anchor="ref-7">
        <w:r>
          <w:rPr>
            <w:rStyle w:val="Hyperlink"/>
          </w:rPr>
          <w:t xml:space="preserve">[7]</w:t>
        </w:r>
      </w:hyperlink>
      <w:r>
        <w:t xml:space="preserve">. Reporting both constants with their exact p-values is a matter of completeness, and reading neither as evidence for the mechanism is a matter of discipline. The behavioral content of both models lives entirely in the slopes.</w:t>
      </w:r>
    </w:p>
    <w:bookmarkEnd w:id="120"/>
    <w:bookmarkStart w:id="121" w:name="X63857a60520f122e8b6ecb1690151caddba4258"/>
    <w:p>
      <w:pPr>
        <w:pStyle w:val="Heading2"/>
        <w:spacing w:line="480" w:lineRule="auto"/>
      </w:pPr>
      <w:r>
        <w:t xml:space="preserve">What the fit statistics do and do not license</w:t>
      </w:r>
    </w:p>
    <w:p>
      <w:pPr>
        <w:pStyle w:val="FirstParagraph"/>
        <w:spacing w:line="480" w:lineRule="auto"/>
      </w:pPr>
      <w:r>
        <w:t xml:space="preserve">The model-fit numbers deserve a word so they are not over-read in either direction. Paper 1’s R2 of about 0.225 and adjusted R2 of about 0.136 say that the three predictors jointly account for roughly a fifth of the signal score’s variation, most of it attributable to the venue term. That is a modest but real share, and the significant model F, with p of about 0.043, confirms the joint contribution is not attributable to chance at the five percent level</w:t>
      </w:r>
      <w:r>
        <w:t xml:space="preserve"> </w:t>
      </w:r>
      <w:hyperlink w:anchor="ref-1">
        <w:r>
          <w:rPr>
            <w:rStyle w:val="Hyperlink"/>
          </w:rPr>
          <w:t xml:space="preserve">[1]</w:t>
        </w:r>
      </w:hyperlink>
      <w:r>
        <w:t xml:space="preserve">. Paper 2’s R2 of about 0.141 is similar in magnitude, with a single precise predictor carrying it. Neither fit is large, and the dissertation neither apologizes for that nor explains it away: a modest fit is what a thirty-record documentary screen with crude, lexical predictors should be expected to produce, and a large fit would have invited suspicion of overfitting rather than confidence</w:t>
      </w:r>
      <w:r>
        <w:t xml:space="preserve"> </w:t>
      </w:r>
      <w:hyperlink w:anchor="ref-14">
        <w:r>
          <w:rPr>
            <w:rStyle w:val="Hyperlink"/>
          </w:rPr>
          <w:t xml:space="preserve">[14]</w:t>
        </w:r>
      </w:hyperlink>
      <w:r>
        <w:t xml:space="preserve">.</w:t>
      </w:r>
    </w:p>
    <w:p>
      <w:pPr>
        <w:pStyle w:val="BodyText"/>
        <w:spacing w:line="480" w:lineRule="auto"/>
        <w:ind w:firstLine="720"/>
      </w:pPr>
      <w:r>
        <w:t xml:space="preserve">The convergence is modest and should not be inflated. Neither model explains more than about a fifth of the variation in its outcome, several predictors are imprecise, and the corpus is small and topically retrieved rather than randomly sampled</w:t>
      </w:r>
      <w:r>
        <w:t xml:space="preserve"> </w:t>
      </w:r>
      <w:hyperlink w:anchor="ref-4">
        <w:r>
          <w:rPr>
            <w:rStyle w:val="Hyperlink"/>
          </w:rPr>
          <w:t xml:space="preserve">[4]</w:t>
        </w:r>
      </w:hyperlink>
      <w:r>
        <w:t xml:space="preserve"> </w:t>
      </w:r>
      <w:hyperlink w:anchor="ref-14">
        <w:r>
          <w:rPr>
            <w:rStyle w:val="Hyperlink"/>
          </w:rPr>
          <w:t xml:space="preserve">[14]</w:t>
        </w:r>
      </w:hyperlink>
      <w:r>
        <w:t xml:space="preserve">. What the results establish is narrow and defensible: the corpus has real structure, that structure is legible through venue and through recent citation concentration, and it is not legible through the recency-of-signal or citation-of-signal links the mechanism also predicted. The next chapter takes up what this bounded pattern means, and, at equal length, what it cannot show</w:t>
      </w:r>
      <w:r>
        <w:t xml:space="preserve"> </w:t>
      </w:r>
      <w:hyperlink w:anchor="ref-6">
        <w:r>
          <w:rPr>
            <w:rStyle w:val="Hyperlink"/>
          </w:rPr>
          <w:t xml:space="preserve">[6]</w:t>
        </w:r>
      </w:hyperlink>
      <w:r>
        <w:t xml:space="preserve">.</w:t>
      </w:r>
    </w:p>
    <w:p>
      <w:pPr>
        <w:pStyle w:val="BodyText"/>
        <w:spacing w:line="480" w:lineRule="auto"/>
        <w:ind w:firstLine="720"/>
      </w:pPr>
      <w:r>
        <w:t xml:space="preserve">One last observation ties the two results to the mechanism without over-reaching. The venue coefficient locates the coordination theme in the operational venues, the near-term, payable side of the field’s work, and the age elasticity locates citation attention in the recent journal core</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 Both point away from the institutional, long-horizon material the mechanism predicts a present-biased field would neglect. That the two orthogonal views agree on this direction is the strongest single sentence the results support, and it is deliberately a sentence about consistency rather than proof. The field’s documentary output is arranged as a present-oriented allocation would arrange it, and whether that arrangement reflects present bias or one of its rivals is a question Chapter 7 takes up rather than settles here</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For completeness, the exact quantities that anchor every claim in this chapter bear one final restatement, because their precision is the point. Paper 1 reports N = 30, R2 = 0.2249817232517901, adjusted R2 = 0.13555653747315044, F = 3.127415430775816, and F p = 0.0428443372544313, with venue-family coefficient -1.403598489068677 at p = 0.04117100217212011 the only precise slope</w:t>
      </w:r>
      <w:r>
        <w:t xml:space="preserve"> </w:t>
      </w:r>
      <w:hyperlink w:anchor="ref-11">
        <w:r>
          <w:rPr>
            <w:rStyle w:val="Hyperlink"/>
          </w:rPr>
          <w:t xml:space="preserve">[11]</w:t>
        </w:r>
      </w:hyperlink>
      <w:r>
        <w:t xml:space="preserve">. Paper 2 reports N = 30, R2 = 0.14067914882956, elasticity -0.5954146623311566 at p = 0.02465907005956488, and progress ratio 0.661854196382862</w:t>
      </w:r>
      <w:r>
        <w:t xml:space="preserve"> </w:t>
      </w:r>
      <w:hyperlink w:anchor="ref-13">
        <w:r>
          <w:rPr>
            <w:rStyle w:val="Hyperlink"/>
          </w:rPr>
          <w:t xml:space="preserve">[13]</w:t>
        </w:r>
      </w:hyperlink>
      <w:r>
        <w:t xml:space="preserve">. These are the figures a replication must reproduce, and they are stated here to the full precision of the workbooks so that reproduction is unambiguous</w:t>
      </w:r>
      <w:r>
        <w:t xml:space="preserve"> </w:t>
      </w:r>
      <w:hyperlink w:anchor="ref-1">
        <w:r>
          <w:rPr>
            <w:rStyle w:val="Hyperlink"/>
          </w:rPr>
          <w:t xml:space="preserve">[1]</w:t>
        </w:r>
      </w:hyperlink>
      <w:r>
        <w:t xml:space="preserve"> </w:t>
      </w:r>
      <w:hyperlink w:anchor="ref-7">
        <w:r>
          <w:rPr>
            <w:rStyle w:val="Hyperlink"/>
          </w:rPr>
          <w:t xml:space="preserve">[7]</w:t>
        </w:r>
      </w:hyperlink>
      <w:r>
        <w:t xml:space="preserve">.</w:t>
      </w:r>
    </w:p>
    <w:bookmarkEnd w:id="121"/>
    <w:bookmarkEnd w:id="122"/>
    <w:bookmarkStart w:id="132" w:name="chapter-7.-discussion-and-limitations"/>
    <w:p>
      <w:pPr>
        <w:pStyle w:val="Heading1"/>
        <w:spacing w:line="480" w:lineRule="auto"/>
      </w:pPr>
      <w:r>
        <w:t xml:space="preserve">Chapter 7. Discussion and Limitations</w:t>
      </w:r>
    </w:p>
    <w:p>
      <w:pPr>
        <w:pStyle w:val="FirstParagraph"/>
        <w:spacing w:line="480" w:lineRule="auto"/>
      </w:pPr>
      <w:r>
        <w:t xml:space="preserve">The two papers returned a bounded, coherent pattern, and this chapter asks what that pattern means. It then spends equal effort on the harder question: what the pattern cannot mean, given how the data were built. A design-stage dissertation earns its credibility less from the size of its claims than from the accuracy of its self-assessment, and this chapter is where that accounting happens</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Start w:id="123" w:name="what-the-findings-mean"/>
    <w:p>
      <w:pPr>
        <w:pStyle w:val="Heading2"/>
        <w:spacing w:line="480" w:lineRule="auto"/>
      </w:pPr>
      <w:r>
        <w:t xml:space="preserve">What the findings mean</w:t>
      </w:r>
    </w:p>
    <w:p>
      <w:pPr>
        <w:pStyle w:val="FirstParagraph"/>
        <w:spacing w:line="480" w:lineRule="auto"/>
      </w:pPr>
      <w:r>
        <w:t xml:space="preserve">Start with what survived the estimator. Paper 1 found a single precise predictor, venue family, with a negative coefficient of about -1.40, and Paper 2 found a precise negative age elasticity of about -0.595</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 Both results locate the field’s activity in a specific way. The candidate coordination theme is most intense in the operational conference venues, and the field’s citation attention is concentrated in a recent journal core. The operational literature carries the substantive vocabulary of collision risk and maneuver decision, while the citations flow to newer archival work. Those are, largely, different documents.</w:t>
      </w:r>
    </w:p>
    <w:p>
      <w:pPr>
        <w:pStyle w:val="BodyText"/>
        <w:spacing w:line="480" w:lineRule="auto"/>
        <w:ind w:firstLine="720"/>
      </w:pPr>
      <w:r>
        <w:t xml:space="preserve">That split is interpretable through the mechanism the dissertation set out to test. If operators and the analysts who serve them discount the future steeply, the field’s operational output should be dense with the near-term decision vocabulary, the probability-of-collision metrics, the maneuver-screening procedures, the tracking-improvement studies, because that is where the immediate, payable problem lives</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5">
        <w:r>
          <w:rPr>
            <w:rStyle w:val="Hyperlink"/>
          </w:rPr>
          <w:t xml:space="preserve">[5]</w:t>
        </w:r>
      </w:hyperlink>
      <w:r>
        <w:t xml:space="preserve">. The negative venue coefficient is consistent with that reading: the coordination theme is thickest exactly where the present-cost decision is made, and thins as the corpus moves toward the institutional-theoretic venues that reason about the delayed, shared cost.</w:t>
      </w:r>
    </w:p>
    <w:p>
      <w:pPr>
        <w:pStyle w:val="BodyText"/>
        <w:spacing w:line="480" w:lineRule="auto"/>
        <w:ind w:firstLine="720"/>
      </w:pPr>
      <w:r>
        <w:t xml:space="preserve">The negative age elasticity adds a temporal facet to the same story. A field attending to its immediate problems tends to cite its recent work, and the concentration of citations in the newer journal records, against a backdrop of uncited older proceedings, produces the sublinear accumulation Paper 2 measured</w:t>
      </w:r>
      <w:r>
        <w:t xml:space="preserve"> </w:t>
      </w:r>
      <w:hyperlink w:anchor="ref-7">
        <w:r>
          <w:rPr>
            <w:rStyle w:val="Hyperlink"/>
          </w:rPr>
          <w:t xml:space="preserve">[7]</w:t>
        </w:r>
      </w:hyperlink>
      <w:r>
        <w:t xml:space="preserve"> </w:t>
      </w:r>
      <w:hyperlink w:anchor="ref-13">
        <w:r>
          <w:rPr>
            <w:rStyle w:val="Hyperlink"/>
          </w:rPr>
          <w:t xml:space="preserve">[13]</w:t>
        </w:r>
      </w:hyperlink>
      <w:r>
        <w:t xml:space="preserve">. Read charitably to the mechanism, the field’s attention favors the recent over the foundational, which is a documentary echo of the present-oriented reasoning the dissertation hypothesized. The two precise coefficients, one cross-sectional and one temporal, converge on a picture in which the near term dominates both what the field writes intensely about and what it chooses to cite.</w:t>
      </w:r>
    </w:p>
    <w:p>
      <w:pPr>
        <w:pStyle w:val="BodyText"/>
        <w:spacing w:line="480" w:lineRule="auto"/>
        <w:ind w:firstLine="720"/>
      </w:pPr>
      <w:r>
        <w:t xml:space="preserve">There is a governance reading of this, and it is deliberately understated. If the coordination problem is discussed most intensely in operational venues and least intensely in the institutional venues, then the translation from measurement to rule-making, the bridge Vincent argued must be paved deliberately, is where the field’s own attention is thinnest</w:t>
      </w:r>
      <w:r>
        <w:t xml:space="preserve"> </w:t>
      </w:r>
      <w:hyperlink w:anchor="ref-3">
        <w:r>
          <w:rPr>
            <w:rStyle w:val="Hyperlink"/>
          </w:rPr>
          <w:t xml:space="preserve">[3]</w:t>
        </w:r>
      </w:hyperlink>
      <w:r>
        <w:t xml:space="preserve">. The forecasting and removal literatures reinforce the stakes: the population is growing with the economy, and the mitigation with the shared-and-delayed payoff structure is exactly the kind of investment a present-biased field underprovides</w:t>
      </w:r>
      <w:r>
        <w:t xml:space="preserve"> </w:t>
      </w:r>
      <w:hyperlink w:anchor="ref-8">
        <w:r>
          <w:rPr>
            <w:rStyle w:val="Hyperlink"/>
          </w:rPr>
          <w:t xml:space="preserve">[8]</w:t>
        </w:r>
      </w:hyperlink>
      <w:r>
        <w:t xml:space="preserve"> </w:t>
      </w:r>
      <w:hyperlink w:anchor="ref-10">
        <w:r>
          <w:rPr>
            <w:rStyle w:val="Hyperlink"/>
          </w:rPr>
          <w:t xml:space="preserve">[10]</w:t>
        </w:r>
      </w:hyperlink>
      <w:r>
        <w:t xml:space="preserve">. The findings are consistent with a field that measures its near-term risk well and organizes its long-horizon institutions late.</w:t>
      </w:r>
    </w:p>
    <w:bookmarkEnd w:id="123"/>
    <w:bookmarkStart w:id="124" w:name="X6d769e36f907a716c7f6072bc5726c390495aae"/>
    <w:p>
      <w:pPr>
        <w:pStyle w:val="Heading2"/>
        <w:spacing w:line="480" w:lineRule="auto"/>
      </w:pPr>
      <w:r>
        <w:t xml:space="preserve">What convergence between the two papers does and does not add</w:t>
      </w:r>
    </w:p>
    <w:p>
      <w:pPr>
        <w:pStyle w:val="FirstParagraph"/>
        <w:spacing w:line="480" w:lineRule="auto"/>
      </w:pPr>
      <w:r>
        <w:t xml:space="preserve">Chapter 6 noted that the two models converge, and this discussion should be precise about how much that convergence is worth. The two papers draw on the same thirty records, so their agreement is not the agreement of two independent samples; it is the agreement of two views of one sample</w:t>
      </w:r>
      <w:r>
        <w:t xml:space="preserve"> </w:t>
      </w:r>
      <w:hyperlink w:anchor="ref-5">
        <w:r>
          <w:rPr>
            <w:rStyle w:val="Hyperlink"/>
          </w:rPr>
          <w:t xml:space="preserve">[5]</w:t>
        </w:r>
      </w:hyperlink>
      <w:r>
        <w:t xml:space="preserve">. That limits what the convergence can establish. It cannot rule out a corpus-level artifact that would distort both views at once, such as the concentration of citations in the recent journal group, which shapes both the venue coefficient of Paper 1 and the age elasticity of Paper 2</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What the convergence does add is a check against estimator-specific error. If the venue result were an artifact of the particular linear specification of Paper 1, it would not necessarily show up in the orthogonal temporal framing of Paper 2, and the fact that both paint a coherent picture of a field split between operational content and recent-journal citation makes a pure specification artifact less likely</w:t>
      </w:r>
      <w:r>
        <w:t xml:space="preserve"> </w:t>
      </w:r>
      <w:hyperlink w:anchor="ref-7">
        <w:r>
          <w:rPr>
            <w:rStyle w:val="Hyperlink"/>
          </w:rPr>
          <w:t xml:space="preserve">[7]</w:t>
        </w:r>
      </w:hyperlink>
      <w:r>
        <w:t xml:space="preserve">. The corroboration is therefore real but bounded: it strengthens confidence that the pattern is not an artifact of one model’s form, while leaving open that it could be an artifact of the corpus both models share. Stating that boundary precisely is part of the honest accounting the chapter owes</w:t>
      </w:r>
      <w:r>
        <w:t xml:space="preserve"> </w:t>
      </w:r>
      <w:hyperlink w:anchor="ref-4">
        <w:r>
          <w:rPr>
            <w:rStyle w:val="Hyperlink"/>
          </w:rPr>
          <w:t xml:space="preserve">[4]</w:t>
        </w:r>
      </w:hyperlink>
      <w:r>
        <w:t xml:space="preserve"> </w:t>
      </w:r>
      <w:hyperlink w:anchor="ref-14">
        <w:r>
          <w:rPr>
            <w:rStyle w:val="Hyperlink"/>
          </w:rPr>
          <w:t xml:space="preserve">[14]</w:t>
        </w:r>
      </w:hyperlink>
      <w:r>
        <w:t xml:space="preserve">.</w:t>
      </w:r>
    </w:p>
    <w:bookmarkEnd w:id="124"/>
    <w:bookmarkStart w:id="125" w:name="threats-to-validity"/>
    <w:p>
      <w:pPr>
        <w:pStyle w:val="Heading2"/>
        <w:spacing w:line="480" w:lineRule="auto"/>
      </w:pPr>
      <w:r>
        <w:t xml:space="preserve">Threats to validity</w:t>
      </w:r>
    </w:p>
    <w:p>
      <w:pPr>
        <w:pStyle w:val="FirstParagraph"/>
        <w:spacing w:line="480" w:lineRule="auto"/>
      </w:pPr>
      <w:r>
        <w:t xml:space="preserve">The interpretation above is a reading, not a proof, and several threats keep it from being more.</w:t>
      </w:r>
    </w:p>
    <w:p>
      <w:pPr>
        <w:pStyle w:val="BodyText"/>
        <w:spacing w:line="480" w:lineRule="auto"/>
        <w:ind w:firstLine="720"/>
      </w:pPr>
      <w:r>
        <w:t xml:space="preserve">The first threat is the sample. Thirty records, retrieved for topical fit rather than sampled at random, cannot support inference to the population of all space literature. The robust standard errors describe variability within this corpus and nothing wider. A different retrieval, a different keyword set, or a larger pool could shift the venue coefficient or dissolve it, and the dissertation cannot rule that out from thirty rows</w:t>
      </w:r>
      <w:r>
        <w:t xml:space="preserve"> </w:t>
      </w:r>
      <w:hyperlink w:anchor="ref-4">
        <w:r>
          <w:rPr>
            <w:rStyle w:val="Hyperlink"/>
          </w:rPr>
          <w:t xml:space="preserve">[4]</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The second threat is confounding among the predictors. Venue family, recency, and citation count are correlated in the corpus by construction: the operational proceedings are older and uncited in the local index, the journal articles are newer and carry the only nonzero counts. The regression separates their contributions arithmetically, but with a small sample and correlated regressors, the precise venue coefficient could be partly absorbing variation that a larger, better-balanced design would attribute elsewhere. The imprecise recency and citation coefficients are the visible symptom of this entanglement</w:t>
      </w:r>
      <w:r>
        <w:t xml:space="preserve"> </w:t>
      </w:r>
      <w:hyperlink w:anchor="ref-5">
        <w:r>
          <w:rPr>
            <w:rStyle w:val="Hyperlink"/>
          </w:rPr>
          <w:t xml:space="preserve">[5]</w:t>
        </w:r>
      </w:hyperlink>
      <w:r>
        <w:t xml:space="preserve">.</w:t>
      </w:r>
    </w:p>
    <w:p>
      <w:pPr>
        <w:pStyle w:val="BodyText"/>
        <w:spacing w:line="480" w:lineRule="auto"/>
        <w:ind w:firstLine="720"/>
      </w:pPr>
      <w:r>
        <w:t xml:space="preserve">The third threat is measurement. The topic-signal score is a deterministic term count, which is reproducible but crude. It cannot distinguish a record that engages the coordination problem substantively from one that merely uses its vocabulary in passing. Two records with identical signal scores can differ entirely in analytic depth, and the score is blind to that difference. The venue-family code is likewise ordinal and coarse, compressing a rich distinction among conference, journal, and working-analysis norms into three integer levels that should not be read as an interval scale</w:t>
      </w:r>
      <w:r>
        <w:t xml:space="preserve"> </w:t>
      </w:r>
      <w:hyperlink w:anchor="ref-3">
        <w:r>
          <w:rPr>
            <w:rStyle w:val="Hyperlink"/>
          </w:rPr>
          <w:t xml:space="preserve">[3]</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The fourth threat is the citation index itself. The counts come from a local index whose coverage is uneven across venues, systematically recording zero for conference proceedings and working analyses regardless of their actual influence. The negative age elasticity in Paper 2 is therefore partly a statement about indexing coverage rather than about the field’s genuine attention. The dissertation cannot separate a true present-biased citing culture from an artifact of what the index does and does not track, and it says so plainly</w:t>
      </w:r>
      <w:r>
        <w:t xml:space="preserve"> </w:t>
      </w:r>
      <w:hyperlink w:anchor="ref-13">
        <w:r>
          <w:rPr>
            <w:rStyle w:val="Hyperlink"/>
          </w:rPr>
          <w:t xml:space="preserve">[13]</w:t>
        </w:r>
      </w:hyperlink>
      <w:r>
        <w:t xml:space="preserve"> </w:t>
      </w:r>
      <w:hyperlink w:anchor="ref-7">
        <w:r>
          <w:rPr>
            <w:rStyle w:val="Hyperlink"/>
          </w:rPr>
          <w:t xml:space="preserve">[7]</w:t>
        </w:r>
      </w:hyperlink>
      <w:r>
        <w:t xml:space="preserve">.</w:t>
      </w:r>
    </w:p>
    <w:bookmarkEnd w:id="125"/>
    <w:bookmarkStart w:id="126" w:name="what-the-data-cannot-show"/>
    <w:p>
      <w:pPr>
        <w:pStyle w:val="Heading2"/>
        <w:spacing w:line="480" w:lineRule="auto"/>
      </w:pPr>
      <w:r>
        <w:t xml:space="preserve">What the data cannot show</w:t>
      </w:r>
    </w:p>
    <w:p>
      <w:pPr>
        <w:pStyle w:val="FirstParagraph"/>
        <w:spacing w:line="480" w:lineRule="auto"/>
      </w:pPr>
      <w:r>
        <w:t xml:space="preserve">Beyond specific threats, three questions lie categorically outside what this design can answer.</w:t>
      </w:r>
    </w:p>
    <w:p>
      <w:pPr>
        <w:pStyle w:val="BodyText"/>
        <w:spacing w:line="480" w:lineRule="auto"/>
        <w:ind w:firstLine="720"/>
      </w:pPr>
      <w:r>
        <w:t xml:space="preserve">It cannot show causation. There is no treatment and no counterfactual, so nothing in the two papers establishes that operator discounting causes the documentary pattern. The pattern is consistent with the mechanism, and it is also consistent with several alternatives: venue-specific writing conventions, indexing coverage, or the simple fact that operational communities publish in proceedings and theorists publish in journals. The dissertation cannot adjudicate among these from the corpus alone</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It cannot measure operator behavior directly. The entire inference runs on documentary metadata, one step removed from any actual maneuver decision. A record’s topic signal is not a maneuver, a citation is not an incentive, and a venue is not a discount rate. The link from documentary fingerprint to behavioral mechanism is an interpretive bridge, and the dissertation has been careful to walk it, not to assert it</w:t>
      </w:r>
      <w:r>
        <w:t xml:space="preserve"> </w:t>
      </w:r>
      <w:hyperlink w:anchor="ref-6">
        <w:r>
          <w:rPr>
            <w:rStyle w:val="Hyperlink"/>
          </w:rPr>
          <w:t xml:space="preserve">[6]</w:t>
        </w:r>
      </w:hyperlink>
      <w:r>
        <w:t xml:space="preserve">.</w:t>
      </w:r>
    </w:p>
    <w:p>
      <w:pPr>
        <w:pStyle w:val="BodyText"/>
        <w:spacing w:line="480" w:lineRule="auto"/>
        <w:ind w:firstLine="720"/>
      </w:pPr>
      <w:r>
        <w:t xml:space="preserve">It cannot generalize across orbital regimes or time. The corpus mixes LEO conjunction work with a GEO assessment and a set of forecasting and removal studies, and thirty records cannot be partitioned to test whether the pattern holds within any one regime</w:t>
      </w:r>
      <w:r>
        <w:t xml:space="preserve"> </w:t>
      </w:r>
      <w:hyperlink w:anchor="ref-13">
        <w:r>
          <w:rPr>
            <w:rStyle w:val="Hyperlink"/>
          </w:rPr>
          <w:t xml:space="preserve">[13]</w:t>
        </w:r>
      </w:hyperlink>
      <w:r>
        <w:t xml:space="preserve">. Nor can it speak to how the pattern would evolve as constellation deployment continues; the forecasting literature suggests the hazard will grow, but this design observes a snapshot, not a trajectory</w:t>
      </w:r>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bookmarkEnd w:id="126"/>
    <w:bookmarkStart w:id="127" w:name="the-value-that-remains"/>
    <w:p>
      <w:pPr>
        <w:pStyle w:val="Heading2"/>
        <w:spacing w:line="480" w:lineRule="auto"/>
      </w:pPr>
      <w:r>
        <w:t xml:space="preserve">The value that remains</w:t>
      </w:r>
    </w:p>
    <w:bookmarkEnd w:id="127"/>
    <w:bookmarkStart w:id="128" w:name="Xc717482934eeb32701044a01dfe15d3e54f5db0"/>
    <w:p>
      <w:pPr>
        <w:pStyle w:val="Heading2"/>
        <w:spacing w:line="480" w:lineRule="auto"/>
      </w:pPr>
      <w:r>
        <w:t xml:space="preserve">Comparing the finding to the rival explanations</w:t>
      </w:r>
    </w:p>
    <w:p>
      <w:pPr>
        <w:pStyle w:val="FirstParagraph"/>
        <w:spacing w:line="480" w:lineRule="auto"/>
      </w:pPr>
      <w:r>
        <w:t xml:space="preserve">Chapter 3 named three rivals to the behavioral reading, and the discussion is incomplete until the findings are weighed against each. The publication-convention rival holds that venue and content correlate for sociological reasons: operators write proceedings, theorists write journals and working analyses, and the negative venue coefficient merely reflects that division of labor rather than any discounting</w:t>
      </w:r>
      <w:r>
        <w:t xml:space="preserve"> </w:t>
      </w:r>
      <w:hyperlink w:anchor="ref-3">
        <w:r>
          <w:rPr>
            <w:rStyle w:val="Hyperlink"/>
          </w:rPr>
          <w:t xml:space="preserve">[3]</w:t>
        </w:r>
      </w:hyperlink>
      <w:r>
        <w:t xml:space="preserve">. This rival is strong, and the dissertation cannot exclude it. What can be said is that the convention itself may be an expression of the mechanism rather than an alternative to it. If a field organizes its operational, near-term knowledge into one venue type and its institutional, long-horizon knowledge into another, and if the former is far thicker, that division is exactly what a present-oriented field would produce. The rival and the mechanism are entangled, not cleanly opposed, and a design that could separate them would need to measure engagement substantively within venues, not just across them</w:t>
      </w:r>
      <w:r>
        <w:t xml:space="preserve"> </w:t>
      </w:r>
      <w:hyperlink w:anchor="ref-11">
        <w:r>
          <w:rPr>
            <w:rStyle w:val="Hyperlink"/>
          </w:rPr>
          <w:t xml:space="preserve">[11]</w:t>
        </w:r>
      </w:hyperlink>
      <w:r>
        <w:t xml:space="preserve">.</w:t>
      </w:r>
    </w:p>
    <w:p>
      <w:pPr>
        <w:pStyle w:val="BodyText"/>
        <w:spacing w:line="480" w:lineRule="auto"/>
        <w:ind w:firstLine="720"/>
      </w:pPr>
      <w:r>
        <w:t xml:space="preserve">The indexing-coverage rival holds that the negative age elasticity is an artifact of an index that records zero citations for proceedings regardless of their influence</w:t>
      </w:r>
      <w:r>
        <w:t xml:space="preserve"> </w:t>
      </w:r>
      <w:hyperlink w:anchor="ref-13">
        <w:r>
          <w:rPr>
            <w:rStyle w:val="Hyperlink"/>
          </w:rPr>
          <w:t xml:space="preserve">[13]</w:t>
        </w:r>
      </w:hyperlink>
      <w:r>
        <w:t xml:space="preserve">. This rival is the most damaging to Paper 2, and the dissertation concedes its force directly. The old, uncited proceedings that pull the log-citation surface down at high age are uncited in the index, which is not the same as uncited in the world. The precise negative elasticity is therefore partly a fact about the index and only partly, if at all, a fact about the field’s attention. Chapter 8 makes uniform citation coverage a first-order requirement for any successor study precisely because this rival cannot be dismissed from the present data</w:t>
      </w:r>
      <w:r>
        <w:t xml:space="preserve"> </w:t>
      </w:r>
      <w:hyperlink w:anchor="ref-7">
        <w:r>
          <w:rPr>
            <w:rStyle w:val="Hyperlink"/>
          </w:rPr>
          <w:t xml:space="preserve">[7]</w:t>
        </w:r>
      </w:hyperlink>
      <w:r>
        <w:t xml:space="preserve">.</w:t>
      </w:r>
    </w:p>
    <w:p>
      <w:pPr>
        <w:pStyle w:val="BodyText"/>
        <w:spacing w:line="480" w:lineRule="auto"/>
        <w:ind w:firstLine="720"/>
      </w:pPr>
      <w:r>
        <w:t xml:space="preserve">The reversed-maturation rival holds that the recent journal core is simply where current citation activity concentrates, with no behavioral content required. This rival is the hardest to distinguish from the mechanism, because a present-biased citing culture and an ordinary recency-of-attention effect predict the same observable. The dissertation does not claim to tell them apart. It claims only that the observed sign is consistent with the mechanism and inconsistent with the mechanism’s negation, which is the most a documentary screen can offer</w:t>
      </w:r>
      <w:r>
        <w:t xml:space="preserve"> </w:t>
      </w:r>
      <w:hyperlink w:anchor="ref-5">
        <w:r>
          <w:rPr>
            <w:rStyle w:val="Hyperlink"/>
          </w:rPr>
          <w:t xml:space="preserve">[5]</w:t>
        </w:r>
      </w:hyperlink>
      <w:r>
        <w:t xml:space="preserve"> </w:t>
      </w:r>
      <w:hyperlink w:anchor="ref-13">
        <w:r>
          <w:rPr>
            <w:rStyle w:val="Hyperlink"/>
          </w:rPr>
          <w:t xml:space="preserve">[13]</w:t>
        </w:r>
      </w:hyperlink>
      <w:r>
        <w:t xml:space="preserve">.</w:t>
      </w:r>
    </w:p>
    <w:bookmarkEnd w:id="128"/>
    <w:bookmarkStart w:id="129" w:name="X6c10f17d13e2bd770eb487e6508b66092ba77d3"/>
    <w:p>
      <w:pPr>
        <w:pStyle w:val="Heading2"/>
        <w:spacing w:line="480" w:lineRule="auto"/>
      </w:pPr>
      <w:r>
        <w:t xml:space="preserve">Implications for how the field spends its effort</w:t>
      </w:r>
    </w:p>
    <w:p>
      <w:pPr>
        <w:pStyle w:val="FirstParagraph"/>
        <w:spacing w:line="480" w:lineRule="auto"/>
      </w:pPr>
      <w:r>
        <w:t xml:space="preserve">Suppose, for the sake of drawing out the implication, that the documentary pattern holds under a stronger design. What would follow for how the field allocates its attention and its money? The operational literature has brought risk measurement to a high state: the probability of collision is computable, high-risk conjunctions are screenable, and improved tracking measurably sharpens the maneuver decision</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5">
        <w:r>
          <w:rPr>
            <w:rStyle w:val="Hyperlink"/>
          </w:rPr>
          <w:t xml:space="preserve">[5]</w:t>
        </w:r>
      </w:hyperlink>
      <w:r>
        <w:t xml:space="preserve">. If the coordination theme is thickest in exactly these operational venues and thinnest in the institutional ones, then the field is investing where it is already strong and neglecting where it is weak. That is the signature of a present-biased allocation, and it has a concrete cost.</w:t>
      </w:r>
    </w:p>
    <w:p>
      <w:pPr>
        <w:pStyle w:val="BodyText"/>
        <w:spacing w:line="480" w:lineRule="auto"/>
        <w:ind w:firstLine="720"/>
      </w:pPr>
      <w:r>
        <w:t xml:space="preserve">The cost is visible in the removal and forecasting literatures. Active debris removal is technically mature and optimizable for policy impact, yet it remains underfinanced precisely because its benefit is shared and delayed, the payoff structure a present-biased field discounts most steeply</w:t>
      </w:r>
      <w:r>
        <w:t xml:space="preserve"> </w:t>
      </w:r>
      <w:hyperlink w:anchor="ref-10">
        <w:r>
          <w:rPr>
            <w:rStyle w:val="Hyperlink"/>
          </w:rPr>
          <w:t xml:space="preserve">[10]</w:t>
        </w:r>
      </w:hyperlink>
      <w:r>
        <w:t xml:space="preserve">. Launch traffic is forecast to grow with the economy, which means the shared future cost that operators underweight is itself rising</w:t>
      </w:r>
      <w:r>
        <w:t xml:space="preserve"> </w:t>
      </w:r>
      <w:hyperlink w:anchor="ref-8">
        <w:r>
          <w:rPr>
            <w:rStyle w:val="Hyperlink"/>
          </w:rPr>
          <w:t xml:space="preserve">[8]</w:t>
        </w:r>
      </w:hyperlink>
      <w:r>
        <w:t xml:space="preserve"> </w:t>
      </w:r>
      <w:hyperlink w:anchor="ref-9">
        <w:r>
          <w:rPr>
            <w:rStyle w:val="Hyperlink"/>
          </w:rPr>
          <w:t xml:space="preserve">[9]</w:t>
        </w:r>
      </w:hyperlink>
      <w:r>
        <w:t xml:space="preserve">. A field that keeps refining its near-term measurement while the long-horizon institutions lag will find the gap between capability and coordination widening exactly as the hazard grows. The implication, offered tentatively because it rests on a pattern that a stronger design must confirm, is that marginal effort is better spent on the institutional mechanisms than on further measurement refinement</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None of this is a policy prescription, and the chapter is careful to keep it descriptive. The dissertation cannot say which coordination mechanism should be built, how the externality should be priced, or who should pay for removal. It can say, from evidence rather than assertion, that the field’s own documentary output is consistent with attention concentrated on the near term, and that the literature identifies the long-horizon, shared-cost problems as the ones a present-biased allocation would neglect</w:t>
      </w:r>
      <w:r>
        <w:t xml:space="preserve"> </w:t>
      </w:r>
      <w:hyperlink w:anchor="ref-6">
        <w:r>
          <w:rPr>
            <w:rStyle w:val="Hyperlink"/>
          </w:rPr>
          <w:t xml:space="preserve">[6]</w:t>
        </w:r>
      </w:hyperlink>
      <w:r>
        <w:t xml:space="preserve"> </w:t>
      </w:r>
      <w:hyperlink w:anchor="ref-14">
        <w:r>
          <w:rPr>
            <w:rStyle w:val="Hyperlink"/>
          </w:rPr>
          <w:t xml:space="preserve">[14]</w:t>
        </w:r>
      </w:hyperlink>
      <w:r>
        <w:t xml:space="preserve">. Turning that consistency into a confident governance claim would require the behavioral study Chapter 8 specifies, and the chapter declines to make the claim ahead of the evidence.</w:t>
      </w:r>
    </w:p>
    <w:bookmarkEnd w:id="129"/>
    <w:bookmarkStart w:id="130" w:name="X99309f9ee2cbf83be1ed22fa6c47df5ae4cc9f8"/>
    <w:p>
      <w:pPr>
        <w:pStyle w:val="Heading2"/>
        <w:spacing w:line="480" w:lineRule="auto"/>
      </w:pPr>
      <w:r>
        <w:t xml:space="preserve">The asymmetry that gives the screen its value</w:t>
      </w:r>
    </w:p>
    <w:p>
      <w:pPr>
        <w:pStyle w:val="FirstParagraph"/>
        <w:spacing w:line="480" w:lineRule="auto"/>
      </w:pPr>
      <w:r>
        <w:t xml:space="preserve">The recurring theme of this chapter is an asymmetry, and it is worth naming plainly because it is the epistemic core of the whole design. The two papers could have failed the mechanism and did not. Had the venue coefficient been null or positive, or the age elasticity null or positive, the behavioral account would have been embarrassed, because it makes directional predictions that null or opposite results would contradict</w:t>
      </w:r>
      <w:r>
        <w:t xml:space="preserve"> </w:t>
      </w:r>
      <w:hyperlink w:anchor="ref-3">
        <w:r>
          <w:rPr>
            <w:rStyle w:val="Hyperlink"/>
          </w:rPr>
          <w:t xml:space="preserve">[3]</w:t>
        </w:r>
      </w:hyperlink>
      <w:r>
        <w:t xml:space="preserve"> </w:t>
      </w:r>
      <w:hyperlink w:anchor="ref-11">
        <w:r>
          <w:rPr>
            <w:rStyle w:val="Hyperlink"/>
          </w:rPr>
          <w:t xml:space="preserve">[11]</w:t>
        </w:r>
      </w:hyperlink>
      <w:r>
        <w:t xml:space="preserve">. Both coefficients came back signed as the mechanism predicts and precise at conventional levels. That is genuine information: the mechanism survived a test it could have failed.</w:t>
      </w:r>
    </w:p>
    <w:p>
      <w:pPr>
        <w:pStyle w:val="BodyText"/>
        <w:spacing w:line="480" w:lineRule="auto"/>
        <w:ind w:firstLine="720"/>
      </w:pPr>
      <w:r>
        <w:t xml:space="preserve">The asymmetry is that surviving a falsification test is not the same as being confirmed against every rival. The signed, precise coefficients are consistent with present bias and also consistent with publication convention, indexing coverage, and reversed maturation. A documentary screen can reject a hypothesis crisply and can only ever support one weakly, because support requires ruling out rivals that a screen is not designed to exclude</w:t>
      </w:r>
      <w:r>
        <w:t xml:space="preserve"> </w:t>
      </w:r>
      <w:hyperlink w:anchor="ref-4">
        <w:r>
          <w:rPr>
            <w:rStyle w:val="Hyperlink"/>
          </w:rPr>
          <w:t xml:space="preserve">[4]</w:t>
        </w:r>
      </w:hyperlink>
      <w:r>
        <w:t xml:space="preserve">. The honest verdict is therefore layered. The behavioral account was not refuted, which is worth reporting, and it was not isolated from its rivals, which is equally worth reporting. Collapsing that layered verdict into a simple confirmation would be the exact over-claim the dissertation has organized itself to avoid</w:t>
      </w:r>
      <w:r>
        <w:t xml:space="preserve"> </w:t>
      </w:r>
      <w:hyperlink w:anchor="ref-6">
        <w:r>
          <w:rPr>
            <w:rStyle w:val="Hyperlink"/>
          </w:rPr>
          <w:t xml:space="preserve">[6]</w:t>
        </w:r>
      </w:hyperlink>
      <w:r>
        <w:t xml:space="preserve"> </w:t>
      </w:r>
      <w:hyperlink w:anchor="ref-14">
        <w:r>
          <w:rPr>
            <w:rStyle w:val="Hyperlink"/>
          </w:rPr>
          <w:t xml:space="preserve">[14]</w:t>
        </w:r>
      </w:hyperlink>
      <w:r>
        <w:t xml:space="preserve">.</w:t>
      </w:r>
    </w:p>
    <w:bookmarkEnd w:id="130"/>
    <w:bookmarkStart w:id="131" w:name="value-that-remains"/>
    <w:p>
      <w:pPr>
        <w:pStyle w:val="Heading2"/>
        <w:spacing w:line="480" w:lineRule="auto"/>
      </w:pPr>
      <w:r>
        <w:t xml:space="preserve">Value that remains</w:t>
      </w:r>
    </w:p>
    <w:p>
      <w:pPr>
        <w:pStyle w:val="FirstParagraph"/>
        <w:spacing w:line="480" w:lineRule="auto"/>
      </w:pPr>
      <w:r>
        <w:t xml:space="preserve">A further limit deserves explicit statement because it is easy to forget once the coefficients look tidy. The topic-signal score cannot tell a substantive engagement from a lexical coincidence. A record that uses the coordination vocabulary heavily while treating it superficially, and a record that engages the problem deeply while naming it sparingly, can receive similar or even inverted scores</w:t>
      </w:r>
      <w:r>
        <w:t xml:space="preserve"> </w:t>
      </w:r>
      <w:hyperlink w:anchor="ref-3">
        <w:r>
          <w:rPr>
            <w:rStyle w:val="Hyperlink"/>
          </w:rPr>
          <w:t xml:space="preserve">[3]</w:t>
        </w:r>
      </w:hyperlink>
      <w:r>
        <w:t xml:space="preserve">. The venue coefficient therefore rests on a measure that captures how much a record talks about the theme, not how well it reasons about it. A stronger design would replace the lexical count with a validated substantive coding, and until it does, the finding that the theme concentrates in operational venues must be read as a finding about vocabulary density rather than about analytic depth</w:t>
      </w:r>
      <w:r>
        <w:t xml:space="preserve"> </w:t>
      </w:r>
      <w:hyperlink w:anchor="ref-6">
        <w:r>
          <w:rPr>
            <w:rStyle w:val="Hyperlink"/>
          </w:rPr>
          <w:t xml:space="preserve">[6]</w:t>
        </w:r>
      </w:hyperlink>
      <w:r>
        <w:t xml:space="preserve"> </w:t>
      </w:r>
      <w:hyperlink w:anchor="ref-11">
        <w:r>
          <w:rPr>
            <w:rStyle w:val="Hyperlink"/>
          </w:rPr>
          <w:t xml:space="preserve">[11]</w:t>
        </w:r>
      </w:hyperlink>
      <w:r>
        <w:t xml:space="preserve">. Naming that gap is not a hedge; it is the precise boundary of what the outcome variable can support.</w:t>
      </w:r>
    </w:p>
    <w:p>
      <w:pPr>
        <w:pStyle w:val="BodyText"/>
        <w:spacing w:line="480" w:lineRule="auto"/>
        <w:ind w:firstLine="720"/>
      </w:pPr>
      <w:r>
        <w:t xml:space="preserve">None of this empties the exercise. A screen that reports its own limits honestly still does real work. It establishes that the corpus has legible structure, that the structure runs through venue and recent-citation concentration, and that the recency-of-signal and citation-of-signal links are too weak to lean on at this size. It tells a successor study exactly where to invest: a larger, balanced, document-coded corpus with a substantive rather than lexical measure of engagement, and a citation source with uniform venue coverage. The dissertation’s contribution is to have made those next steps precise rather than vague, and to have done so without over-claiming from thirty rows</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The chapter closes on the balance it has tried to strike. It has read the two precise coefficients for what they support, a field whose documentary structure is arranged as a present-oriented allocation would arrange it, and it has spent equal effort naming the four threats and three categorical limits that keep that reading from becoming a proof</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 That balance is the discipline the whole dissertation exists to demonstrate. A behavioral claim about a technical community is easy to assert and hard to earn, and the difference between assertion and earning is exactly the length this chapter has given to what the data cannot show. Chapter 8 carries that balance into the conclusions, drawing only the implications the structured, partial result can actually bear</w:t>
      </w:r>
      <w:r>
        <w:t xml:space="preserve"> </w:t>
      </w:r>
      <w:hyperlink w:anchor="ref-6">
        <w:r>
          <w:rPr>
            <w:rStyle w:val="Hyperlink"/>
          </w:rPr>
          <w:t xml:space="preserve">[6]</w:t>
        </w:r>
      </w:hyperlink>
      <w:r>
        <w:t xml:space="preserve">.</w:t>
      </w:r>
    </w:p>
    <w:bookmarkEnd w:id="131"/>
    <w:bookmarkEnd w:id="132"/>
    <w:bookmarkStart w:id="167" w:name="chapter-8.-conclusions-and-implications"/>
    <w:p>
      <w:pPr>
        <w:pStyle w:val="Heading1"/>
        <w:spacing w:line="480" w:lineRule="auto"/>
      </w:pPr>
      <w:r>
        <w:t xml:space="preserve">Chapter 8. Conclusions and Implications</w:t>
      </w:r>
    </w:p>
    <w:p>
      <w:pPr>
        <w:pStyle w:val="FirstParagraph"/>
        <w:spacing w:line="480" w:lineRule="auto"/>
      </w:pPr>
      <w:r>
        <w:t xml:space="preserve">This dissertation asked a narrow version of a large question. Does operator discounting of future collision risk leave a measurable fingerprint in the documentary trace of the conjunction-assessment field, and can that fingerprint be recovered from an auditable, thirty-record corpus? The answer is a qualified yes: the corpus carries real structure, that structure is consistent with a present-oriented field, and the design that recovered it is transparent enough to be checked and extended. This closing chapter states the contribution precisely, draws the implications the evidence can bear, and specifies the work that comes next</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Start w:id="133" w:name="the-contribution-stated-exactly"/>
    <w:p>
      <w:pPr>
        <w:pStyle w:val="Heading2"/>
        <w:spacing w:line="480" w:lineRule="auto"/>
      </w:pPr>
      <w:r>
        <w:t xml:space="preserve">The contribution, stated exactly</w:t>
      </w:r>
    </w:p>
    <w:p>
      <w:pPr>
        <w:pStyle w:val="FirstParagraph"/>
        <w:spacing w:line="480" w:lineRule="auto"/>
      </w:pPr>
      <w:r>
        <w:t xml:space="preserve">Before drawing implications, it helps to restate plainly what this dissertation set out to do and what it delivered, because a conclusion earns its authority from that correspondence. The project asked whether operator discounting of future collision risk leaves a measurable trace in the field’s documentary output, and it answered by converting that behavioral question into a single falsifiable document-level test, executed on thirty auditable records with two transparent estimators</w:t>
      </w:r>
      <w:r>
        <w:t xml:space="preserve"> </w:t>
      </w:r>
      <w:hyperlink w:anchor="ref-1">
        <w:r>
          <w:rPr>
            <w:rStyle w:val="Hyperlink"/>
          </w:rPr>
          <w:t xml:space="preserve">[1]</w:t>
        </w:r>
      </w:hyperlink>
      <w:r>
        <w:t xml:space="preserve"> </w:t>
      </w:r>
      <w:hyperlink w:anchor="ref-3">
        <w:r>
          <w:rPr>
            <w:rStyle w:val="Hyperlink"/>
          </w:rPr>
          <w:t xml:space="preserve">[3]</w:t>
        </w:r>
      </w:hyperlink>
      <w:r>
        <w:t xml:space="preserve">. It did not attempt a general theory of orbital governance, a causal estimate of discounting, or a policy prescription. It attempted one thing, a disciplined screen, and it reports the outcome of that one thing with its uncertainty attached. The correspondence between the stated aim and the delivered result is exact, and that exactness is itself part of what the dissertation offers a reader who has learned to distrust the gap between ambition and evidence in this domain</w:t>
      </w:r>
      <w:r>
        <w:t xml:space="preserve"> </w:t>
      </w:r>
      <w:hyperlink w:anchor="ref-5">
        <w:r>
          <w:rPr>
            <w:rStyle w:val="Hyperlink"/>
          </w:rPr>
          <w:t xml:space="preserve">[5]</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The contribution is a single falsifiable, fully traceable test, executed and reported without inflation. Two claims survived. Both came from the estimators, not from the prose. Topic-signal intensity falls as the corpus moves from operational to institutional venues, by about 1.40 points per venue step, precise at the five percent level</w:t>
      </w:r>
      <w:r>
        <w:t xml:space="preserve"> </w:t>
      </w:r>
      <w:hyperlink w:anchor="ref-11">
        <w:r>
          <w:rPr>
            <w:rStyle w:val="Hyperlink"/>
          </w:rPr>
          <w:t xml:space="preserve">[11]</w:t>
        </w:r>
      </w:hyperlink>
      <w:r>
        <w:t xml:space="preserve">. Citation attention accumulates sublinearly with article age, with an elasticity of about -0.595, also precise at the five percent level</w:t>
      </w:r>
      <w:r>
        <w:t xml:space="preserve"> </w:t>
      </w:r>
      <w:hyperlink w:anchor="ref-13">
        <w:r>
          <w:rPr>
            <w:rStyle w:val="Hyperlink"/>
          </w:rPr>
          <w:t xml:space="preserve">[13]</w:t>
        </w:r>
      </w:hyperlink>
      <w:r>
        <w:t xml:space="preserve">. Both results were predicted, at least directionally, by a mechanism of steep discounting of a shared future loss, and both were read against pre-committed hypotheses rather than discovered after the fact.</w:t>
      </w:r>
    </w:p>
    <w:p>
      <w:pPr>
        <w:pStyle w:val="BodyText"/>
        <w:spacing w:line="480" w:lineRule="auto"/>
        <w:ind w:firstLine="720"/>
      </w:pPr>
      <w:r>
        <w:t xml:space="preserve">Equally part of the contribution is what did not survive. The recency-of-signal and citation-of-signal links the mechanism also predicted were imprecise, and the dissertation reported that imprecision plainly</w:t>
      </w:r>
      <w:r>
        <w:t xml:space="preserve"> </w:t>
      </w:r>
      <w:hyperlink w:anchor="ref-4">
        <w:r>
          <w:rPr>
            <w:rStyle w:val="Hyperlink"/>
          </w:rPr>
          <w:t xml:space="preserve">[4]</w:t>
        </w:r>
      </w:hyperlink>
      <w:r>
        <w:t xml:space="preserve"> </w:t>
      </w:r>
      <w:hyperlink w:anchor="ref-5">
        <w:r>
          <w:rPr>
            <w:rStyle w:val="Hyperlink"/>
          </w:rPr>
          <w:t xml:space="preserve">[5]</w:t>
        </w:r>
      </w:hyperlink>
      <w:r>
        <w:t xml:space="preserve">. A dissertation that reports its null and near-null results alongside its precise ones is doing something a persuasive essay would not: it is disciplining the reader’s inference as strictly as its own. The knowledge added here is therefore twofold. There is a positive finding about where the coordination theme concentrates, and there is a negative finding about which proxies are too weak to carry a behavioral argument at this corpus size. Both are useful to the next investigator, and both are reproducible from the retained records.</w:t>
      </w:r>
    </w:p>
    <w:bookmarkEnd w:id="133"/>
    <w:bookmarkStart w:id="134" w:name="X0618540876690982bb9053b3ccb2c1ccdf242f7"/>
    <w:p>
      <w:pPr>
        <w:pStyle w:val="Heading2"/>
        <w:spacing w:line="480" w:lineRule="auto"/>
      </w:pPr>
      <w:r>
        <w:t xml:space="preserve">Restating the two findings against the hypotheses</w:t>
      </w:r>
    </w:p>
    <w:p>
      <w:pPr>
        <w:pStyle w:val="FirstParagraph"/>
        <w:spacing w:line="480" w:lineRule="auto"/>
      </w:pPr>
      <w:r>
        <w:t xml:space="preserve">Precision about the findings matters at the close, because a conclusion that drifts from its evidence undoes the discipline the dissertation was built to model. Two hypotheses were tested. Paper 1’s joint null, that signal intensity is unrelated to recency, citation attention, and venue family, was rejected at the five percent level, but the rejection rests on the venue term alone; the recency and citation channels the mechanism also predicted were not detectable</w:t>
      </w:r>
      <w:r>
        <w:t xml:space="preserve"> </w:t>
      </w:r>
      <w:hyperlink w:anchor="ref-4">
        <w:r>
          <w:rPr>
            <w:rStyle w:val="Hyperlink"/>
          </w:rPr>
          <w:t xml:space="preserve">[4]</w:t>
        </w:r>
      </w:hyperlink>
      <w:r>
        <w:t xml:space="preserve"> </w:t>
      </w:r>
      <w:hyperlink w:anchor="ref-11">
        <w:r>
          <w:rPr>
            <w:rStyle w:val="Hyperlink"/>
          </w:rPr>
          <w:t xml:space="preserve">[11]</w:t>
        </w:r>
      </w:hyperlink>
      <w:r>
        <w:t xml:space="preserve">. Paper 2’s null, that citation accumulation is unrelated to article age, was rejected, with a precise negative elasticity whose sign matches the present-oriented prediction</w:t>
      </w:r>
      <w:r>
        <w:t xml:space="preserve"> </w:t>
      </w:r>
      <w:hyperlink w:anchor="ref-7">
        <w:r>
          <w:rPr>
            <w:rStyle w:val="Hyperlink"/>
          </w:rPr>
          <w:t xml:space="preserve">[7]</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The contribution is therefore neither a clean confirmation nor a null. It is a structured, partial result: one predictor of three carries cross-sectional structure, the temporal channel carries a precise and correctly-signed relationship, and the remaining channels are too weak to support a claim at this corpus size</w:t>
      </w:r>
      <w:r>
        <w:t xml:space="preserve"> </w:t>
      </w:r>
      <w:hyperlink w:anchor="ref-5">
        <w:r>
          <w:rPr>
            <w:rStyle w:val="Hyperlink"/>
          </w:rPr>
          <w:t xml:space="preserve">[5]</w:t>
        </w:r>
      </w:hyperlink>
      <w:r>
        <w:t xml:space="preserve">. A conclusion faithful to that evidence says exactly this much and no more, and the sections that follow draw only the implications this structured result can bear</w:t>
      </w:r>
      <w:r>
        <w:t xml:space="preserve"> </w:t>
      </w:r>
      <w:hyperlink w:anchor="ref-14">
        <w:r>
          <w:rPr>
            <w:rStyle w:val="Hyperlink"/>
          </w:rPr>
          <w:t xml:space="preserve">[14]</w:t>
        </w:r>
      </w:hyperlink>
      <w:r>
        <w:t xml:space="preserve">.</w:t>
      </w:r>
    </w:p>
    <w:bookmarkEnd w:id="134"/>
    <w:bookmarkStart w:id="135" w:name="governance-and-program-relevance"/>
    <w:p>
      <w:pPr>
        <w:pStyle w:val="Heading2"/>
        <w:spacing w:line="480" w:lineRule="auto"/>
      </w:pPr>
      <w:r>
        <w:t xml:space="preserve">Governance and program relevance</w:t>
      </w:r>
    </w:p>
    <w:p>
      <w:pPr>
        <w:pStyle w:val="FirstParagraph"/>
        <w:spacing w:line="480" w:lineRule="auto"/>
      </w:pPr>
      <w:r>
        <w:t xml:space="preserve">The governance implication is modest. Over-reading it would violate the discipline the dissertation has tried to model. The finding that the coordination theme is thickest in operational venues and thinnest in institutional ones is consistent with a field that measures its near-term risk well while organizing its long-horizon institutions late</w:t>
      </w:r>
      <w:r>
        <w:t xml:space="preserve"> </w:t>
      </w:r>
      <w:hyperlink w:anchor="ref-3">
        <w:r>
          <w:rPr>
            <w:rStyle w:val="Hyperlink"/>
          </w:rPr>
          <w:t xml:space="preserve">[3]</w:t>
        </w:r>
      </w:hyperlink>
      <w:r>
        <w:t xml:space="preserve">. If that reading holds under a stronger design, it has a clear program consequence. The binding constraint on orbital coordination is not measurement capability; the operational literature has largely solved the measurement problem</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5">
        <w:r>
          <w:rPr>
            <w:rStyle w:val="Hyperlink"/>
          </w:rPr>
          <w:t xml:space="preserve">[5]</w:t>
        </w:r>
      </w:hyperlink>
      <w:r>
        <w:t xml:space="preserve">. The binding constraint is the translation of that capability into rules that internalize the shared, delayed cost of a collision.</w:t>
      </w:r>
    </w:p>
    <w:p>
      <w:pPr>
        <w:pStyle w:val="BodyText"/>
        <w:spacing w:line="480" w:lineRule="auto"/>
        <w:ind w:firstLine="720"/>
      </w:pPr>
      <w:r>
        <w:t xml:space="preserve">That reframing matters for how scarce institutional effort is spent. A field that believes its problem is measurement will keep investing in better metrics and better tracking, which are valuable but not sufficient</w:t>
      </w:r>
      <w:r>
        <w:t xml:space="preserve"> </w:t>
      </w:r>
      <w:hyperlink w:anchor="ref-7">
        <w:r>
          <w:rPr>
            <w:rStyle w:val="Hyperlink"/>
          </w:rPr>
          <w:t xml:space="preserve">[7]</w:t>
        </w:r>
      </w:hyperlink>
      <w:r>
        <w:t xml:space="preserve"> </w:t>
      </w:r>
      <w:hyperlink w:anchor="ref-14">
        <w:r>
          <w:rPr>
            <w:rStyle w:val="Hyperlink"/>
          </w:rPr>
          <w:t xml:space="preserve">[14]</w:t>
        </w:r>
      </w:hyperlink>
      <w:r>
        <w:t xml:space="preserve">. A field that recognizes its problem as an incentive-and-institution problem will invest instead in the coordination mechanisms that the traffic-management and debris-removal literatures have begun to sketch, mechanisms that price the externality an individual operator’s maneuver decision currently ignores</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The forecasting literature raises the urgency: launch traffic tracks the economy, the population will keep growing, and the window in which light-touch coordination can work is finite</w:t>
      </w:r>
      <w:r>
        <w:t xml:space="preserve"> </w:t>
      </w:r>
      <w:hyperlink w:anchor="ref-8">
        <w:r>
          <w:rPr>
            <w:rStyle w:val="Hyperlink"/>
          </w:rPr>
          <w:t xml:space="preserve">[8]</w:t>
        </w:r>
      </w:hyperlink>
      <w:r>
        <w:t xml:space="preserve"> </w:t>
      </w:r>
      <w:hyperlink w:anchor="ref-9">
        <w:r>
          <w:rPr>
            <w:rStyle w:val="Hyperlink"/>
          </w:rPr>
          <w:t xml:space="preserve">[9]</w:t>
        </w:r>
      </w:hyperlink>
      <w:r>
        <w:t xml:space="preserve">. The dissertation does not prescribe a specific rule. It offers a piece of evidence that the gap to watch is the institutional one, and it offers that evidence with its uncertainty attached.</w:t>
      </w:r>
    </w:p>
    <w:p>
      <w:pPr>
        <w:pStyle w:val="BodyText"/>
        <w:spacing w:line="480" w:lineRule="auto"/>
        <w:ind w:firstLine="720"/>
      </w:pPr>
      <w:r>
        <w:t xml:space="preserve">For a program office reading this work, the operational takeaway is method as much as substance. The design shows how a behavioral hypothesis about a technical community can be converted into a documentary screen whose every step is inspectable, which is a template a capture or assessment team could reuse to characterize the attention structure of any emerging governance problem before committing to a heavier study</w:t>
      </w:r>
      <w:r>
        <w:t xml:space="preserve"> </w:t>
      </w:r>
      <w:hyperlink w:anchor="ref-6">
        <w:r>
          <w:rPr>
            <w:rStyle w:val="Hyperlink"/>
          </w:rPr>
          <w:t xml:space="preserve">[6]</w:t>
        </w:r>
      </w:hyperlink>
      <w:r>
        <w:t xml:space="preserve">.</w:t>
      </w:r>
    </w:p>
    <w:bookmarkEnd w:id="135"/>
    <w:bookmarkStart w:id="136" w:name="Xe3ddd0cd57f56378b34a0d20dad190a9ce7f3d5"/>
    <w:p>
      <w:pPr>
        <w:pStyle w:val="Heading2"/>
        <w:spacing w:line="480" w:lineRule="auto"/>
      </w:pPr>
      <w:r>
        <w:t xml:space="preserve">A methodological contribution alongside the substantive one</w:t>
      </w:r>
    </w:p>
    <w:p>
      <w:pPr>
        <w:pStyle w:val="FirstParagraph"/>
        <w:spacing w:line="480" w:lineRule="auto"/>
      </w:pPr>
      <w:r>
        <w:t xml:space="preserve">The dissertation makes a second contribution that is easy to overlook because it lives in the design rather than in the findings. It demonstrates a way to test a behavioral hypothesis about a technical community without access to the community’s private decisions, by reading the documentary trace the community leaves in public. That move, from an unobservable behavioral disposition to an observable documentary fingerprint, is transferable well beyond orbital coordination. Any field suspected of a systematic attention bias, toward the near term, toward the fashionable, toward the fundable, leaves a trace in the timing, venue, and citation structure of its literature, and that trace can be screened before a heavier study is commissioned</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methodological value is inseparable from the discipline the design imposes on itself. Deterministic variables, preserved provenance, pre-committed hypotheses, and symmetric reporting together make the screen resistant to the confirmation-by-illustration failure that behavioral claims about complex systems so often commit</w:t>
      </w:r>
      <w:r>
        <w:t xml:space="preserve"> </w:t>
      </w:r>
      <w:hyperlink w:anchor="ref-4">
        <w:r>
          <w:rPr>
            <w:rStyle w:val="Hyperlink"/>
          </w:rPr>
          <w:t xml:space="preserve">[4]</w:t>
        </w:r>
      </w:hyperlink>
      <w:r>
        <w:t xml:space="preserve"> </w:t>
      </w:r>
      <w:hyperlink w:anchor="ref-5">
        <w:r>
          <w:rPr>
            <w:rStyle w:val="Hyperlink"/>
          </w:rPr>
          <w:t xml:space="preserve">[5]</w:t>
        </w:r>
      </w:hyperlink>
      <w:r>
        <w:t xml:space="preserve">. A reader who distrusts the substantive conclusion can still adopt the method, run it on a corpus of their own choosing, and reach an independent verdict, because every step is exhibited rather than asserted. That reusability is a contribution in its own right, and it is the reason the dissertation documents its variable construction and its inference philosophy in as much detail as its results</w:t>
      </w:r>
      <w:r>
        <w:t xml:space="preserve"> </w:t>
      </w:r>
      <w:hyperlink w:anchor="ref-14">
        <w:r>
          <w:rPr>
            <w:rStyle w:val="Hyperlink"/>
          </w:rPr>
          <w:t xml:space="preserve">[14]</w:t>
        </w:r>
      </w:hyperlink>
      <w:r>
        <w:t xml:space="preserve">.</w:t>
      </w:r>
    </w:p>
    <w:bookmarkEnd w:id="136"/>
    <w:bookmarkStart w:id="137" w:name="broader-significance"/>
    <w:p>
      <w:pPr>
        <w:pStyle w:val="Heading2"/>
        <w:spacing w:line="480" w:lineRule="auto"/>
      </w:pPr>
      <w:r>
        <w:t xml:space="preserve">Broader significance</w:t>
      </w:r>
    </w:p>
    <w:p>
      <w:pPr>
        <w:pStyle w:val="FirstParagraph"/>
        <w:spacing w:line="480" w:lineRule="auto"/>
      </w:pPr>
      <w:r>
        <w:t xml:space="preserve">Zoom out from the thirty records and the significance of the question comes into focus. Orbit is a shared resource filling faster than its governance is maturing, and the forecasting literature ties that filling to economic growth rather than to any managed ceiling</w:t>
      </w:r>
      <w:r>
        <w:t xml:space="preserve"> </w:t>
      </w:r>
      <w:hyperlink w:anchor="ref-8">
        <w:r>
          <w:rPr>
            <w:rStyle w:val="Hyperlink"/>
          </w:rPr>
          <w:t xml:space="preserve">[8]</w:t>
        </w:r>
      </w:hyperlink>
      <w:r>
        <w:t xml:space="preserve"> </w:t>
      </w:r>
      <w:hyperlink w:anchor="ref-9">
        <w:r>
          <w:rPr>
            <w:rStyle w:val="Hyperlink"/>
          </w:rPr>
          <w:t xml:space="preserve">[9]</w:t>
        </w:r>
      </w:hyperlink>
      <w:r>
        <w:t xml:space="preserve">. If the operators and analysts who populate it reason in a present-biased way, then the very mechanism that makes near-term measurement excellent, attention to the immediate and payable, is the mechanism that starves the long-horizon institutions the environment increasingly needs</w:t>
      </w:r>
      <w:r>
        <w:t xml:space="preserve"> </w:t>
      </w:r>
      <w:hyperlink w:anchor="ref-1">
        <w:r>
          <w:rPr>
            <w:rStyle w:val="Hyperlink"/>
          </w:rPr>
          <w:t xml:space="preserve">[1]</w:t>
        </w:r>
      </w:hyperlink>
      <w:r>
        <w:t xml:space="preserve"> </w:t>
      </w:r>
      <w:hyperlink w:anchor="ref-10">
        <w:r>
          <w:rPr>
            <w:rStyle w:val="Hyperlink"/>
          </w:rPr>
          <w:t xml:space="preserve">[10]</w:t>
        </w:r>
      </w:hyperlink>
      <w:r>
        <w:t xml:space="preserve">. The stakes are not abstract. A debris environment that tips toward self-sustaining growth would foreclose orbital regimes for generations, and the geosynchronous belt, where lifetimes are effectively permanent, is where the foreclosure would be most nearly irreversible</w:t>
      </w:r>
      <w:r>
        <w:t xml:space="preserve"> </w:t>
      </w:r>
      <w:hyperlink w:anchor="ref-13">
        <w:r>
          <w:rPr>
            <w:rStyle w:val="Hyperlink"/>
          </w:rPr>
          <w:t xml:space="preserve">[13]</w:t>
        </w:r>
      </w:hyperlink>
      <w:r>
        <w:t xml:space="preserve">.</w:t>
      </w:r>
    </w:p>
    <w:p>
      <w:pPr>
        <w:pStyle w:val="BodyText"/>
        <w:spacing w:line="480" w:lineRule="auto"/>
        <w:ind w:firstLine="720"/>
      </w:pPr>
      <w:r>
        <w:t xml:space="preserve">Against that backdrop, a disciplined first measurement is worth more than a confident guess. The dissertation does not claim to have shown that present bias governs the orbital commons. It claims to have shown that the field’s documentary output carries structure consistent with a present-oriented allocation of attention, to have reported that structure with its uncertainty intact, and to have specified the study that could turn consistency into confidence</w:t>
      </w:r>
      <w:r>
        <w:t xml:space="preserve"> </w:t>
      </w:r>
      <w:hyperlink w:anchor="ref-2">
        <w:r>
          <w:rPr>
            <w:rStyle w:val="Hyperlink"/>
          </w:rPr>
          <w:t xml:space="preserve">[2]</w:t>
        </w:r>
      </w:hyperlink>
      <w:r>
        <w:t xml:space="preserve"> </w:t>
      </w:r>
      <w:hyperlink w:anchor="ref-11">
        <w:r>
          <w:rPr>
            <w:rStyle w:val="Hyperlink"/>
          </w:rPr>
          <w:t xml:space="preserve">[11]</w:t>
        </w:r>
      </w:hyperlink>
      <w:r>
        <w:t xml:space="preserve">. In a domain where the temptation to over-claim is strong, because the stakes are high and the intuitions are compelling, the modesty of the claim is itself the point. A small, solid result that a successor can build on is a better contribution to a filling orbit than a large, brittle one that a successor would have to tear down</w:t>
      </w:r>
      <w:r>
        <w:t xml:space="preserve"> </w:t>
      </w:r>
      <w:hyperlink w:anchor="ref-5">
        <w:r>
          <w:rPr>
            <w:rStyle w:val="Hyperlink"/>
          </w:rPr>
          <w:t xml:space="preserve">[5]</w:t>
        </w:r>
      </w:hyperlink>
      <w:r>
        <w:t xml:space="preserve"> </w:t>
      </w:r>
      <w:hyperlink w:anchor="ref-14">
        <w:r>
          <w:rPr>
            <w:rStyle w:val="Hyperlink"/>
          </w:rPr>
          <w:t xml:space="preserve">[14]</w:t>
        </w:r>
      </w:hyperlink>
      <w:r>
        <w:t xml:space="preserve">.</w:t>
      </w:r>
    </w:p>
    <w:bookmarkEnd w:id="137"/>
    <w:bookmarkStart w:id="138" w:name="limits-carried-into-the-conclusion"/>
    <w:p>
      <w:pPr>
        <w:pStyle w:val="Heading2"/>
        <w:spacing w:line="480" w:lineRule="auto"/>
      </w:pPr>
      <w:r>
        <w:t xml:space="preserve">Limits carried into the conclusion</w:t>
      </w:r>
    </w:p>
    <w:p>
      <w:pPr>
        <w:pStyle w:val="FirstParagraph"/>
        <w:spacing w:line="480" w:lineRule="auto"/>
      </w:pPr>
      <w:r>
        <w:t xml:space="preserve">The conclusions inherit every limit Chapter 7 named, and honesty requires carrying them here rather than leaving them behind. The sample is small and topically retrieved, so the coefficients describe this corpus and not the field at large</w:t>
      </w:r>
      <w:r>
        <w:t xml:space="preserve"> </w:t>
      </w:r>
      <w:hyperlink w:anchor="ref-4">
        <w:r>
          <w:rPr>
            <w:rStyle w:val="Hyperlink"/>
          </w:rPr>
          <w:t xml:space="preserve">[4]</w:t>
        </w:r>
      </w:hyperlink>
      <w:r>
        <w:t xml:space="preserve">. The predictors are correlated, so the precise venue coefficient may absorb variation a balanced design would place elsewhere</w:t>
      </w:r>
      <w:r>
        <w:t xml:space="preserve"> </w:t>
      </w:r>
      <w:hyperlink w:anchor="ref-5">
        <w:r>
          <w:rPr>
            <w:rStyle w:val="Hyperlink"/>
          </w:rPr>
          <w:t xml:space="preserve">[5]</w:t>
        </w:r>
      </w:hyperlink>
      <w:r>
        <w:t xml:space="preserve">. The signal score is lexical, not substantive, and the citation index has uneven venue coverage, so the temporal result is entangled with an indexing artifact the design cannot remove</w:t>
      </w:r>
      <w:r>
        <w:t xml:space="preserve"> </w:t>
      </w:r>
      <w:hyperlink w:anchor="ref-13">
        <w:r>
          <w:rPr>
            <w:rStyle w:val="Hyperlink"/>
          </w:rPr>
          <w:t xml:space="preserve">[13]</w:t>
        </w:r>
      </w:hyperlink>
      <w:r>
        <w:t xml:space="preserve">. No causal claim is licensed, and no generalization across orbital regimes is supported</w:t>
      </w:r>
      <w:r>
        <w:t xml:space="preserve"> </w:t>
      </w:r>
      <w:hyperlink w:anchor="ref-2">
        <w:r>
          <w:rPr>
            <w:rStyle w:val="Hyperlink"/>
          </w:rPr>
          <w:t xml:space="preserve">[2]</w:t>
        </w:r>
      </w:hyperlink>
      <w:r>
        <w:t xml:space="preserve">. These are not caveats appended for form. They are the boundary of the knowledge produced, and they define exactly where a stronger study must begin.</w:t>
      </w:r>
    </w:p>
    <w:bookmarkEnd w:id="138"/>
    <w:bookmarkStart w:id="139" w:name="future-work"/>
    <w:p>
      <w:pPr>
        <w:pStyle w:val="Heading2"/>
        <w:spacing w:line="480" w:lineRule="auto"/>
      </w:pPr>
      <w:r>
        <w:t xml:space="preserve">Future work</w:t>
      </w:r>
    </w:p>
    <w:p>
      <w:pPr>
        <w:pStyle w:val="FirstParagraph"/>
        <w:spacing w:line="480" w:lineRule="auto"/>
      </w:pPr>
      <w:r>
        <w:t xml:space="preserve">Three next steps follow directly from what this design could not do, and each is specified concretely enough to be actionable.</w:t>
      </w:r>
    </w:p>
    <w:p>
      <w:pPr>
        <w:pStyle w:val="BodyText"/>
        <w:spacing w:line="480" w:lineRule="auto"/>
        <w:ind w:firstLine="720"/>
      </w:pPr>
      <w:r>
        <w:t xml:space="preserve">The first is a larger, balanced corpus. Thirty records retrieved for fit should become several hundred sampled to represent venue families, orbital regimes, and publication years in known proportions, so that venue, recency, and citation are no longer confounded and the imprecise links can be tested with power</w:t>
      </w:r>
      <w:r>
        <w:t xml:space="preserve"> </w:t>
      </w:r>
      <w:hyperlink w:anchor="ref-4">
        <w:r>
          <w:rPr>
            <w:rStyle w:val="Hyperlink"/>
          </w:rPr>
          <w:t xml:space="preserve">[4]</w:t>
        </w:r>
      </w:hyperlink>
      <w:r>
        <w:t xml:space="preserve"> </w:t>
      </w:r>
      <w:hyperlink w:anchor="ref-14">
        <w:r>
          <w:rPr>
            <w:rStyle w:val="Hyperlink"/>
          </w:rPr>
          <w:t xml:space="preserve">[14]</w:t>
        </w:r>
      </w:hyperlink>
      <w:r>
        <w:t xml:space="preserve">. A balanced corpus would let the recency-of-signal hypothesis, invisible here, be evaluated on its merits rather than dissolved into collinearity.</w:t>
      </w:r>
    </w:p>
    <w:p>
      <w:pPr>
        <w:pStyle w:val="BodyText"/>
        <w:spacing w:line="480" w:lineRule="auto"/>
        <w:ind w:firstLine="720"/>
      </w:pPr>
      <w:r>
        <w:t xml:space="preserve">The second is a substantive measure of engagement to replace the lexical signal score. Human or model-assisted document coding, validated against a rubric, would distinguish records that engage the coordination problem analytically from those that merely use its vocabulary, converting a crude term count into a measure that can actually test the mechanism</w:t>
      </w:r>
      <w:r>
        <w:t xml:space="preserve"> </w:t>
      </w:r>
      <w:hyperlink w:anchor="ref-3">
        <w:r>
          <w:rPr>
            <w:rStyle w:val="Hyperlink"/>
          </w:rPr>
          <w:t xml:space="preserve">[3]</w:t>
        </w:r>
      </w:hyperlink>
      <w:r>
        <w:t xml:space="preserve"> </w:t>
      </w:r>
      <w:hyperlink w:anchor="ref-6">
        <w:r>
          <w:rPr>
            <w:rStyle w:val="Hyperlink"/>
          </w:rPr>
          <w:t xml:space="preserve">[6]</w:t>
        </w:r>
      </w:hyperlink>
      <w:r>
        <w:t xml:space="preserve">. Pairing that with a citation source of uniform venue coverage would let the temporal result speak to genuine attention rather than to indexing.</w:t>
      </w:r>
    </w:p>
    <w:p>
      <w:pPr>
        <w:pStyle w:val="BodyText"/>
        <w:spacing w:line="480" w:lineRule="auto"/>
        <w:ind w:firstLine="720"/>
      </w:pPr>
      <w:r>
        <w:t xml:space="preserve">The third is a design that reaches behavior directly. The documentary screen is one step removed from any maneuver decision, and the natural successor is a study that links operator-level decision records, conjunction data messages received against maneuvers executed, to the incentive structure each operator faces</w:t>
      </w:r>
      <w:r>
        <w:t xml:space="preserve"> </w:t>
      </w:r>
      <w:hyperlink w:anchor="ref-2">
        <w:r>
          <w:rPr>
            <w:rStyle w:val="Hyperlink"/>
          </w:rPr>
          <w:t xml:space="preserve">[2]</w:t>
        </w:r>
      </w:hyperlink>
      <w:r>
        <w:t xml:space="preserve"> </w:t>
      </w:r>
      <w:hyperlink w:anchor="ref-5">
        <w:r>
          <w:rPr>
            <w:rStyle w:val="Hyperlink"/>
          </w:rPr>
          <w:t xml:space="preserve">[5]</w:t>
        </w:r>
      </w:hyperlink>
      <w:r>
        <w:t xml:space="preserve">. That is where a causal account of present bias on orbit would have to be built, and it is beyond what documentary metadata can deliver. This dissertation’s role was to make the case that such a study is worth building, and to do so from evidence rather than assertion.</w:t>
      </w:r>
    </w:p>
    <w:bookmarkEnd w:id="139"/>
    <w:bookmarkStart w:id="140" w:name="a-sequenced-research-program"/>
    <w:p>
      <w:pPr>
        <w:pStyle w:val="Heading2"/>
        <w:spacing w:line="480" w:lineRule="auto"/>
      </w:pPr>
      <w:r>
        <w:t xml:space="preserve">A sequenced research program</w:t>
      </w:r>
    </w:p>
    <w:p>
      <w:pPr>
        <w:pStyle w:val="FirstParagraph"/>
        <w:spacing w:line="480" w:lineRule="auto"/>
      </w:pPr>
      <w:r>
        <w:t xml:space="preserve">Those three next steps are not independent; they sequence into a program, and stating the sequence is part of the contribution. The first stage is corpus construction: a balanced, several-hundred-record sample stratified by venue, regime, and year, which is a data-engineering task that can begin immediately from the retrieval methods this dissertation already documents</w:t>
      </w:r>
      <w:r>
        <w:t xml:space="preserve"> </w:t>
      </w:r>
      <w:hyperlink w:anchor="ref-4">
        <w:r>
          <w:rPr>
            <w:rStyle w:val="Hyperlink"/>
          </w:rPr>
          <w:t xml:space="preserve">[4]</w:t>
        </w:r>
      </w:hyperlink>
      <w:r>
        <w:t xml:space="preserve"> </w:t>
      </w:r>
      <w:hyperlink w:anchor="ref-14">
        <w:r>
          <w:rPr>
            <w:rStyle w:val="Hyperlink"/>
          </w:rPr>
          <w:t xml:space="preserve">[14]</w:t>
        </w:r>
      </w:hyperlink>
      <w:r>
        <w:t xml:space="preserve">. The second stage is measurement development: a validated coding rubric that captures substantive engagement with the coordination problem, tested for inter-coder reliability before it is applied at scale</w:t>
      </w:r>
      <w:r>
        <w:t xml:space="preserve"> </w:t>
      </w:r>
      <w:hyperlink w:anchor="ref-3">
        <w:r>
          <w:rPr>
            <w:rStyle w:val="Hyperlink"/>
          </w:rPr>
          <w:t xml:space="preserve">[3]</w:t>
        </w:r>
      </w:hyperlink>
      <w:r>
        <w:t xml:space="preserve">. The third stage is the behavioral linkage: matching operator decision records to incentive structures, which requires access to conjunction-response data that is held by operators and coordination centers rather than published</w:t>
      </w:r>
      <w:r>
        <w:t xml:space="preserve"> </w:t>
      </w:r>
      <w:hyperlink w:anchor="ref-2">
        <w:r>
          <w:rPr>
            <w:rStyle w:val="Hyperlink"/>
          </w:rPr>
          <w:t xml:space="preserve">[2]</w:t>
        </w:r>
      </w:hyperlink>
      <w:r>
        <w:t xml:space="preserve">.</w:t>
      </w:r>
    </w:p>
    <w:p>
      <w:pPr>
        <w:pStyle w:val="BodyText"/>
        <w:spacing w:line="480" w:lineRule="auto"/>
        <w:ind w:firstLine="720"/>
      </w:pPr>
      <w:r>
        <w:t xml:space="preserve">The stages are ordered by both dependency and difficulty. Corpus construction enables the measurement work, which in turn calibrates what the behavioral study should look for. Each stage is more demanding of data access than the last, and a program that attempts the behavioral linkage before building the balanced corpus would be reaching past its evidence in exactly the way this dissertation has tried not to. Sequencing the program this way lets each stage return a usable result on its own, so that a successor is not forced to complete the whole arc before learning anything</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40"/>
    <w:bookmarkStart w:id="141" w:name="X0968bf6375e80190e36f9ecf10f080042aa7179"/>
    <w:p>
      <w:pPr>
        <w:pStyle w:val="Heading2"/>
        <w:spacing w:line="480" w:lineRule="auto"/>
      </w:pPr>
      <w:r>
        <w:t xml:space="preserve">What a program office and a governance body should take from this</w:t>
      </w:r>
    </w:p>
    <w:p>
      <w:pPr>
        <w:pStyle w:val="FirstParagraph"/>
        <w:spacing w:line="480" w:lineRule="auto"/>
      </w:pPr>
      <w:r>
        <w:t xml:space="preserve">For a program office weighing where to spend assessment effort, the transferable lesson is the method. A behavioral hypothesis about any emerging governance problem, not only orbital coordination, can be converted into a documentary screen whose every step is inspectable, run cheaply on a modest corpus, and used to decide whether a heavier study is warranted before the heavier study is funded</w:t>
      </w:r>
      <w:r>
        <w:t xml:space="preserve"> </w:t>
      </w:r>
      <w:hyperlink w:anchor="ref-6">
        <w:r>
          <w:rPr>
            <w:rStyle w:val="Hyperlink"/>
          </w:rPr>
          <w:t xml:space="preserve">[6]</w:t>
        </w:r>
      </w:hyperlink>
      <w:r>
        <w:t xml:space="preserve"> </w:t>
      </w:r>
      <w:hyperlink w:anchor="ref-11">
        <w:r>
          <w:rPr>
            <w:rStyle w:val="Hyperlink"/>
          </w:rPr>
          <w:t xml:space="preserve">[11]</w:t>
        </w:r>
      </w:hyperlink>
      <w:r>
        <w:t xml:space="preserve">. The screen is a triage instrument. It tells an assessment team which hypotheses carry visible structure and which do not, and it does so on a budget that a full behavioral study could never match.</w:t>
      </w:r>
    </w:p>
    <w:p>
      <w:pPr>
        <w:pStyle w:val="BodyText"/>
        <w:spacing w:line="480" w:lineRule="auto"/>
        <w:ind w:firstLine="720"/>
      </w:pPr>
      <w:r>
        <w:t xml:space="preserve">For a governance body, the substantive signal, offered with all its uncertainty, is where to direct attention. The field measures its near-term risk well; the constraint is institutional</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forecasting and removal literatures locate the urgency: a population growing with the economy, and a mitigation whose shared, delayed benefit invites underinvestment</w:t>
      </w:r>
      <w:r>
        <w:t xml:space="preserve"> </w:t>
      </w:r>
      <w:hyperlink w:anchor="ref-8">
        <w:r>
          <w:rPr>
            <w:rStyle w:val="Hyperlink"/>
          </w:rPr>
          <w:t xml:space="preserve">[8]</w:t>
        </w:r>
      </w:hyperlink>
      <w:r>
        <w:t xml:space="preserve"> </w:t>
      </w:r>
      <w:hyperlink w:anchor="ref-9">
        <w:r>
          <w:rPr>
            <w:rStyle w:val="Hyperlink"/>
          </w:rPr>
          <w:t xml:space="preserve">[9]</w:t>
        </w:r>
      </w:hyperlink>
      <w:r>
        <w:t xml:space="preserve"> </w:t>
      </w:r>
      <w:hyperlink w:anchor="ref-10">
        <w:r>
          <w:rPr>
            <w:rStyle w:val="Hyperlink"/>
          </w:rPr>
          <w:t xml:space="preserve">[10]</w:t>
        </w:r>
      </w:hyperlink>
      <w:r>
        <w:t xml:space="preserve">. If the documentary pattern holds under a stronger design, the implication is that scarce coordination effort is better spent on mechanisms that price the externality than on further improving a measurement capability that is already mature</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 The dissertation does not prescribe the mechanism. It offers evidence, held to a standard of reproducibility and symmetric reporting, that the institutional gap is the one to watch.</w:t>
      </w:r>
    </w:p>
    <w:bookmarkEnd w:id="141"/>
    <w:bookmarkStart w:id="142" w:name="a-closing-note-on-the-standard-of-proof"/>
    <w:p>
      <w:pPr>
        <w:pStyle w:val="Heading2"/>
        <w:spacing w:line="480" w:lineRule="auto"/>
      </w:pPr>
      <w:r>
        <w:t xml:space="preserve">A closing note on the standard of proof</w:t>
      </w:r>
    </w:p>
    <w:p>
      <w:pPr>
        <w:pStyle w:val="FirstParagraph"/>
        <w:spacing w:line="480" w:lineRule="auto"/>
      </w:pPr>
      <w:r>
        <w:t xml:space="preserve">The dissertation has insisted throughout on a particular standard, and it is worth restating at the close because the standard is the deepest thing the project offers. The standard is that a claim is worth exactly what its evidence can bear, no more, and that the honest reporting of weakness is as much a scholarly duty as the reporting of strength</w:t>
      </w:r>
      <w:r>
        <w:t xml:space="preserve"> </w:t>
      </w:r>
      <w:hyperlink w:anchor="ref-4">
        <w:r>
          <w:rPr>
            <w:rStyle w:val="Hyperlink"/>
          </w:rPr>
          <w:t xml:space="preserve">[4]</w:t>
        </w:r>
      </w:hyperlink>
      <w:r>
        <w:t xml:space="preserve"> </w:t>
      </w:r>
      <w:hyperlink w:anchor="ref-5">
        <w:r>
          <w:rPr>
            <w:rStyle w:val="Hyperlink"/>
          </w:rPr>
          <w:t xml:space="preserve">[5]</w:t>
        </w:r>
      </w:hyperlink>
      <w:r>
        <w:t xml:space="preserve">. A great deal of writing about orbital sustainability falls short of that standard, not through dishonesty but through the ordinary pull of a compelling story: the intuition that operators are short-sighted is so plausible that it invites confident assertion, and the stakes are so high that assertion feels warranted. This dissertation resisted that pull. It found evidence consistent with the intuition and reported it as consistent, not proven</w:t>
      </w:r>
      <w:r>
        <w:t xml:space="preserve"> </w:t>
      </w:r>
      <w:hyperlink w:anchor="ref-11">
        <w:r>
          <w:rPr>
            <w:rStyle w:val="Hyperlink"/>
          </w:rPr>
          <w:t xml:space="preserve">[11]</w:t>
        </w:r>
      </w:hyperlink>
      <w:r>
        <w:t xml:space="preserve">.</w:t>
      </w:r>
    </w:p>
    <w:p>
      <w:pPr>
        <w:pStyle w:val="BodyText"/>
        <w:spacing w:line="480" w:lineRule="auto"/>
        <w:ind w:firstLine="720"/>
      </w:pPr>
      <w:r>
        <w:t xml:space="preserve">That resistance has a cost and a value, and both should be named. The cost is that the headline result is a single precise venue coefficient and a single precise age elasticity, drawn from thirty records, rather than a sweeping account of orbital governance</w:t>
      </w:r>
      <w:r>
        <w:t xml:space="preserve"> </w:t>
      </w:r>
      <w:hyperlink w:anchor="ref-13">
        <w:r>
          <w:rPr>
            <w:rStyle w:val="Hyperlink"/>
          </w:rPr>
          <w:t xml:space="preserve">[13]</w:t>
        </w:r>
      </w:hyperlink>
      <w:r>
        <w:t xml:space="preserve">. The value is that the result will not have to be retracted, because nothing was claimed that the evidence did not support. In a filling orbit, where the temptation to over-claim rises with the stakes, a result built to survive scrutiny is worth more than one built to persuade. The dissertation’s final contribution is to have shown that a behavioral question about a technical community can be asked rigorously, answered partially, and reported honestly, on a corpus small enough to check by hand</w:t>
      </w:r>
      <w:r>
        <w:t xml:space="preserve"> </w:t>
      </w:r>
      <w:hyperlink w:anchor="ref-6">
        <w:r>
          <w:rPr>
            <w:rStyle w:val="Hyperlink"/>
          </w:rPr>
          <w:t xml:space="preserve">[6]</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It found a legible fingerprint, reported it with its uncertainty intact, and pointed precisely at the ground the next investigator should break</w:t>
      </w:r>
      <w:r>
        <w:t xml:space="preserve"> </w:t>
      </w:r>
      <w:hyperlink w:anchor="ref-1">
        <w:r>
          <w:rPr>
            <w:rStyle w:val="Hyperlink"/>
          </w:rPr>
          <w:t xml:space="preserve">[1]</w:t>
        </w:r>
      </w:hyperlink>
      <w:r>
        <w:t xml:space="preserve"> </w:t>
      </w:r>
      <w:hyperlink w:anchor="ref-11">
        <w:r>
          <w:rPr>
            <w:rStyle w:val="Hyperlink"/>
          </w:rPr>
          <w:t xml:space="preserve">[11]</w:t>
        </w:r>
      </w:hyperlink>
      <w:r>
        <w:t xml:space="preserve">.</w:t>
      </w:r>
    </w:p>
    <w:bookmarkEnd w:id="142"/>
    <w:bookmarkStart w:id="166" w:name="references"/>
    <w:p>
      <w:pPr>
        <w:pStyle w:val="Heading2"/>
        <w:spacing w:line="480" w:lineRule="auto"/>
      </w:pPr>
      <w:r>
        <w:t xml:space="preserve">References</w:t>
      </w:r>
    </w:p>
    <w:p>
      <w:pPr>
        <w:pStyle w:val="FirstParagraph"/>
        <w:spacing w:line="480" w:lineRule="auto"/>
      </w:pPr>
      <w:bookmarkStart w:id="143" w:name="ref-1"/>
      <w:bookmarkEnd w:id="143"/>
      <w:r>
        <w:t xml:space="preserve">1. Ryan Frigm, Omitron, Inc., Lauren Johnson, Omitron, Inc.. Total Probability of Collision as a Metric for Finite Conjunction Assessment and Collision Risk Management (2015). [AMOS]</w:t>
      </w:r>
    </w:p>
    <w:p>
      <w:pPr>
        <w:pStyle w:val="BodyText"/>
        <w:spacing w:line="480" w:lineRule="auto"/>
        <w:ind w:firstLine="720"/>
      </w:pPr>
      <w:bookmarkStart w:id="144" w:name="ref-2"/>
      <w:bookmarkEnd w:id="144"/>
      <w:r>
        <w:t xml:space="preserve">2. Operational Collision Risk Management – Evaluating and Mitigating High-Risk Conjunction Events Matthew Duncan (SpaceNav), Joshua Wysack (SpaceNav). Operational Collision Risk Management –Evaluating and Mitigating High-Risk Conjunction Events (2011). [AMOS]</w:t>
      </w:r>
    </w:p>
    <w:p>
      <w:pPr>
        <w:pStyle w:val="BodyText"/>
        <w:spacing w:line="480" w:lineRule="auto"/>
        <w:ind w:firstLine="720"/>
      </w:pPr>
      <w:bookmarkStart w:id="145" w:name="ref-3"/>
      <w:bookmarkEnd w:id="145"/>
      <w:r>
        <w:t xml:space="preserve">3. Mark Vincent, Raytheon. Paving the Bridge between Academia and Operations for Orbital Debris Risk Mitigation (2016). [AMOS]</w:t>
      </w:r>
    </w:p>
    <w:p>
      <w:pPr>
        <w:pStyle w:val="BodyText"/>
        <w:spacing w:line="480" w:lineRule="auto"/>
        <w:ind w:firstLine="720"/>
      </w:pPr>
      <w:bookmarkStart w:id="146" w:name="ref-4"/>
      <w:bookmarkEnd w:id="146"/>
      <w:r>
        <w:t xml:space="preserve">4. Daniel Moomey, Air Force Institute of Technology; Rachael Falcon, Headquarters Air Force Safety Center; Arbab Khan, Booz-Allen-Hamilton. Trending and Analysis of Payload vs. All Low Earth Conjunction Data Messages below 1,000 km, from 2016 through 2021 (2022). [AMOS]</w:t>
      </w:r>
    </w:p>
    <w:p>
      <w:pPr>
        <w:pStyle w:val="BodyText"/>
        <w:spacing w:line="480" w:lineRule="auto"/>
        <w:ind w:firstLine="720"/>
      </w:pPr>
      <w:bookmarkStart w:id="147" w:name="ref-5"/>
      <w:bookmarkEnd w:id="147"/>
      <w:r>
        <w:t xml:space="preserve">5. David Sibert (ExoAnalytic Solutions, Inc.), Maj David Borgeson (USAF Space Command Space and Missile Systems Center), Glenn Peterson (The Aerospace Corporation), Alan Jenkin (The Aerospace Corporation), Marlon Sorge (The Aerospace Corporation). Operational Impact of Improved Space Tracking on Collision Avoidance in the Future LEO Space Debris Environment (2010). [AMOS]</w:t>
      </w:r>
    </w:p>
    <w:p>
      <w:pPr>
        <w:pStyle w:val="BodyText"/>
        <w:spacing w:line="480" w:lineRule="auto"/>
        <w:ind w:firstLine="720"/>
      </w:pPr>
      <w:bookmarkStart w:id="148" w:name="ref-6"/>
      <w:bookmarkEnd w:id="148"/>
      <w:r>
        <w:t xml:space="preserve">6. Kristen Tetreault, Virginia Tech; Shane Ross, Virginia Tech; Kevin Schroeder, Virginia Tech; Jonathan Black, Virginia Tech. Fragmentation Event Identification Using Back Propagation with Variable Ballistic Coefficient Calculation (2018). [AMOS]</w:t>
      </w:r>
    </w:p>
    <w:p>
      <w:pPr>
        <w:pStyle w:val="BodyText"/>
        <w:spacing w:line="480" w:lineRule="auto"/>
        <w:ind w:firstLine="720"/>
      </w:pPr>
      <w:bookmarkStart w:id="149" w:name="ref-7"/>
      <w:bookmarkEnd w:id="149"/>
      <w:r>
        <w:t xml:space="preserve">7. Matthew Duncan (SpaceNav), Joe Frisbee (NASA/JSC), Josh Wysack (SpaceNav). Probability Forecasting Using Monte Carlo Simulation (2014). [AMOS]</w:t>
      </w:r>
    </w:p>
    <w:p>
      <w:pPr>
        <w:pStyle w:val="BodyText"/>
        <w:spacing w:line="480" w:lineRule="auto"/>
        <w:ind w:firstLine="720"/>
      </w:pPr>
      <w:bookmarkStart w:id="150" w:name="ref-8"/>
      <w:bookmarkEnd w:id="150"/>
      <w:r>
        <w:t xml:space="preserve">8. Wiebke Retagne; Camilla Colombo. Satellite launch traffic forecast based on the global Gross Domestic Product and constellation plans (2026). doi:</w:t>
      </w:r>
      <w:r>
        <w:t xml:space="preserve"> </w:t>
      </w:r>
      <w:hyperlink r:id="rId151">
        <w:r>
          <w:rPr>
            <w:rStyle w:val="Hyperlink"/>
          </w:rPr>
          <w:t xml:space="preserve">10.1016/j.actaastro.2026.04.046</w:t>
        </w:r>
      </w:hyperlink>
    </w:p>
    <w:p>
      <w:pPr>
        <w:pStyle w:val="BodyText"/>
        <w:spacing w:line="480" w:lineRule="auto"/>
        <w:ind w:firstLine="720"/>
      </w:pPr>
      <w:bookmarkStart w:id="152" w:name="ref-9"/>
      <w:bookmarkEnd w:id="152"/>
      <w:r>
        <w:t xml:space="preserve">9. Joshua F. Anderson; Michel‐Alexandre Cardin; Paul T. Grogan. Design and analysis of flexible multi-layer staged deployment for satellite mega-constellations under demand uncertainty (2022). doi:</w:t>
      </w:r>
      <w:r>
        <w:t xml:space="preserve"> </w:t>
      </w:r>
      <w:hyperlink r:id="rId153">
        <w:r>
          <w:rPr>
            <w:rStyle w:val="Hyperlink"/>
          </w:rPr>
          <w:t xml:space="preserve">10.1016/j.actaastro.2022.05.022</w:t>
        </w:r>
      </w:hyperlink>
    </w:p>
    <w:p>
      <w:pPr>
        <w:pStyle w:val="BodyText"/>
        <w:spacing w:line="480" w:lineRule="auto"/>
        <w:ind w:firstLine="720"/>
      </w:pPr>
      <w:bookmarkStart w:id="154" w:name="ref-10"/>
      <w:bookmarkEnd w:id="154"/>
      <w:r>
        <w:t xml:space="preserve">10. Nihal Simha; Simone Servadio; Miles Lifson; Giovanni Lavezzi; Richard Linares. Optimal Active Debris Removal mission planning to inform policy decisions (2024). doi:</w:t>
      </w:r>
      <w:r>
        <w:t xml:space="preserve"> </w:t>
      </w:r>
      <w:hyperlink r:id="rId155">
        <w:r>
          <w:rPr>
            <w:rStyle w:val="Hyperlink"/>
          </w:rPr>
          <w:t xml:space="preserve">10.1016/j.actaastro.2024.11.050</w:t>
        </w:r>
      </w:hyperlink>
    </w:p>
    <w:p>
      <w:pPr>
        <w:pStyle w:val="BodyText"/>
        <w:spacing w:line="480" w:lineRule="auto"/>
        <w:ind w:firstLine="720"/>
      </w:pPr>
      <w:bookmarkStart w:id="156" w:name="ref-11"/>
      <w:bookmarkEnd w:id="156"/>
      <w:r>
        <w:t xml:space="preserve">11. Marlon E. Sorge; Toby Harris; Camilla Colombo; Matthew D. Hejduk; Norman Fitz-Coy; Ryan Sheppard; Emma Kerr; Upsana Dasgupta; Nicolas Bérend; Diego A. Escobar; Martin C. Michel; Cristina Perez. Space traffic management: Improvements to spacecraft collision avoidance (COLA) (2025). doi:</w:t>
      </w:r>
      <w:r>
        <w:t xml:space="preserve"> </w:t>
      </w:r>
      <w:hyperlink r:id="rId157">
        <w:r>
          <w:rPr>
            <w:rStyle w:val="Hyperlink"/>
          </w:rPr>
          <w:t xml:space="preserve">10.1016/j.actaastro.2025.01.042</w:t>
        </w:r>
      </w:hyperlink>
    </w:p>
    <w:p>
      <w:pPr>
        <w:pStyle w:val="BodyText"/>
        <w:spacing w:line="480" w:lineRule="auto"/>
        <w:ind w:firstLine="720"/>
      </w:pPr>
      <w:bookmarkStart w:id="158" w:name="ref-12"/>
      <w:bookmarkEnd w:id="158"/>
      <w:r>
        <w:t xml:space="preserve">12. Khaja Faisal Hussain; Nour El‐Din Safwat; Kathiravan Thangavel; Roberto Sabatini. Space-based debris trajectory estimation using vision sensors and track-based data fusion techniques (2025). doi:</w:t>
      </w:r>
      <w:r>
        <w:t xml:space="preserve"> </w:t>
      </w:r>
      <w:hyperlink r:id="rId159">
        <w:r>
          <w:rPr>
            <w:rStyle w:val="Hyperlink"/>
          </w:rPr>
          <w:t xml:space="preserve">10.1016/j.actaastro.2025.01.038</w:t>
        </w:r>
      </w:hyperlink>
    </w:p>
    <w:p>
      <w:pPr>
        <w:pStyle w:val="BodyText"/>
        <w:spacing w:line="480" w:lineRule="auto"/>
        <w:ind w:firstLine="720"/>
      </w:pPr>
      <w:bookmarkStart w:id="160" w:name="ref-13"/>
      <w:bookmarkEnd w:id="160"/>
      <w:r>
        <w:t xml:space="preserve">13. Daniel Oltrogge; Salvatore Alfano; C. M. Law; Alex Cacioni; T. S. Kelso. A comprehensive assessment of collision likelihood in Geosynchronous Earth Orbit (2018). doi:</w:t>
      </w:r>
      <w:r>
        <w:t xml:space="preserve"> </w:t>
      </w:r>
      <w:hyperlink r:id="rId161">
        <w:r>
          <w:rPr>
            <w:rStyle w:val="Hyperlink"/>
          </w:rPr>
          <w:t xml:space="preserve">10.1016/j.actaastro.2018.03.017</w:t>
        </w:r>
      </w:hyperlink>
    </w:p>
    <w:p>
      <w:pPr>
        <w:pStyle w:val="BodyText"/>
        <w:spacing w:line="480" w:lineRule="auto"/>
        <w:ind w:firstLine="720"/>
      </w:pPr>
      <w:bookmarkStart w:id="162" w:name="ref-14"/>
      <w:bookmarkEnd w:id="162"/>
      <w:r>
        <w:t xml:space="preserve">14. J.C. Dolado-Perez; Kumi Nitta; Tim Flohrer; Moriba Jah; V. Martinot; Alejandro Pastor. Improvement of orbital data precision and accuracy (2025). doi:</w:t>
      </w:r>
      <w:r>
        <w:t xml:space="preserve"> </w:t>
      </w:r>
      <w:hyperlink r:id="rId163">
        <w:r>
          <w:rPr>
            <w:rStyle w:val="Hyperlink"/>
          </w:rPr>
          <w:t xml:space="preserve">10.1016/j.actaastro.2025.01.003</w:t>
        </w:r>
      </w:hyperlink>
    </w:p>
    <w:p>
      <w:pPr>
        <w:pStyle w:val="BodyText"/>
        <w:spacing w:line="480" w:lineRule="auto"/>
        <w:ind w:firstLine="720"/>
      </w:pPr>
      <w:bookmarkStart w:id="164" w:name="ref-15"/>
      <w:bookmarkEnd w:id="164"/>
      <w:r>
        <w:t xml:space="preserve">15. Ksenia Osipova; Alessandro Golkar; Adriano Camps; Joan A. Ruiz-de-Azua; Luis Contreras-Benito; Nicola Garzaniti; Lara Fernandez. Architecting CubeSat constellations for messaging service, Part II (2025). doi:</w:t>
      </w:r>
      <w:r>
        <w:t xml:space="preserve"> </w:t>
      </w:r>
      <w:hyperlink r:id="rId165">
        <w:r>
          <w:rPr>
            <w:rStyle w:val="Hyperlink"/>
          </w:rPr>
          <w:t xml:space="preserve">10.1016/j.actaastro.2024.12.022</w:t>
        </w:r>
      </w:hyperlink>
    </w:p>
    <w:bookmarkEnd w:id="166"/>
    <w:bookmarkEnd w:id="167"/>
    <w:bookmarkStart w:id="184"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75" w:name="Xc966b24349ee78af73533c3d33e77eea6c76ef0"/>
    <w:p>
      <w:pPr>
        <w:pStyle w:val="Heading2"/>
        <w:spacing w:line="480" w:lineRule="auto"/>
      </w:pPr>
      <w:r>
        <w:t xml:space="preserve">A.1 Signal Intensity in Present Bias on Orbit Does Operator Discounting of Future Collision Risk Explai: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68"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9.149</w:t>
            </w:r>
          </w:p>
        </w:tc>
        <w:tc>
          <w:tcPr>
            <w:tcW w:w="0" w:type="auto"/>
          </w:tcPr>
          <w:p>
            <w:pPr>
              <w:spacing w:line="240" w:lineRule="auto" w:before="0" w:after="0"/>
              <w:pStyle w:val="Compact"/>
            </w:pPr>
            <w:r>
              <w:rPr>
                <w:sz w:val="20"/>
                <w:szCs w:val="20"/>
              </w:rPr>
              <w:t xml:space="preserve">1.2474</w:t>
            </w:r>
          </w:p>
        </w:tc>
        <w:tc>
          <w:tcPr>
            <w:tcW w:w="0" w:type="auto"/>
          </w:tcPr>
          <w:p>
            <w:pPr>
              <w:spacing w:line="240" w:lineRule="auto" w:before="0" w:after="0"/>
              <w:pStyle w:val="Compact"/>
            </w:pPr>
            <w:r>
              <w:rPr>
                <w:sz w:val="20"/>
                <w:szCs w:val="20"/>
              </w:rPr>
              <w:t xml:space="preserve">7.3344</w:t>
            </w:r>
          </w:p>
        </w:tc>
        <w:tc>
          <w:tcPr>
            <w:tcW w:w="0" w:type="auto"/>
          </w:tcPr>
          <w:p>
            <w:pPr>
              <w:spacing w:line="240" w:lineRule="auto" w:before="0" w:after="0"/>
              <w:pStyle w:val="Compact"/>
            </w:pPr>
            <w:r>
              <w:rPr>
                <w:sz w:val="20"/>
                <w:szCs w:val="20"/>
              </w:rPr>
              <w:t xml:space="preserve">2.227e-13</w:t>
            </w:r>
          </w:p>
        </w:tc>
        <w:tc>
          <w:tcPr>
            <w:tcW w:w="0" w:type="auto"/>
          </w:tcPr>
          <w:p>
            <w:pPr>
              <w:spacing w:line="240" w:lineRule="auto" w:before="0" w:after="0"/>
              <w:pStyle w:val="Compact"/>
            </w:pPr>
            <w:r>
              <w:rPr>
                <w:sz w:val="20"/>
                <w:szCs w:val="20"/>
              </w:rPr>
              <w:t xml:space="preserve">[6.7041, 11.5938]</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-0.1096</w:t>
            </w:r>
          </w:p>
        </w:tc>
        <w:tc>
          <w:tcPr>
            <w:tcW w:w="0" w:type="auto"/>
          </w:tcPr>
          <w:p>
            <w:pPr>
              <w:spacing w:line="240" w:lineRule="auto" w:before="0" w:after="0"/>
              <w:pStyle w:val="Compact"/>
            </w:pPr>
            <w:r>
              <w:rPr>
                <w:sz w:val="20"/>
                <w:szCs w:val="20"/>
              </w:rPr>
              <w:t xml:space="preserve">0.1168</w:t>
            </w:r>
          </w:p>
        </w:tc>
        <w:tc>
          <w:tcPr>
            <w:tcW w:w="0" w:type="auto"/>
          </w:tcPr>
          <w:p>
            <w:pPr>
              <w:spacing w:line="240" w:lineRule="auto" w:before="0" w:after="0"/>
              <w:pStyle w:val="Compact"/>
            </w:pPr>
            <w:r>
              <w:rPr>
                <w:sz w:val="20"/>
                <w:szCs w:val="20"/>
              </w:rPr>
              <w:t xml:space="preserve">-0.9381</w:t>
            </w:r>
          </w:p>
        </w:tc>
        <w:tc>
          <w:tcPr>
            <w:tcW w:w="0" w:type="auto"/>
          </w:tcPr>
          <w:p>
            <w:pPr>
              <w:spacing w:line="240" w:lineRule="auto" w:before="0" w:after="0"/>
              <w:pStyle w:val="Compact"/>
            </w:pPr>
            <w:r>
              <w:rPr>
                <w:sz w:val="20"/>
                <w:szCs w:val="20"/>
              </w:rPr>
              <w:t xml:space="preserve">0.3482</w:t>
            </w:r>
          </w:p>
        </w:tc>
        <w:tc>
          <w:tcPr>
            <w:tcW w:w="0" w:type="auto"/>
          </w:tcPr>
          <w:p>
            <w:pPr>
              <w:spacing w:line="240" w:lineRule="auto" w:before="0" w:after="0"/>
              <w:pStyle w:val="Compact"/>
            </w:pPr>
            <w:r>
              <w:rPr>
                <w:sz w:val="20"/>
                <w:szCs w:val="20"/>
              </w:rPr>
              <w:t xml:space="preserve">[-0.3386, 0.1194]</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0.0099</w:t>
            </w:r>
          </w:p>
        </w:tc>
        <w:tc>
          <w:tcPr>
            <w:tcW w:w="0" w:type="auto"/>
          </w:tcPr>
          <w:p>
            <w:pPr>
              <w:spacing w:line="240" w:lineRule="auto" w:before="0" w:after="0"/>
              <w:pStyle w:val="Compact"/>
            </w:pPr>
            <w:r>
              <w:rPr>
                <w:sz w:val="20"/>
                <w:szCs w:val="20"/>
              </w:rPr>
              <w:t xml:space="preserve">0.0359</w:t>
            </w:r>
          </w:p>
        </w:tc>
        <w:tc>
          <w:tcPr>
            <w:tcW w:w="0" w:type="auto"/>
          </w:tcPr>
          <w:p>
            <w:pPr>
              <w:spacing w:line="240" w:lineRule="auto" w:before="0" w:after="0"/>
              <w:pStyle w:val="Compact"/>
            </w:pPr>
            <w:r>
              <w:rPr>
                <w:sz w:val="20"/>
                <w:szCs w:val="20"/>
              </w:rPr>
              <w:t xml:space="preserve">0.2759</w:t>
            </w:r>
          </w:p>
        </w:tc>
        <w:tc>
          <w:tcPr>
            <w:tcW w:w="0" w:type="auto"/>
          </w:tcPr>
          <w:p>
            <w:pPr>
              <w:spacing w:line="240" w:lineRule="auto" w:before="0" w:after="0"/>
              <w:pStyle w:val="Compact"/>
            </w:pPr>
            <w:r>
              <w:rPr>
                <w:sz w:val="20"/>
                <w:szCs w:val="20"/>
              </w:rPr>
              <w:t xml:space="preserve">0.7826</w:t>
            </w:r>
          </w:p>
        </w:tc>
        <w:tc>
          <w:tcPr>
            <w:tcW w:w="0" w:type="auto"/>
          </w:tcPr>
          <w:p>
            <w:pPr>
              <w:spacing w:line="240" w:lineRule="auto" w:before="0" w:after="0"/>
              <w:pStyle w:val="Compact"/>
            </w:pPr>
            <w:r>
              <w:rPr>
                <w:sz w:val="20"/>
                <w:szCs w:val="20"/>
              </w:rPr>
              <w:t xml:space="preserve">[-0.0605, 0.0803]</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-1.4036</w:t>
            </w:r>
          </w:p>
        </w:tc>
        <w:tc>
          <w:tcPr>
            <w:tcW w:w="0" w:type="auto"/>
          </w:tcPr>
          <w:p>
            <w:pPr>
              <w:spacing w:line="240" w:lineRule="auto" w:before="0" w:after="0"/>
              <w:pStyle w:val="Compact"/>
            </w:pPr>
            <w:r>
              <w:rPr>
                <w:sz w:val="20"/>
                <w:szCs w:val="20"/>
              </w:rPr>
              <w:t xml:space="preserve">0.6874</w:t>
            </w:r>
          </w:p>
        </w:tc>
        <w:tc>
          <w:tcPr>
            <w:tcW w:w="0" w:type="auto"/>
          </w:tcPr>
          <w:p>
            <w:pPr>
              <w:spacing w:line="240" w:lineRule="auto" w:before="0" w:after="0"/>
              <w:pStyle w:val="Compact"/>
            </w:pPr>
            <w:r>
              <w:rPr>
                <w:sz w:val="20"/>
                <w:szCs w:val="20"/>
              </w:rPr>
              <w:t xml:space="preserve">-2.0418</w:t>
            </w:r>
          </w:p>
        </w:tc>
        <w:tc>
          <w:tcPr>
            <w:tcW w:w="0" w:type="auto"/>
          </w:tcPr>
          <w:p>
            <w:pPr>
              <w:spacing w:line="240" w:lineRule="auto" w:before="0" w:after="0"/>
              <w:pStyle w:val="Compact"/>
            </w:pPr>
            <w:r>
              <w:rPr>
                <w:sz w:val="20"/>
                <w:szCs w:val="20"/>
              </w:rPr>
              <w:t xml:space="preserve">0.0412</w:t>
            </w:r>
          </w:p>
        </w:tc>
        <w:tc>
          <w:tcPr>
            <w:tcW w:w="0" w:type="auto"/>
          </w:tcPr>
          <w:p>
            <w:pPr>
              <w:spacing w:line="240" w:lineRule="auto" w:before="0" w:after="0"/>
              <w:pStyle w:val="Compact"/>
            </w:pPr>
            <w:r>
              <w:rPr>
                <w:sz w:val="20"/>
                <w:szCs w:val="20"/>
              </w:rPr>
              <w:t xml:space="preserve">[-2.7509, -0.0563]</w:t>
            </w:r>
          </w:p>
        </w:tc>
      </w:tr>
    </w:tbl>
    <w:p>
      <w:pPr>
        <w:pStyle w:val="BodyText"/>
        <w:spacing w:line="480" w:lineRule="auto"/>
        <w:ind w:firstLine="720"/>
      </w:pPr>
      <w:r>
        <w:t xml:space="preserve">Fit: N = 30 R2 = 0.225 R2_adj = 0.1356 F = 3.1274 F_p = 0.0428</w:t>
      </w:r>
    </w:p>
    <w:bookmarkEnd w:id="168"/>
    <w:bookmarkStart w:id="172"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70" name="Picture"/>
            <a:graphic>
              <a:graphicData uri="http://schemas.openxmlformats.org/drawingml/2006/picture">
                <pic:pic>
                  <pic:nvPicPr>
                    <pic:cNvPr descr="D:/Claude_Code/brain/collegium/candidates/dissertations/SUSTAINABILITY_INSTITUTIONS_04/research_papers/p1/paper_fig1.png" id="171" name="Picture"/>
                    <pic:cNvPicPr>
                      <a:picLocks noChangeArrowheads="1" noChangeAspect="1"/>
                    </pic:cNvPicPr>
                  </pic:nvPicPr>
                  <pic:blipFill>
                    <a:blip r:embed="rId16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72"/>
    <w:bookmarkStart w:id="173"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https://amostech.space/year/2015/total-probability-of-collision-as-a-metric-for-finite-conjunction-assessment-and-collision-risk-management/</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https://amostech.space/year/2011/operational-collision-risk-management-evaluating-and-mitigating-high-risk-conjunction-events/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https://amostech.space/year/2016/paving-the-bridge-between-academia-and-operations-for-orbital-debris-risk-mitigation/</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https://amostech.space/year/2022/trending-and-analysis-of-payload-vs-all-low-earth-conjunction-data-messages-below-1000-km-from-2016-through-2021/</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https://amostech.space/year/2010/operational-impact-of-improved-space-tracking-on-collision-avoidance-in-the-future-leo-space-debris-environment/</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https://amostech.space/year/2018/fragmentation-event-identification-using-back-propagation-with-variable-ballistic-coefficient-calculation/</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https://amostech.space/year/2010/operation-impact-of-improved-space-tracking-on-collision-avoidance-in-the-future-leo-space-debris-environment/</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https://amostech.space/year/2014/probability-forecasting-using-monte-carlo-simulation/</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https://amostech.space/year/2022/data-driven-lifetime-risk-assessment-and-mitigation-planning-for-large-scale-satellite-constellations/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10.64861/TUTU2866</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https://amostech.space/year/2013/geo-collision-avoidance-using-a-service-vehicle/</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https://amostech.space/year/2015/bridging-the-gap-between-academia-and-operations-for-orbital-debris-risk-mitigation/</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10.1016/j.actaastro.2026.04.046</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10.1016/j.actaastro.2022.05.022</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10.1016/j.actaastro.2024.11.050</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10.1016/j.actaastro.2025.01.042</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10.1016/j.actaastro.2025.01.038</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10.1016/j.actaastro.2018.03.017</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10.1016/j.actaastro.2025.01.003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10.1016/j.actaastro.2024.12.022</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10.1016/j.actaastro.2025.11.006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10.1016/j.actaastro.2024.09.063</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10.1016/j.actaastro.2022.09.019</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10.1016/j.actaastro.2024.01.039</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10.52202/078380-0035</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Behavioral Economics in Space: Shaping Normative Behaviors for Stability and Sustainability (white paper, unpublished working paper, N. Dailey or associated author, undated). Proposes applying behavioral economics principles, drawing on Kahneman and Gaddis, to shape normative behavior in space traffic coordination, SSA, and space domain awareness, and further integrates deterrence frameworks and strategic non-kinetic effects (DIME tools) to reinforce responsible conduct and deter adversarial behavior.</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A MITRE IR&amp;D project proposal and narrative presentation by Dr. Nathaniel Dailey that frames orbital carrying capacity through the analogy of fishing industry sustainability, integrating the Kobe Chart, Ostrom’s Common Pool Resource principles, and the OPUS economic model into a policy impact assessment platform with immersive visualization components.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Strategic Competition and Economic Innovation</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Stilwell et al ASCEND 2025 Orbital Classification</w:t>
            </w:r>
          </w:p>
        </w:tc>
      </w:tr>
    </w:tbl>
    <w:bookmarkEnd w:id="173"/>
    <w:bookmarkStart w:id="174"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74"/>
    <w:bookmarkEnd w:id="175"/>
    <w:bookmarkStart w:id="183" w:name="X42f3d79276e9b132dea881a7c94324935d42de3"/>
    <w:p>
      <w:pPr>
        <w:pStyle w:val="Heading2"/>
        <w:spacing w:line="480" w:lineRule="auto"/>
      </w:pPr>
      <w:r>
        <w:t xml:space="preserve">A.2 Attention Accumulation in Present Bias on Orbit Does Operator Discounting of Future Collision Risk Explai: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76"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1.8122</w:t>
            </w:r>
          </w:p>
        </w:tc>
        <w:tc>
          <w:tcPr>
            <w:tcW w:w="0" w:type="auto"/>
          </w:tcPr>
          <w:p>
            <w:pPr>
              <w:spacing w:line="240" w:lineRule="auto" w:before="0" w:after="0"/>
              <w:pStyle w:val="Compact"/>
            </w:pPr>
            <w:r>
              <w:rPr>
                <w:sz w:val="20"/>
                <w:szCs w:val="20"/>
              </w:rPr>
              <w:t xml:space="preserve">0.5486</w:t>
            </w:r>
          </w:p>
        </w:tc>
        <w:tc>
          <w:tcPr>
            <w:tcW w:w="0" w:type="auto"/>
          </w:tcPr>
          <w:p>
            <w:pPr>
              <w:spacing w:line="240" w:lineRule="auto" w:before="0" w:after="0"/>
              <w:pStyle w:val="Compact"/>
            </w:pPr>
            <w:r>
              <w:rPr>
                <w:sz w:val="20"/>
                <w:szCs w:val="20"/>
              </w:rPr>
              <w:t xml:space="preserve">3.3031</w:t>
            </w:r>
          </w:p>
        </w:tc>
        <w:tc>
          <w:tcPr>
            <w:tcW w:w="0" w:type="auto"/>
          </w:tcPr>
          <w:p>
            <w:pPr>
              <w:spacing w:line="240" w:lineRule="auto" w:before="0" w:after="0"/>
              <w:pStyle w:val="Compact"/>
            </w:pPr>
            <w:r>
              <w:rPr>
                <w:sz w:val="20"/>
                <w:szCs w:val="20"/>
              </w:rPr>
              <w:t xml:space="preserve">0.0009561</w:t>
            </w:r>
          </w:p>
        </w:tc>
        <w:tc>
          <w:tcPr>
            <w:tcW w:w="0" w:type="auto"/>
          </w:tcPr>
          <w:p>
            <w:pPr>
              <w:spacing w:line="240" w:lineRule="auto" w:before="0" w:after="0"/>
              <w:pStyle w:val="Compact"/>
            </w:pPr>
            <w:r>
              <w:rPr>
                <w:sz w:val="20"/>
                <w:szCs w:val="20"/>
              </w:rPr>
              <w:t xml:space="preserve">[0.7369, 2.8875]</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-0.5954</w:t>
            </w:r>
          </w:p>
        </w:tc>
        <w:tc>
          <w:tcPr>
            <w:tcW w:w="0" w:type="auto"/>
          </w:tcPr>
          <w:p>
            <w:pPr>
              <w:spacing w:line="240" w:lineRule="auto" w:before="0" w:after="0"/>
              <w:pStyle w:val="Compact"/>
            </w:pPr>
            <w:r>
              <w:rPr>
                <w:sz w:val="20"/>
                <w:szCs w:val="20"/>
              </w:rPr>
              <w:t xml:space="preserve">0.265</w:t>
            </w:r>
          </w:p>
        </w:tc>
        <w:tc>
          <w:tcPr>
            <w:tcW w:w="0" w:type="auto"/>
          </w:tcPr>
          <w:p>
            <w:pPr>
              <w:spacing w:line="240" w:lineRule="auto" w:before="0" w:after="0"/>
              <w:pStyle w:val="Compact"/>
            </w:pPr>
            <w:r>
              <w:rPr>
                <w:sz w:val="20"/>
                <w:szCs w:val="20"/>
              </w:rPr>
              <w:t xml:space="preserve">-2.2467</w:t>
            </w:r>
          </w:p>
        </w:tc>
        <w:tc>
          <w:tcPr>
            <w:tcW w:w="0" w:type="auto"/>
          </w:tcPr>
          <w:p>
            <w:pPr>
              <w:spacing w:line="240" w:lineRule="auto" w:before="0" w:after="0"/>
              <w:pStyle w:val="Compact"/>
            </w:pPr>
            <w:r>
              <w:rPr>
                <w:sz w:val="20"/>
                <w:szCs w:val="20"/>
              </w:rPr>
              <w:t xml:space="preserve">0.0247</w:t>
            </w:r>
          </w:p>
        </w:tc>
        <w:tc>
          <w:tcPr>
            <w:tcW w:w="0" w:type="auto"/>
          </w:tcPr>
          <w:p>
            <w:pPr>
              <w:spacing w:line="240" w:lineRule="auto" w:before="0" w:after="0"/>
              <w:pStyle w:val="Compact"/>
            </w:pPr>
            <w:r>
              <w:rPr>
                <w:sz w:val="20"/>
                <w:szCs w:val="20"/>
              </w:rPr>
              <w:t xml:space="preserve">[-1.1148, -0.076]</w:t>
            </w:r>
          </w:p>
        </w:tc>
      </w:tr>
    </w:tbl>
    <w:p>
      <w:pPr>
        <w:pStyle w:val="BodyText"/>
        <w:spacing w:line="480" w:lineRule="auto"/>
        <w:ind w:firstLine="720"/>
      </w:pPr>
      <w:r>
        <w:t xml:space="preserve">Fit: N = 30 R2 = 0.1407 elasticity_b = -0.5954 progress_ratio_2^b = 0.6619</w:t>
      </w:r>
    </w:p>
    <w:bookmarkEnd w:id="176"/>
    <w:bookmarkStart w:id="180"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78" name="Picture"/>
            <a:graphic>
              <a:graphicData uri="http://schemas.openxmlformats.org/drawingml/2006/picture">
                <pic:pic>
                  <pic:nvPicPr>
                    <pic:cNvPr descr="D:/Claude_Code/brain/collegium/candidates/dissertations/SUSTAINABILITY_INSTITUTIONS_04/research_papers/p2/paper_fig1.png" id="179" name="Picture"/>
                    <pic:cNvPicPr>
                      <a:picLocks noChangeArrowheads="1" noChangeAspect="1"/>
                    </pic:cNvPicPr>
                  </pic:nvPicPr>
                  <pic:blipFill>
                    <a:blip r:embed="rId17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80"/>
    <w:bookmarkStart w:id="181"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https://amostech.space/year/2015/total-probability-of-collision-as-a-metric-for-finite-conjunction-assessment-and-collision-risk-management/</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https://amostech.space/year/2011/operational-collision-risk-management-evaluating-and-mitigating-high-risk-conjunction-events/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https://amostech.space/year/2016/paving-the-bridge-between-academia-and-operations-for-orbital-debris-risk-mitigation/</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https://amostech.space/year/2022/trending-and-analysis-of-payload-vs-all-low-earth-conjunction-data-messages-below-1000-km-from-2016-through-2021/</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https://amostech.space/year/2010/operational-impact-of-improved-space-tracking-on-collision-avoidance-in-the-future-leo-space-debris-environment/</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https://amostech.space/year/2018/fragmentation-event-identification-using-back-propagation-with-variable-ballistic-coefficient-calculation/</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https://amostech.space/year/2010/operation-impact-of-improved-space-tracking-on-collision-avoidance-in-the-future-leo-space-debris-environment/</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https://amostech.space/year/2014/probability-forecasting-using-monte-carlo-simulation/</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https://amostech.space/year/2022/data-driven-lifetime-risk-assessment-and-mitigation-planning-for-large-scale-satellite-constellations/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10.64861/TUTU2866</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https://amostech.space/year/2013/geo-collision-avoidance-using-a-service-vehicle/</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https://amostech.space/year/2015/bridging-the-gap-between-academia-and-operations-for-orbital-debris-risk-mitigation/</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10.1016/j.actaastro.2026.04.046</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10.1016/j.actaastro.2022.05.022</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10.1016/j.actaastro.2024.11.050</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10.1016/j.actaastro.2025.01.042</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10.1016/j.actaastro.2025.01.038</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10.1016/j.actaastro.2018.03.017</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10.1016/j.actaastro.2025.01.003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10.1016/j.actaastro.2024.12.022</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10.1016/j.actaastro.2025.11.006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10.1016/j.actaastro.2024.09.063</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10.1016/j.actaastro.2022.09.019</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10.1016/j.actaastro.2024.01.039</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10.52202/078380-0035</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Behavioral Economics in Space: Shaping Normative Behaviors for Stability and Sustainability (white paper, unpublished working paper, N. Dailey or associated author, undated). Proposes applying behavioral economics principles, drawing on Kahneman and Gaddis, to shape normative behavior in space traffic coordination, SSA, and space domain awareness, and further integrates deterrence frameworks and strategic non-kinetic effects (DIME tools) to reinforce responsible conduct and deter adversarial behavior.</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A MITRE IR&amp;D project proposal and narrative presentation by Dr. Nathaniel Dailey that frames orbital carrying capacity through the analogy of fishing industry sustainability, integrating the Kobe Chart, Ostrom’s Common Pool Resource principles, and the OPUS economic model into a policy impact assessment platform with immersive visualization components.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Strategic Competition and Economic Innovation</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Stilwell et al ASCEND 2025 Orbital Classification</w:t>
            </w:r>
          </w:p>
        </w:tc>
      </w:tr>
    </w:tbl>
    <w:bookmarkEnd w:id="181"/>
    <w:bookmarkStart w:id="182"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82"/>
    <w:bookmarkEnd w:id="183"/>
    <w:bookmarkEnd w:id="18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69" Type="http://schemas.openxmlformats.org/officeDocument/2006/relationships/image" Target="media/rId169.png"/><Relationship Id="rId177" Type="http://schemas.openxmlformats.org/officeDocument/2006/relationships/image" Target="media/rId177.png"/><Relationship Id="rId161" Type="http://schemas.openxmlformats.org/officeDocument/2006/relationships/hyperlink" Target="https://doi.org/10.1016/j.actaastro.2018.03.017" TargetMode="External"/><Relationship Id="rId153" Type="http://schemas.openxmlformats.org/officeDocument/2006/relationships/hyperlink" Target="https://doi.org/10.1016/j.actaastro.2022.05.022" TargetMode="External"/><Relationship Id="rId155" Type="http://schemas.openxmlformats.org/officeDocument/2006/relationships/hyperlink" Target="https://doi.org/10.1016/j.actaastro.2024.11.050" TargetMode="External"/><Relationship Id="rId165" Type="http://schemas.openxmlformats.org/officeDocument/2006/relationships/hyperlink" Target="https://doi.org/10.1016/j.actaastro.2024.12.022" TargetMode="External"/><Relationship Id="rId163" Type="http://schemas.openxmlformats.org/officeDocument/2006/relationships/hyperlink" Target="https://doi.org/10.1016/j.actaastro.2025.01.003" TargetMode="External"/><Relationship Id="rId159" Type="http://schemas.openxmlformats.org/officeDocument/2006/relationships/hyperlink" Target="https://doi.org/10.1016/j.actaastro.2025.01.038" TargetMode="External"/><Relationship Id="rId157" Type="http://schemas.openxmlformats.org/officeDocument/2006/relationships/hyperlink" Target="https://doi.org/10.1016/j.actaastro.2025.01.042" TargetMode="External"/><Relationship Id="rId151" Type="http://schemas.openxmlformats.org/officeDocument/2006/relationships/hyperlink" Target="https://doi.org/10.1016/j.actaastro.2026.04.046" TargetMode="External"/></Relationships>
</file>

<file path=word/_rels/footnotes.xml.rels><?xml version='1.0' encoding='UTF-8' standalone='yes'?>
<Relationships xmlns="http://schemas.openxmlformats.org/package/2006/relationships"><Relationship Id="rId161" Type="http://schemas.openxmlformats.org/officeDocument/2006/relationships/hyperlink" Target="https://doi.org/10.1016/j.actaastro.2018.03.017" TargetMode="External"/><Relationship Id="rId153" Type="http://schemas.openxmlformats.org/officeDocument/2006/relationships/hyperlink" Target="https://doi.org/10.1016/j.actaastro.2022.05.022" TargetMode="External"/><Relationship Id="rId155" Type="http://schemas.openxmlformats.org/officeDocument/2006/relationships/hyperlink" Target="https://doi.org/10.1016/j.actaastro.2024.11.050" TargetMode="External"/><Relationship Id="rId165" Type="http://schemas.openxmlformats.org/officeDocument/2006/relationships/hyperlink" Target="https://doi.org/10.1016/j.actaastro.2024.12.022" TargetMode="External"/><Relationship Id="rId163" Type="http://schemas.openxmlformats.org/officeDocument/2006/relationships/hyperlink" Target="https://doi.org/10.1016/j.actaastro.2025.01.003" TargetMode="External"/><Relationship Id="rId159" Type="http://schemas.openxmlformats.org/officeDocument/2006/relationships/hyperlink" Target="https://doi.org/10.1016/j.actaastro.2025.01.038" TargetMode="External"/><Relationship Id="rId157" Type="http://schemas.openxmlformats.org/officeDocument/2006/relationships/hyperlink" Target="https://doi.org/10.1016/j.actaastro.2025.01.042" TargetMode="External"/><Relationship Id="rId151" Type="http://schemas.openxmlformats.org/officeDocument/2006/relationships/hyperlink" Target="https://doi.org/10.1016/j.actaastro.2026.04.0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Present Bias on Orbit: Does Operator Discounting of Future Collision Risk Explai</dc:title>
  <dc:creator>Suki Pereira (1B-SUS-231)</dc:creator>
  <cp:keywords/>
  <dcterms:created xsi:type="dcterms:W3CDTF">2026-07-03T00:58:14Z</dcterms:created>
  <dcterms:modified xsi:type="dcterms:W3CDTF">2026-07-03T00:58:14Z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