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4" w:name="Xed2e8f1bf7e4b210335897af4f04f1a9545dcd1"/>
    <w:p>
      <w:pPr>
        <w:pStyle w:val="Heading1"/>
      </w:pPr>
      <w:r>
        <w:t xml:space="preserve">Attention Accumulation in Default Disposal A Quasi-Experimental Test of Whether the 25-to-5-Year Rule Cha: A Learning-Curve Analysis of Citation Growth by Article Age</w:t>
      </w:r>
    </w:p>
    <w:bookmarkStart w:id="61" w:name="introduction"/>
    <w:p>
      <w:pPr>
        <w:pStyle w:val="Heading2"/>
      </w:pPr>
      <w:r>
        <w:t xml:space="preserve">1. Introduction</w:t>
      </w:r>
    </w:p>
    <w:p>
      <w:pPr>
        <w:pStyle w:val="FirstParagraph"/>
      </w:pPr>
      <w:r>
        <w:t xml:space="preserve">This empirical section examines whether attention to the retrieved literature on default disposal and space sustainability accumulates in a systematic age-based pattern. The candidate is Wei Falk (1B-SUS-158), and the dissertation project is titled</w:t>
      </w:r>
      <w:r>
        <w:t xml:space="preserve"> </w:t>
      </w:r>
      <w:r>
        <w:rPr>
          <w:i/>
          <w:iCs/>
        </w:rPr>
        <w:t xml:space="preserve">Default Disposal: A Quasi-Experimental Test of Whether the 25-to-5-Year Rule Cha</w:t>
      </w:r>
      <w:r>
        <w:t xml:space="preserve">. Within that broader project, this section uses a learning-curve specification to test whether citation accumulation in the topic literature is unrelated to document age, or instead follows a measurable attention curve.</w:t>
      </w:r>
    </w:p>
    <w:p>
      <w:pPr>
        <w:pStyle w:val="BodyText"/>
      </w:pPr>
      <w:r>
        <w:t xml:space="preserve">The substantive setting is a policy and technical literature concerned with orbital debris mitigation, space traffic management, post-mission disposal, and the governance of congested orbital environments. The literature includes work on space situational awareness and space traffic management activities</w:t>
      </w:r>
      <w:r>
        <w:t xml:space="preserve"> </w:t>
      </w:r>
      <w:hyperlink w:anchor="ref-1">
        <m:oMathPara>
          <m:oMathParaPr>
            <m:jc m:val="center"/>
          </m:oMathParaPr>
          <m:oMath>
            <m:r>
              <m:t>1</m:t>
            </m:r>
          </m:oMath>
        </m:oMathPara>
      </w:hyperlink>
      <w:r>
        <w:t xml:space="preserve">, compliance with orbital debris mitigation practices</w:t>
      </w:r>
      <w:r>
        <w:t xml:space="preserve"> </w:t>
      </w:r>
      <w:hyperlink w:anchor="ref-3">
        <m:oMathPara>
          <m:oMathParaPr>
            <m:jc m:val="center"/>
          </m:oMathParaPr>
          <m:oMath>
            <m:r>
              <m:t>3</m:t>
            </m:r>
          </m:oMath>
        </m:oMathPara>
      </w:hyperlink>
      <w:r>
        <w:t xml:space="preserve">, analytic space domain awareness</w:t>
      </w:r>
      <w:r>
        <w:t xml:space="preserve"> </w:t>
      </w:r>
      <w:hyperlink w:anchor="ref-4">
        <m:oMathPara>
          <m:oMathParaPr>
            <m:jc m:val="center"/>
          </m:oMathParaPr>
          <m:oMath>
            <m:r>
              <m:t>4</m:t>
            </m:r>
          </m:oMath>
        </m:oMathPara>
      </w:hyperlink>
      <w:r>
        <w:t xml:space="preserve">, source-sink environmental modeling for governance and decision support</w:t>
      </w:r>
      <w:r>
        <w:t xml:space="preserve"> </w:t>
      </w:r>
      <w:hyperlink w:anchor="ref-2">
        <m:oMathPara>
          <m:oMathParaPr>
            <m:jc m:val="center"/>
          </m:oMathParaPr>
          <m:oMath>
            <m:r>
              <m:t>2</m:t>
            </m:r>
          </m:oMath>
        </m:oMathPara>
      </w:hyperlink>
      <w:r>
        <w:t xml:space="preserve">, and reference scenarios for space environment modeling</w:t>
      </w:r>
      <w:r>
        <w:t xml:space="preserve"> </w:t>
      </w:r>
      <w:hyperlink w:anchor="ref-6">
        <m:oMathPara>
          <m:oMathParaPr>
            <m:jc m:val="center"/>
          </m:oMathParaPr>
          <m:oMath>
            <m:r>
              <m:t>6</m:t>
            </m:r>
          </m:oMath>
        </m:oMathPara>
      </w:hyperlink>
      <w:r>
        <w:t xml:space="preserve">. It also includes more recent work directly connected to disposal time horizons, including evaluation of the five-year post-mission disposal rule</w:t>
      </w:r>
      <w:r>
        <w:t xml:space="preserve"> </w:t>
      </w:r>
      <w:hyperlink w:anchor="ref-14">
        <m:oMathPara>
          <m:oMathParaPr>
            <m:jc m:val="center"/>
          </m:oMathParaPr>
          <m:oMath>
            <m:r>
              <m:t>14</m:t>
            </m:r>
          </m:oMath>
        </m:oMathPara>
      </w:hyperlink>
      <w:r>
        <w:t xml:space="preserve">, cislunar end-of-life disposal strategies</w:t>
      </w:r>
      <w:r>
        <w:t xml:space="preserve"> </w:t>
      </w:r>
      <w:hyperlink w:anchor="ref-7">
        <m:oMathPara>
          <m:oMathParaPr>
            <m:jc m:val="center"/>
          </m:oMathParaPr>
          <m:oMath>
            <m:r>
              <m:t>7</m:t>
            </m:r>
          </m:oMath>
        </m:oMathPara>
      </w:hyperlink>
      <w:r>
        <w:t xml:space="preserve">, and uncertainty in remaining orbital lifetime estimation after post-mission disposal</w:t>
      </w:r>
      <w:r>
        <w:t xml:space="preserve"> </w:t>
      </w:r>
      <w:hyperlink w:anchor="ref-8">
        <m:oMathPara>
          <m:oMathParaPr>
            <m:jc m:val="center"/>
          </m:oMathParaPr>
          <m:oMath>
            <m:r>
              <m:t>8</m:t>
            </m:r>
          </m:oMath>
        </m:oMathPara>
      </w:hyperlink>
      <w:r>
        <w:t xml:space="preserve">.</w:t>
      </w:r>
    </w:p>
    <w:p>
      <w:pPr>
        <w:pStyle w:val="FirstParagraph"/>
      </w:pPr>
      <w:r>
        <w:t xml:space="preserve">The empirical question is bibliometric rather than a direct estimate of environmental effects. It asks whether older articles in the retrieved topic literature have systematically different citation counts than newer articles after applying a log-log learning-curve estimator. The null hypothesis is that citation accumulation is unrelated to article age in the retrieved topic literature. The alternative hypothesis is that citation accumulation follows a measurable age-based attention curve. Because citation counts often reflect both scholarly uptake and the timing of publication, the analysis treats document age as a structured exposure variable rather than as a substantive measure of article quality or policy validity.</w:t>
      </w:r>
    </w:p>
    <w:p>
      <w:pPr>
        <w:pStyle w:val="BodyText"/>
      </w:pPr>
      <w:r>
        <w:t xml:space="preserve">The exact estimator output indicates a negative age elasticity. In this sample, older documents have lower expected citation counts on the transformed scale, although the coefficient is not conventionally distinguishable from zero at the 0.05 level. The evidence is therefore suggestive rather than decisive. The finding is important for the dissertation because it cautions against assuming that attention to default disposal rules accumulates monotonically with age. In a rapidly changing policy field, attention may concentrate around recent technical and regulatory developments, including the shift from a 25-year norm toward a shorter five-year disposal expectation</w:t>
      </w:r>
      <w:r>
        <w:t xml:space="preserve"> </w:t>
      </w:r>
      <w:hyperlink w:anchor="ref-14">
        <m:oMathPara>
          <m:oMathParaPr>
            <m:jc m:val="center"/>
          </m:oMathParaPr>
          <m:oMath>
            <m:r>
              <m:t>14</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theory motivating the learning-curve analysis is that research attention in space-policy domains may not accumulate linearly with calendar time. In some fields, older documents receive more citations because they have had more time to circulate. In fast-moving governance and engineering domains, however, citation attention may be reallocated toward newer work when standards, technologies, or policy expectations change. The transition from long post-mission disposal horizons to shorter disposal expectations is the type of policy shift that can alter the salience of recent publications.</w:t>
      </w:r>
    </w:p>
    <w:p>
      <w:pPr>
        <w:pStyle w:val="BodyText"/>
      </w:pPr>
      <w:r>
        <w:t xml:space="preserve">The literature represented in the retrieved corpus is characterized by rapid technical and institutional development. Space environmental governance models emphasize dynamic source-sink processes and the need for decision-support tools</w:t>
      </w:r>
      <w:r>
        <w:t xml:space="preserve"> </w:t>
      </w:r>
      <w:hyperlink w:anchor="ref-2">
        <m:oMathPara>
          <m:oMathParaPr>
            <m:jc m:val="center"/>
          </m:oMathParaPr>
          <m:oMath>
            <m:r>
              <m:t>2</m:t>
            </m:r>
          </m:oMath>
        </m:oMathPara>
      </w:hyperlink>
      <w:r>
        <w:t xml:space="preserve">. Reference scenario development for space environment modeling reflects a continuing effort to standardize inputs and assumptions for evaluating orbital sustainability</w:t>
      </w:r>
      <w:r>
        <w:t xml:space="preserve"> </w:t>
      </w:r>
      <w:hyperlink w:anchor="ref-6">
        <m:oMathPara>
          <m:oMathParaPr>
            <m:jc m:val="center"/>
          </m:oMathParaPr>
          <m:oMath>
            <m:r>
              <m:t>6</m:t>
            </m:r>
          </m:oMath>
        </m:oMathPara>
      </w:hyperlink>
      <w:r>
        <w:t xml:space="preserve">. Analytic space domain awareness and conjunction assessment research also indicate that measurement, tracking, and collision-avoidance practices are evolving alongside policy debates</w:t>
      </w:r>
      <w:r>
        <w:t xml:space="preserve"> </w:t>
      </w:r>
      <w:hyperlink w:anchor="ref-4">
        <m:oMathPara>
          <m:oMathParaPr>
            <m:jc m:val="center"/>
          </m:oMathParaPr>
          <m:oMath>
            <m:r>
              <m:t>4</m:t>
            </m:r>
          </m:oMath>
        </m:oMathPara>
      </w:hyperlink>
      <w:r>
        <w:t xml:space="preserve">,</w:t>
      </w:r>
      <w:r>
        <w:t xml:space="preserve"> </w:t>
      </w:r>
      <w:hyperlink w:anchor="ref-10">
        <m:oMathPara>
          <m:oMathParaPr>
            <m:jc m:val="center"/>
          </m:oMathParaPr>
          <m:oMath>
            <m:r>
              <m:t>10</m:t>
            </m:r>
          </m:oMath>
        </m:oMathPara>
      </w:hyperlink>
      <w:r>
        <w:t xml:space="preserve">. At the same time, studies of post-mission disposal uncertainty and five-year disposal rules show that the technical meaning of compliance is itself dependent on modeling assumptions, orbital altitude, and remaining lifetime estimation</w:t>
      </w:r>
      <w:r>
        <w:t xml:space="preserve"> </w:t>
      </w:r>
      <w:hyperlink w:anchor="ref-8">
        <m:oMathPara>
          <m:oMathParaPr>
            <m:jc m:val="center"/>
          </m:oMathParaPr>
          <m:oMath>
            <m:r>
              <m:t>8</m:t>
            </m:r>
          </m:oMath>
        </m:oMathPara>
      </w:hyperlink>
      <w:r>
        <w:t xml:space="preserve">,</w:t>
      </w:r>
      <w:r>
        <w:t xml:space="preserve"> </w:t>
      </w:r>
      <w:hyperlink w:anchor="ref-14">
        <m:oMathPara>
          <m:oMathParaPr>
            <m:jc m:val="center"/>
          </m:oMathParaPr>
          <m:oMath>
            <m:r>
              <m:t>14</m:t>
            </m:r>
          </m:oMath>
        </m:oMathPara>
      </w:hyperlink>
      <w:r>
        <w:t xml:space="preserve">.</w:t>
      </w:r>
    </w:p>
    <w:p>
      <w:pPr>
        <w:pStyle w:val="FirstParagraph"/>
      </w:pPr>
      <w:r>
        <w:t xml:space="preserve">These characteristics support two competing expectations. The first is an exposure-based expectation: older articles should have more accumulated opportunities to be cited. If this mechanism dominates, citation counts should increase with age. The second is an attention-renewal expectation: recent policy changes, updated modeling practices, and new operational risks may shift attention toward newer contributions. If this mechanism dominates, older records may not show higher citation counts and may even show lower citation accumulation in the retrieved topic literature.</w:t>
      </w:r>
    </w:p>
    <w:p>
      <w:pPr>
        <w:pStyle w:val="BodyText"/>
      </w:pPr>
      <w:r>
        <w:t xml:space="preserve">The hypotheses are therefore stated as follows.</w:t>
      </w:r>
    </w:p>
    <w:p>
      <w:pPr>
        <w:pStyle w:val="BodyText"/>
      </w:pPr>
      <w:r>
        <w:t xml:space="preserve">H0: Citation accumulation is unrelated to article age in the retrieved topic literature.</w:t>
      </w:r>
    </w:p>
    <w:p>
      <w:pPr>
        <w:pStyle w:val="BodyText"/>
      </w:pPr>
      <w:r>
        <w:t xml:space="preserve">H1: Citation accumulation follows a measurable age-based attention curve.</w:t>
      </w:r>
    </w:p>
    <w:p>
      <w:pPr>
        <w:pStyle w:val="BodyText"/>
      </w:pPr>
      <w:r>
        <w:t xml:space="preserve">The learning-curve design does not claim to identify the causal effect of the five-year rule on citation counts. Rather, it tests whether the retrieved topic literature displays an age-based pattern consistent with attention accumulation or attention renewal. This is appropriate for a dissertation section that treats bibliometric attention as one empirical indicator of how default disposal debates are structured around time, policy change, and technical uncertainty.</w:t>
      </w:r>
    </w:p>
    <w:bookmarkEnd w:id="62"/>
    <w:bookmarkStart w:id="63" w:name="data"/>
    <w:p>
      <w:pPr>
        <w:pStyle w:val="Heading2"/>
      </w:pPr>
      <w:r>
        <w:t xml:space="preserve">3. Data</w:t>
      </w:r>
    </w:p>
    <w:p>
      <w:pPr>
        <w:pStyle w:val="FirstParagraph"/>
      </w:pPr>
      <w:r>
        <w:t xml:space="preserve">The empirical dataset consists of 30 retrieved records from the local brain index for the topic literature. The estimator output reports a fit sample size of 30. The records span work on space situational awareness, environmental modeling, post-mission disposal, conjunction assessment, anti-satellite risk, cislunar end-of-life strategy, and broader space sustainability governance. Examples include studies of SSA and STM activities</w:t>
      </w:r>
      <w:r>
        <w:t xml:space="preserve"> </w:t>
      </w:r>
      <w:hyperlink w:anchor="ref-1">
        <m:oMathPara>
          <m:oMathParaPr>
            <m:jc m:val="center"/>
          </m:oMathParaPr>
          <m:oMath>
            <m:r>
              <m:t>1</m:t>
            </m:r>
          </m:oMath>
        </m:oMathPara>
      </w:hyperlink>
      <w:r>
        <w:t xml:space="preserve">, orbital debris mitigation compliance</w:t>
      </w:r>
      <w:r>
        <w:t xml:space="preserve"> </w:t>
      </w:r>
      <w:hyperlink w:anchor="ref-3">
        <m:oMathPara>
          <m:oMathParaPr>
            <m:jc m:val="center"/>
          </m:oMathParaPr>
          <m:oMath>
            <m:r>
              <m:t>3</m:t>
            </m:r>
          </m:oMath>
        </m:oMathPara>
      </w:hyperlink>
      <w:r>
        <w:t xml:space="preserve">, anti-satellite testing and Kessler syndrome risk</w:t>
      </w:r>
      <w:r>
        <w:t xml:space="preserve"> </w:t>
      </w:r>
      <w:hyperlink w:anchor="ref-5">
        <m:oMathPara>
          <m:oMathParaPr>
            <m:jc m:val="center"/>
          </m:oMathParaPr>
          <m:oMath>
            <m:r>
              <m:t>5</m:t>
            </m:r>
          </m:oMath>
        </m:oMathPara>
      </w:hyperlink>
      <w:r>
        <w:t xml:space="preserve">, cislunar disposal strategies</w:t>
      </w:r>
      <w:r>
        <w:t xml:space="preserve"> </w:t>
      </w:r>
      <w:hyperlink w:anchor="ref-7">
        <m:oMathPara>
          <m:oMathParaPr>
            <m:jc m:val="center"/>
          </m:oMathParaPr>
          <m:oMath>
            <m:r>
              <m:t>7</m:t>
            </m:r>
          </m:oMath>
        </m:oMathPara>
      </w:hyperlink>
      <w:r>
        <w:t xml:space="preserve">, remaining lifetime uncertainty after post-mission disposal</w:t>
      </w:r>
      <w:r>
        <w:t xml:space="preserve"> </w:t>
      </w:r>
      <w:hyperlink w:anchor="ref-8">
        <m:oMathPara>
          <m:oMathParaPr>
            <m:jc m:val="center"/>
          </m:oMathParaPr>
          <m:oMath>
            <m:r>
              <m:t>8</m:t>
            </m:r>
          </m:oMath>
        </m:oMathPara>
      </w:hyperlink>
      <w:r>
        <w:t xml:space="preserve">, and incentive-based collaboration for space sustainability</w:t>
      </w:r>
      <w:r>
        <w:t xml:space="preserve"> </w:t>
      </w:r>
      <w:hyperlink w:anchor="ref-15">
        <m:oMathPara>
          <m:oMathParaPr>
            <m:jc m:val="center"/>
          </m:oMathParaPr>
          <m:oMath>
            <m:r>
              <m:t>15</m:t>
            </m:r>
          </m:oMath>
        </m:oMathPara>
      </w:hyperlink>
      <w:r>
        <w:t xml:space="preserve">.</w:t>
      </w:r>
    </w:p>
    <w:p>
      <w:pPr>
        <w:pStyle w:val="FirstParagraph"/>
      </w:pPr>
      <w:r>
        <w:t xml:space="preserve">Two variables are used in the learning-curve estimator. The dependent variable is</w:t>
      </w:r>
      <w:r>
        <w:t xml:space="preserve"> </w:t>
      </w:r>
      <w:r>
        <w:rPr>
          <w:rStyle w:val="VerbatimChar"/>
        </w:rPr>
        <w:t xml:space="preserve">cites_plus1</w:t>
      </w:r>
      <w:r>
        <w:t xml:space="preserve">, defined as citation count plus one. It is computed as the reported citation count from the local brain index plus one so that the log transformation is defined for uncited records. This construction avoids dropping records solely because they have zero reported citations.</w:t>
      </w:r>
    </w:p>
    <w:p>
      <w:pPr>
        <w:pStyle w:val="BodyText"/>
      </w:pPr>
      <w:r>
        <w:t xml:space="preserve">The independent variable is</w:t>
      </w:r>
      <w:r>
        <w:t xml:space="preserve"> </w:t>
      </w:r>
      <w:r>
        <w:rPr>
          <w:rStyle w:val="VerbatimChar"/>
        </w:rPr>
        <w:t xml:space="preserve">age_index</w:t>
      </w:r>
      <w:r>
        <w:t xml:space="preserve">, defined as the document age index. It is computed as 2026 minus publication year plus one. This means that a publication year closer to 2026 receives a lower age index, while older publications receive a higher age index. The plus-one structure ensures that the index remains positive for recent records and can be used in a log-log learning-curve specification.</w:t>
      </w:r>
    </w:p>
    <w:p>
      <w:pPr>
        <w:pStyle w:val="BodyText"/>
      </w:pPr>
      <w:r>
        <w:t xml:space="preserve">The corpus includes both older and recent contributions. Earlier work includes neural-network techniques for simulated dual-band satellite data</w:t>
      </w:r>
      <w:r>
        <w:t xml:space="preserve"> </w:t>
      </w:r>
      <w:hyperlink w:anchor="ref-9">
        <m:oMathPara>
          <m:oMathParaPr>
            <m:jc m:val="center"/>
          </m:oMathParaPr>
          <m:oMath>
            <m:r>
              <m:t>9</m:t>
            </m:r>
          </m:oMath>
        </m:oMathPara>
      </w:hyperlink>
      <w:r>
        <w:t xml:space="preserve">, electrodynamic debris removal concepts</w:t>
      </w:r>
      <w:r>
        <w:t xml:space="preserve"> </w:t>
      </w:r>
      <w:hyperlink w:anchor="ref-11">
        <m:oMathPara>
          <m:oMathParaPr>
            <m:jc m:val="center"/>
          </m:oMathParaPr>
          <m:oMath>
            <m:r>
              <m:t>11</m:t>
            </m:r>
          </m:oMath>
        </m:oMathPara>
      </w:hyperlink>
      <w:r>
        <w:t xml:space="preserve">, and evidence-based sensor tasking for space domain awareness</w:t>
      </w:r>
      <w:r>
        <w:t xml:space="preserve"> </w:t>
      </w:r>
      <w:hyperlink w:anchor="ref-12">
        <m:oMathPara>
          <m:oMathParaPr>
            <m:jc m:val="center"/>
          </m:oMathParaPr>
          <m:oMath>
            <m:r>
              <m:t>12</m:t>
            </m:r>
          </m:oMath>
        </m:oMathPara>
      </w:hyperlink>
      <w:r>
        <w:t xml:space="preserve">. More recent work includes the five-year rule evaluation</w:t>
      </w:r>
      <w:r>
        <w:t xml:space="preserve"> </w:t>
      </w:r>
      <w:hyperlink w:anchor="ref-14">
        <m:oMathPara>
          <m:oMathParaPr>
            <m:jc m:val="center"/>
          </m:oMathParaPr>
          <m:oMath>
            <m:r>
              <m:t>14</m:t>
            </m:r>
          </m:oMath>
        </m:oMathPara>
      </w:hyperlink>
      <w:r>
        <w:t xml:space="preserve">, space capacity management</w:t>
      </w:r>
      <w:r>
        <w:t xml:space="preserve"> </w:t>
      </w:r>
      <w:hyperlink w:anchor="ref-16">
        <m:oMathPara>
          <m:oMathParaPr>
            <m:jc m:val="center"/>
          </m:oMathParaPr>
          <m:oMath>
            <m:r>
              <m:t>16</m:t>
            </m:r>
          </m:oMath>
        </m:oMathPara>
      </w:hyperlink>
      <w:r>
        <w:t xml:space="preserve">, and proposals related to the environmental and observational consequences of satellite operations</w:t>
      </w:r>
      <w:r>
        <w:t xml:space="preserve"> </w:t>
      </w:r>
      <w:hyperlink w:anchor="ref-13">
        <m:oMathPara>
          <m:oMathParaPr>
            <m:jc m:val="center"/>
          </m:oMathParaPr>
          <m:oMath>
            <m:r>
              <m:t>13</m:t>
            </m:r>
          </m:oMath>
        </m:oMathPara>
      </w:hyperlink>
      <w:r>
        <w:t xml:space="preserve">. This range is appropriate for assessing whether attention in the retrieved literature is mainly cumulative with age or instead concentrated around newer policy and technical developments.</w:t>
      </w:r>
    </w:p>
    <w:p>
      <w:pPr>
        <w:pStyle w:val="FirstParagraph"/>
      </w:pPr>
      <w:r>
        <w:t xml:space="preserve">The data should be interpreted as a retrieved topic sample, not as a complete census of all space-policy or orbital debris publications. The citation counts are those reported by the local brain index. The analysis therefore supports inference about the retrieved topic literature and should not be generalized beyond that retrieval frame without additional validation.</w:t>
      </w:r>
    </w:p>
    <w:bookmarkEnd w:id="63"/>
    <w:bookmarkStart w:id="64" w:name="method"/>
    <w:p>
      <w:pPr>
        <w:pStyle w:val="Heading2"/>
      </w:pPr>
      <w:r>
        <w:t xml:space="preserve">4. Method</w:t>
      </w:r>
    </w:p>
    <w:p>
      <w:pPr>
        <w:pStyle w:val="FirstParagraph"/>
      </w:pPr>
      <w:r>
        <w:t xml:space="preserve">The method is a learning-curve estimator using log-log ordinary least squares with robust HC1 standard errors. The dependent variable is the natural-log transformed citation count plus one, and the independent variable is the natural-log transformed document age index. The estimator is appropriate because it interprets the age coefficient as an elasticity: the estimated percentage change in the transformed citation measure associated with a one percent change in document age.</w:t>
      </w:r>
    </w:p>
    <w:p>
      <w:pPr>
        <w:pStyle w:val="BodyText"/>
      </w:pPr>
      <w:r>
        <w:t xml:space="preserve">The estimator output is specified as a learning curve with robust HC1 standard errors. The fit sample size is 30. The reported R-squared is 0.055175900369067055. The estimated elasticity for article age is -0.37275063780031276. The reported progress ratio for a doubling of age is 0.7723086110105191. The intercept estimate is 1.1224086328806648 with a robust standard error of 0.42228736127568495 and a p-value of 0.007862311256256952. The coefficient on the logged age variable is -0.37275063780031276 with a robust standard error of 0.208050628575883 and a p-value of 0.07319156847205394.</w:t>
      </w:r>
    </w:p>
    <w:p>
      <w:pPr>
        <w:pStyle w:val="BodyText"/>
      </w:pPr>
      <w:r>
        <w:t xml:space="preserve">The main inferential quantity is the coefficient on article age. A positive coefficient would be consistent with cumulative exposure, meaning that older documents tend to have higher citation counts. A coefficient close to zero would be consistent with the null hypothesis that citation accumulation is unrelated to article age. A negative coefficient would indicate that older documents tend to have lower citation counts in this retrieved topic literature, consistent with an attention-renewal pattern.</w:t>
      </w:r>
    </w:p>
    <w:p>
      <w:pPr>
        <w:pStyle w:val="BodyText"/>
      </w:pPr>
      <w:r>
        <w:t xml:space="preserve">The progress ratio summarizes the implied effect of doubling the document age index. The reported value of 0.7723086110105191 indicates that a doubling of article age is associated with an expected citation measure that is approximately 77.2 percent of the prior level on the fitted learning curve. Stated differently, the fitted curve implies an approximate 22.8 percent reduction in the citation measure when the age index doubles. This interpretation follows directly from the supplied estimator output.</w:t>
      </w:r>
    </w:p>
    <w:p>
      <w:pPr>
        <w:pStyle w:val="BodyText"/>
      </w:pPr>
      <w:r>
        <w:t xml:space="preserve">The design is quasi-experimental only in the limited sense that it uses structured temporal variation in document age to examine an observable pattern of attention. It does not randomly assign documents to publication years, and it does not by itself isolate a causal effect of a policy change. The analysis is therefore best read as a diagnostic test of whether bibliometric attention in the retrieved default-disposal literature follows an age-based curve.</w:t>
      </w:r>
    </w:p>
    <w:bookmarkEnd w:id="64"/>
    <w:bookmarkStart w:id="65" w:name="findings"/>
    <w:p>
      <w:pPr>
        <w:pStyle w:val="Heading2"/>
      </w:pPr>
      <w:r>
        <w:t xml:space="preserve">5. Findings</w:t>
      </w:r>
    </w:p>
    <w:p>
      <w:pPr>
        <w:pStyle w:val="FirstParagraph"/>
      </w:pPr>
      <w:r>
        <w:t xml:space="preserve">The learning-curve estimate is negative. The coefficient on logged document age is -0.37275063780031276. Interpreted as an elasticity, a one percent increase in the document age index is associated with an estimated 0.37275063780031276 percent decrease in the citation count plus one, on the fitted log-log scale. This direction is inconsistent with a simple cumulative-exposure view in which older documents necessarily receive more citations because they have existed longer.</w:t>
      </w:r>
    </w:p>
    <w:p>
      <w:pPr>
        <w:pStyle w:val="BodyText"/>
      </w:pPr>
      <w:r>
        <w:t xml:space="preserve">The reported robust standard error for the age coefficient is 0.208050628575883, and the p-value is 0.07319156847205394. This p-value does not meet a 0.05 threshold for conventional statistical significance. The result therefore does not provide strong evidence for rejecting the null hypothesis at that level. At the same time, the estimate is not substantively negligible in direction or magnitude. It suggests that the retrieved literature may exhibit an attention-renewal pattern in which newer documents receive comparatively greater citation attention.</w:t>
      </w:r>
    </w:p>
    <w:p>
      <w:pPr>
        <w:pStyle w:val="BodyText"/>
      </w:pPr>
      <w:r>
        <w:t xml:space="preserve">The progress ratio reinforces this interpretation. The reported value of 0.7723086110105191 indicates that doubling document age corresponds to an expected fitted citation level of approximately 77.2 percent of the prior level. In practical terms, the fitted learning curve implies that older documents do not dominate citation accumulation in the retrieved corpus. Instead, the association runs in the opposite direction, with citation attention appearing more concentrated in newer records.</w:t>
      </w:r>
    </w:p>
    <w:p>
      <w:pPr>
        <w:pStyle w:val="BodyText"/>
      </w:pPr>
      <w:r>
        <w:t xml:space="preserve">The model fit is limited. The R-squared is 0.055175900369067055, indicating that the age index accounts for only a small share of observed variation in citation counts. This low explanatory share is not surprising in a heterogeneous topic literature where citation accumulation may depend on venue, institutional visibility, policy timing, technical novelty, and the degree to which a paper addresses active operational concerns. The corpus includes diverse contributions, from environmental modeling and reference scenarios</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 </w:t>
      </w:r>
      <w:r>
        <w:t xml:space="preserve">to sensor tasking and analytic domain awareness</w:t>
      </w:r>
      <w:r>
        <w:t xml:space="preserve"> </w:t>
      </w:r>
      <w:hyperlink w:anchor="ref-4">
        <m:oMathPara>
          <m:oMathParaPr>
            <m:jc m:val="center"/>
          </m:oMathParaPr>
          <m:oMath>
            <m:r>
              <m:t>4</m:t>
            </m:r>
          </m:oMath>
        </m:oMathPara>
      </w:hyperlink>
      <w:r>
        <w:t xml:space="preserve">,</w:t>
      </w:r>
      <w:r>
        <w:t xml:space="preserve"> </w:t>
      </w:r>
      <w:hyperlink w:anchor="ref-12">
        <m:oMathPara>
          <m:oMathParaPr>
            <m:jc m:val="center"/>
          </m:oMathParaPr>
          <m:oMath>
            <m:r>
              <m:t>12</m:t>
            </m:r>
          </m:oMath>
        </m:oMathPara>
      </w:hyperlink>
      <w:r>
        <w:t xml:space="preserve">, to post-mission disposal and capacity management</w:t>
      </w:r>
      <w:r>
        <w:t xml:space="preserve"> </w:t>
      </w:r>
      <w:hyperlink w:anchor="ref-14">
        <m:oMathPara>
          <m:oMathParaPr>
            <m:jc m:val="center"/>
          </m:oMathParaPr>
          <m:oMath>
            <m:r>
              <m:t>14</m:t>
            </m:r>
          </m:oMath>
        </m:oMathPara>
      </w:hyperlink>
      <w:r>
        <w:t xml:space="preserve">,</w:t>
      </w:r>
      <w:r>
        <w:t xml:space="preserve"> </w:t>
      </w:r>
      <w:hyperlink w:anchor="ref-16">
        <m:oMathPara>
          <m:oMathParaPr>
            <m:jc m:val="center"/>
          </m:oMathParaPr>
          <m:oMath>
            <m:r>
              <m:t>16</m:t>
            </m:r>
          </m:oMath>
        </m:oMathPara>
      </w:hyperlink>
      <w:r>
        <w:t xml:space="preserve">. Article age alone should not be expected to explain most variation in attention across such records.</w:t>
      </w:r>
    </w:p>
    <w:p>
      <w:pPr>
        <w:pStyle w:val="FirstParagraph"/>
      </w:pPr>
      <w:r>
        <w:t xml:space="preserve">The intercept is positive and statistically distinguishable from zero in the supplied output. The intercept coefficient is 1.1224086328806648, with a robust standard error of 0.42228736127568495 and a p-value of 0.007862311256256952. Because the substantive hypothesis concerns age-based citation accumulation, the intercept is not the principal quantity of interest. Its role is to anchor the fitted learning curve.</w:t>
      </w:r>
    </w:p>
    <w:p>
      <w:pPr>
        <w:pStyle w:val="BodyText"/>
      </w:pPr>
      <w:r>
        <w:t xml:space="preserve">Overall, the findings provide qualified support for H1 and do not support a strong version of H0. The evidence indicates a measurable negative age-based attention curve, but the inferential strength is limited by the p-value and by the modest model fit. The most defensible conclusion is that the retrieved literature shows suggestive evidence of age-structured attention, with newer documents receiving relatively greater citation attention than older documents in the fitted specification.</w:t>
      </w:r>
    </w:p>
    <w:bookmarkEnd w:id="65"/>
    <w:bookmarkStart w:id="66" w:name="discussion"/>
    <w:p>
      <w:pPr>
        <w:pStyle w:val="Heading2"/>
      </w:pPr>
      <w:r>
        <w:t xml:space="preserve">6. Discussion</w:t>
      </w:r>
    </w:p>
    <w:p>
      <w:pPr>
        <w:pStyle w:val="FirstParagraph"/>
      </w:pPr>
      <w:r>
        <w:t xml:space="preserve">The empirical result is substantively plausible for a policy field undergoing rapid revision. The default-disposal debate is not a settled archival topic in which foundational documents necessarily accumulate attention over long periods. It is an active governance and technical field shaped by new modeling practices, orbital population growth, evolving compliance expectations, and changing operational risks. Recent work on the five-year rule directly evaluates the implications of reducing post-mission disposal lifetime</w:t>
      </w:r>
      <w:r>
        <w:t xml:space="preserve"> </w:t>
      </w:r>
      <w:hyperlink w:anchor="ref-14">
        <m:oMathPara>
          <m:oMathParaPr>
            <m:jc m:val="center"/>
          </m:oMathParaPr>
          <m:oMath>
            <m:r>
              <m:t>14</m:t>
            </m:r>
          </m:oMath>
        </m:oMathPara>
      </w:hyperlink>
      <w:r>
        <w:t xml:space="preserve">, while related studies address capacity management</w:t>
      </w:r>
      <w:r>
        <w:t xml:space="preserve"> </w:t>
      </w:r>
      <w:hyperlink w:anchor="ref-16">
        <m:oMathPara>
          <m:oMathParaPr>
            <m:jc m:val="center"/>
          </m:oMathParaPr>
          <m:oMath>
            <m:r>
              <m:t>16</m:t>
            </m:r>
          </m:oMath>
        </m:oMathPara>
      </w:hyperlink>
      <w:r>
        <w:t xml:space="preserve">, collaborative incentives</w:t>
      </w:r>
      <w:r>
        <w:t xml:space="preserve"> </w:t>
      </w:r>
      <w:hyperlink w:anchor="ref-15">
        <m:oMathPara>
          <m:oMathParaPr>
            <m:jc m:val="center"/>
          </m:oMathParaPr>
          <m:oMath>
            <m:r>
              <m:t>15</m:t>
            </m:r>
          </m:oMath>
        </m:oMathPara>
      </w:hyperlink>
      <w:r>
        <w:t xml:space="preserve">, and end-of-life disposal strategies in emerging operational regions</w:t>
      </w:r>
      <w:r>
        <w:t xml:space="preserve"> </w:t>
      </w:r>
      <w:hyperlink w:anchor="ref-7">
        <m:oMathPara>
          <m:oMathParaPr>
            <m:jc m:val="center"/>
          </m:oMathParaPr>
          <m:oMath>
            <m:r>
              <m:t>7</m:t>
            </m:r>
          </m:oMath>
        </m:oMathPara>
      </w:hyperlink>
      <w:r>
        <w:t xml:space="preserve">. Under these conditions, newer publications may be more closely aligned with current policy questions and therefore receive greater citation attention.</w:t>
      </w:r>
    </w:p>
    <w:p>
      <w:pPr>
        <w:pStyle w:val="FirstParagraph"/>
      </w:pPr>
      <w:r>
        <w:t xml:space="preserve">The negative learning-curve coefficient should not be interpreted as evidence that older work is unimportant. Earlier studies on debris removal concepts, sensor tasking, and space domain awareness remain part of the technical lineage of the field</w:t>
      </w:r>
      <w:r>
        <w:t xml:space="preserve"> </w:t>
      </w:r>
      <w:hyperlink w:anchor="ref-11">
        <m:oMathPara>
          <m:oMathParaPr>
            <m:jc m:val="center"/>
          </m:oMathParaPr>
          <m:oMath>
            <m:r>
              <m:t>11</m:t>
            </m:r>
          </m:oMath>
        </m:oMathPara>
      </w:hyperlink>
      <w:r>
        <w:t xml:space="preserve">,</w:t>
      </w:r>
      <w:r>
        <w:t xml:space="preserve"> </w:t>
      </w:r>
      <w:hyperlink w:anchor="ref-12">
        <m:oMathPara>
          <m:oMathParaPr>
            <m:jc m:val="center"/>
          </m:oMathParaPr>
          <m:oMath>
            <m:r>
              <m:t>12</m:t>
            </m:r>
          </m:oMath>
        </m:oMathPara>
      </w:hyperlink>
      <w:r>
        <w:t xml:space="preserve">. Rather, the result indicates that, in this retrieved sample and under this estimator, citation attention does not increase with document age. This distinction matters for dissertation inference. If attention is concentrated around recent publications, then citation-based descriptions of the default-disposal debate may reflect current policy salience as much as accumulated scholarly authority.</w:t>
      </w:r>
    </w:p>
    <w:p>
      <w:pPr>
        <w:pStyle w:val="FirstParagraph"/>
      </w:pPr>
      <w:r>
        <w:t xml:space="preserve">The finding also has implications for interpreting the shift from a 25-year disposal norm toward a five-year expectation. A shorter disposal horizon changes the temporal structure of the policy problem: operators, regulators, and modelers must evaluate end-of-life behavior over a compressed period. Studies of uncertainty in remaining orbital lifetime estimation</w:t>
      </w:r>
      <w:r>
        <w:t xml:space="preserve"> </w:t>
      </w:r>
      <w:hyperlink w:anchor="ref-8">
        <m:oMathPara>
          <m:oMathParaPr>
            <m:jc m:val="center"/>
          </m:oMathParaPr>
          <m:oMath>
            <m:r>
              <m:t>8</m:t>
            </m:r>
          </m:oMath>
        </m:oMathPara>
      </w:hyperlink>
      <w:r>
        <w:t xml:space="preserve"> </w:t>
      </w:r>
      <w:r>
        <w:t xml:space="preserve">and evaluations of the five-year rule</w:t>
      </w:r>
      <w:r>
        <w:t xml:space="preserve"> </w:t>
      </w:r>
      <w:hyperlink w:anchor="ref-14">
        <m:oMathPara>
          <m:oMathParaPr>
            <m:jc m:val="center"/>
          </m:oMathParaPr>
          <m:oMath>
            <m:r>
              <m:t>14</m:t>
            </m:r>
          </m:oMath>
        </m:oMathPara>
      </w:hyperlink>
      <w:r>
        <w:t xml:space="preserve"> </w:t>
      </w:r>
      <w:r>
        <w:t xml:space="preserve">are therefore likely to be especially salient in recent debates. The observed negative age association is consistent with that possibility, although the present design does not directly estimate the causal effect of the rule change.</w:t>
      </w:r>
    </w:p>
    <w:p>
      <w:pPr>
        <w:pStyle w:val="FirstParagraph"/>
      </w:pPr>
      <w:r>
        <w:t xml:space="preserve">The analysis has several limitations. First, the sample size is 30, which constrains statistical power and makes estimates sensitive to the composition of the retrieved corpus. Second, the R-squared is low, indicating that age alone explains little of the variation in citation counts. Third, the citation measure is taken from the local brain index rather than from a harmonized external bibliometric database. Fourth, the model does not include controls for publication venue, author network, topic subfield, article type, or policy timing. These omissions are important because space sustainability literature includes technical modeling, operational practice, governance design, and observational astronomy impacts</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13">
        <m:oMathPara>
          <m:oMathParaPr>
            <m:jc m:val="center"/>
          </m:oMathParaPr>
          <m:oMath>
            <m:r>
              <m:t>13</m:t>
            </m:r>
          </m:oMath>
        </m:oMathPara>
      </w:hyperlink>
      <w:r>
        <w:t xml:space="preserve">,</w:t>
      </w:r>
      <w:r>
        <w:t xml:space="preserve"> </w:t>
      </w:r>
      <w:hyperlink w:anchor="ref-15">
        <m:oMathPara>
          <m:oMathParaPr>
            <m:jc m:val="center"/>
          </m:oMathParaPr>
          <m:oMath>
            <m:r>
              <m:t>15</m:t>
            </m:r>
          </m:oMath>
        </m:oMathPara>
      </w:hyperlink>
      <w:r>
        <w:t xml:space="preserve">.</w:t>
      </w:r>
    </w:p>
    <w:p>
      <w:pPr>
        <w:pStyle w:val="FirstParagraph"/>
      </w:pPr>
      <w:r>
        <w:t xml:space="preserve">For the dissertation, the central contribution of this section is diagnostic. It establishes that citation accumulation in the retrieved default-disposal literature is not simply an increasing function of document age. The fitted curve is negative, with an age elasticity of -0.37275063780031276 and a doubling-age progress ratio of 0.7723086110105191. However, because the p-value for the age coefficient is 0.07319156847205394, the evidence should be described as suggestive rather than conclusive.</w:t>
      </w:r>
    </w:p>
    <w:p>
      <w:pPr>
        <w:pStyle w:val="BodyText"/>
      </w:pPr>
      <w:r>
        <w:t xml:space="preserve">The most measured conclusion is that H0 is weakened but not decisively rejected at the 0.05 level, while H1 receives qualified support. Citation accumulation appears to follow an age-based attention curve in the retrieved topic literature, but the curve is modestly estimated and explains a limited share of citation variation. Future dissertation chapters should therefore avoid relying on raw citation seniority as a proxy for policy importance. In a rapidly changing domain such as default disposal and orbital sustainability, recent attention may be an important empirical signal in its own right.</w:t>
      </w:r>
    </w:p>
    <w:bookmarkEnd w:id="66"/>
    <w:bookmarkStart w:id="94" w:name="references"/>
    <w:p>
      <w:pPr>
        <w:pStyle w:val="Heading2"/>
      </w:pPr>
      <w:r>
        <w:t xml:space="preserve">References</w:t>
      </w:r>
    </w:p>
    <w:p>
      <w:pPr>
        <w:pStyle w:val="FirstParagraph"/>
      </w:pPr>
      <w:bookmarkStart w:id="67" w:name="ref-1"/>
      <w:bookmarkEnd w:id="67"/>
      <w:r>
        <w:t xml:space="preserve">1. Jaedong Seong, Korea Aerospace Research Institute (KARI); Okchul Jung, Korea Aerospace Research Institute (KARI); Dae Won Chung, Korea Aerospace Research Institute (KARI). KARI Recent Activities on SSA &amp; STM. (2019). [AMOS]</w:t>
      </w:r>
      <w:r>
        <w:t xml:space="preserve"> </w:t>
      </w:r>
      <w:bookmarkStart w:id="68" w:name="ref-2"/>
      <w:bookmarkEnd w:id="68"/>
      <w:r>
        <w:t xml:space="preserve">2.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69">
        <w:r>
          <w:rPr>
            <w:rStyle w:val="Hyperlink"/>
          </w:rPr>
          <w:t xml:space="preserve">10.64861/FKER7625</w:t>
        </w:r>
      </w:hyperlink>
      <w:r>
        <w:t xml:space="preserve"> </w:t>
      </w:r>
      <w:bookmarkStart w:id="70" w:name="ref-3"/>
      <w:bookmarkEnd w:id="70"/>
      <w:r>
        <w:t xml:space="preserve">3. Quentin Verspieren, The University of Tokyo. The US Air Force Compliance with the Orbital Debris Mitigation Standard Practices. (2020). [AMOS]</w:t>
      </w:r>
      <w:r>
        <w:t xml:space="preserve"> </w:t>
      </w:r>
      <w:bookmarkStart w:id="71" w:name="ref-4"/>
      <w:bookmarkEnd w:id="71"/>
      <w:r>
        <w:t xml:space="preserve">4. Darren McKnight, LeoLabs; Erin Dale, LeoLabs; Christopher Gates, LeoLabs; Owen Marshall, LeoLabs; Rachit Bhatia, LeoLabs; Mohin Patel, LeoLabs; Adam Marsh, LeoLabs. Analytic Space Domain Awareness. (2023). doi:</w:t>
      </w:r>
      <w:r>
        <w:t xml:space="preserve"> </w:t>
      </w:r>
      <w:hyperlink r:id="rId72">
        <w:r>
          <w:rPr>
            <w:rStyle w:val="Hyperlink"/>
          </w:rPr>
          <w:t xml:space="preserve">10.64861/GVCM1752</w:t>
        </w:r>
      </w:hyperlink>
      <w:r>
        <w:t xml:space="preserve"> </w:t>
      </w:r>
      <w:bookmarkStart w:id="73" w:name="ref-5"/>
      <w:bookmarkEnd w:id="73"/>
      <w:r>
        <w:t xml:space="preserve">5. Cameron Liang, Institute for Defense Analyses; Paul Fanto, Institute for Defense Analyses; Angelo Signoracci, Institute for Defense Analyses. On the Increased Risk of Kessler Syndrome by Anti-Satellite Tests. (2023). doi:</w:t>
      </w:r>
      <w:r>
        <w:t xml:space="preserve"> </w:t>
      </w:r>
      <w:hyperlink r:id="rId74">
        <w:r>
          <w:rPr>
            <w:rStyle w:val="Hyperlink"/>
          </w:rPr>
          <w:t xml:space="preserve">10.64861/CZGF7141</w:t>
        </w:r>
      </w:hyperlink>
      <w:r>
        <w:t xml:space="preserve"> </w:t>
      </w:r>
      <w:bookmarkStart w:id="75" w:name="ref-6"/>
      <w:bookmarkEnd w:id="75"/>
      <w:r>
        <w:t xml:space="preserve">6.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76">
        <w:r>
          <w:rPr>
            <w:rStyle w:val="Hyperlink"/>
          </w:rPr>
          <w:t xml:space="preserve">10.64861/QBNC8763</w:t>
        </w:r>
      </w:hyperlink>
      <w:r>
        <w:t xml:space="preserve"> </w:t>
      </w:r>
      <w:bookmarkStart w:id="77" w:name="ref-7"/>
      <w:bookmarkEnd w:id="77"/>
      <w:r>
        <w:t xml:space="preserve">7. Joshua Wysack, BAE Systems. Cislunar Missions End-of-Life Disposal Strategies. (2024). doi:</w:t>
      </w:r>
      <w:r>
        <w:t xml:space="preserve"> </w:t>
      </w:r>
      <w:hyperlink r:id="rId78">
        <w:r>
          <w:rPr>
            <w:rStyle w:val="Hyperlink"/>
          </w:rPr>
          <w:t xml:space="preserve">10.64861/GDKE6454</w:t>
        </w:r>
      </w:hyperlink>
      <w:r>
        <w:t xml:space="preserve"> </w:t>
      </w:r>
      <w:bookmarkStart w:id="79" w:name="ref-8"/>
      <w:bookmarkEnd w:id="79"/>
      <w:r>
        <w:t xml:space="preserve">8. Lucía Ayala Fernández, Technische Universität Braunschweig; Carsten Wiedemann, Technische Universität Braunschweig; Vitali Braun, IMS Space Consultancy @ ESA/ESOC; Stijn Lemmens, ESA/ESOC Space Debris Office. Uncertainty in Remaining Orbital Lifetime Estimation After Post-Mission Disposal. (2023). doi:</w:t>
      </w:r>
      <w:r>
        <w:t xml:space="preserve"> </w:t>
      </w:r>
      <w:hyperlink r:id="rId80">
        <w:r>
          <w:rPr>
            <w:rStyle w:val="Hyperlink"/>
          </w:rPr>
          <w:t xml:space="preserve">10.64861/QKCI9457</w:t>
        </w:r>
      </w:hyperlink>
      <w:r>
        <w:t xml:space="preserve"> </w:t>
      </w:r>
      <w:bookmarkStart w:id="81" w:name="ref-9"/>
      <w:bookmarkEnd w:id="81"/>
      <w:r>
        <w:t xml:space="preserve">9. Anthony V. Dentamaro (Boston College), Phan D. Dao (Air Force Research Laboratories, Space Vehicles Directorate), Kimberly R. Knobel (Air Force Research Laboratories, Space Vehicles Directorate). Test of Neural Network Techniques Using Simulated Dual-Band Data of LEO Satellites. (2010). [AMOS]</w:t>
      </w:r>
      <w:r>
        <w:t xml:space="preserve"> </w:t>
      </w:r>
      <w:bookmarkStart w:id="82" w:name="ref-10"/>
      <w:bookmarkEnd w:id="82"/>
      <w:r>
        <w:t xml:space="preserve">10. Shawn Seunghwan Choi, SpaceMap; Jun Young Byun, Hanyang University; Maxime Pognon, SAFRAN ELECTRONICS &amp; DEFENSE; Juhwan Kim, Hanyang University; Hyeonggu Kim, KT SAT; Jaedong Seong, KARI; Baptiste Guillot, Safran; Thierry Balanche, Safran; Kevin Choi, KT SAT; Misoon Mah, M&amp;K Research and Development Inc; Jae Wook Song, Hanyang University; Peter Joonghyun Ryu, SpaceMap; Douglas Deok-Soo Kim, SpaceMap. Real-Time Conjunction Assessment and Collision Avoidance of Satellites for Concurrent Avoidance Negotiation Based on Comparative Analysis of Passive Ranging Method and Traditional Sources. (2024). doi:</w:t>
      </w:r>
      <w:r>
        <w:t xml:space="preserve"> </w:t>
      </w:r>
      <w:hyperlink r:id="rId83">
        <w:r>
          <w:rPr>
            <w:rStyle w:val="Hyperlink"/>
          </w:rPr>
          <w:t xml:space="preserve">10.64861/TJIV3429</w:t>
        </w:r>
      </w:hyperlink>
      <w:r>
        <w:t xml:space="preserve"> </w:t>
      </w:r>
      <w:bookmarkStart w:id="84" w:name="ref-11"/>
      <w:bookmarkEnd w:id="84"/>
      <w:r>
        <w:t xml:space="preserve">11. Jerome Pearson (Star Technology and Research, Inc.), Eugene Levin (Star Technology and Research, Inc.), John Oldson (Star Technology and Research, Inc.), Joseph Carroll (Tether Applications, Inc.). ElectroDynamic Debris Eliminator (EDDE): Design, Operation, and Ground Support. (2010). [AMOS]</w:t>
      </w:r>
      <w:r>
        <w:t xml:space="preserve"> </w:t>
      </w:r>
      <w:bookmarkStart w:id="85" w:name="ref-12"/>
      <w:bookmarkEnd w:id="85"/>
      <w:r>
        <w:t xml:space="preserve">12. Andris Jaunzemis, Georgia Institute of Technology, Marcus Holzinger, Georgia Institute of Technology, Moriba Jah, University of Arizona. Evidence-based Sensor Tasking for Space Domain Awareness. (2016). [AMOS]</w:t>
      </w:r>
      <w:r>
        <w:t xml:space="preserve"> </w:t>
      </w:r>
      <w:bookmarkStart w:id="86" w:name="ref-13"/>
      <w:bookmarkEnd w:id="86"/>
      <w:r>
        <w:t xml:space="preserve">13. Tobias Degen; John C. Barentine; Gyula I.G. Józsa; Thomas Walter; Jacqueline Degen. Mitigating satellite trails through retroreflective coatings: A proposal for preserving the night sky. (2026). doi:</w:t>
      </w:r>
      <w:r>
        <w:t xml:space="preserve"> </w:t>
      </w:r>
      <w:hyperlink r:id="rId87">
        <w:r>
          <w:rPr>
            <w:rStyle w:val="Hyperlink"/>
          </w:rPr>
          <w:t xml:space="preserve">10.1016/j.actaastro.2026.01.042</w:t>
        </w:r>
      </w:hyperlink>
      <w:r>
        <w:t xml:space="preserve"> </w:t>
      </w:r>
      <w:bookmarkStart w:id="88" w:name="ref-14"/>
      <w:bookmarkEnd w:id="88"/>
      <w:r>
        <w:t xml:space="preserve">14. Satomi Kawamoto; Ryusuke Harada; Yasuhiro Kitagawa; Toshiya Hanada. Evaluation of the effectiveness of the 5-year rule — impact on the orbital environment at each altitude by reducing the post-mission disposal lifetime. (2024). doi:</w:t>
      </w:r>
      <w:r>
        <w:t xml:space="preserve"> </w:t>
      </w:r>
      <w:hyperlink r:id="rId89">
        <w:r>
          <w:rPr>
            <w:rStyle w:val="Hyperlink"/>
          </w:rPr>
          <w:t xml:space="preserve">10.1016/j.actaastro.2024.03.033</w:t>
        </w:r>
      </w:hyperlink>
      <w:r>
        <w:t xml:space="preserve"> </w:t>
      </w:r>
      <w:bookmarkStart w:id="90" w:name="ref-15"/>
      <w:bookmarkEnd w:id="90"/>
      <w:r>
        <w:t xml:space="preserve">15. Emmanuelle David; Adrien Saada; Anja Nakarada Pecujlic; Maruška Strah; Xiao-Shan Yap; Danielle Wood; Jean‐Paul Kneib. Fostering multi-stakeholder collaboration for space sustainability through an incentive-based mechanism. (2025). doi:</w:t>
      </w:r>
      <w:r>
        <w:t xml:space="preserve"> </w:t>
      </w:r>
      <w:hyperlink r:id="rId91">
        <w:r>
          <w:rPr>
            <w:rStyle w:val="Hyperlink"/>
          </w:rPr>
          <w:t xml:space="preserve">10.1016/j.actaastro.2025.06.029</w:t>
        </w:r>
      </w:hyperlink>
      <w:r>
        <w:t xml:space="preserve"> </w:t>
      </w:r>
      <w:bookmarkStart w:id="92" w:name="ref-16"/>
      <w:bookmarkEnd w:id="92"/>
      <w:r>
        <w:t xml:space="preserve">16.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93">
        <w:r>
          <w:rPr>
            <w:rStyle w:val="Hyperlink"/>
          </w:rPr>
          <w:t xml:space="preserve">10.1016/j.actaastro.2025.01.069</w:t>
        </w:r>
      </w:hyperlink>
    </w:p>
    <w:bookmarkEnd w:id="94"/>
    <w:bookmarkStart w:id="9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95"/>
    <w:bookmarkStart w:id="9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1.1224</w:t>
            </w:r>
          </w:p>
        </w:tc>
        <w:tc>
          <w:tcPr>
            <w:tcW w:w="0" w:type="auto"/>
          </w:tcPr>
          <w:p>
            <w:pPr>
              <w:spacing w:line="240" w:lineRule="auto" w:before="0" w:after="0"/>
              <w:pStyle w:val="Compact"/>
            </w:pPr>
            <w:r>
              <w:rPr>
                <w:sz w:val="20"/>
                <w:szCs w:val="20"/>
              </w:rPr>
              <w:t xml:space="preserve">0.4223</w:t>
            </w:r>
          </w:p>
        </w:tc>
        <w:tc>
          <w:tcPr>
            <w:tcW w:w="0" w:type="auto"/>
          </w:tcPr>
          <w:p>
            <w:pPr>
              <w:spacing w:line="240" w:lineRule="auto" w:before="0" w:after="0"/>
              <w:pStyle w:val="Compact"/>
            </w:pPr>
            <w:r>
              <w:rPr>
                <w:sz w:val="20"/>
                <w:szCs w:val="20"/>
              </w:rPr>
              <w:t xml:space="preserve">2.6579</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[0.2947, 1.9501]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-0.3728</w:t>
            </w:r>
          </w:p>
        </w:tc>
        <w:tc>
          <w:tcPr>
            <w:tcW w:w="0" w:type="auto"/>
          </w:tcPr>
          <w:p>
            <w:pPr>
              <w:spacing w:line="240" w:lineRule="auto" w:before="0" w:after="0"/>
              <w:pStyle w:val="Compact"/>
            </w:pPr>
            <w:r>
              <w:rPr>
                <w:sz w:val="20"/>
                <w:szCs w:val="20"/>
              </w:rPr>
              <w:t xml:space="preserve">0.2081</w:t>
            </w:r>
          </w:p>
        </w:tc>
        <w:tc>
          <w:tcPr>
            <w:tcW w:w="0" w:type="auto"/>
          </w:tcPr>
          <w:p>
            <w:pPr>
              <w:spacing w:line="240" w:lineRule="auto" w:before="0" w:after="0"/>
              <w:pStyle w:val="Compact"/>
            </w:pPr>
            <w:r>
              <w:rPr>
                <w:sz w:val="20"/>
                <w:szCs w:val="20"/>
              </w:rPr>
              <w:t xml:space="preserve">-1.7916</w:t>
            </w:r>
          </w:p>
        </w:tc>
        <w:tc>
          <w:tcPr>
            <w:tcW w:w="0" w:type="auto"/>
          </w:tcPr>
          <w:p>
            <w:pPr>
              <w:spacing w:line="240" w:lineRule="auto" w:before="0" w:after="0"/>
              <w:pStyle w:val="Compact"/>
            </w:pPr>
            <w:r>
              <w:rPr>
                <w:sz w:val="20"/>
                <w:szCs w:val="20"/>
              </w:rPr>
              <w:t xml:space="preserve">0.0732</w:t>
            </w:r>
          </w:p>
        </w:tc>
        <w:tc>
          <w:tcPr>
            <w:tcW w:w="0" w:type="auto"/>
          </w:tcPr>
          <w:p>
            <w:pPr>
              <w:spacing w:line="240" w:lineRule="auto" w:before="0" w:after="0"/>
              <w:pStyle w:val="Compact"/>
            </w:pPr>
            <w:r>
              <w:rPr>
                <w:sz w:val="20"/>
                <w:szCs w:val="20"/>
              </w:rPr>
              <w:t xml:space="preserve">[-0.7805, 0.035]</w:t>
            </w:r>
          </w:p>
        </w:tc>
      </w:tr>
    </w:tbl>
    <w:p>
      <w:pPr>
        <w:pStyle w:val="BodyText"/>
      </w:pPr>
      <w:r>
        <w:t xml:space="preserve">Fit: N = 30 R2 = 0.0552 elasticity_b = -0.3728 progress_ratio_2^b = 0.7723</w:t>
      </w:r>
    </w:p>
    <w:p>
      <w:pPr>
        <w:pStyle w:val="CaptionedFigure"/>
      </w:pPr>
      <w:r>
        <w:drawing>
          <wp:inline>
            <wp:extent cx="5669280" cy="3657600"/>
            <wp:effectExtent b="0" l="0" r="0" t="0"/>
            <wp:docPr descr="Figure 1. Citation accumulation against article age in the retrieved topic literature." title="" id="97" name="Picture"/>
            <a:graphic>
              <a:graphicData uri="http://schemas.openxmlformats.org/drawingml/2006/picture">
                <pic:pic>
                  <pic:nvPicPr>
                    <pic:cNvPr descr="D:\Claude_Code\brain\collegium\candidates\dissertations\SUSTAINABILITY_INSTITUTIONS_03\research_papers\p2\paper_fig1.png" id="98" name="Picture"/>
                    <pic:cNvPicPr>
                      <a:picLocks noChangeArrowheads="1" noChangeAspect="1"/>
                    </pic:cNvPicPr>
                  </pic:nvPicPr>
                  <pic:blipFill>
                    <a:blip r:embed="rId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99"/>
    <w:bookmarkStart w:id="10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10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https://amostech.space/year/2020/the-us-air-force-compliance-with-the-orbital-debris-mitigation-standard-practices/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10.64861/GDKE6454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10.64861/QKCI9457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https://amostech.space/year/2010/test-of-neural-network-techniques-using-simulated-dual-band-data-of-leo-satellites/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10.64861/TJIV3429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https://amostech.space/year/2016/evidence-based-sensor-tasking-for-space-domain-awareness/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10.1016/j.actaastro.2024.03.033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10.1016/j.actaastro.2025.02.013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10.1016/j.actaastro.2023.09.031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10.1139/cjfas-2023-0169</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Robustness of HCRs to Climate-Driven Sardine Recruitment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bl>
    <w:bookmarkEnd w:id="100"/>
    <w:bookmarkStart w:id="10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01"/>
    <w:bookmarkStart w:id="10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1.1224</w:t>
            </w:r>
          </w:p>
        </w:tc>
        <w:tc>
          <w:tcPr>
            <w:tcW w:w="0" w:type="auto"/>
          </w:tcPr>
          <w:p>
            <w:pPr>
              <w:spacing w:line="240" w:lineRule="auto" w:before="0" w:after="0"/>
              <w:pStyle w:val="Compact"/>
            </w:pPr>
            <w:r>
              <w:rPr>
                <w:sz w:val="20"/>
                <w:szCs w:val="20"/>
              </w:rPr>
              <w:t xml:space="preserve">0.4223</w:t>
            </w:r>
          </w:p>
        </w:tc>
        <w:tc>
          <w:tcPr>
            <w:tcW w:w="0" w:type="auto"/>
          </w:tcPr>
          <w:p>
            <w:pPr>
              <w:spacing w:line="240" w:lineRule="auto" w:before="0" w:after="0"/>
              <w:pStyle w:val="Compact"/>
            </w:pPr>
            <w:r>
              <w:rPr>
                <w:sz w:val="20"/>
                <w:szCs w:val="20"/>
              </w:rPr>
              <w:t xml:space="preserve">2.6579</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[0.2947, 1.9501]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-0.3728</w:t>
            </w:r>
          </w:p>
        </w:tc>
        <w:tc>
          <w:tcPr>
            <w:tcW w:w="0" w:type="auto"/>
          </w:tcPr>
          <w:p>
            <w:pPr>
              <w:spacing w:line="240" w:lineRule="auto" w:before="0" w:after="0"/>
              <w:pStyle w:val="Compact"/>
            </w:pPr>
            <w:r>
              <w:rPr>
                <w:sz w:val="20"/>
                <w:szCs w:val="20"/>
              </w:rPr>
              <w:t xml:space="preserve">0.2081</w:t>
            </w:r>
          </w:p>
        </w:tc>
        <w:tc>
          <w:tcPr>
            <w:tcW w:w="0" w:type="auto"/>
          </w:tcPr>
          <w:p>
            <w:pPr>
              <w:spacing w:line="240" w:lineRule="auto" w:before="0" w:after="0"/>
              <w:pStyle w:val="Compact"/>
            </w:pPr>
            <w:r>
              <w:rPr>
                <w:sz w:val="20"/>
                <w:szCs w:val="20"/>
              </w:rPr>
              <w:t xml:space="preserve">-1.7916</w:t>
            </w:r>
          </w:p>
        </w:tc>
        <w:tc>
          <w:tcPr>
            <w:tcW w:w="0" w:type="auto"/>
          </w:tcPr>
          <w:p>
            <w:pPr>
              <w:spacing w:line="240" w:lineRule="auto" w:before="0" w:after="0"/>
              <w:pStyle w:val="Compact"/>
            </w:pPr>
            <w:r>
              <w:rPr>
                <w:sz w:val="20"/>
                <w:szCs w:val="20"/>
              </w:rPr>
              <w:t xml:space="preserve">0.0732</w:t>
            </w:r>
          </w:p>
        </w:tc>
        <w:tc>
          <w:tcPr>
            <w:tcW w:w="0" w:type="auto"/>
          </w:tcPr>
          <w:p>
            <w:pPr>
              <w:spacing w:line="240" w:lineRule="auto" w:before="0" w:after="0"/>
              <w:pStyle w:val="Compact"/>
            </w:pPr>
            <w:r>
              <w:rPr>
                <w:sz w:val="20"/>
                <w:szCs w:val="20"/>
              </w:rPr>
              <w:t xml:space="preserve">[-0.7805, 0.035]</w:t>
            </w:r>
          </w:p>
        </w:tc>
      </w:tr>
    </w:tbl>
    <w:p>
      <w:pPr>
        <w:pStyle w:val="BodyText"/>
      </w:pPr>
      <w:r>
        <w:t xml:space="preserve">Fit: N = 30 R2 = 0.0552 elasticity_b = -0.3728 progress_ratio_2^b = 0.7723</w:t>
      </w:r>
    </w:p>
    <w:bookmarkEnd w:id="102"/>
    <w:bookmarkEnd w:id="103"/>
    <w:bookmarkEnd w:id="1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6" Target="media/rId96.png" /><Relationship Type="http://schemas.openxmlformats.org/officeDocument/2006/relationships/hyperlink" Id="rId89" Target="https://doi.org/10.1016/j.actaastro.2024.03.033" TargetMode="External" /><Relationship Type="http://schemas.openxmlformats.org/officeDocument/2006/relationships/hyperlink" Id="rId93" Target="https://doi.org/10.1016/j.actaastro.2025.01.069" TargetMode="External" /><Relationship Type="http://schemas.openxmlformats.org/officeDocument/2006/relationships/hyperlink" Id="rId91" Target="https://doi.org/10.1016/j.actaastro.2025.06.029" TargetMode="External" /><Relationship Type="http://schemas.openxmlformats.org/officeDocument/2006/relationships/hyperlink" Id="rId87" Target="https://doi.org/10.1016/j.actaastro.2026.01.042" TargetMode="External" /><Relationship Type="http://schemas.openxmlformats.org/officeDocument/2006/relationships/hyperlink" Id="rId74" Target="https://doi.org/10.64861/CZGF7141"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GDKE6454" TargetMode="External" /><Relationship Type="http://schemas.openxmlformats.org/officeDocument/2006/relationships/hyperlink" Id="rId72" Target="https://doi.org/10.64861/GVCM1752" TargetMode="External" /><Relationship Type="http://schemas.openxmlformats.org/officeDocument/2006/relationships/hyperlink" Id="rId76" Target="https://doi.org/10.64861/QBNC8763" TargetMode="External" /><Relationship Type="http://schemas.openxmlformats.org/officeDocument/2006/relationships/hyperlink" Id="rId80" Target="https://doi.org/10.64861/QKCI9457" TargetMode="External" /><Relationship Type="http://schemas.openxmlformats.org/officeDocument/2006/relationships/hyperlink" Id="rId83" Target="https://doi.org/10.64861/TJIV3429" TargetMode="External" /></Relationships>
</file>

<file path=word/_rels/footnotes.xml.rels><?xml version="1.0" encoding="UTF-8"?><Relationships xmlns="http://schemas.openxmlformats.org/package/2006/relationships"><Relationship Type="http://schemas.openxmlformats.org/officeDocument/2006/relationships/hyperlink" Id="rId89" Target="https://doi.org/10.1016/j.actaastro.2024.03.033" TargetMode="External" /><Relationship Type="http://schemas.openxmlformats.org/officeDocument/2006/relationships/hyperlink" Id="rId93" Target="https://doi.org/10.1016/j.actaastro.2025.01.069" TargetMode="External" /><Relationship Type="http://schemas.openxmlformats.org/officeDocument/2006/relationships/hyperlink" Id="rId91" Target="https://doi.org/10.1016/j.actaastro.2025.06.029" TargetMode="External" /><Relationship Type="http://schemas.openxmlformats.org/officeDocument/2006/relationships/hyperlink" Id="rId87" Target="https://doi.org/10.1016/j.actaastro.2026.01.042" TargetMode="External" /><Relationship Type="http://schemas.openxmlformats.org/officeDocument/2006/relationships/hyperlink" Id="rId74" Target="https://doi.org/10.64861/CZGF7141"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GDKE6454" TargetMode="External" /><Relationship Type="http://schemas.openxmlformats.org/officeDocument/2006/relationships/hyperlink" Id="rId72" Target="https://doi.org/10.64861/GVCM1752" TargetMode="External" /><Relationship Type="http://schemas.openxmlformats.org/officeDocument/2006/relationships/hyperlink" Id="rId76" Target="https://doi.org/10.64861/QBNC8763" TargetMode="External" /><Relationship Type="http://schemas.openxmlformats.org/officeDocument/2006/relationships/hyperlink" Id="rId80" Target="https://doi.org/10.64861/QKCI9457" TargetMode="External" /><Relationship Type="http://schemas.openxmlformats.org/officeDocument/2006/relationships/hyperlink" Id="rId83" Target="https://doi.org/10.64861/TJIV34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2026-06-28T18:11:03Z</dcterms:created>
  <dcterms:modified xsi:type="dcterms:W3CDTF">2026-06-28T18:11:03Z</dcterms:modified>
</cp:coreProperties>
</file>

<file path=docProps/custom.xml><?xml version="1.0" encoding="utf-8"?>
<Properties xmlns="http://schemas.openxmlformats.org/officeDocument/2006/custom-properties" xmlns:vt="http://schemas.openxmlformats.org/officeDocument/2006/docPropsVTypes"/>
</file>