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9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104" w:name="Xd64f77f05308b1d5023c6707c18c8d7107693bf"/>
    <w:p>
      <w:pPr>
        <w:pStyle w:val="Heading1"/>
      </w:pPr>
      <w:r>
        <w:t xml:space="preserve">Signal Intensity in Default Disposal A Quasi-Experimental Test of Whether the 25-to-5-Year Rule Cha: An Ordinary Least Squares Test of Recency, Citation Attention, and Venue</w:t>
      </w:r>
    </w:p>
    <w:bookmarkStart w:id="61" w:name="introduction"/>
    <w:p>
      <w:pPr>
        <w:pStyle w:val="Heading2"/>
      </w:pPr>
      <w:r>
        <w:t xml:space="preserve">1. Introduction</w:t>
      </w:r>
    </w:p>
    <w:p>
      <w:pPr>
        <w:pStyle w:val="FirstParagraph"/>
      </w:pPr>
      <w:r>
        <w:t xml:space="preserve">This empirical section reports an ordinary least squares test for Candidate Wei Falk (1B-SUS-158) within the dissertation project</w:t>
      </w:r>
      <w:r>
        <w:t xml:space="preserve"> </w:t>
      </w:r>
      <w:r>
        <w:rPr>
          <w:i/>
          <w:iCs/>
        </w:rPr>
        <w:t xml:space="preserve">Default Disposal: A Quasi-Experimental Test of Whether the 25-to-5-Year Rule Cha</w:t>
      </w:r>
      <w:r>
        <w:t xml:space="preserve">. The analysis asks whether the intensity of a topic signal in retrieved space-policy and space-sustainability records is systematically related to publication recency, citation attention, and venue family. The substantive setting is the growing literature on orbital debris mitigation, space traffic management, space capacity, post-mission disposal, and related governance mechanisms. Recent work directly addresses the effectiveness of a 5-year post-mission disposal rule and its implications for the orbital environment</w:t>
      </w:r>
      <w:r>
        <w:t xml:space="preserve"> </w:t>
      </w:r>
      <w:hyperlink w:anchor="ref-14">
        <m:oMathPara>
          <m:oMathParaPr>
            <m:jc m:val="center"/>
          </m:oMathParaPr>
          <m:oMath>
            <m:r>
              <m:t>14</m:t>
            </m:r>
          </m:oMath>
        </m:oMathPara>
      </w:hyperlink>
      <w:r>
        <w:t xml:space="preserve">, while adjacent studies examine environmental modeling, reference scenarios, end-of-life disposal strategies, orbital lifetime uncertainty, and multi-stakeholder sustainability mechanisms</w:t>
      </w:r>
      <w:r>
        <w:t xml:space="preserve"> </w:t>
      </w:r>
      <w:hyperlink w:anchor="ref-2">
        <m:oMathPara>
          <m:oMathParaPr>
            <m:jc m:val="center"/>
          </m:oMathParaPr>
          <m:oMath>
            <m:r>
              <m:t>2</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w:t>
      </w:r>
      <w:r>
        <w:t xml:space="preserve"> </w:t>
      </w:r>
      <w:hyperlink w:anchor="ref-8">
        <m:oMathPara>
          <m:oMathParaPr>
            <m:jc m:val="center"/>
          </m:oMathParaPr>
          <m:oMath>
            <m:r>
              <m:t>8</m:t>
            </m:r>
          </m:oMath>
        </m:oMathPara>
      </w:hyperlink>
      <w:r>
        <w:t xml:space="preserve">,</w:t>
      </w:r>
      <w:r>
        <w:t xml:space="preserve"> </w:t>
      </w:r>
      <w:hyperlink w:anchor="ref-15">
        <m:oMathPara>
          <m:oMathParaPr>
            <m:jc m:val="center"/>
          </m:oMathParaPr>
          <m:oMath>
            <m:r>
              <m:t>15</m:t>
            </m:r>
          </m:oMath>
        </m:oMathPara>
      </w:hyperlink>
      <w:r>
        <w:t xml:space="preserve">.</w:t>
      </w:r>
    </w:p>
    <w:p>
      <w:pPr>
        <w:pStyle w:val="FirstParagraph"/>
      </w:pPr>
      <w:r>
        <w:t xml:space="preserve">The paper treats the retrieved-source record as the unit of analysis. The dependent variable,</w:t>
      </w:r>
      <w:r>
        <w:t xml:space="preserve"> </w:t>
      </w:r>
      <w:r>
        <w:rPr>
          <w:rStyle w:val="VerbatimChar"/>
        </w:rPr>
        <w:t xml:space="preserve">signal_score</w:t>
      </w:r>
      <w:r>
        <w:t xml:space="preserve">, is a deterministic composite count of candidate-theme term hits in source metadata. The key explanatory variables are</w:t>
      </w:r>
      <w:r>
        <w:t xml:space="preserve"> </w:t>
      </w:r>
      <w:r>
        <w:rPr>
          <w:rStyle w:val="VerbatimChar"/>
        </w:rPr>
        <w:t xml:space="preserve">recency_index</w:t>
      </w:r>
      <w:r>
        <w:t xml:space="preserve">,</w:t>
      </w:r>
      <w:r>
        <w:t xml:space="preserve"> </w:t>
      </w:r>
      <w:r>
        <w:rPr>
          <w:rStyle w:val="VerbatimChar"/>
        </w:rPr>
        <w:t xml:space="preserve">cites_num</w:t>
      </w:r>
      <w:r>
        <w:t xml:space="preserve">, and</w:t>
      </w:r>
      <w:r>
        <w:t xml:space="preserve"> </w:t>
      </w:r>
      <w:r>
        <w:rPr>
          <w:rStyle w:val="VerbatimChar"/>
        </w:rPr>
        <w:t xml:space="preserve">venue_score</w:t>
      </w:r>
      <w:r>
        <w:t xml:space="preserve">. The test is not a causal estimate of the policy effect of the 25-to-5-year rule on the space environment. Rather, it is a quasi-experimental test in a narrower evidentiary sense: it assesses whether observable variation in bibliographic recency, indexed citation attention, and venue family predicts the intensity with which retrieved sources carry the dissertation’s topic signal.</w:t>
      </w:r>
    </w:p>
    <w:p>
      <w:pPr>
        <w:pStyle w:val="BodyText"/>
      </w:pPr>
      <w:r>
        <w:t xml:space="preserve">The empirical motivation is straightforward. If disposal-rule change and debris-mitigation policy have become more salient over time, then newer records should contain stronger topical signals. The literature base includes earlier space surveillance and debris-mitigation contributions</w:t>
      </w:r>
      <w:r>
        <w:t xml:space="preserve"> </w:t>
      </w:r>
      <w:hyperlink w:anchor="ref-1">
        <m:oMathPara>
          <m:oMathParaPr>
            <m:jc m:val="center"/>
          </m:oMathParaPr>
          <m:oMath>
            <m:r>
              <m:t>1</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11">
        <m:oMathPara>
          <m:oMathParaPr>
            <m:jc m:val="center"/>
          </m:oMathParaPr>
          <m:oMath>
            <m:r>
              <m:t>11</m:t>
            </m:r>
          </m:oMath>
        </m:oMathPara>
      </w:hyperlink>
      <w:r>
        <w:t xml:space="preserve">,</w:t>
      </w:r>
      <w:r>
        <w:t xml:space="preserve"> </w:t>
      </w:r>
      <w:hyperlink w:anchor="ref-12">
        <m:oMathPara>
          <m:oMathParaPr>
            <m:jc m:val="center"/>
          </m:oMathParaPr>
          <m:oMath>
            <m:r>
              <m:t>12</m:t>
            </m:r>
          </m:oMath>
        </m:oMathPara>
      </w:hyperlink>
      <w:r>
        <w:t xml:space="preserve">, as well as more recent studies on analytic space domain awareness, anti-satellite risk, source-sink environmental models, and the 5-year rule</w:t>
      </w:r>
      <w:r>
        <w:t xml:space="preserve"> </w:t>
      </w:r>
      <w:hyperlink w:anchor="ref-2">
        <m:oMathPara>
          <m:oMathParaPr>
            <m:jc m:val="center"/>
          </m:oMathParaPr>
          <m:oMath>
            <m:r>
              <m:t>2</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14">
        <m:oMathPara>
          <m:oMathParaPr>
            <m:jc m:val="center"/>
          </m:oMathParaPr>
          <m:oMath>
            <m:r>
              <m:t>14</m:t>
            </m:r>
          </m:oMath>
        </m:oMathPara>
      </w:hyperlink>
      <w:r>
        <w:t xml:space="preserve">. The central empirical question is therefore whether the metadata signal rises with recency and citation attention once venue family is held constant.</w:t>
      </w:r>
    </w:p>
    <w:bookmarkEnd w:id="61"/>
    <w:bookmarkStart w:id="62" w:name="theory-and-hypotheses"/>
    <w:p>
      <w:pPr>
        <w:pStyle w:val="Heading2"/>
      </w:pPr>
      <w:r>
        <w:t xml:space="preserve">2. Theory and Hypotheses</w:t>
      </w:r>
    </w:p>
    <w:p>
      <w:pPr>
        <w:pStyle w:val="FirstParagraph"/>
      </w:pPr>
      <w:r>
        <w:t xml:space="preserve">The theory behind the test is an attention-and-diffusion account of topic formation. Policy-relevant technical ideas do not enter a literature all at once. They diffuse through venues, modeling communities, regulatory discussions, and mission-design analyses. In the orbital-debris and space-sustainability domain, topic formation is visible in work on post-mission disposal lifetime, orbital environment modeling, space capacity management, and operational decision support</w:t>
      </w:r>
      <w:r>
        <w:t xml:space="preserve"> </w:t>
      </w:r>
      <w:hyperlink w:anchor="ref-2">
        <m:oMathPara>
          <m:oMathParaPr>
            <m:jc m:val="center"/>
          </m:oMathParaPr>
          <m:oMath>
            <m:r>
              <m:t>2</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14">
        <m:oMathPara>
          <m:oMathParaPr>
            <m:jc m:val="center"/>
          </m:oMathParaPr>
          <m:oMath>
            <m:r>
              <m:t>14</m:t>
            </m:r>
          </m:oMath>
        </m:oMathPara>
      </w:hyperlink>
      <w:r>
        <w:t xml:space="preserve">,</w:t>
      </w:r>
      <w:r>
        <w:t xml:space="preserve"> </w:t>
      </w:r>
      <w:hyperlink w:anchor="ref-16">
        <m:oMathPara>
          <m:oMathParaPr>
            <m:jc m:val="center"/>
          </m:oMathParaPr>
          <m:oMath>
            <m:r>
              <m:t>16</m:t>
            </m:r>
          </m:oMath>
        </m:oMathPara>
      </w:hyperlink>
      <w:r>
        <w:t xml:space="preserve">. A retrieved record with a high topic-signal score is therefore interpreted as one whose metadata more strongly reflects the dissertation’s focal themes.</w:t>
      </w:r>
    </w:p>
    <w:p>
      <w:pPr>
        <w:pStyle w:val="FirstParagraph"/>
      </w:pPr>
      <w:r>
        <w:t xml:space="preserve">Recency is expected to increase the topic signal. The 5-year rule is a comparatively recent focal point within debris-mitigation debate, and newer publications are more likely to contain terminology tied to shortened disposal timelines, sustainability metrics, capacity management, and operational implementation</w:t>
      </w:r>
      <w:r>
        <w:t xml:space="preserve"> </w:t>
      </w:r>
      <w:hyperlink w:anchor="ref-14">
        <m:oMathPara>
          <m:oMathParaPr>
            <m:jc m:val="center"/>
          </m:oMathParaPr>
          <m:oMath>
            <m:r>
              <m:t>14</m:t>
            </m:r>
          </m:oMath>
        </m:oMathPara>
      </w:hyperlink>
      <w:r>
        <w:t xml:space="preserve">,</w:t>
      </w:r>
      <w:r>
        <w:t xml:space="preserve"> </w:t>
      </w:r>
      <w:hyperlink w:anchor="ref-16">
        <m:oMathPara>
          <m:oMathParaPr>
            <m:jc m:val="center"/>
          </m:oMathParaPr>
          <m:oMath>
            <m:r>
              <m:t>16</m:t>
            </m:r>
          </m:oMath>
        </m:oMathPara>
      </w:hyperlink>
      <w:r>
        <w:t xml:space="preserve">. Recent work on cislunar end-of-life disposal and uncertainty in remaining orbital lifetime also suggests that disposal questions have become more differentiated across mission regimes and modeling assumptions</w:t>
      </w:r>
      <w:r>
        <w:t xml:space="preserve"> </w:t>
      </w:r>
      <w:hyperlink w:anchor="ref-7">
        <m:oMathPara>
          <m:oMathParaPr>
            <m:jc m:val="center"/>
          </m:oMathParaPr>
          <m:oMath>
            <m:r>
              <m:t>7</m:t>
            </m:r>
          </m:oMath>
        </m:oMathPara>
      </w:hyperlink>
      <w:r>
        <w:t xml:space="preserve">,</w:t>
      </w:r>
      <w:r>
        <w:t xml:space="preserve"> </w:t>
      </w:r>
      <w:hyperlink w:anchor="ref-8">
        <m:oMathPara>
          <m:oMathParaPr>
            <m:jc m:val="center"/>
          </m:oMathParaPr>
          <m:oMath>
            <m:r>
              <m:t>8</m:t>
            </m:r>
          </m:oMath>
        </m:oMathPara>
      </w:hyperlink>
      <w:r>
        <w:t xml:space="preserve">. Under this logic, newer records should be more likely to include the candidate-theme terms used to construct the signal score.</w:t>
      </w:r>
    </w:p>
    <w:p>
      <w:pPr>
        <w:pStyle w:val="FirstParagraph"/>
      </w:pPr>
      <w:r>
        <w:t xml:space="preserve">Citation attention is also expected, in the alternative hypothesis, to increase the topic signal. A source that receives more indexed citations may be more central to the local knowledge structure and thus more likely to carry terms associated with the dissertation theme. This expectation is plausible in a literature where technical modeling, standards compliance, and operational awareness are linked across studies of debris evolution, Kessler-type risk, and space traffic management</w:t>
      </w:r>
      <w:r>
        <w:t xml:space="preserve"> </w:t>
      </w:r>
      <w:hyperlink w:anchor="ref-3">
        <m:oMathPara>
          <m:oMathParaPr>
            <m:jc m:val="center"/>
          </m:oMathParaPr>
          <m:oMath>
            <m:r>
              <m:t>3</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At the same time, citation attention may also reward broad methodological or operational contributions whose metadata is not narrowly centered on disposal-rule change. The empirical test therefore allows citation attention to vary independently of recency and venue family.</w:t>
      </w:r>
    </w:p>
    <w:p>
      <w:pPr>
        <w:pStyle w:val="FirstParagraph"/>
      </w:pPr>
      <w:r>
        <w:t xml:space="preserve">Venue family is included as a control because different venues may use different vocabularies and publication formats. Records from AMOS include work on space surveillance, space traffic management, compliance, sensor tasking, and debris concepts</w:t>
      </w:r>
      <w:r>
        <w:t xml:space="preserve"> </w:t>
      </w:r>
      <w:hyperlink w:anchor="ref-1">
        <m:oMathPara>
          <m:oMathParaPr>
            <m:jc m:val="center"/>
          </m:oMathParaPr>
          <m:oMath>
            <m:r>
              <m:t>1</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11">
        <m:oMathPara>
          <m:oMathParaPr>
            <m:jc m:val="center"/>
          </m:oMathParaPr>
          <m:oMath>
            <m:r>
              <m:t>11</m:t>
            </m:r>
          </m:oMath>
        </m:oMathPara>
      </w:hyperlink>
      <w:r>
        <w:t xml:space="preserve">,</w:t>
      </w:r>
      <w:r>
        <w:t xml:space="preserve"> </w:t>
      </w:r>
      <w:hyperlink w:anchor="ref-12">
        <m:oMathPara>
          <m:oMathParaPr>
            <m:jc m:val="center"/>
          </m:oMathParaPr>
          <m:oMath>
            <m:r>
              <m:t>12</m:t>
            </m:r>
          </m:oMath>
        </m:oMathPara>
      </w:hyperlink>
      <w:r>
        <w:t xml:space="preserve">. Acta Astronautica records include recent work on the 5-year rule, satellite-trail mitigation, sustainability collaboration, and space capacity management</w:t>
      </w:r>
      <w:r>
        <w:t xml:space="preserve"> </w:t>
      </w:r>
      <w:hyperlink w:anchor="ref-13">
        <m:oMathPara>
          <m:oMathParaPr>
            <m:jc m:val="center"/>
          </m:oMathParaPr>
          <m:oMath>
            <m:r>
              <m:t>13</m:t>
            </m:r>
          </m:oMath>
        </m:oMathPara>
      </w:hyperlink>
      <w:r>
        <w:t xml:space="preserve">,</w:t>
      </w:r>
      <w:r>
        <w:t xml:space="preserve"> </w:t>
      </w:r>
      <w:hyperlink w:anchor="ref-14">
        <m:oMathPara>
          <m:oMathParaPr>
            <m:jc m:val="center"/>
          </m:oMathParaPr>
          <m:oMath>
            <m:r>
              <m:t>14</m:t>
            </m:r>
          </m:oMath>
        </m:oMathPara>
      </w:hyperlink>
      <w:r>
        <w:t xml:space="preserve">,</w:t>
      </w:r>
      <w:r>
        <w:t xml:space="preserve"> </w:t>
      </w:r>
      <w:hyperlink w:anchor="ref-15">
        <m:oMathPara>
          <m:oMathParaPr>
            <m:jc m:val="center"/>
          </m:oMathParaPr>
          <m:oMath>
            <m:r>
              <m:t>15</m:t>
            </m:r>
          </m:oMath>
        </m:oMathPara>
      </w:hyperlink>
      <w:r>
        <w:t xml:space="preserve">,</w:t>
      </w:r>
      <w:r>
        <w:t xml:space="preserve"> </w:t>
      </w:r>
      <w:hyperlink w:anchor="ref-16">
        <m:oMathPara>
          <m:oMathParaPr>
            <m:jc m:val="center"/>
          </m:oMathParaPr>
          <m:oMath>
            <m:r>
              <m:t>16</m:t>
            </m:r>
          </m:oMath>
        </m:oMathPara>
      </w:hyperlink>
      <w:r>
        <w:t xml:space="preserve">. Because venue families differ in audience, editorial conventions, and metadata style, a venue-family control is necessary before interpreting recency and citation coefficients.</w:t>
      </w:r>
    </w:p>
    <w:p>
      <w:pPr>
        <w:pStyle w:val="FirstParagraph"/>
      </w:pPr>
      <w:r>
        <w:t xml:space="preserve">The hypotheses are:</w:t>
      </w:r>
    </w:p>
    <w:p>
      <w:pPr>
        <w:pStyle w:val="BodyText"/>
      </w:pPr>
      <w:r>
        <w:t xml:space="preserve">H0: the topic-signal score is unrelated to publication recency, citation attention, and venue family.</w:t>
      </w:r>
    </w:p>
    <w:p>
      <w:pPr>
        <w:pStyle w:val="BodyText"/>
      </w:pPr>
      <w:r>
        <w:t xml:space="preserve">H1: the topic-signal score increases with recency and citation attention.</w:t>
      </w:r>
    </w:p>
    <w:bookmarkEnd w:id="62"/>
    <w:bookmarkStart w:id="63" w:name="data"/>
    <w:p>
      <w:pPr>
        <w:pStyle w:val="Heading2"/>
      </w:pPr>
      <w:r>
        <w:t xml:space="preserve">3. Data</w:t>
      </w:r>
    </w:p>
    <w:p>
      <w:pPr>
        <w:pStyle w:val="FirstParagraph"/>
      </w:pPr>
      <w:r>
        <w:t xml:space="preserve">The estimation file contains 30 retrieved source records. Each record corresponds to a source-level observation in the local search index. The dependent variable is</w:t>
      </w:r>
      <w:r>
        <w:t xml:space="preserve"> </w:t>
      </w:r>
      <w:r>
        <w:rPr>
          <w:rStyle w:val="VerbatimChar"/>
        </w:rPr>
        <w:t xml:space="preserve">signal_score</w:t>
      </w:r>
      <w:r>
        <w:t xml:space="preserve">, defined as a composite topic-signal score for each retrieved source record. It is a deterministic count built from candidate-theme term hits in the source title, snippet, keyword field, and author metadata. The measure is therefore a metadata-based indicator of topical intensity rather than a manual assessment of article quality, policy importance, or substantive agreement.</w:t>
      </w:r>
    </w:p>
    <w:p>
      <w:pPr>
        <w:pStyle w:val="BodyText"/>
      </w:pPr>
      <w:r>
        <w:t xml:space="preserve">The first explanatory variable is</w:t>
      </w:r>
      <w:r>
        <w:t xml:space="preserve"> </w:t>
      </w:r>
      <w:r>
        <w:rPr>
          <w:rStyle w:val="VerbatimChar"/>
        </w:rPr>
        <w:t xml:space="preserve">recency_index</w:t>
      </w:r>
      <w:r>
        <w:t xml:space="preserve">, defined as publication year minus the minimum publication year in the paper sample plus one. This coding preserves publication ordering while avoiding a zero value for the earliest publication year. Substantively, a one-unit increase corresponds to a one-year increase in publication recency relative to the oldest record in the estimation file.</w:t>
      </w:r>
    </w:p>
    <w:p>
      <w:pPr>
        <w:pStyle w:val="BodyText"/>
      </w:pPr>
      <w:r>
        <w:t xml:space="preserve">The second explanatory variable is</w:t>
      </w:r>
      <w:r>
        <w:t xml:space="preserve"> </w:t>
      </w:r>
      <w:r>
        <w:rPr>
          <w:rStyle w:val="VerbatimChar"/>
        </w:rPr>
        <w:t xml:space="preserve">cites_num</w:t>
      </w:r>
      <w:r>
        <w:t xml:space="preserve">, the reported citation count in the local brain index. It is parsed from the local brain search citation field and is coded as zero when the index reported no citation count. The variable should be interpreted as local indexed citation attention, not as a universal or cross-database citation measure.</w:t>
      </w:r>
    </w:p>
    <w:p>
      <w:pPr>
        <w:pStyle w:val="BodyText"/>
      </w:pPr>
      <w:r>
        <w:t xml:space="preserve">The third explanatory variable is</w:t>
      </w:r>
      <w:r>
        <w:t xml:space="preserve"> </w:t>
      </w:r>
      <w:r>
        <w:rPr>
          <w:rStyle w:val="VerbatimChar"/>
        </w:rPr>
        <w:t xml:space="preserve">venue_score</w:t>
      </w:r>
      <w:r>
        <w:t xml:space="preserve">, an ordinal venue-family score. AMOS is coded as 1, Acta Astronautica as 2, and Space Economy as 3. This coding imposes an ordinal scale across venue families. The coefficient on</w:t>
      </w:r>
      <w:r>
        <w:t xml:space="preserve"> </w:t>
      </w:r>
      <w:r>
        <w:rPr>
          <w:rStyle w:val="VerbatimChar"/>
        </w:rPr>
        <w:t xml:space="preserve">venue_score</w:t>
      </w:r>
      <w:r>
        <w:t xml:space="preserve"> </w:t>
      </w:r>
      <w:r>
        <w:t xml:space="preserve">therefore estimates the expected difference in topic-signal score associated with a one-unit increase in this venue-family ordering, holding recency and indexed citations constant. Because the variable is ordinal, the interpretation is necessarily tied to the supplied coding.</w:t>
      </w:r>
    </w:p>
    <w:p>
      <w:pPr>
        <w:pStyle w:val="BodyText"/>
      </w:pPr>
      <w:r>
        <w:t xml:space="preserve">The source universe spans several strands of the relevant literature. It includes space situational awareness and space traffic management work</w:t>
      </w:r>
      <w:r>
        <w:t xml:space="preserve"> </w:t>
      </w:r>
      <w:hyperlink w:anchor="ref-1">
        <m:oMathPara>
          <m:oMathParaPr>
            <m:jc m:val="center"/>
          </m:oMathParaPr>
          <m:oMath>
            <m:r>
              <m:t>1</m:t>
            </m:r>
          </m:oMath>
        </m:oMathPara>
      </w:hyperlink>
      <w:r>
        <w:t xml:space="preserve">, compliance with orbital debris mitigation practices</w:t>
      </w:r>
      <w:r>
        <w:t xml:space="preserve"> </w:t>
      </w:r>
      <w:hyperlink w:anchor="ref-3">
        <m:oMathPara>
          <m:oMathParaPr>
            <m:jc m:val="center"/>
          </m:oMathParaPr>
          <m:oMath>
            <m:r>
              <m:t>3</m:t>
            </m:r>
          </m:oMath>
        </m:oMathPara>
      </w:hyperlink>
      <w:r>
        <w:t xml:space="preserve">, analytic space domain awareness</w:t>
      </w:r>
      <w:r>
        <w:t xml:space="preserve"> </w:t>
      </w:r>
      <w:hyperlink w:anchor="ref-4">
        <m:oMathPara>
          <m:oMathParaPr>
            <m:jc m:val="center"/>
          </m:oMathParaPr>
          <m:oMath>
            <m:r>
              <m:t>4</m:t>
            </m:r>
          </m:oMath>
        </m:oMathPara>
      </w:hyperlink>
      <w:r>
        <w:t xml:space="preserve">, anti-satellite-test risk</w:t>
      </w:r>
      <w:r>
        <w:t xml:space="preserve"> </w:t>
      </w:r>
      <w:hyperlink w:anchor="ref-5">
        <m:oMathPara>
          <m:oMathParaPr>
            <m:jc m:val="center"/>
          </m:oMathParaPr>
          <m:oMath>
            <m:r>
              <m:t>5</m:t>
            </m:r>
          </m:oMath>
        </m:oMathPara>
      </w:hyperlink>
      <w:r>
        <w:t xml:space="preserve">, reference scenarios for environmental modeling</w:t>
      </w:r>
      <w:r>
        <w:t xml:space="preserve"> </w:t>
      </w:r>
      <w:hyperlink w:anchor="ref-6">
        <m:oMathPara>
          <m:oMathParaPr>
            <m:jc m:val="center"/>
          </m:oMathParaPr>
          <m:oMath>
            <m:r>
              <m:t>6</m:t>
            </m:r>
          </m:oMath>
        </m:oMathPara>
      </w:hyperlink>
      <w:r>
        <w:t xml:space="preserve">, cislunar end-of-life disposal</w:t>
      </w:r>
      <w:r>
        <w:t xml:space="preserve"> </w:t>
      </w:r>
      <w:hyperlink w:anchor="ref-7">
        <m:oMathPara>
          <m:oMathParaPr>
            <m:jc m:val="center"/>
          </m:oMathParaPr>
          <m:oMath>
            <m:r>
              <m:t>7</m:t>
            </m:r>
          </m:oMath>
        </m:oMathPara>
      </w:hyperlink>
      <w:r>
        <w:t xml:space="preserve">, uncertainty in post-mission disposal lifetime estimation</w:t>
      </w:r>
      <w:r>
        <w:t xml:space="preserve"> </w:t>
      </w:r>
      <w:hyperlink w:anchor="ref-8">
        <m:oMathPara>
          <m:oMathParaPr>
            <m:jc m:val="center"/>
          </m:oMathParaPr>
          <m:oMath>
            <m:r>
              <m:t>8</m:t>
            </m:r>
          </m:oMath>
        </m:oMathPara>
      </w:hyperlink>
      <w:r>
        <w:t xml:space="preserve">, the 5-year rule</w:t>
      </w:r>
      <w:r>
        <w:t xml:space="preserve"> </w:t>
      </w:r>
      <w:hyperlink w:anchor="ref-14">
        <m:oMathPara>
          <m:oMathParaPr>
            <m:jc m:val="center"/>
          </m:oMathParaPr>
          <m:oMath>
            <m:r>
              <m:t>14</m:t>
            </m:r>
          </m:oMath>
        </m:oMathPara>
      </w:hyperlink>
      <w:r>
        <w:t xml:space="preserve">, and broader space capacity and sustainability governance discussions</w:t>
      </w:r>
      <w:r>
        <w:t xml:space="preserve"> </w:t>
      </w:r>
      <w:hyperlink w:anchor="ref-15">
        <m:oMathPara>
          <m:oMathParaPr>
            <m:jc m:val="center"/>
          </m:oMathParaPr>
          <m:oMath>
            <m:r>
              <m:t>15</m:t>
            </m:r>
          </m:oMath>
        </m:oMathPara>
      </w:hyperlink>
      <w:r>
        <w:t xml:space="preserve">,</w:t>
      </w:r>
      <w:r>
        <w:t xml:space="preserve"> </w:t>
      </w:r>
      <w:hyperlink w:anchor="ref-16">
        <m:oMathPara>
          <m:oMathParaPr>
            <m:jc m:val="center"/>
          </m:oMathParaPr>
          <m:oMath>
            <m:r>
              <m:t>16</m:t>
            </m:r>
          </m:oMath>
        </m:oMathPara>
      </w:hyperlink>
      <w:r>
        <w:t xml:space="preserve">. This mix is appropriate for a test of whether topic-signal intensity is structured by timing, attention, and venue.</w:t>
      </w:r>
    </w:p>
    <w:bookmarkEnd w:id="63"/>
    <w:bookmarkStart w:id="64" w:name="method"/>
    <w:p>
      <w:pPr>
        <w:pStyle w:val="Heading2"/>
      </w:pPr>
      <w:r>
        <w:t xml:space="preserve">4. Method</w:t>
      </w:r>
    </w:p>
    <w:p>
      <w:pPr>
        <w:pStyle w:val="FirstParagraph"/>
      </w:pPr>
      <w:r>
        <w:t xml:space="preserve">The estimator is ordinary least squares with robust HC1 standard errors. The dependent variable is</w:t>
      </w:r>
      <w:r>
        <w:t xml:space="preserve"> </w:t>
      </w:r>
      <w:r>
        <w:rPr>
          <w:rStyle w:val="VerbatimChar"/>
        </w:rPr>
        <w:t xml:space="preserve">signal_score</w:t>
      </w:r>
      <w:r>
        <w:t xml:space="preserve">. The regressors are</w:t>
      </w:r>
      <w:r>
        <w:t xml:space="preserve"> </w:t>
      </w:r>
      <w:r>
        <w:rPr>
          <w:rStyle w:val="VerbatimChar"/>
        </w:rPr>
        <w:t xml:space="preserve">recency_index</w:t>
      </w:r>
      <w:r>
        <w:t xml:space="preserve">,</w:t>
      </w:r>
      <w:r>
        <w:t xml:space="preserve"> </w:t>
      </w:r>
      <w:r>
        <w:rPr>
          <w:rStyle w:val="VerbatimChar"/>
        </w:rPr>
        <w:t xml:space="preserve">cites_num</w:t>
      </w:r>
      <w:r>
        <w:t xml:space="preserve">, and</w:t>
      </w:r>
      <w:r>
        <w:t xml:space="preserve"> </w:t>
      </w:r>
      <w:r>
        <w:rPr>
          <w:rStyle w:val="VerbatimChar"/>
        </w:rPr>
        <w:t xml:space="preserve">venue_score</w:t>
      </w:r>
      <w:r>
        <w:t xml:space="preserve">, with an intercept included. The model estimates the conditional association between the metadata topic-signal score and the three explanatory variables.</w:t>
      </w:r>
    </w:p>
    <w:p>
      <w:pPr>
        <w:pStyle w:val="BodyText"/>
      </w:pPr>
      <w:r>
        <w:t xml:space="preserve">The design is best understood as a structured observational comparison. It uses publication recency, indexed citation attention, and venue family as observed dimensions along which the retrieved literature varies. The quasi-experimental element is limited: the analysis approximates a contrast among records that differ in recency, citation attention, and venue coding, but it does not claim random assignment of records to publication years, citation counts, or venues. The results should therefore be read as evidence about metadata signal structure in the retrieved corpus, not as causal evidence that recency, citations, or venue assignment produce topical content.</w:t>
      </w:r>
    </w:p>
    <w:p>
      <w:pPr>
        <w:pStyle w:val="BodyText"/>
      </w:pPr>
      <w:r>
        <w:t xml:space="preserve">Robust HC1 standard errors are used because the dependent variable is a deterministic count and the retrieved records likely differ in metadata richness, venue conventions, and indexing practices. Robust standard errors do not solve all limitations of observational bibliometric data, but they provide a more cautious basis for inference than conventional homoskedastic standard errors under potential heteroskedasticity.</w:t>
      </w:r>
    </w:p>
    <w:p>
      <w:pPr>
        <w:pStyle w:val="BodyText"/>
      </w:pPr>
      <w:r>
        <w:t xml:space="preserve">The main inferential test concerns the signs and statistical significance of the recency and citation coefficients. A positive and statistically distinguishable recency coefficient supports the recency component of H1. A positive and statistically distinguishable citation coefficient supports the citation-attention component of H1. A negative or null citation coefficient would weaken that component, even if the overall model is statistically informative.</w:t>
      </w:r>
    </w:p>
    <w:bookmarkEnd w:id="64"/>
    <w:bookmarkStart w:id="65" w:name="findings"/>
    <w:p>
      <w:pPr>
        <w:pStyle w:val="Heading2"/>
      </w:pPr>
      <w:r>
        <w:t xml:space="preserve">5. Findings</w:t>
      </w:r>
    </w:p>
    <w:p>
      <w:pPr>
        <w:pStyle w:val="FirstParagraph"/>
      </w:pPr>
      <w:r>
        <w:t xml:space="preserve">The model is estimated on 30 observations. The reported R-squared is 0.39068305708809203, and the adjusted R-squared is 0.3203772559828718. The model F statistic is 8.390526629356973 with a p-value of 0.00045720096494412607. Taken together, these fit statistics indicate that the three-regressor specification explains a meaningful share of variation in the topic-signal score in this retrieved-source sample, and that the regressors are jointly associated with the dependent variable.</w:t>
      </w:r>
    </w:p>
    <w:p>
      <w:pPr>
        <w:pStyle w:val="BodyText"/>
      </w:pPr>
      <w:r>
        <w:t xml:space="preserve">The intercept is 4.922050326789941, with a robust standard error of 1.6102414084487064 and a p-value of 0.0022377634858253537. Because</w:t>
      </w:r>
      <w:r>
        <w:t xml:space="preserve"> </w:t>
      </w:r>
      <w:r>
        <w:rPr>
          <w:rStyle w:val="VerbatimChar"/>
        </w:rPr>
        <w:t xml:space="preserve">recency_index</w:t>
      </w:r>
      <w:r>
        <w:t xml:space="preserve"> </w:t>
      </w:r>
      <w:r>
        <w:t xml:space="preserve">begins at one and</w:t>
      </w:r>
      <w:r>
        <w:t xml:space="preserve"> </w:t>
      </w:r>
      <w:r>
        <w:rPr>
          <w:rStyle w:val="VerbatimChar"/>
        </w:rPr>
        <w:t xml:space="preserve">venue_score</w:t>
      </w:r>
      <w:r>
        <w:t xml:space="preserve"> </w:t>
      </w:r>
      <w:r>
        <w:t xml:space="preserve">begins at one, the intercept corresponds to a covariate combination outside the substantive support of the coded sample. It should therefore be treated mainly as a model constant rather than as a substantively meaningful baseline for an actual source record.</w:t>
      </w:r>
    </w:p>
    <w:p>
      <w:pPr>
        <w:pStyle w:val="BodyText"/>
      </w:pPr>
      <w:r>
        <w:t xml:space="preserve">The coefficient on</w:t>
      </w:r>
      <w:r>
        <w:t xml:space="preserve"> </w:t>
      </w:r>
      <w:r>
        <w:rPr>
          <w:rStyle w:val="VerbatimChar"/>
        </w:rPr>
        <w:t xml:space="preserve">recency_index</w:t>
      </w:r>
      <w:r>
        <w:t xml:space="preserve"> </w:t>
      </w:r>
      <w:r>
        <w:t xml:space="preserve">is 0.4903504104768052, with a robust standard error of 0.12328250268617919 and a p-value of 6.965726585923575e-05. Holding citation count and venue-family score constant, a one-unit increase in the recency index is associated with an expected increase of approximately 0.49 in the topic-signal score. Since the recency index advances by publication year relative to the earliest sampled year, the result indicates that more recent records carry stronger metadata signals for the dissertation’s focal themes. This finding supports the recency component of H1.</w:t>
      </w:r>
    </w:p>
    <w:p>
      <w:pPr>
        <w:pStyle w:val="BodyText"/>
      </w:pPr>
      <w:r>
        <w:t xml:space="preserve">The coefficient on</w:t>
      </w:r>
      <w:r>
        <w:t xml:space="preserve"> </w:t>
      </w:r>
      <w:r>
        <w:rPr>
          <w:rStyle w:val="VerbatimChar"/>
        </w:rPr>
        <w:t xml:space="preserve">cites_num</w:t>
      </w:r>
      <w:r>
        <w:t xml:space="preserve"> </w:t>
      </w:r>
      <w:r>
        <w:t xml:space="preserve">is -0.09770626341081738, with a robust standard error of 0.027368921768206215 and a p-value of 0.00035702043141244016. Holding recency and venue family constant, each additional reported citation in the local brain index is associated with an expected decrease of about 0.098 in the topic-signal score. This result is statistically distinguishable from zero in the supplied output, but its sign is opposite to the citation-attention expectation in H1. The evidence therefore rejects the simple expectation that locally indexed citation attention increases the metadata topic signal.</w:t>
      </w:r>
    </w:p>
    <w:p>
      <w:pPr>
        <w:pStyle w:val="BodyText"/>
      </w:pPr>
      <w:r>
        <w:t xml:space="preserve">The coefficient on</w:t>
      </w:r>
      <w:r>
        <w:t xml:space="preserve"> </w:t>
      </w:r>
      <w:r>
        <w:rPr>
          <w:rStyle w:val="VerbatimChar"/>
        </w:rPr>
        <w:t xml:space="preserve">venue_score</w:t>
      </w:r>
      <w:r>
        <w:t xml:space="preserve"> </w:t>
      </w:r>
      <w:r>
        <w:t xml:space="preserve">is -3.004562371934274, with a robust standard error of 0.7325510782613712 and a p-value of 4.1047051751311e-05. Holding recency and indexed citations constant, a one-unit increase in the ordinal venue-family score is associated with an expected decrease of about 3.00 in the topic-signal score. Because the coding is AMOS = 1, Acta Astronautica = 2, and Space Economy = 3, the negative sign means that higher-coded venue families have lower predicted signal scores under this linear ordinal specification. This finding is substantial in magnitude, but its interpretation depends on the imposed venue ordering and should not be generalized beyond that coding without further checks.</w:t>
      </w:r>
    </w:p>
    <w:p>
      <w:pPr>
        <w:pStyle w:val="BodyText"/>
      </w:pPr>
      <w:r>
        <w:t xml:space="preserve">The hypothesis test is therefore mixed. The null hypothesis that the topic-signal score is unrelated to recency, citation attention, and venue family is not supported by the model output. The overall model is statistically informative, and each reported coefficient has a p-value below conventional thresholds. However, H1 receives only partial support. The topic-signal score increases with recency, as expected, but it decreases with citation attention, contrary to the stated alternative hypothesis.</w:t>
      </w:r>
    </w:p>
    <w:bookmarkEnd w:id="65"/>
    <w:bookmarkStart w:id="66" w:name="discussion"/>
    <w:p>
      <w:pPr>
        <w:pStyle w:val="Heading2"/>
      </w:pPr>
      <w:r>
        <w:t xml:space="preserve">6. Discussion</w:t>
      </w:r>
    </w:p>
    <w:p>
      <w:pPr>
        <w:pStyle w:val="FirstParagraph"/>
      </w:pPr>
      <w:r>
        <w:t xml:space="preserve">The central empirical result is that publication recency is positively associated with topic-signal intensity. This is consistent with the substantive expectation that disposal-rule change, shortened post-mission disposal timelines, orbital-lifetime uncertainty, and space-sustainability governance have become more visible in recent source metadata. The result aligns with the presence of recent studies specifically addressing the 5-year rule and its orbital-environment implications</w:t>
      </w:r>
      <w:r>
        <w:t xml:space="preserve"> </w:t>
      </w:r>
      <w:hyperlink w:anchor="ref-14">
        <m:oMathPara>
          <m:oMathParaPr>
            <m:jc m:val="center"/>
          </m:oMathParaPr>
          <m:oMath>
            <m:r>
              <m:t>14</m:t>
            </m:r>
          </m:oMath>
        </m:oMathPara>
      </w:hyperlink>
      <w:r>
        <w:t xml:space="preserve">, as well as related recent work on reference scenarios, end-of-life strategies, and capacity management</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w:t>
      </w:r>
      <w:r>
        <w:t xml:space="preserve"> </w:t>
      </w:r>
      <w:hyperlink w:anchor="ref-16">
        <m:oMathPara>
          <m:oMathParaPr>
            <m:jc m:val="center"/>
          </m:oMathParaPr>
          <m:oMath>
            <m:r>
              <m:t>16</m:t>
            </m:r>
          </m:oMath>
        </m:oMathPara>
      </w:hyperlink>
      <w:r>
        <w:t xml:space="preserve">.</w:t>
      </w:r>
    </w:p>
    <w:p>
      <w:pPr>
        <w:pStyle w:val="FirstParagraph"/>
      </w:pPr>
      <w:r>
        <w:t xml:space="preserve">The negative citation coefficient is more theoretically challenging. It indicates that, conditional on recency and venue family, locally indexed citation attention is associated with lower topic-signal scores. One plausible interpretation is that citation counts in the local brain index may capture broader technical centrality rather than narrow topical alignment with the dissertation’s candidate themes. Foundational or methodologically important sources can be highly cited because they address space surveillance, sensor tasking, debris concepts, or general space-domain awareness, even if their metadata is less concentrated on the 25-to-5-year disposal-rule theme</w:t>
      </w:r>
      <w:r>
        <w:t xml:space="preserve"> </w:t>
      </w:r>
      <w:hyperlink w:anchor="ref-1">
        <m:oMathPara>
          <m:oMathParaPr>
            <m:jc m:val="center"/>
          </m:oMathParaPr>
          <m:oMath>
            <m:r>
              <m:t>1</m:t>
            </m:r>
          </m:oMath>
        </m:oMathPara>
      </w:hyperlink>
      <w:r>
        <w:t xml:space="preserve">,</w:t>
      </w:r>
      <w:r>
        <w:t xml:space="preserve"> </w:t>
      </w:r>
      <w:hyperlink w:anchor="ref-11">
        <m:oMathPara>
          <m:oMathParaPr>
            <m:jc m:val="center"/>
          </m:oMathParaPr>
          <m:oMath>
            <m:r>
              <m:t>11</m:t>
            </m:r>
          </m:oMath>
        </m:oMathPara>
      </w:hyperlink>
      <w:r>
        <w:t xml:space="preserve">,</w:t>
      </w:r>
      <w:r>
        <w:t xml:space="preserve"> </w:t>
      </w:r>
      <w:hyperlink w:anchor="ref-12">
        <m:oMathPara>
          <m:oMathParaPr>
            <m:jc m:val="center"/>
          </m:oMathParaPr>
          <m:oMath>
            <m:r>
              <m:t>12</m:t>
            </m:r>
          </m:oMath>
        </m:oMathPara>
      </w:hyperlink>
      <w:r>
        <w:t xml:space="preserve">. Conversely, newer and more thematically specific records may have high signal scores but fewer accumulated citations because citation attention lags publication.</w:t>
      </w:r>
    </w:p>
    <w:p>
      <w:pPr>
        <w:pStyle w:val="FirstParagraph"/>
      </w:pPr>
      <w:r>
        <w:t xml:space="preserve">The venue coefficient also matters for interpretation. The negative coefficient on</w:t>
      </w:r>
      <w:r>
        <w:t xml:space="preserve"> </w:t>
      </w:r>
      <w:r>
        <w:rPr>
          <w:rStyle w:val="VerbatimChar"/>
        </w:rPr>
        <w:t xml:space="preserve">venue_score</w:t>
      </w:r>
      <w:r>
        <w:t xml:space="preserve"> </w:t>
      </w:r>
      <w:r>
        <w:t xml:space="preserve">implies that the metadata signal is stronger in lower-coded venue families under the supplied ordinal coding. This may reflect differences in conference and journal metadata, terminology, abstracting practices, or topical specialization. However, the ordinal coding assigns a single linear ordering to venue families. The estimated coefficient should therefore be read as a control-adjusted association within this coding scheme, not as evidence that one venue is intrinsically more important or substantively more policy relevant than another.</w:t>
      </w:r>
    </w:p>
    <w:p>
      <w:pPr>
        <w:pStyle w:val="BodyText"/>
      </w:pPr>
      <w:r>
        <w:t xml:space="preserve">For the dissertation, the findings refine rather than settle the argument about default disposal. They support the claim that the topic signal is temporally structured: newer records are more likely to carry the vocabulary of the focal theme. They do not support the stronger claim that citation attention, at least as measured by the local index, reinforces that same signal. This distinction is important for research design. A corpus selected only by citation prominence could underrepresent newer, policy-specific work on the 5-year rule, disposal lifetime, and operational sustainability. A corpus selected only by recency could overrepresent emerging terminology before its long-term scholarly importance is clear.</w:t>
      </w:r>
    </w:p>
    <w:p>
      <w:pPr>
        <w:pStyle w:val="BodyText"/>
      </w:pPr>
      <w:r>
        <w:t xml:space="preserve">The main limitation is that the dependent variable is a deterministic metadata count rather than a full-text semantic measure or expert-coded assessment. The measure is transparent and reproducible, but it depends on the candidate-theme terms and on the completeness of title, snippet, keyword, and author metadata fields. A second limitation is the small estimation sample of 30 records. The supplied model output is informative for this paper sample, but the results should not be generalized to the full space-sustainability literature without additional sampling and validation. A third limitation is the treatment of venue family as an ordinal score. The negative venue result is clear under the supplied coding, but alternative venue specifications could test whether the finding is driven by one venue family or by the imposed linear ordering.</w:t>
      </w:r>
    </w:p>
    <w:p>
      <w:pPr>
        <w:pStyle w:val="BodyText"/>
      </w:pPr>
      <w:r>
        <w:t xml:space="preserve">Within these constraints, the OLS evidence provides a useful empirical screen. It shows that topic-signal intensity is not randomly distributed across the retrieved records. It rises with publication recency, falls with locally indexed citation count, and varies systematically with venue-family coding. The strongest conclusion is therefore measured: the metadata signal surrounding default disposal and the 25-to-5-year rule appears to be a recent and venue-structured signal, not simply a reflection of accumulated citation attention.</w:t>
      </w:r>
    </w:p>
    <w:bookmarkEnd w:id="66"/>
    <w:bookmarkStart w:id="94" w:name="references"/>
    <w:p>
      <w:pPr>
        <w:pStyle w:val="Heading2"/>
      </w:pPr>
      <w:r>
        <w:t xml:space="preserve">References</w:t>
      </w:r>
    </w:p>
    <w:p>
      <w:pPr>
        <w:pStyle w:val="FirstParagraph"/>
      </w:pPr>
      <w:bookmarkStart w:id="67" w:name="ref-1"/>
      <w:bookmarkEnd w:id="67"/>
      <w:r>
        <w:t xml:space="preserve">1. Jaedong Seong, Korea Aerospace Research Institute (KARI); Okchul Jung, Korea Aerospace Research Institute (KARI); Dae Won Chung, Korea Aerospace Research Institute (KARI). KARI Recent Activities on SSA &amp; STM. (2019). [AMOS]</w:t>
      </w:r>
      <w:r>
        <w:t xml:space="preserve"> </w:t>
      </w:r>
      <w:bookmarkStart w:id="68" w:name="ref-2"/>
      <w:bookmarkEnd w:id="68"/>
      <w:r>
        <w:t xml:space="preserve">2.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69">
        <w:r>
          <w:rPr>
            <w:rStyle w:val="Hyperlink"/>
          </w:rPr>
          <w:t xml:space="preserve">10.64861/FKER7625</w:t>
        </w:r>
      </w:hyperlink>
      <w:r>
        <w:t xml:space="preserve"> </w:t>
      </w:r>
      <w:bookmarkStart w:id="70" w:name="ref-3"/>
      <w:bookmarkEnd w:id="70"/>
      <w:r>
        <w:t xml:space="preserve">3. Quentin Verspieren, The University of Tokyo. The US Air Force Compliance with the Orbital Debris Mitigation Standard Practices. (2020). [AMOS]</w:t>
      </w:r>
      <w:r>
        <w:t xml:space="preserve"> </w:t>
      </w:r>
      <w:bookmarkStart w:id="71" w:name="ref-4"/>
      <w:bookmarkEnd w:id="71"/>
      <w:r>
        <w:t xml:space="preserve">4. Darren McKnight, LeoLabs; Erin Dale, LeoLabs; Christopher Gates, LeoLabs; Owen Marshall, LeoLabs; Rachit Bhatia, LeoLabs; Mohin Patel, LeoLabs; Adam Marsh, LeoLabs. Analytic Space Domain Awareness. (2023). doi:</w:t>
      </w:r>
      <w:r>
        <w:t xml:space="preserve"> </w:t>
      </w:r>
      <w:hyperlink r:id="rId72">
        <w:r>
          <w:rPr>
            <w:rStyle w:val="Hyperlink"/>
          </w:rPr>
          <w:t xml:space="preserve">10.64861/GVCM1752</w:t>
        </w:r>
      </w:hyperlink>
      <w:r>
        <w:t xml:space="preserve"> </w:t>
      </w:r>
      <w:bookmarkStart w:id="73" w:name="ref-5"/>
      <w:bookmarkEnd w:id="73"/>
      <w:r>
        <w:t xml:space="preserve">5. Cameron Liang, Institute for Defense Analyses; Paul Fanto, Institute for Defense Analyses; Angelo Signoracci, Institute for Defense Analyses. On the Increased Risk of Kessler Syndrome by Anti-Satellite Tests. (2023). doi:</w:t>
      </w:r>
      <w:r>
        <w:t xml:space="preserve"> </w:t>
      </w:r>
      <w:hyperlink r:id="rId74">
        <w:r>
          <w:rPr>
            <w:rStyle w:val="Hyperlink"/>
          </w:rPr>
          <w:t xml:space="preserve">10.64861/CZGF7141</w:t>
        </w:r>
      </w:hyperlink>
      <w:r>
        <w:t xml:space="preserve"> </w:t>
      </w:r>
      <w:bookmarkStart w:id="75" w:name="ref-6"/>
      <w:bookmarkEnd w:id="75"/>
      <w:r>
        <w:t xml:space="preserve">6. Miles Lifson, The Aerospace Corporation; Aniqu Baset, The Aerospace Corporation; Grant Cates, The Aerospace Corporation; Bill Chen, The Aerospace Corporation; Angelo Connor, The Aerospace Corporation; Carson Coursey, The Aerospace Corporation; Gregory Henning, The Aerospace Corporation; Michael Miyamoto, The Aerospace Corporation; Glenn E. Peterson, The Aerospace Corporation; Brian Weeden, The Aerospace Corporation; Grant Williams, The Aerospace Corporation; Indigo Brownhall, University College London; Matthew Burgess, University of Colorado Boulder; Marcus Holzinger, University of Colorado Boulder; Daniel Kaffine, University of Colorado Boulder; Mark Moretto, North Carolina State University; Akhil Rao, Middlebury College. Development of Reference Scenarios and Supporting Inputs for Space Environment Modeling. (2024). doi:</w:t>
      </w:r>
      <w:r>
        <w:t xml:space="preserve"> </w:t>
      </w:r>
      <w:hyperlink r:id="rId76">
        <w:r>
          <w:rPr>
            <w:rStyle w:val="Hyperlink"/>
          </w:rPr>
          <w:t xml:space="preserve">10.64861/QBNC8763</w:t>
        </w:r>
      </w:hyperlink>
      <w:r>
        <w:t xml:space="preserve"> </w:t>
      </w:r>
      <w:bookmarkStart w:id="77" w:name="ref-7"/>
      <w:bookmarkEnd w:id="77"/>
      <w:r>
        <w:t xml:space="preserve">7. Joshua Wysack, BAE Systems. Cislunar Missions End-of-Life Disposal Strategies. (2024). doi:</w:t>
      </w:r>
      <w:r>
        <w:t xml:space="preserve"> </w:t>
      </w:r>
      <w:hyperlink r:id="rId78">
        <w:r>
          <w:rPr>
            <w:rStyle w:val="Hyperlink"/>
          </w:rPr>
          <w:t xml:space="preserve">10.64861/GDKE6454</w:t>
        </w:r>
      </w:hyperlink>
      <w:r>
        <w:t xml:space="preserve"> </w:t>
      </w:r>
      <w:bookmarkStart w:id="79" w:name="ref-8"/>
      <w:bookmarkEnd w:id="79"/>
      <w:r>
        <w:t xml:space="preserve">8. Lucía Ayala Fernández, Technische Universität Braunschweig; Carsten Wiedemann, Technische Universität Braunschweig; Vitali Braun, IMS Space Consultancy @ ESA/ESOC; Stijn Lemmens, ESA/ESOC Space Debris Office. Uncertainty in Remaining Orbital Lifetime Estimation After Post-Mission Disposal. (2023). doi:</w:t>
      </w:r>
      <w:r>
        <w:t xml:space="preserve"> </w:t>
      </w:r>
      <w:hyperlink r:id="rId80">
        <w:r>
          <w:rPr>
            <w:rStyle w:val="Hyperlink"/>
          </w:rPr>
          <w:t xml:space="preserve">10.64861/QKCI9457</w:t>
        </w:r>
      </w:hyperlink>
      <w:r>
        <w:t xml:space="preserve"> </w:t>
      </w:r>
      <w:bookmarkStart w:id="81" w:name="ref-9"/>
      <w:bookmarkEnd w:id="81"/>
      <w:r>
        <w:t xml:space="preserve">9. Anthony V. Dentamaro (Boston College), Phan D. Dao (Air Force Research Laboratories, Space Vehicles Directorate), Kimberly R. Knobel (Air Force Research Laboratories, Space Vehicles Directorate). Test of Neural Network Techniques Using Simulated Dual-Band Data of LEO Satellites. (2010). [AMOS]</w:t>
      </w:r>
      <w:r>
        <w:t xml:space="preserve"> </w:t>
      </w:r>
      <w:bookmarkStart w:id="82" w:name="ref-10"/>
      <w:bookmarkEnd w:id="82"/>
      <w:r>
        <w:t xml:space="preserve">10. Shawn Seunghwan Choi, SpaceMap; Jun Young Byun, Hanyang University; Maxime Pognon, SAFRAN ELECTRONICS &amp; DEFENSE; Juhwan Kim, Hanyang University; Hyeonggu Kim, KT SAT; Jaedong Seong, KARI; Baptiste Guillot, Safran; Thierry Balanche, Safran; Kevin Choi, KT SAT; Misoon Mah, M&amp;K Research and Development Inc; Jae Wook Song, Hanyang University; Peter Joonghyun Ryu, SpaceMap; Douglas Deok-Soo Kim, SpaceMap. Real-Time Conjunction Assessment and Collision Avoidance of Satellites for Concurrent Avoidance Negotiation Based on Comparative Analysis of Passive Ranging Method and Traditional Sources. (2024). doi:</w:t>
      </w:r>
      <w:r>
        <w:t xml:space="preserve"> </w:t>
      </w:r>
      <w:hyperlink r:id="rId83">
        <w:r>
          <w:rPr>
            <w:rStyle w:val="Hyperlink"/>
          </w:rPr>
          <w:t xml:space="preserve">10.64861/TJIV3429</w:t>
        </w:r>
      </w:hyperlink>
      <w:r>
        <w:t xml:space="preserve"> </w:t>
      </w:r>
      <w:bookmarkStart w:id="84" w:name="ref-11"/>
      <w:bookmarkEnd w:id="84"/>
      <w:r>
        <w:t xml:space="preserve">11. Jerome Pearson (Star Technology and Research, Inc.), Eugene Levin (Star Technology and Research, Inc.), John Oldson (Star Technology and Research, Inc.), Joseph Carroll (Tether Applications, Inc.). ElectroDynamic Debris Eliminator (EDDE): Design, Operation, and Ground Support. (2010). [AMOS]</w:t>
      </w:r>
      <w:r>
        <w:t xml:space="preserve"> </w:t>
      </w:r>
      <w:bookmarkStart w:id="85" w:name="ref-12"/>
      <w:bookmarkEnd w:id="85"/>
      <w:r>
        <w:t xml:space="preserve">12. Andris Jaunzemis, Georgia Institute of Technology, Marcus Holzinger, Georgia Institute of Technology, Moriba Jah, University of Arizona. Evidence-based Sensor Tasking for Space Domain Awareness. (2016). [AMOS]</w:t>
      </w:r>
      <w:r>
        <w:t xml:space="preserve"> </w:t>
      </w:r>
      <w:bookmarkStart w:id="86" w:name="ref-13"/>
      <w:bookmarkEnd w:id="86"/>
      <w:r>
        <w:t xml:space="preserve">13. Tobias Degen; John C. Barentine; Gyula I.G. Józsa; Thomas Walter; Jacqueline Degen. Mitigating satellite trails through retroreflective coatings: A proposal for preserving the night sky. (2026). doi:</w:t>
      </w:r>
      <w:r>
        <w:t xml:space="preserve"> </w:t>
      </w:r>
      <w:hyperlink r:id="rId87">
        <w:r>
          <w:rPr>
            <w:rStyle w:val="Hyperlink"/>
          </w:rPr>
          <w:t xml:space="preserve">10.1016/j.actaastro.2026.01.042</w:t>
        </w:r>
      </w:hyperlink>
      <w:r>
        <w:t xml:space="preserve"> </w:t>
      </w:r>
      <w:bookmarkStart w:id="88" w:name="ref-14"/>
      <w:bookmarkEnd w:id="88"/>
      <w:r>
        <w:t xml:space="preserve">14. Satomi Kawamoto; Ryusuke Harada; Yasuhiro Kitagawa; Toshiya Hanada. Evaluation of the effectiveness of the 5-year rule — impact on the orbital environment at each altitude by reducing the post-mission disposal lifetime. (2024). doi:</w:t>
      </w:r>
      <w:r>
        <w:t xml:space="preserve"> </w:t>
      </w:r>
      <w:hyperlink r:id="rId89">
        <w:r>
          <w:rPr>
            <w:rStyle w:val="Hyperlink"/>
          </w:rPr>
          <w:t xml:space="preserve">10.1016/j.actaastro.2024.03.033</w:t>
        </w:r>
      </w:hyperlink>
      <w:r>
        <w:t xml:space="preserve"> </w:t>
      </w:r>
      <w:bookmarkStart w:id="90" w:name="ref-15"/>
      <w:bookmarkEnd w:id="90"/>
      <w:r>
        <w:t xml:space="preserve">15. Emmanuelle David; Adrien Saada; Anja Nakarada Pecujlic; Maruška Strah; Xiao-Shan Yap; Danielle Wood; Jean‐Paul Kneib. Fostering multi-stakeholder collaboration for space sustainability through an incentive-based mechanism. (2025). doi:</w:t>
      </w:r>
      <w:r>
        <w:t xml:space="preserve"> </w:t>
      </w:r>
      <w:hyperlink r:id="rId91">
        <w:r>
          <w:rPr>
            <w:rStyle w:val="Hyperlink"/>
          </w:rPr>
          <w:t xml:space="preserve">10.1016/j.actaastro.2025.06.029</w:t>
        </w:r>
      </w:hyperlink>
      <w:r>
        <w:t xml:space="preserve"> </w:t>
      </w:r>
      <w:bookmarkStart w:id="92" w:name="ref-16"/>
      <w:bookmarkEnd w:id="92"/>
      <w:r>
        <w:t xml:space="preserve">16. Camilla Colombo; Peter Martinez; Francesca Letizia; Benedetta M. Cattani; Emmanuelle David; Diego A. Escobar; Satomi Kawamoto; Robert J. Rovetto; Ivan Sumelzo. Space capacity management and its interaction with space traffic management. (2025). doi:</w:t>
      </w:r>
      <w:r>
        <w:t xml:space="preserve"> </w:t>
      </w:r>
      <w:hyperlink r:id="rId93">
        <w:r>
          <w:rPr>
            <w:rStyle w:val="Hyperlink"/>
          </w:rPr>
          <w:t xml:space="preserve">10.1016/j.actaastro.2025.01.069</w:t>
        </w:r>
      </w:hyperlink>
    </w:p>
    <w:bookmarkEnd w:id="94"/>
    <w:bookmarkStart w:id="95"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95"/>
    <w:bookmarkStart w:id="9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4.9221</w:t>
            </w:r>
          </w:p>
        </w:tc>
        <w:tc>
          <w:tcPr>
            <w:tcW w:w="0" w:type="auto"/>
          </w:tcPr>
          <w:p>
            <w:pPr>
              <w:spacing w:line="240" w:lineRule="auto" w:before="0" w:after="0"/>
              <w:pStyle w:val="Compact"/>
            </w:pPr>
            <w:r>
              <w:rPr>
                <w:sz w:val="20"/>
                <w:szCs w:val="20"/>
              </w:rPr>
              <w:t xml:space="preserve">1.6102</w:t>
            </w:r>
          </w:p>
        </w:tc>
        <w:tc>
          <w:tcPr>
            <w:tcW w:w="0" w:type="auto"/>
          </w:tcPr>
          <w:p>
            <w:pPr>
              <w:spacing w:line="240" w:lineRule="auto" w:before="0" w:after="0"/>
              <w:pStyle w:val="Compact"/>
            </w:pPr>
            <w:r>
              <w:rPr>
                <w:sz w:val="20"/>
                <w:szCs w:val="20"/>
              </w:rPr>
              <w:t xml:space="preserve">3.0567</w:t>
            </w:r>
          </w:p>
        </w:tc>
        <w:tc>
          <w:tcPr>
            <w:tcW w:w="0" w:type="auto"/>
          </w:tcPr>
          <w:p>
            <w:pPr>
              <w:spacing w:line="240" w:lineRule="auto" w:before="0" w:after="0"/>
              <w:pStyle w:val="Compact"/>
            </w:pPr>
            <w:r>
              <w:rPr>
                <w:sz w:val="20"/>
                <w:szCs w:val="20"/>
              </w:rPr>
              <w:t xml:space="preserve">0.0022</w:t>
            </w:r>
          </w:p>
        </w:tc>
        <w:tc>
          <w:tcPr>
            <w:tcW w:w="0" w:type="auto"/>
          </w:tcPr>
          <w:p>
            <w:pPr>
              <w:spacing w:line="240" w:lineRule="auto" w:before="0" w:after="0"/>
              <w:pStyle w:val="Compact"/>
            </w:pPr>
            <w:r>
              <w:rPr>
                <w:sz w:val="20"/>
                <w:szCs w:val="20"/>
              </w:rPr>
              <w:t xml:space="preserve">[1.766, 8.0781]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0.4904</w:t>
            </w:r>
          </w:p>
        </w:tc>
        <w:tc>
          <w:tcPr>
            <w:tcW w:w="0" w:type="auto"/>
          </w:tcPr>
          <w:p>
            <w:pPr>
              <w:spacing w:line="240" w:lineRule="auto" w:before="0" w:after="0"/>
              <w:pStyle w:val="Compact"/>
            </w:pPr>
            <w:r>
              <w:rPr>
                <w:sz w:val="20"/>
                <w:szCs w:val="20"/>
              </w:rPr>
              <w:t xml:space="preserve">0.1233</w:t>
            </w:r>
          </w:p>
        </w:tc>
        <w:tc>
          <w:tcPr>
            <w:tcW w:w="0" w:type="auto"/>
          </w:tcPr>
          <w:p>
            <w:pPr>
              <w:spacing w:line="240" w:lineRule="auto" w:before="0" w:after="0"/>
              <w:pStyle w:val="Compact"/>
            </w:pPr>
            <w:r>
              <w:rPr>
                <w:sz w:val="20"/>
                <w:szCs w:val="20"/>
              </w:rPr>
              <w:t xml:space="preserve">3.9775</w:t>
            </w:r>
          </w:p>
        </w:tc>
        <w:tc>
          <w:tcPr>
            <w:tcW w:w="0" w:type="auto"/>
          </w:tcPr>
          <w:p>
            <w:pPr>
              <w:spacing w:line="240" w:lineRule="auto" w:before="0" w:after="0"/>
              <w:pStyle w:val="Compact"/>
            </w:pPr>
            <w:r>
              <w:rPr>
                <w:sz w:val="20"/>
                <w:szCs w:val="20"/>
              </w:rPr>
              <w:t xml:space="preserve">6.966e-05</w:t>
            </w:r>
          </w:p>
        </w:tc>
        <w:tc>
          <w:tcPr>
            <w:tcW w:w="0" w:type="auto"/>
          </w:tcPr>
          <w:p>
            <w:pPr>
              <w:spacing w:line="240" w:lineRule="auto" w:before="0" w:after="0"/>
              <w:pStyle w:val="Compact"/>
            </w:pPr>
            <w:r>
              <w:rPr>
                <w:sz w:val="20"/>
                <w:szCs w:val="20"/>
              </w:rPr>
              <w:t xml:space="preserve">[0.2487, 0.732]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-0.0977</w:t>
            </w:r>
          </w:p>
        </w:tc>
        <w:tc>
          <w:tcPr>
            <w:tcW w:w="0" w:type="auto"/>
          </w:tcPr>
          <w:p>
            <w:pPr>
              <w:spacing w:line="240" w:lineRule="auto" w:before="0" w:after="0"/>
              <w:pStyle w:val="Compact"/>
            </w:pPr>
            <w:r>
              <w:rPr>
                <w:sz w:val="20"/>
                <w:szCs w:val="20"/>
              </w:rPr>
              <w:t xml:space="preserve">0.0274</w:t>
            </w:r>
          </w:p>
        </w:tc>
        <w:tc>
          <w:tcPr>
            <w:tcW w:w="0" w:type="auto"/>
          </w:tcPr>
          <w:p>
            <w:pPr>
              <w:spacing w:line="240" w:lineRule="auto" w:before="0" w:after="0"/>
              <w:pStyle w:val="Compact"/>
            </w:pPr>
            <w:r>
              <w:rPr>
                <w:sz w:val="20"/>
                <w:szCs w:val="20"/>
              </w:rPr>
              <w:t xml:space="preserve">-3.57</w:t>
            </w:r>
          </w:p>
        </w:tc>
        <w:tc>
          <w:tcPr>
            <w:tcW w:w="0" w:type="auto"/>
          </w:tcPr>
          <w:p>
            <w:pPr>
              <w:spacing w:line="240" w:lineRule="auto" w:before="0" w:after="0"/>
              <w:pStyle w:val="Compact"/>
            </w:pPr>
            <w:r>
              <w:rPr>
                <w:sz w:val="20"/>
                <w:szCs w:val="20"/>
              </w:rPr>
              <w:t xml:space="preserve">0.000357</w:t>
            </w:r>
          </w:p>
        </w:tc>
        <w:tc>
          <w:tcPr>
            <w:tcW w:w="0" w:type="auto"/>
          </w:tcPr>
          <w:p>
            <w:pPr>
              <w:spacing w:line="240" w:lineRule="auto" w:before="0" w:after="0"/>
              <w:pStyle w:val="Compact"/>
            </w:pPr>
            <w:r>
              <w:rPr>
                <w:sz w:val="20"/>
                <w:szCs w:val="20"/>
              </w:rPr>
              <w:t xml:space="preserve">[-0.1513, -0.0441]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-3.0046</w:t>
            </w:r>
          </w:p>
        </w:tc>
        <w:tc>
          <w:tcPr>
            <w:tcW w:w="0" w:type="auto"/>
          </w:tcPr>
          <w:p>
            <w:pPr>
              <w:spacing w:line="240" w:lineRule="auto" w:before="0" w:after="0"/>
              <w:pStyle w:val="Compact"/>
            </w:pPr>
            <w:r>
              <w:rPr>
                <w:sz w:val="20"/>
                <w:szCs w:val="20"/>
              </w:rPr>
              <w:t xml:space="preserve">0.7326</w:t>
            </w:r>
          </w:p>
        </w:tc>
        <w:tc>
          <w:tcPr>
            <w:tcW w:w="0" w:type="auto"/>
          </w:tcPr>
          <w:p>
            <w:pPr>
              <w:spacing w:line="240" w:lineRule="auto" w:before="0" w:after="0"/>
              <w:pStyle w:val="Compact"/>
            </w:pPr>
            <w:r>
              <w:rPr>
                <w:sz w:val="20"/>
                <w:szCs w:val="20"/>
              </w:rPr>
              <w:t xml:space="preserve">-4.1015</w:t>
            </w:r>
          </w:p>
        </w:tc>
        <w:tc>
          <w:tcPr>
            <w:tcW w:w="0" w:type="auto"/>
          </w:tcPr>
          <w:p>
            <w:pPr>
              <w:spacing w:line="240" w:lineRule="auto" w:before="0" w:after="0"/>
              <w:pStyle w:val="Compact"/>
            </w:pPr>
            <w:r>
              <w:rPr>
                <w:sz w:val="20"/>
                <w:szCs w:val="20"/>
              </w:rPr>
              <w:t xml:space="preserve">4.105e-05</w:t>
            </w:r>
          </w:p>
        </w:tc>
        <w:tc>
          <w:tcPr>
            <w:tcW w:w="0" w:type="auto"/>
          </w:tcPr>
          <w:p>
            <w:pPr>
              <w:spacing w:line="240" w:lineRule="auto" w:before="0" w:after="0"/>
              <w:pStyle w:val="Compact"/>
            </w:pPr>
            <w:r>
              <w:rPr>
                <w:sz w:val="20"/>
                <w:szCs w:val="20"/>
              </w:rPr>
              <w:t xml:space="preserve">[-4.4403, -1.5688]</w:t>
            </w:r>
          </w:p>
        </w:tc>
      </w:tr>
    </w:tbl>
    <w:p>
      <w:pPr>
        <w:pStyle w:val="BodyText"/>
      </w:pPr>
      <w:r>
        <w:t xml:space="preserve">Fit: N = 30 R2 = 0.3907 R2_adj = 0.3204 F = 8.3905 F_p = 0.0004572</w:t>
      </w:r>
    </w:p>
    <w:p>
      <w:pPr>
        <w:pStyle w:val="CaptionedFigure"/>
      </w:pPr>
      <w:r>
        <w:drawing>
          <wp:inline>
            <wp:extent cx="5669280" cy="3657600"/>
            <wp:effectExtent b="0" l="0" r="0" t="0"/>
            <wp:docPr descr="Figure 1. Topic-signal score by publication recency, conditioning on citation attention and venue family." title="" id="97" name="Picture"/>
            <a:graphic>
              <a:graphicData uri="http://schemas.openxmlformats.org/drawingml/2006/picture">
                <pic:pic>
                  <pic:nvPicPr>
                    <pic:cNvPr descr="D:\Claude_Code\brain\collegium\candidates\dissertations\SUSTAINABILITY_INSTITUTIONS_03\research_papers\p1\paper_fig1.png" id="98" name="Picture"/>
                    <pic:cNvPicPr>
                      <a:picLocks noChangeArrowheads="1" noChangeAspect="1"/>
                    </pic:cNvPicPr>
                  </pic:nvPicPr>
                  <pic:blipFill>
                    <a:blip r:embed="rId9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99"/>
    <w:bookmarkStart w:id="10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10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https://amostech.space/year/2019/kari-recent-activities-on-ssa-stm/</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https://amostech.space/year/2020/the-us-air-force-compliance-with-the-orbital-debris-mitigation-standard-practices/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10.64861/GVCM1752</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10.64861/CZGF7141</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10.64861/GDKE6454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10.64861/QKCI9457</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https://amostech.space/year/2010/test-of-neural-network-techniques-using-simulated-dual-band-data-of-leo-satellites/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10.64861/TJIV3429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https://amostech.space/year/2010/electrodynamic-debris-eliminator-edde-design-operation-and-ground-support/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https://amostech.space/year/2016/evidence-based-sensor-tasking-for-space-domain-awareness/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10.1016/j.actaastro.2026.01.042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10.1016/j.actaastro.2024.03.033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10.1016/j.actaastro.2023.04.037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10.1016/j.actaastro.2025.02.013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10.1016/j.actaastro.2024.01.044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10.1016/j.actaastro.2023.09.031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10.1139/cjfas-2023-0169</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Robustness of HCRs to Climate-Driven Sardine Recruitment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10.52202/078380-0035</w:t>
            </w:r>
          </w:p>
        </w:tc>
      </w:tr>
    </w:tbl>
    <w:bookmarkEnd w:id="100"/>
    <w:bookmarkStart w:id="10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01"/>
    <w:bookmarkStart w:id="10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4.9221</w:t>
            </w:r>
          </w:p>
        </w:tc>
        <w:tc>
          <w:tcPr>
            <w:tcW w:w="0" w:type="auto"/>
          </w:tcPr>
          <w:p>
            <w:pPr>
              <w:spacing w:line="240" w:lineRule="auto" w:before="0" w:after="0"/>
              <w:pStyle w:val="Compact"/>
            </w:pPr>
            <w:r>
              <w:rPr>
                <w:sz w:val="20"/>
                <w:szCs w:val="20"/>
              </w:rPr>
              <w:t xml:space="preserve">1.6102</w:t>
            </w:r>
          </w:p>
        </w:tc>
        <w:tc>
          <w:tcPr>
            <w:tcW w:w="0" w:type="auto"/>
          </w:tcPr>
          <w:p>
            <w:pPr>
              <w:spacing w:line="240" w:lineRule="auto" w:before="0" w:after="0"/>
              <w:pStyle w:val="Compact"/>
            </w:pPr>
            <w:r>
              <w:rPr>
                <w:sz w:val="20"/>
                <w:szCs w:val="20"/>
              </w:rPr>
              <w:t xml:space="preserve">3.0567</w:t>
            </w:r>
          </w:p>
        </w:tc>
        <w:tc>
          <w:tcPr>
            <w:tcW w:w="0" w:type="auto"/>
          </w:tcPr>
          <w:p>
            <w:pPr>
              <w:spacing w:line="240" w:lineRule="auto" w:before="0" w:after="0"/>
              <w:pStyle w:val="Compact"/>
            </w:pPr>
            <w:r>
              <w:rPr>
                <w:sz w:val="20"/>
                <w:szCs w:val="20"/>
              </w:rPr>
              <w:t xml:space="preserve">0.0022</w:t>
            </w:r>
          </w:p>
        </w:tc>
        <w:tc>
          <w:tcPr>
            <w:tcW w:w="0" w:type="auto"/>
          </w:tcPr>
          <w:p>
            <w:pPr>
              <w:spacing w:line="240" w:lineRule="auto" w:before="0" w:after="0"/>
              <w:pStyle w:val="Compact"/>
            </w:pPr>
            <w:r>
              <w:rPr>
                <w:sz w:val="20"/>
                <w:szCs w:val="20"/>
              </w:rPr>
              <w:t xml:space="preserve">[1.766, 8.0781]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0.4904</w:t>
            </w:r>
          </w:p>
        </w:tc>
        <w:tc>
          <w:tcPr>
            <w:tcW w:w="0" w:type="auto"/>
          </w:tcPr>
          <w:p>
            <w:pPr>
              <w:spacing w:line="240" w:lineRule="auto" w:before="0" w:after="0"/>
              <w:pStyle w:val="Compact"/>
            </w:pPr>
            <w:r>
              <w:rPr>
                <w:sz w:val="20"/>
                <w:szCs w:val="20"/>
              </w:rPr>
              <w:t xml:space="preserve">0.1233</w:t>
            </w:r>
          </w:p>
        </w:tc>
        <w:tc>
          <w:tcPr>
            <w:tcW w:w="0" w:type="auto"/>
          </w:tcPr>
          <w:p>
            <w:pPr>
              <w:spacing w:line="240" w:lineRule="auto" w:before="0" w:after="0"/>
              <w:pStyle w:val="Compact"/>
            </w:pPr>
            <w:r>
              <w:rPr>
                <w:sz w:val="20"/>
                <w:szCs w:val="20"/>
              </w:rPr>
              <w:t xml:space="preserve">3.9775</w:t>
            </w:r>
          </w:p>
        </w:tc>
        <w:tc>
          <w:tcPr>
            <w:tcW w:w="0" w:type="auto"/>
          </w:tcPr>
          <w:p>
            <w:pPr>
              <w:spacing w:line="240" w:lineRule="auto" w:before="0" w:after="0"/>
              <w:pStyle w:val="Compact"/>
            </w:pPr>
            <w:r>
              <w:rPr>
                <w:sz w:val="20"/>
                <w:szCs w:val="20"/>
              </w:rPr>
              <w:t xml:space="preserve">6.966e-05</w:t>
            </w:r>
          </w:p>
        </w:tc>
        <w:tc>
          <w:tcPr>
            <w:tcW w:w="0" w:type="auto"/>
          </w:tcPr>
          <w:p>
            <w:pPr>
              <w:spacing w:line="240" w:lineRule="auto" w:before="0" w:after="0"/>
              <w:pStyle w:val="Compact"/>
            </w:pPr>
            <w:r>
              <w:rPr>
                <w:sz w:val="20"/>
                <w:szCs w:val="20"/>
              </w:rPr>
              <w:t xml:space="preserve">[0.2487, 0.732]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-0.0977</w:t>
            </w:r>
          </w:p>
        </w:tc>
        <w:tc>
          <w:tcPr>
            <w:tcW w:w="0" w:type="auto"/>
          </w:tcPr>
          <w:p>
            <w:pPr>
              <w:spacing w:line="240" w:lineRule="auto" w:before="0" w:after="0"/>
              <w:pStyle w:val="Compact"/>
            </w:pPr>
            <w:r>
              <w:rPr>
                <w:sz w:val="20"/>
                <w:szCs w:val="20"/>
              </w:rPr>
              <w:t xml:space="preserve">0.0274</w:t>
            </w:r>
          </w:p>
        </w:tc>
        <w:tc>
          <w:tcPr>
            <w:tcW w:w="0" w:type="auto"/>
          </w:tcPr>
          <w:p>
            <w:pPr>
              <w:spacing w:line="240" w:lineRule="auto" w:before="0" w:after="0"/>
              <w:pStyle w:val="Compact"/>
            </w:pPr>
            <w:r>
              <w:rPr>
                <w:sz w:val="20"/>
                <w:szCs w:val="20"/>
              </w:rPr>
              <w:t xml:space="preserve">-3.57</w:t>
            </w:r>
          </w:p>
        </w:tc>
        <w:tc>
          <w:tcPr>
            <w:tcW w:w="0" w:type="auto"/>
          </w:tcPr>
          <w:p>
            <w:pPr>
              <w:spacing w:line="240" w:lineRule="auto" w:before="0" w:after="0"/>
              <w:pStyle w:val="Compact"/>
            </w:pPr>
            <w:r>
              <w:rPr>
                <w:sz w:val="20"/>
                <w:szCs w:val="20"/>
              </w:rPr>
              <w:t xml:space="preserve">0.000357</w:t>
            </w:r>
          </w:p>
        </w:tc>
        <w:tc>
          <w:tcPr>
            <w:tcW w:w="0" w:type="auto"/>
          </w:tcPr>
          <w:p>
            <w:pPr>
              <w:spacing w:line="240" w:lineRule="auto" w:before="0" w:after="0"/>
              <w:pStyle w:val="Compact"/>
            </w:pPr>
            <w:r>
              <w:rPr>
                <w:sz w:val="20"/>
                <w:szCs w:val="20"/>
              </w:rPr>
              <w:t xml:space="preserve">[-0.1513, -0.0441]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-3.0046</w:t>
            </w:r>
          </w:p>
        </w:tc>
        <w:tc>
          <w:tcPr>
            <w:tcW w:w="0" w:type="auto"/>
          </w:tcPr>
          <w:p>
            <w:pPr>
              <w:spacing w:line="240" w:lineRule="auto" w:before="0" w:after="0"/>
              <w:pStyle w:val="Compact"/>
            </w:pPr>
            <w:r>
              <w:rPr>
                <w:sz w:val="20"/>
                <w:szCs w:val="20"/>
              </w:rPr>
              <w:t xml:space="preserve">0.7326</w:t>
            </w:r>
          </w:p>
        </w:tc>
        <w:tc>
          <w:tcPr>
            <w:tcW w:w="0" w:type="auto"/>
          </w:tcPr>
          <w:p>
            <w:pPr>
              <w:spacing w:line="240" w:lineRule="auto" w:before="0" w:after="0"/>
              <w:pStyle w:val="Compact"/>
            </w:pPr>
            <w:r>
              <w:rPr>
                <w:sz w:val="20"/>
                <w:szCs w:val="20"/>
              </w:rPr>
              <w:t xml:space="preserve">-4.1015</w:t>
            </w:r>
          </w:p>
        </w:tc>
        <w:tc>
          <w:tcPr>
            <w:tcW w:w="0" w:type="auto"/>
          </w:tcPr>
          <w:p>
            <w:pPr>
              <w:spacing w:line="240" w:lineRule="auto" w:before="0" w:after="0"/>
              <w:pStyle w:val="Compact"/>
            </w:pPr>
            <w:r>
              <w:rPr>
                <w:sz w:val="20"/>
                <w:szCs w:val="20"/>
              </w:rPr>
              <w:t xml:space="preserve">4.105e-05</w:t>
            </w:r>
          </w:p>
        </w:tc>
        <w:tc>
          <w:tcPr>
            <w:tcW w:w="0" w:type="auto"/>
          </w:tcPr>
          <w:p>
            <w:pPr>
              <w:spacing w:line="240" w:lineRule="auto" w:before="0" w:after="0"/>
              <w:pStyle w:val="Compact"/>
            </w:pPr>
            <w:r>
              <w:rPr>
                <w:sz w:val="20"/>
                <w:szCs w:val="20"/>
              </w:rPr>
              <w:t xml:space="preserve">[-4.4403, -1.5688]</w:t>
            </w:r>
          </w:p>
        </w:tc>
      </w:tr>
    </w:tbl>
    <w:p>
      <w:pPr>
        <w:pStyle w:val="BodyText"/>
      </w:pPr>
      <w:r>
        <w:t xml:space="preserve">Fit: N = 30 R2 = 0.3907 R2_adj = 0.3204 F = 8.3905 F_p = 0.0004572</w:t>
      </w:r>
    </w:p>
    <w:bookmarkEnd w:id="102"/>
    <w:bookmarkEnd w:id="103"/>
    <w:bookmarkEnd w:id="10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96" Target="media/rId96.png" /><Relationship Type="http://schemas.openxmlformats.org/officeDocument/2006/relationships/hyperlink" Id="rId89" Target="https://doi.org/10.1016/j.actaastro.2024.03.033" TargetMode="External" /><Relationship Type="http://schemas.openxmlformats.org/officeDocument/2006/relationships/hyperlink" Id="rId93" Target="https://doi.org/10.1016/j.actaastro.2025.01.069" TargetMode="External" /><Relationship Type="http://schemas.openxmlformats.org/officeDocument/2006/relationships/hyperlink" Id="rId91" Target="https://doi.org/10.1016/j.actaastro.2025.06.029" TargetMode="External" /><Relationship Type="http://schemas.openxmlformats.org/officeDocument/2006/relationships/hyperlink" Id="rId87" Target="https://doi.org/10.1016/j.actaastro.2026.01.042" TargetMode="External" /><Relationship Type="http://schemas.openxmlformats.org/officeDocument/2006/relationships/hyperlink" Id="rId74" Target="https://doi.org/10.64861/CZGF7141" TargetMode="External" /><Relationship Type="http://schemas.openxmlformats.org/officeDocument/2006/relationships/hyperlink" Id="rId69" Target="https://doi.org/10.64861/FKER7625" TargetMode="External" /><Relationship Type="http://schemas.openxmlformats.org/officeDocument/2006/relationships/hyperlink" Id="rId78" Target="https://doi.org/10.64861/GDKE6454" TargetMode="External" /><Relationship Type="http://schemas.openxmlformats.org/officeDocument/2006/relationships/hyperlink" Id="rId72" Target="https://doi.org/10.64861/GVCM1752" TargetMode="External" /><Relationship Type="http://schemas.openxmlformats.org/officeDocument/2006/relationships/hyperlink" Id="rId76" Target="https://doi.org/10.64861/QBNC8763" TargetMode="External" /><Relationship Type="http://schemas.openxmlformats.org/officeDocument/2006/relationships/hyperlink" Id="rId80" Target="https://doi.org/10.64861/QKCI9457" TargetMode="External" /><Relationship Type="http://schemas.openxmlformats.org/officeDocument/2006/relationships/hyperlink" Id="rId83" Target="https://doi.org/10.64861/TJIV3429" TargetMode="External" /></Relationships>
</file>

<file path=word/_rels/footnotes.xml.rels><?xml version="1.0" encoding="UTF-8"?><Relationships xmlns="http://schemas.openxmlformats.org/package/2006/relationships"><Relationship Type="http://schemas.openxmlformats.org/officeDocument/2006/relationships/hyperlink" Id="rId89" Target="https://doi.org/10.1016/j.actaastro.2024.03.033" TargetMode="External" /><Relationship Type="http://schemas.openxmlformats.org/officeDocument/2006/relationships/hyperlink" Id="rId93" Target="https://doi.org/10.1016/j.actaastro.2025.01.069" TargetMode="External" /><Relationship Type="http://schemas.openxmlformats.org/officeDocument/2006/relationships/hyperlink" Id="rId91" Target="https://doi.org/10.1016/j.actaastro.2025.06.029" TargetMode="External" /><Relationship Type="http://schemas.openxmlformats.org/officeDocument/2006/relationships/hyperlink" Id="rId87" Target="https://doi.org/10.1016/j.actaastro.2026.01.042" TargetMode="External" /><Relationship Type="http://schemas.openxmlformats.org/officeDocument/2006/relationships/hyperlink" Id="rId74" Target="https://doi.org/10.64861/CZGF7141" TargetMode="External" /><Relationship Type="http://schemas.openxmlformats.org/officeDocument/2006/relationships/hyperlink" Id="rId69" Target="https://doi.org/10.64861/FKER7625" TargetMode="External" /><Relationship Type="http://schemas.openxmlformats.org/officeDocument/2006/relationships/hyperlink" Id="rId78" Target="https://doi.org/10.64861/GDKE6454" TargetMode="External" /><Relationship Type="http://schemas.openxmlformats.org/officeDocument/2006/relationships/hyperlink" Id="rId72" Target="https://doi.org/10.64861/GVCM1752" TargetMode="External" /><Relationship Type="http://schemas.openxmlformats.org/officeDocument/2006/relationships/hyperlink" Id="rId76" Target="https://doi.org/10.64861/QBNC8763" TargetMode="External" /><Relationship Type="http://schemas.openxmlformats.org/officeDocument/2006/relationships/hyperlink" Id="rId80" Target="https://doi.org/10.64861/QKCI9457" TargetMode="External" /><Relationship Type="http://schemas.openxmlformats.org/officeDocument/2006/relationships/hyperlink" Id="rId83" Target="https://doi.org/10.64861/TJIV342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2026-06-28T18:11:02Z</dcterms:created>
  <dcterms:modified xsi:type="dcterms:W3CDTF">2026-06-28T18:11:02Z</dcterms:modified>
</cp:coreProperties>
</file>

<file path=docProps/custom.xml><?xml version="1.0" encoding="utf-8"?>
<Properties xmlns="http://schemas.openxmlformats.org/officeDocument/2006/custom-properties" xmlns:vt="http://schemas.openxmlformats.org/officeDocument/2006/docPropsVTypes"/>
</file>