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4" Type="http://schemas.openxmlformats.org/officeDocument/2006/relationships/extended-properties" Target="docProps/app.xml"/><Relationship Id="rId3" Type="http://schemas.openxmlformats.org/package/2006/relationships/metadata/core-properties" Target="docProps/core.xml"/><Relationship Id="rId5" Type="http://schemas.openxmlformats.org/officeDocument/2006/relationships/custom-properties" Target="docProps/custom.xml"/></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jc w:val="center"/>
      </w:pPr>
    </w:p>
    <w:p>
      <w:pPr>
        <w:jc w:val="center"/>
      </w:pPr>
    </w:p>
    <w:p>
      <w:pPr>
        <w:jc w:val="center"/>
      </w:pPr>
    </w:p>
    <w:p>
      <w:pPr>
        <w:pStyle w:val="Title"/>
        <w:jc w:val="center"/>
      </w:pPr>
      <w:r>
        <w:rPr>
          <w:rFonts w:ascii="Times New Roman" w:hAnsi="Times New Roman"/>
          <w:b/>
        </w:rPr>
        <w:t>DEFAULT DISPOSAL: A QUASI-EXPERIMENTAL TEST OF WHETHER THE 25-TO-5-YEAR RULE CHA</w:t>
      </w:r>
    </w:p>
    <w:p>
      <w:pPr>
        <w:jc w:val="center"/>
      </w:pPr>
    </w:p>
    <w:p>
      <w:pPr>
        <w:jc w:val="center"/>
      </w:pPr>
      <w:r>
        <w:rPr>
          <w:rFonts w:ascii="Times New Roman" w:hAnsi="Times New Roman"/>
          <w:sz w:val="24"/>
        </w:rPr>
        <w:t>by</w:t>
      </w:r>
    </w:p>
    <w:p>
      <w:pPr>
        <w:jc w:val="center"/>
      </w:pPr>
      <w:r>
        <w:rPr>
          <w:rFonts w:ascii="Times New Roman" w:hAnsi="Times New Roman"/>
          <w:b/>
          <w:sz w:val="28"/>
        </w:rPr>
        <w:t>Wei Falk</w:t>
      </w:r>
    </w:p>
    <w:p>
      <w:pPr>
        <w:jc w:val="center"/>
      </w:pPr>
      <w:r>
        <w:rPr>
          <w:rFonts w:ascii="Times New Roman" w:hAnsi="Times New Roman"/>
          <w:sz w:val="24"/>
        </w:rPr>
        <w:t>1B-SUS-158</w:t>
      </w:r>
    </w:p>
    <w:p>
      <w:pPr>
        <w:jc w:val="center"/>
      </w:pPr>
      <w:r>
        <w:rPr>
          <w:rFonts w:ascii="Times New Roman" w:hAnsi="Times New Roman"/>
          <w:sz w:val="24"/>
        </w:rPr>
        <w:t>COLLEGIUM 1st Battalion candidate</w:t>
      </w:r>
    </w:p>
    <w:p>
      <w:pPr>
        <w:jc w:val="center"/>
      </w:pPr>
    </w:p>
    <w:p>
      <w:pPr>
        <w:jc w:val="center"/>
      </w:pPr>
    </w:p>
    <w:p>
      <w:pPr>
        <w:jc w:val="center"/>
      </w:pPr>
      <w:r>
        <w:rPr>
          <w:rFonts w:ascii="Times New Roman" w:hAnsi="Times New Roman"/>
          <w:sz w:val="24"/>
        </w:rPr>
        <w:t>A dissertation submitted in conformity with the requirements for the degree of Doctor of Philosophy</w:t>
      </w:r>
    </w:p>
    <w:p>
      <w:pPr>
        <w:jc w:val="center"/>
      </w:pPr>
    </w:p>
    <w:p>
      <w:pPr>
        <w:jc w:val="center"/>
      </w:pPr>
      <w:r>
        <w:rPr>
          <w:rFonts w:ascii="Times New Roman" w:hAnsi="Times New Roman"/>
          <w:sz w:val="24"/>
        </w:rPr>
        <w:t>2026</w:t>
      </w: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r>
        <w:rPr>
          <w:rFonts w:ascii="Times New Roman" w:hAnsi="Times New Roman"/>
          <w:sz w:val="24"/>
        </w:rPr>
        <w:t>(c) 2026 COLLEGIUM 1st Battalion</w:t>
      </w:r>
    </w:p>
    <w:p>
      <w:pPr>
        <w:jc w:val="center"/>
      </w:pPr>
      <w:r>
        <w:rPr>
          <w:rFonts w:ascii="Times New Roman" w:hAnsi="Times New Roman"/>
          <w:sz w:val="24"/>
        </w:rPr>
        <w:t>All Rights Reserved</w:t>
      </w:r>
    </w:p>
    <w:p>
      <w:r>
        <w:br w:type="page"/>
      </w:r>
    </w:p>
    <w:p>
      <w:pPr>
        <w:pStyle w:val="Date"/>
        <w:spacing w:line="480" w:lineRule="auto"/>
      </w:pPr>
      <w:r>
        <w:t xml:space="preserve">2025-12-31</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bookmarkStart w:id="68" w:name="chapter-1.-introduction"/>
    <w:p>
      <w:pPr>
        <w:pStyle w:val="Heading1"/>
        <w:spacing w:line="480" w:lineRule="auto"/>
      </w:pPr>
      <w:r>
        <w:t xml:space="preserve">Chapter 1. Introduction</w:t>
      </w:r>
    </w:p>
    <w:bookmarkStart w:id="61" w:name="the-problem"/>
    <w:p>
      <w:pPr>
        <w:pStyle w:val="Heading2"/>
        <w:spacing w:line="480" w:lineRule="auto"/>
      </w:pPr>
      <w:r>
        <w:t xml:space="preserve">1.1 The problem</w:t>
      </w:r>
    </w:p>
    <w:p>
      <w:pPr>
        <w:pStyle w:val="FirstParagraph"/>
        <w:spacing w:line="480" w:lineRule="auto"/>
      </w:pPr>
      <w:r>
        <w:t xml:space="preserve">A satellite stops earning its keep long before gravity and drag let it fall out of orbit. Once a spacecraft in low Earth orbit goes dark, it turns into dead mass that keeps sitting in a busy shell, raising the odds of collision for years or decades until the thin upper atmosphere finally drags it down. In trying to govern this, the field has narrowed almost everything to one figure: how many years an operator may let pass between the close of a mission and finished disposal. Across the United States and a handful of international guidelines, that figure held at twenty-five years for a long time. Regulators have since tightened it, pressing toward a much stricter five-year expectation for the low-Earth-orbit systems it touches. What follows examines that tightening through one deceptively plain question. When the default fell from twenty-five years to five, did operators genuinely change what they promised to do, or did only the language of space-sustainability governance change around them?</w:t>
      </w:r>
    </w:p>
    <w:p>
      <w:pPr>
        <w:pStyle w:val="BodyText"/>
        <w:spacing w:line="480" w:lineRule="auto"/>
        <w:ind w:firstLine="720"/>
      </w:pPr>
      <w:r>
        <w:t xml:space="preserve">Nothing hangs on hairsplitting here; the whole inquiry turns on that difference. Models of the space environment picture orbital debris as a moving stock-and-flow system, where launches, break-ups, collisions, drag, and disposal choices jointly set how many trackable and untrackable objects the future will hold</w:t>
      </w:r>
      <w:r>
        <w:t xml:space="preserve"> </w:t>
      </w:r>
      <w:hyperlink w:anchor="ref-1">
        <w:r>
          <w:rPr>
            <w:rStyle w:val="Hyperlink"/>
          </w:rPr>
          <w:t xml:space="preserve">[1]</w:t>
        </w:r>
      </w:hyperlink>
      <w:r>
        <w:t xml:space="preserve">. Among the handful of controls in that system, post-mission disposal time is one of the rare ones you can write down as a crisp, rule-shaped demand, and simulation work has already gauged what pulling the disposal lifetime down to five years would mean for the environment at various altitudes</w:t>
      </w:r>
      <w:r>
        <w:t xml:space="preserve"> </w:t>
      </w:r>
      <w:hyperlink w:anchor="ref-6">
        <w:r>
          <w:rPr>
            <w:rStyle w:val="Hyperlink"/>
          </w:rPr>
          <w:t xml:space="preserve">[6]</w:t>
        </w:r>
      </w:hyperlink>
      <w:r>
        <w:t xml:space="preserve">. But that work answers a conditional, not the question at hand. It shows what the environment gains when operators actually honor a shorter horizon, and stays silent on whether a rule on paper convinces them to promise, and engineer toward, that horizon to begin with. So the causal bridge from rule to filing sits inside the models as a premise rather than something anyone has counted.</w:t>
      </w:r>
    </w:p>
    <w:p>
      <w:pPr>
        <w:pStyle w:val="BodyText"/>
        <w:spacing w:line="480" w:lineRule="auto"/>
        <w:ind w:firstLine="720"/>
      </w:pPr>
      <w:r>
        <w:t xml:space="preserve">Counting that bridge is precisely what this study sets out to do. The candidate, Wei Falk (1B-SUS-158), advances a design carrying the title</w:t>
      </w:r>
      <w:r>
        <w:t xml:space="preserve"> </w:t>
      </w:r>
      <w:r>
        <w:rPr>
          <w:i/>
          <w:iCs/>
        </w:rPr>
        <w:t xml:space="preserve">Default Disposal: A Quasi-Experimental Test of Whether the 25-to-5-Year Rule Changed Declared Disposal Behavior</w:t>
      </w:r>
      <w:r>
        <w:t xml:space="preserve">. Its empirical aim is narrow on purpose: the post-mission disposal lifetime, expressed in years, that an operator writes into the orbital-debris assessment attached to its authorization request. The test on offer is whether that written lifetime fell off a cliff at the administrative boundary past which the five-year default governed affected low-Earth-orbit applications. Should a default carry any behavioral weight, a break ought to show up in the filings at that boundary. Should no break appear, the rule on paper may accomplish far less than governance talk supposes.</w:t>
      </w:r>
    </w:p>
    <w:p>
      <w:pPr>
        <w:pStyle w:val="BodyText"/>
        <w:spacing w:line="480" w:lineRule="auto"/>
        <w:ind w:firstLine="720"/>
      </w:pPr>
      <w:r>
        <w:t xml:space="preserve">Deciding to examine a default instead of a mandate carries its own weight. A default is not a command. It sits among the most heavily researched tools in behavioral policy exactly because it steers conduct while leaving the alternatives open: anyone who prefers to break away is free to, provided they take the deliberate step of doing so, and the drag of that deliberate step is frequently enough to bend behavior in the aggregate. Within orbital debris the default is no gentle consumer nudge; it lives inside the scrutiny a regulator brings to a filing. Even so, the underlying mechanism is identical. Drop the default, and you reset the yardstick every disposal promise gets measured against, all without banning a longer horizon in so many words. Whether resetting that yardstick shifts the figures operators put on paper is an open empirical matter the environmental literature has assumed away rather than resolved, since studies of the five-year rule run as if adoption alone yields shorter disposal across the fleet</w:t>
      </w:r>
      <w:r>
        <w:t xml:space="preserve"> </w:t>
      </w:r>
      <w:hyperlink w:anchor="ref-6">
        <w:r>
          <w:rPr>
            <w:rStyle w:val="Hyperlink"/>
          </w:rPr>
          <w:t xml:space="preserve">[6]</w:t>
        </w:r>
      </w:hyperlink>
      <w:r>
        <w:t xml:space="preserve">. Watching that supposed shift actually happen, or fail to, is the aim.</w:t>
      </w:r>
    </w:p>
    <w:p>
      <w:pPr>
        <w:pStyle w:val="BodyText"/>
        <w:spacing w:line="480" w:lineRule="auto"/>
        <w:ind w:firstLine="720"/>
      </w:pPr>
      <w:r>
        <w:t xml:space="preserve">Get this wrong and the error grows heavier as the years pass. A satellite lofted now with a distant disposal horizon leaves a load on every operator who will share those same orbital shells for decades, and source-sink models show that such loads pile up faster than linearly as the population climbs</w:t>
      </w:r>
      <w:r>
        <w:t xml:space="preserve"> </w:t>
      </w:r>
      <w:hyperlink w:anchor="ref-1">
        <w:r>
          <w:rPr>
            <w:rStyle w:val="Hyperlink"/>
          </w:rPr>
          <w:t xml:space="preserve">[1]</w:t>
        </w:r>
      </w:hyperlink>
      <w:r>
        <w:t xml:space="preserve">. A rule that nudges declarations even a little, spread over thousands of filings during a constellation-building boom, could bend the environment’s path further than any lone active-removal mission, whereas a rule that only relabels leaves the buildup exactly where it was while dressing it up as progress. Telling these two apart is no exercise in neatness. It settles whether the master control of orbital-debris governance is truly wired to the mechanism it claims to steer.</w:t>
      </w:r>
    </w:p>
    <w:bookmarkEnd w:id="61"/>
    <w:bookmarkStart w:id="62" w:name="Xd11a98a562354de96b69447f2b85f5fee8a44ea"/>
    <w:p>
      <w:pPr>
        <w:pStyle w:val="Heading2"/>
        <w:spacing w:line="480" w:lineRule="auto"/>
      </w:pPr>
      <w:r>
        <w:t xml:space="preserve">1.2 Why declared behavior is the right outcome</w:t>
      </w:r>
    </w:p>
    <w:p>
      <w:pPr>
        <w:pStyle w:val="FirstParagraph"/>
        <w:spacing w:line="480" w:lineRule="auto"/>
      </w:pPr>
      <w:r>
        <w:t xml:space="preserve">Look to the filing, because that is where the answer already resides. Long before any record of compliance exists, regulatory systems tend to work through disclosure and the discipline of committing to a design, and an authorization request amounts to more than asking for a permit. It marks the point where engineering choices, legal duty, risk modeling, and public answerability all get written into an official record. An operator who states a disposal horizon in an orbital-debris assessment is locking itself to a plan under whatever framework governs at that date. Since that lock is visible, time-stamped, and tied to the exact spacecraft it covers, it is the obvious first place to hunt for a behavioral reaction to a rule change.</w:t>
      </w:r>
    </w:p>
    <w:p>
      <w:pPr>
        <w:pStyle w:val="BodyText"/>
        <w:spacing w:line="480" w:lineRule="auto"/>
        <w:ind w:firstLine="720"/>
      </w:pPr>
      <w:r>
        <w:t xml:space="preserve">What operators declare is not what spacecraft eventually do, and saying so plainly at the start matters. Promising a five-year disposal buys no guarantee of a five-year result, because the orbital lifetime left after a disposal burn hinges on air density, solar weather, the craft’s area-to-mass ratio, and the exact disposal orbit reached, all of them uncertain</w:t>
      </w:r>
      <w:r>
        <w:t xml:space="preserve"> </w:t>
      </w:r>
      <w:hyperlink w:anchor="ref-5">
        <w:r>
          <w:rPr>
            <w:rStyle w:val="Hyperlink"/>
          </w:rPr>
          <w:t xml:space="preserve">[5]</w:t>
        </w:r>
      </w:hyperlink>
      <w:r>
        <w:t xml:space="preserve">. Confirmed end-of-life behavior only reveals itself once years have passed and object-level tracking has piled up, and that sort of confirmation sits well outside what a design-stage look at recent filings can grasp. Choosing to study the promise is a decision, not a retreat. The point at issue is whether the rule bent behavior at the licensing stage, and the licensing file is precisely the page where that behavior gets recorded.</w:t>
      </w:r>
    </w:p>
    <w:p>
      <w:pPr>
        <w:pStyle w:val="BodyText"/>
        <w:spacing w:line="480" w:lineRule="auto"/>
        <w:ind w:firstLine="720"/>
      </w:pPr>
      <w:r>
        <w:t xml:space="preserve">The analytic literature supplies a further argument for favoring the declared figure. Research on space-domain awareness insists that governance puzzles turn workable only once they attach to object-level data products and steady analytic technique</w:t>
      </w:r>
      <w:r>
        <w:t xml:space="preserve"> </w:t>
      </w:r>
      <w:hyperlink w:anchor="ref-3">
        <w:r>
          <w:rPr>
            <w:rStyle w:val="Hyperlink"/>
          </w:rPr>
          <w:t xml:space="preserve">[3]</w:t>
        </w:r>
      </w:hyperlink>
      <w:r>
        <w:t xml:space="preserve">. A disposal figure in a filing can be matched to catalog entries after the craft flies, letting the regime the filing claims be tested against the inclination and altitude actually observed. That match underwrites checks on data quality while sparing the study any claim of realized compliance it has no way to see yet: the promise stays the primary outcome, and the catalog match is a validation aid, not a verdict on compliance.</w:t>
      </w:r>
    </w:p>
    <w:p>
      <w:pPr>
        <w:pStyle w:val="BodyText"/>
        <w:spacing w:line="480" w:lineRule="auto"/>
        <w:ind w:firstLine="720"/>
      </w:pPr>
      <w:r>
        <w:t xml:space="preserve">The third argument is one of timing, and it settles the matter here. For craft caught by a recent rule change, realized disposal results are simply not in existence, since those missions are still flying and remain years from end of life. A study demanding realized outcomes could not judge a fresh rule at all; it would have to sit and wait a decade or longer for evidence to ripen. A declaration, though, lands the instant a filing goes in, which lets the field learn something about the rule’s pull right now, while the policy is young and while course corrections to the regime remain inexpensive. The measurement literature’s insistence on how uncertain post-disposal lifetime is only sharpens this case. Since even a realized decay date carries the imprint of atmospheric and solar conditions that are themselves random</w:t>
      </w:r>
      <w:r>
        <w:t xml:space="preserve"> </w:t>
      </w:r>
      <w:hyperlink w:anchor="ref-5">
        <w:r>
          <w:rPr>
            <w:rStyle w:val="Hyperlink"/>
          </w:rPr>
          <w:t xml:space="preserve">[5]</w:t>
        </w:r>
      </w:hyperlink>
      <w:r>
        <w:t xml:space="preserve">, the realized result is a noisy read on intent, whereas the declaration reads cleanly as the plan the operator bound itself to under the governing rule.</w:t>
      </w:r>
    </w:p>
    <w:bookmarkEnd w:id="62"/>
    <w:bookmarkStart w:id="63" w:name="stakes"/>
    <w:p>
      <w:pPr>
        <w:pStyle w:val="Heading2"/>
        <w:spacing w:line="480" w:lineRule="auto"/>
      </w:pPr>
      <w:r>
        <w:t xml:space="preserve">1.3 Stakes</w:t>
      </w:r>
    </w:p>
    <w:p>
      <w:pPr>
        <w:pStyle w:val="FirstParagraph"/>
        <w:spacing w:line="480" w:lineRule="auto"/>
      </w:pPr>
      <w:r>
        <w:t xml:space="preserve">The inquiry answers to three kinds of stakes. Environmental stakes come first. How long dead craft loiter in the most jammed orbital shells rides on disposal time, and reference-scenario models place assumed disposal behavior among the core inputs to any long-range forecast of the object population and its collision risk</w:t>
      </w:r>
      <w:r>
        <w:t xml:space="preserve"> </w:t>
      </w:r>
      <w:hyperlink w:anchor="ref-4">
        <w:r>
          <w:rPr>
            <w:rStyle w:val="Hyperlink"/>
          </w:rPr>
          <w:t xml:space="preserve">[4]</w:t>
        </w:r>
      </w:hyperlink>
      <w:r>
        <w:t xml:space="preserve">. Say a model bakes in better disposal performance while the licensing record shows no matching move in what operators promise. The forecast then leans on a behavioral assumption nobody has verified on its own, and reading the filings is one way to supply that missing verification.</w:t>
      </w:r>
    </w:p>
    <w:p>
      <w:pPr>
        <w:pStyle w:val="BodyText"/>
        <w:spacing w:line="480" w:lineRule="auto"/>
        <w:ind w:firstLine="720"/>
      </w:pPr>
      <w:r>
        <w:t xml:space="preserve">Institutional stakes come second. Governance for space sustainability now reaches across technical standards, licensing review, capacity-management proposals, and the design of incentives. Scholarship on space capacity management holds that orbital sustainability is inseparable from allocation, coordination, and operational risk, casting a disposal rule as merely one tool within a wider management puzzle</w:t>
      </w:r>
      <w:r>
        <w:t xml:space="preserve"> </w:t>
      </w:r>
      <w:hyperlink w:anchor="ref-8">
        <w:r>
          <w:rPr>
            <w:rStyle w:val="Hyperlink"/>
          </w:rPr>
          <w:t xml:space="preserve">[8]</w:t>
        </w:r>
      </w:hyperlink>
      <w:r>
        <w:t xml:space="preserve">, while work on incentive-driven collaboration frames sustainability as a many-actor coordination problem where rules and incentives steer conduct across a varied set of operators</w:t>
      </w:r>
      <w:r>
        <w:t xml:space="preserve"> </w:t>
      </w:r>
      <w:hyperlink w:anchor="ref-7">
        <w:r>
          <w:rPr>
            <w:rStyle w:val="Hyperlink"/>
          </w:rPr>
          <w:t xml:space="preserve">[7]</w:t>
        </w:r>
      </w:hyperlink>
      <w:r>
        <w:t xml:space="preserve">. Cast in that light, a tightened disposal default amounts to an institutional wager: the wager that a stiffer norm can be turned into an operator-level promise through the everyday gears of licensing. This dissertation drags that wager into a test it could fail.</w:t>
      </w:r>
    </w:p>
    <w:p>
      <w:pPr>
        <w:pStyle w:val="BodyText"/>
        <w:spacing w:line="480" w:lineRule="auto"/>
        <w:ind w:firstLine="720"/>
      </w:pPr>
      <w:r>
        <w:t xml:space="preserve">Evidentiary stakes come third, and they pay off no matter which way the rule broke. Should stated disposal lifetimes jump visibly at the boundary, that backs the view that formal defaults shape what operators file, even without settling realized compliance. Should no jump appear, attention swings toward other levers, enforcement, verification, mission-design limits, insurance, and liability among them. Because the hypothesis can be falsified and the outcome is read from primary administrative records rather than guessed from policy prose, either finding pushes the field ahead.</w:t>
      </w:r>
    </w:p>
    <w:p>
      <w:pPr>
        <w:pStyle w:val="BodyText"/>
        <w:spacing w:line="480" w:lineRule="auto"/>
        <w:ind w:firstLine="720"/>
      </w:pPr>
      <w:r>
        <w:t xml:space="preserve">None of these three stakes stands alone. Environmental reasoning rides on the behavioral question, since the models forecasting orbital outcomes feed on disposal behavior as an input</w:t>
      </w:r>
      <w:r>
        <w:t xml:space="preserve"> </w:t>
      </w:r>
      <w:hyperlink w:anchor="ref-4">
        <w:r>
          <w:rPr>
            <w:rStyle w:val="Hyperlink"/>
          </w:rPr>
          <w:t xml:space="preserve">[4]</w:t>
        </w:r>
      </w:hyperlink>
      <w:r>
        <w:t xml:space="preserve">, and institutional reasoning rides on the evidentiary question, since a claim that a default coordinates conduct can be no firmer than the measurement propping it up</w:t>
      </w:r>
      <w:r>
        <w:t xml:space="preserve"> </w:t>
      </w:r>
      <w:hyperlink w:anchor="ref-2">
        <w:r>
          <w:rPr>
            <w:rStyle w:val="Hyperlink"/>
          </w:rPr>
          <w:t xml:space="preserve">[2]</w:t>
        </w:r>
      </w:hyperlink>
      <w:r>
        <w:t xml:space="preserve">. Woven together, they show why so narrow a question pulls weight far past its narrow face. One well-identified estimate of whether a default moved declarations would bear at once on how much to trust environmental forecasts, on how to build governance tools, and on the empirical bar the field sets for itself. Not many questions in orbital-debris governance land at that crossing, and fewer still yield to records already sitting on file.</w:t>
      </w:r>
    </w:p>
    <w:bookmarkEnd w:id="63"/>
    <w:bookmarkStart w:id="64" w:name="the-single-falsifiable-contribution"/>
    <w:p>
      <w:pPr>
        <w:pStyle w:val="Heading2"/>
        <w:spacing w:line="480" w:lineRule="auto"/>
      </w:pPr>
      <w:r>
        <w:t xml:space="preserve">1.4 The single falsifiable contribution</w:t>
      </w:r>
    </w:p>
    <w:p>
      <w:pPr>
        <w:pStyle w:val="FirstParagraph"/>
        <w:spacing w:line="480" w:lineRule="auto"/>
      </w:pPr>
      <w:r>
        <w:t xml:space="preserve">Everything narrows to a single estimate. Take the stated post-mission disposal lifetime for a low-Earth-orbit application in years, and let a local regression-discontinuity estimate isolate what the twenty-five-to-five-year boundary did to that stated lifetime, once spacecraft and mission traits fixed ahead of authorization are held constant. Under the null the effect is zero, so the rule left the stated disposal lifetime unbroken at the boundary; under the alternative the effect is negative, so the rule cut it sharply there. That lone contrast, fit locally around the administrative boundary, forms the falsifiable heart of the design.</w:t>
      </w:r>
    </w:p>
    <w:p>
      <w:pPr>
        <w:pStyle w:val="BodyText"/>
        <w:spacing w:line="480" w:lineRule="auto"/>
        <w:ind w:firstLine="720"/>
      </w:pPr>
      <w:r>
        <w:t xml:space="preserve">Two finished empirical papers ride alongside the design for now, holding a narrow and clearly marked spot in the case. Neither one measures the disposal-rule effect head-on. Producing that measure calls for the assembled licensing corpus, which the dissertation frames as a data-building job ahead rather than a set already in hand. Instead, the two papers profile the retrieved topic literature that surrounds the study. Paper one uses ordinary least squares to ask whether a record’s topic-signal strength moves with how recently it appeared, how much indexed citation attention it drew, and which venue family it belongs to. Paper two uses a log-log learning-curve estimator to ask whether citations pile up along an age-based attention curve. Both are diagnostic passes over the evidence base, and Chapter 6 relays their numbers as they stand, telling the reader how the surrounding literature is built before the main regulatory test begins.</w:t>
      </w:r>
    </w:p>
    <w:p>
      <w:pPr>
        <w:pStyle w:val="BodyText"/>
        <w:spacing w:line="480" w:lineRule="auto"/>
        <w:ind w:firstLine="720"/>
      </w:pPr>
      <w:r>
        <w:t xml:space="preserve">The claim earns its keep by being falsifiable. A hypothesis with no way to fail teaches nobody anything, yet much of the governance talk about disposal rules is cast in that very unfalsifiable mold, insisting that stronger rules breed better conduct while naming no observation that could prove it wrong. This design names one exactly: a boundary coefficient statistically indistinguishable from zero would sink the claim that the default shifted declarations. Constructing a test that can actually lose is what marks this contribution off from advocacy, and it is why one estimate outweighs any longer parade of qualitative points.</w:t>
      </w:r>
    </w:p>
    <w:bookmarkEnd w:id="64"/>
    <w:bookmarkStart w:id="65" w:name="scope-and-what-the-study-does-not-claim"/>
    <w:p>
      <w:pPr>
        <w:pStyle w:val="Heading2"/>
        <w:spacing w:line="480" w:lineRule="auto"/>
      </w:pPr>
      <w:r>
        <w:t xml:space="preserve">1.5 Scope and what the study does not claim</w:t>
      </w:r>
    </w:p>
    <w:p>
      <w:pPr>
        <w:pStyle w:val="FirstParagraph"/>
        <w:spacing w:line="480" w:lineRule="auto"/>
      </w:pPr>
      <w:r>
        <w:t xml:space="preserve">Three limits pin down the scope. Jurisdiction is the first, since the empirical core rests on the filing system of one national regulator. Orbital regime is the second, since the treated group is low-Earth-orbit applications that state a post-mission disposal lifetime. Outcome is the third, since what gets measured is the declared disposal promise rather than the confirmed end-of-life result. Inside those limits the design chases a clean local contrast. Beyond them it asserts nothing.</w:t>
      </w:r>
    </w:p>
    <w:p>
      <w:pPr>
        <w:pStyle w:val="BodyText"/>
        <w:spacing w:line="480" w:lineRule="auto"/>
        <w:ind w:firstLine="720"/>
      </w:pPr>
      <w:r>
        <w:t xml:space="preserve">A few things the study pointedly leaves alone deserve flagging now, so later chapters read as intended. It puts no number on the environmental fallout of the rule, which belongs to the modeling literature the design leans on and does not try to supplant</w:t>
      </w:r>
      <w:r>
        <w:t xml:space="preserve"> </w:t>
      </w:r>
      <w:hyperlink w:anchor="ref-6">
        <w:r>
          <w:rPr>
            <w:rStyle w:val="Hyperlink"/>
          </w:rPr>
          <w:t xml:space="preserve">[6]</w:t>
        </w:r>
      </w:hyperlink>
      <w:r>
        <w:t xml:space="preserve">. It reads no realized compliance out of stated plans, because the elapsed time and object-level evidence such a reading would demand are not yet available. And it takes no citation count or venue code from the diagnostic papers as a gauge of scientific worth or policy weight, since those figures portray the retrieved corpus, not the value of any single contribution.</w:t>
      </w:r>
    </w:p>
    <w:bookmarkEnd w:id="65"/>
    <w:bookmarkStart w:id="66" w:name="X3380ea3c329b1f723d6aa7ce8a228b602d2fed7"/>
    <w:p>
      <w:pPr>
        <w:pStyle w:val="Heading2"/>
        <w:spacing w:line="480" w:lineRule="auto"/>
      </w:pPr>
      <w:r>
        <w:t xml:space="preserve">1.5a A note on the two completed papers and honest scope</w:t>
      </w:r>
    </w:p>
    <w:p>
      <w:pPr>
        <w:pStyle w:val="FirstParagraph"/>
        <w:spacing w:line="480" w:lineRule="auto"/>
      </w:pPr>
      <w:r>
        <w:t xml:space="preserve">How the two finished papers relate to the falsifiable claim invites misreading, so bluntness pays. The papers offer not even faint evidence about the disposal rule. They screen the body of literature ringing the question, and their outputs, a topic-signal score and a citation count, portray records, not operators. Anyone arriving at this dissertation hoping for an early disposal-rule estimate will leave Chapter 6 without one, and that gap is deliberate rather than an oversight. Producing the primary estimate waits on a licensing corpus that has to be built and coded first, and building it is the concrete next move the study charts rather than a box already ticked.</w:t>
      </w:r>
    </w:p>
    <w:p>
      <w:pPr>
        <w:pStyle w:val="BodyText"/>
        <w:spacing w:line="480" w:lineRule="auto"/>
        <w:ind w:firstLine="720"/>
      </w:pPr>
      <w:r>
        <w:t xml:space="preserve">So why report the diagnostic papers? Because how credible the eventual disposal-rule test turns out depends in part on the temper of the field it lives in. If the literature were a settled, aging, heavily cited body, operator norms would likely be fixed and a fresh default would count for little. If instead it moves fast and tilts toward recent work, norms are still setting and a default has space to coordinate behavior. The diagnostic papers probe which picture the corpus actually matches. They serve as a preflight check on the intellectual setting, and reporting them openly, results that undercut their own guesses included, belongs to holding the whole design to a standard it can fail.</w:t>
      </w:r>
    </w:p>
    <w:bookmarkEnd w:id="66"/>
    <w:bookmarkStart w:id="67" w:name="roadmap"/>
    <w:p>
      <w:pPr>
        <w:pStyle w:val="Heading2"/>
        <w:spacing w:line="480" w:lineRule="auto"/>
      </w:pPr>
      <w:r>
        <w:t xml:space="preserve">1.6 Roadmap</w:t>
      </w:r>
    </w:p>
    <w:p>
      <w:pPr>
        <w:pStyle w:val="FirstParagraph"/>
        <w:spacing w:line="480" w:lineRule="auto"/>
      </w:pPr>
      <w:r>
        <w:t xml:space="preserve">Seven chapters follow, arranged with intent. Chapter 2 places the study against three strands of earlier work: modeling the space environment, compliance and institutional design, and measurement and observability. Chapter 3 builds the theory of how a default disposal rule might realistically move operator declarations, and lays out the testable predictions that flow from it. Chapter 4 presents the identification strategy, spelling out why a local regression-discontinuity design around the administrative boundary can recover the rule’s effect, and describing the two diagnostic estimators reported later. Chapter 5 works through the data: the licensing records, the coding of the disposal-lifetime outcome, the building of treatment and covariates, and the catalog match. Chapter 6 delivers results, laying out the exact estimator output from the two finished papers, coefficients, standard errors, p-values, and sample sizes as the analysis files hold them, and reading off the signs and sizes. Chapter 7 weighs what the findings mean, the threats to validity, and the questions the data leave open. Chapter 8 draws the conclusions, states the contribution, ties it to governance and program calls, then charts the steps still needed to run the primary disposal-rule test.</w:t>
      </w:r>
    </w:p>
    <w:bookmarkEnd w:id="67"/>
    <w:bookmarkEnd w:id="68"/>
    <w:bookmarkStart w:id="76" w:name="chapter-2.-literature-review"/>
    <w:p>
      <w:pPr>
        <w:pStyle w:val="Heading1"/>
        <w:spacing w:line="480" w:lineRule="auto"/>
      </w:pPr>
      <w:r>
        <w:t xml:space="preserve">Chapter 2. Literature Review</w:t>
      </w:r>
    </w:p>
    <w:bookmarkStart w:id="69" w:name="three-literatures-that-have-not-yet-met"/>
    <w:p>
      <w:pPr>
        <w:pStyle w:val="Heading2"/>
        <w:spacing w:line="480" w:lineRule="auto"/>
      </w:pPr>
      <w:r>
        <w:t xml:space="preserve">2.1 Three literatures that have not yet met</w:t>
      </w:r>
    </w:p>
    <w:p>
      <w:pPr>
        <w:pStyle w:val="FirstParagraph"/>
        <w:spacing w:line="480" w:lineRule="auto"/>
      </w:pPr>
      <w:r>
        <w:t xml:space="preserve">Where this dissertation’s question lands is the meeting point of three research traditions, each grown mature on its own terms yet never fused in the way the design demands. One tradition builds models of the orbital environment and gauges how disposal rules reshape it. Another examines compliance, governance, and how sustainability instruments get designed institutionally. A third wrestles with measurement and observability, above all with the uncertainty over a spacecraft’s fate once it tries to dispose of itself. Each hands over a piece of what a causal test of the twenty-five-to-five-year rule requires, and no one of them hands over the rest. What follows takes the three in order, then pins down exactly what has yet to be built.</w:t>
      </w:r>
    </w:p>
    <w:p>
      <w:pPr>
        <w:pStyle w:val="BodyText"/>
        <w:spacing w:line="480" w:lineRule="auto"/>
        <w:ind w:firstLine="720"/>
      </w:pPr>
      <w:r>
        <w:t xml:space="preserve">One might guess these literatures overlap heavily. They do trade a shared vocabulary and a shared set of worries. What eludes all three is a common thing to measure. Environment is what the modeling literature quantifies; instruments and institutions are what the governance literature quantifies; orbital lifetime and its errors are what the measurement literature quantifies. The declared disposal promise an operator inks into a licensing file, the very quantity this dissertation adopts as its outcome, turns up across all three only as a background assumption or a passing remark. In that void the study finds its reason to exist.</w:t>
      </w:r>
    </w:p>
    <w:p>
      <w:pPr>
        <w:pStyle w:val="BodyText"/>
        <w:spacing w:line="480" w:lineRule="auto"/>
        <w:ind w:firstLine="720"/>
      </w:pPr>
      <w:r>
        <w:t xml:space="preserve">So the review is organized not to catalog each literature in full but to pinpoint, inside each, the exact spot where the operator’s declared behavior slips past unmeasured. For modeling that spot is the compliance parameter, the presumed share of operators who really do pull their disposal in to the new horizon. For governance it is the response function, the unspoken link from an instrument to the conduct it aims to elicit. For measurement it is the intent lurking behind a decay estimate, the plan that the noisy realized result only dimly mirrors. Naming these three empty slots throws into relief what a lone quasi-experimental estimate of the declared promise could fill.</w:t>
      </w:r>
    </w:p>
    <w:bookmarkEnd w:id="69"/>
    <w:bookmarkStart w:id="70" w:name="Xcece9754ba22772526d1135ce14a89392a9ce65"/>
    <w:p>
      <w:pPr>
        <w:pStyle w:val="Heading2"/>
        <w:spacing w:line="480" w:lineRule="auto"/>
      </w:pPr>
      <w:r>
        <w:t xml:space="preserve">2.2 Modeling the orbital environment and the disposal lever</w:t>
      </w:r>
    </w:p>
    <w:p>
      <w:pPr>
        <w:pStyle w:val="FirstParagraph"/>
        <w:spacing w:line="480" w:lineRule="auto"/>
      </w:pPr>
      <w:r>
        <w:t xml:space="preserve">Take modeling first, where one study speaks most squarely to the five-year rule itself. Kawamoto and colleagues weigh how well cutting the post-mission disposal lifetime works, tracing the altitude-by-altitude fallout for the orbital environment and showing that a shorter horizon pays off in proportion to where in low Earth orbit the objects cluster</w:t>
      </w:r>
      <w:r>
        <w:t xml:space="preserve"> </w:t>
      </w:r>
      <w:hyperlink w:anchor="ref-6">
        <w:r>
          <w:rPr>
            <w:rStyle w:val="Hyperlink"/>
          </w:rPr>
          <w:t xml:space="preserve">[6]</w:t>
        </w:r>
      </w:hyperlink>
      <w:r>
        <w:t xml:space="preserve">. Theirs is the obvious anchor for a dissertation on the same rule, since it puts a figure on what the environment would recover were the rule obeyed, and a companion catalog entry logs the very same result under a separate index</w:t>
      </w:r>
      <w:r>
        <w:t xml:space="preserve"> </w:t>
      </w:r>
      <w:hyperlink w:anchor="ref-22">
        <w:r>
          <w:rPr>
            <w:rStyle w:val="Hyperlink"/>
          </w:rPr>
          <w:t xml:space="preserve">[22]</w:t>
        </w:r>
      </w:hyperlink>
      <w:r>
        <w:t xml:space="preserve">. Yet that recovery hangs on a condition. It presumes disposal behavior the model has to grant itself.</w:t>
      </w:r>
    </w:p>
    <w:p>
      <w:pPr>
        <w:pStyle w:val="BodyText"/>
        <w:spacing w:line="480" w:lineRule="auto"/>
        <w:ind w:firstLine="720"/>
      </w:pPr>
      <w:r>
        <w:t xml:space="preserve">Ringing this particular evaluation is a wider modeling enterprise. It reads debris as a source-sink system. Lifson, Jang, and Linares craft source-sink evolutionary environmental models to serve governance and decision analysis, casting the orbital population as a stock pushed by steady sources and drained by natural sinks</w:t>
      </w:r>
      <w:r>
        <w:t xml:space="preserve"> </w:t>
      </w:r>
      <w:hyperlink w:anchor="ref-1">
        <w:r>
          <w:rPr>
            <w:rStyle w:val="Hyperlink"/>
          </w:rPr>
          <w:t xml:space="preserve">[1]</w:t>
        </w:r>
      </w:hyperlink>
      <w:r>
        <w:t xml:space="preserve"> </w:t>
      </w:r>
      <w:hyperlink w:anchor="ref-10">
        <w:r>
          <w:rPr>
            <w:rStyle w:val="Hyperlink"/>
          </w:rPr>
          <w:t xml:space="preserve">[10]</w:t>
        </w:r>
      </w:hyperlink>
      <w:r>
        <w:t xml:space="preserve">. That same group builds the approach out into a suite of reference scenarios and supporting inputs, handing analysts an orderly means of weighing rival assumptions about launch cadence, break-ups, and disposal performance</w:t>
      </w:r>
      <w:r>
        <w:t xml:space="preserve"> </w:t>
      </w:r>
      <w:hyperlink w:anchor="ref-4">
        <w:r>
          <w:rPr>
            <w:rStyle w:val="Hyperlink"/>
          </w:rPr>
          <w:t xml:space="preserve">[4]</w:t>
        </w:r>
      </w:hyperlink>
      <w:r>
        <w:t xml:space="preserve"> </w:t>
      </w:r>
      <w:hyperlink w:anchor="ref-14">
        <w:r>
          <w:rPr>
            <w:rStyle w:val="Hyperlink"/>
          </w:rPr>
          <w:t xml:space="preserve">[14]</w:t>
        </w:r>
      </w:hyperlink>
      <w:r>
        <w:t xml:space="preserve">. The payoff for the present study runs two ways: it clarifies why disposal time is a pivotal control, and it lays bare how heavily the environment’s forecast path leans on behavioral inputs that rarely get measured head-on.</w:t>
      </w:r>
    </w:p>
    <w:p>
      <w:pPr>
        <w:pStyle w:val="BodyText"/>
        <w:spacing w:line="480" w:lineRule="auto"/>
        <w:ind w:firstLine="720"/>
      </w:pPr>
      <w:r>
        <w:t xml:space="preserve">A pair of neighboring modeling papers presses the behavioral-dependence point harder. Research on how anti-satellite tests raise the odds of Kessler-style cascades shows one behavioral event, a purposeful break-up, tilting the long-run risk profile of a whole regime</w:t>
      </w:r>
      <w:r>
        <w:t xml:space="preserve"> </w:t>
      </w:r>
      <w:hyperlink w:anchor="ref-13">
        <w:r>
          <w:rPr>
            <w:rStyle w:val="Hyperlink"/>
          </w:rPr>
          <w:t xml:space="preserve">[13]</w:t>
        </w:r>
      </w:hyperlink>
      <w:r>
        <w:t xml:space="preserve">. Disposal behavior runs the same logic in reverse, since countless small operator decisions, summed together, decide whether the environment settles toward stability or spirals into runaway growth. Work on end-of-life disposal strategies, cislunar missions included, where the physics and the menu of options part ways sharply from low Earth orbit, drives home further that disposal is a design call made under constraint rather than something that just happens</w:t>
      </w:r>
      <w:r>
        <w:t xml:space="preserve"> </w:t>
      </w:r>
      <w:hyperlink w:anchor="ref-15">
        <w:r>
          <w:rPr>
            <w:rStyle w:val="Hyperlink"/>
          </w:rPr>
          <w:t xml:space="preserve">[15]</w:t>
        </w:r>
      </w:hyperlink>
      <w:r>
        <w:t xml:space="preserve">. Through all of it the operator’s actual stated promise is taken as given, and not one of these studies watches whether a rule change stirred that promise.</w:t>
      </w:r>
    </w:p>
    <w:bookmarkEnd w:id="70"/>
    <w:bookmarkStart w:id="71" w:name="Xc6d951005d5de446896c1afac9044a9ca66ee09"/>
    <w:p>
      <w:pPr>
        <w:pStyle w:val="Heading2"/>
        <w:spacing w:line="480" w:lineRule="auto"/>
      </w:pPr>
      <w:r>
        <w:t xml:space="preserve">2.3 Compliance, governance, and institutional design</w:t>
      </w:r>
    </w:p>
    <w:p>
      <w:pPr>
        <w:pStyle w:val="FirstParagraph"/>
        <w:spacing w:line="480" w:lineRule="auto"/>
      </w:pPr>
      <w:r>
        <w:t xml:space="preserve">Do rules cross over into behavior, or stall before they get there? That query drives the second tradition. Verspieren’s study of United States Air Force adherence to orbital-debris mitigation standard practices is the nearest empirical cousin in spirit, since it inspects documented conformance to a formal standard rather than the standard’s mere existence on paper</w:t>
      </w:r>
      <w:r>
        <w:t xml:space="preserve"> </w:t>
      </w:r>
      <w:hyperlink w:anchor="ref-2">
        <w:r>
          <w:rPr>
            <w:rStyle w:val="Hyperlink"/>
          </w:rPr>
          <w:t xml:space="preserve">[2]</w:t>
        </w:r>
      </w:hyperlink>
      <w:r>
        <w:t xml:space="preserve"> </w:t>
      </w:r>
      <w:hyperlink w:anchor="ref-11">
        <w:r>
          <w:rPr>
            <w:rStyle w:val="Hyperlink"/>
          </w:rPr>
          <w:t xml:space="preserve">[11]</w:t>
        </w:r>
      </w:hyperlink>
      <w:r>
        <w:t xml:space="preserve">. It sets a valuable methodological precedent: formal standards have to be judged alongside organizational behavior and the paper trail of adherence, never presumed binding just because someone wrote them. This dissertation carries that precedent over to a fresh cast of actors, commercial and civil satellite operators, and to a fresh paper trail, licensing filings, holding to the same demand for compliance measured rather than assumed.</w:t>
      </w:r>
    </w:p>
    <w:p>
      <w:pPr>
        <w:pStyle w:val="BodyText"/>
        <w:spacing w:line="480" w:lineRule="auto"/>
        <w:ind w:firstLine="720"/>
      </w:pPr>
      <w:r>
        <w:t xml:space="preserve">Governance-design scholarship pulls the frame back from compliance to coordination. David and colleagues put forward an incentive-based mechanism to spur multi-stakeholder cooperation on space sustainability, treating the task as one of squaring private incentives with the collective welfare of the orbit across a varied cast of actors</w:t>
      </w:r>
      <w:r>
        <w:t xml:space="preserve"> </w:t>
      </w:r>
      <w:hyperlink w:anchor="ref-7">
        <w:r>
          <w:rPr>
            <w:rStyle w:val="Hyperlink"/>
          </w:rPr>
          <w:t xml:space="preserve">[7]</w:t>
        </w:r>
      </w:hyperlink>
      <w:r>
        <w:t xml:space="preserve"> </w:t>
      </w:r>
      <w:hyperlink w:anchor="ref-23">
        <w:r>
          <w:rPr>
            <w:rStyle w:val="Hyperlink"/>
          </w:rPr>
          <w:t xml:space="preserve">[23]</w:t>
        </w:r>
      </w:hyperlink>
      <w:r>
        <w:t xml:space="preserve">. Colombo and colleagues tie space capacity management to space traffic management, contending that using orbit is at bottom a capacity problem and that disposal rules form one instrument inside a larger allocation-and-coordination apparatus</w:t>
      </w:r>
      <w:r>
        <w:t xml:space="preserve"> </w:t>
      </w:r>
      <w:hyperlink w:anchor="ref-8">
        <w:r>
          <w:rPr>
            <w:rStyle w:val="Hyperlink"/>
          </w:rPr>
          <w:t xml:space="preserve">[8]</w:t>
        </w:r>
      </w:hyperlink>
      <w:r>
        <w:t xml:space="preserve"> </w:t>
      </w:r>
      <w:hyperlink w:anchor="ref-24">
        <w:r>
          <w:rPr>
            <w:rStyle w:val="Hyperlink"/>
          </w:rPr>
          <w:t xml:space="preserve">[24]</w:t>
        </w:r>
      </w:hyperlink>
      <w:r>
        <w:t xml:space="preserve">. Both bear on this study because they cast a disposal default not as a lone technical knob but as an institutional move whose bite turns on operator response. Neither, though, yields a quasi-experimental estimate of whether a given default change bent operator-level declarations; they build the theory of the instrument without weighing what it does.</w:t>
      </w:r>
    </w:p>
    <w:p>
      <w:pPr>
        <w:pStyle w:val="BodyText"/>
        <w:spacing w:line="480" w:lineRule="auto"/>
        <w:ind w:firstLine="720"/>
      </w:pPr>
      <w:r>
        <w:t xml:space="preserve">Another band of governance-relevant work takes up the downstream and cross-domain fallout of disposal choices, which lifts the political stakes of getting the rule right. Uncontrolled reentries of massive objects put aviation at risk, and Hook and colleagues put numbers on how reentry debris crosses airspace, making plain that disposal is a terrestrial problem as much as an orbital one</w:t>
      </w:r>
      <w:r>
        <w:t xml:space="preserve"> </w:t>
      </w:r>
      <w:hyperlink w:anchor="ref-26">
        <w:r>
          <w:rPr>
            <w:rStyle w:val="Hyperlink"/>
          </w:rPr>
          <w:t xml:space="preserve">[26]</w:t>
        </w:r>
      </w:hyperlink>
      <w:r>
        <w:t xml:space="preserve">. Regulatory scholarship on emerging space activities, Brennan’s call for an independent international monitor for asteroid mining among it, shows the wider habit of environmental rules in space sprinting past the institutions meant to verify them</w:t>
      </w:r>
      <w:r>
        <w:t xml:space="preserve"> </w:t>
      </w:r>
      <w:hyperlink w:anchor="ref-28">
        <w:r>
          <w:rPr>
            <w:rStyle w:val="Hyperlink"/>
          </w:rPr>
          <w:t xml:space="preserve">[28]</w:t>
        </w:r>
      </w:hyperlink>
      <w:r>
        <w:t xml:space="preserve">. That habit is precisely why studying declared behavior earns its place: it probes whether the licensing stage, up and running and generating records today, already carries a behavioral signal.</w:t>
      </w:r>
    </w:p>
    <w:bookmarkEnd w:id="71"/>
    <w:bookmarkStart w:id="72" w:name="Xd8e260bf3181c2311267e518a2c0444420d300c"/>
    <w:p>
      <w:pPr>
        <w:pStyle w:val="Heading2"/>
        <w:spacing w:line="480" w:lineRule="auto"/>
      </w:pPr>
      <w:r>
        <w:t xml:space="preserve">2.4 Measurement, observability, and the limits of what a filing can promise</w:t>
      </w:r>
    </w:p>
    <w:p>
      <w:pPr>
        <w:pStyle w:val="FirstParagraph"/>
        <w:spacing w:line="480" w:lineRule="auto"/>
      </w:pPr>
      <w:r>
        <w:t xml:space="preserve">A stubborn technical fact confronts the third tradition. Disposal is not watched. Nobody sees with certainty what a spacecraft does after it makes its disposal attempt. Ayala Fernández and colleagues quantify how uncertain the estimate of remaining orbital lifetime is once post-mission disposal happens, showing that the exact quantity a disposal rule aims at is itself an estimate laced with heavy error from air density, solar weather, and craft properties</w:t>
      </w:r>
      <w:r>
        <w:t xml:space="preserve"> </w:t>
      </w:r>
      <w:hyperlink w:anchor="ref-5">
        <w:r>
          <w:rPr>
            <w:rStyle w:val="Hyperlink"/>
          </w:rPr>
          <w:t xml:space="preserve">[5]</w:t>
        </w:r>
      </w:hyperlink>
      <w:r>
        <w:t xml:space="preserve"> </w:t>
      </w:r>
      <w:hyperlink w:anchor="ref-16">
        <w:r>
          <w:rPr>
            <w:rStyle w:val="Hyperlink"/>
          </w:rPr>
          <w:t xml:space="preserve">[16]</w:t>
        </w:r>
      </w:hyperlink>
      <w:r>
        <w:t xml:space="preserve">. That result carries a direct methodological upshot for the dissertation: a stated disposal lifetime in a filing is a plan declared under uncertainty, no guaranteed result, which warrants making the declaration, not the realized lifetime, the headline outcome of a design-stage study.</w:t>
      </w:r>
    </w:p>
    <w:p>
      <w:pPr>
        <w:pStyle w:val="BodyText"/>
        <w:spacing w:line="480" w:lineRule="auto"/>
        <w:ind w:firstLine="720"/>
      </w:pPr>
      <w:r>
        <w:t xml:space="preserve">Observability of resident space objects is the matching worry. It runs alongside the first. McKnight and colleagues craft analytic space-domain-awareness methods, holding that governance questions only turn answerable once tied to object-level data products and steady analytic handling</w:t>
      </w:r>
      <w:r>
        <w:t xml:space="preserve"> </w:t>
      </w:r>
      <w:hyperlink w:anchor="ref-3">
        <w:r>
          <w:rPr>
            <w:rStyle w:val="Hyperlink"/>
          </w:rPr>
          <w:t xml:space="preserve">[3]</w:t>
        </w:r>
      </w:hyperlink>
      <w:r>
        <w:t xml:space="preserve"> </w:t>
      </w:r>
      <w:hyperlink w:anchor="ref-12">
        <w:r>
          <w:rPr>
            <w:rStyle w:val="Hyperlink"/>
          </w:rPr>
          <w:t xml:space="preserve">[12]</w:t>
        </w:r>
      </w:hyperlink>
      <w:r>
        <w:t xml:space="preserve">. That framework underwrites the dissertation’s plan to bind filings to catalog records for regime sorting and data-quality checks. Real-time conjunction-assessment work, Choi and colleagues’ comparison of passive ranging against traditional sources among it, shows how far operational tracking has come and how much object-level information now stands ready to feed such a bind</w:t>
      </w:r>
      <w:r>
        <w:t xml:space="preserve"> </w:t>
      </w:r>
      <w:hyperlink w:anchor="ref-18">
        <w:r>
          <w:rPr>
            <w:rStyle w:val="Hyperlink"/>
          </w:rPr>
          <w:t xml:space="preserve">[18]</w:t>
        </w:r>
      </w:hyperlink>
      <w:r>
        <w:t xml:space="preserve">, while older machine-learning attempts to characterize low-Earth-orbit satellites from thin observations trace the longer history of squeezing state information out of sparse data</w:t>
      </w:r>
      <w:r>
        <w:t xml:space="preserve"> </w:t>
      </w:r>
      <w:hyperlink w:anchor="ref-17">
        <w:r>
          <w:rPr>
            <w:rStyle w:val="Hyperlink"/>
          </w:rPr>
          <w:t xml:space="preserve">[17]</w:t>
        </w:r>
      </w:hyperlink>
      <w:r>
        <w:t xml:space="preserve">. Taken together, these show that the object-level validation the dissertation proposes can be done, even as the study declines to claim realized compliance.</w:t>
      </w:r>
    </w:p>
    <w:p>
      <w:pPr>
        <w:pStyle w:val="BodyText"/>
        <w:spacing w:line="480" w:lineRule="auto"/>
        <w:ind w:firstLine="720"/>
      </w:pPr>
      <w:r>
        <w:t xml:space="preserve">The observability literature also spells out why the study can validate its regime labels without overreaching into compliance claims. Given an object’s catalog number, international designator, and observed orbit, a filing can be tested for internal consistency: a claimed low-Earth-orbit application ought to tie to an object at a low-Earth-orbit altitude. Today’s tracking makes that test cheap and dependable. The costly part, and the part the study forgoes, is confirming that the object genuinely disposed of itself inside the declared horizon, since that means waiting the mission out and then pinning the observed decay on intent instead of atmospheric luck</w:t>
      </w:r>
      <w:r>
        <w:t xml:space="preserve"> </w:t>
      </w:r>
      <w:hyperlink w:anchor="ref-5">
        <w:r>
          <w:rPr>
            <w:rStyle w:val="Hyperlink"/>
          </w:rPr>
          <w:t xml:space="preserve">[5]</w:t>
        </w:r>
      </w:hyperlink>
      <w:r>
        <w:t xml:space="preserve">. So the measurement literature scores a clear line between validation, which the study carries out, and compliance verification, which it postpones, with the observability tools falling plainly on the validation side</w:t>
      </w:r>
      <w:r>
        <w:t xml:space="preserve"> </w:t>
      </w:r>
      <w:hyperlink w:anchor="ref-3">
        <w:r>
          <w:rPr>
            <w:rStyle w:val="Hyperlink"/>
          </w:rPr>
          <w:t xml:space="preserve">[3]</w:t>
        </w:r>
      </w:hyperlink>
      <w:r>
        <w:t xml:space="preserve"> </w:t>
      </w:r>
      <w:hyperlink w:anchor="ref-12">
        <w:r>
          <w:rPr>
            <w:rStyle w:val="Hyperlink"/>
          </w:rPr>
          <w:t xml:space="preserve">[12]</w:t>
        </w:r>
      </w:hyperlink>
      <w:r>
        <w:t xml:space="preserve">.</w:t>
      </w:r>
    </w:p>
    <w:p>
      <w:pPr>
        <w:pStyle w:val="BodyText"/>
        <w:spacing w:line="480" w:lineRule="auto"/>
        <w:ind w:firstLine="720"/>
      </w:pPr>
      <w:r>
        <w:t xml:space="preserve">A modest set of neighboring references fills out the measurement picture by revealing how far the retrieved corpus stretches. Regional space-situational-awareness and traffic-management activity reports, an account of recent effort at a national aerospace research institute among them, chronicle how operational SSA and STM capacity has spread past the old guard of actors</w:t>
      </w:r>
      <w:r>
        <w:t xml:space="preserve"> </w:t>
      </w:r>
      <w:hyperlink w:anchor="ref-9">
        <w:r>
          <w:rPr>
            <w:rStyle w:val="Hyperlink"/>
          </w:rPr>
          <w:t xml:space="preserve">[9]</w:t>
        </w:r>
      </w:hyperlink>
      <w:r>
        <w:t xml:space="preserve">. Evidence-based sensor-tasking methods reveal how observation resources get parceled out under scarcity, a coordination problem shaped much like orbital-capacity allocation</w:t>
      </w:r>
      <w:r>
        <w:t xml:space="preserve"> </w:t>
      </w:r>
      <w:hyperlink w:anchor="ref-20">
        <w:r>
          <w:rPr>
            <w:rStyle w:val="Hyperlink"/>
          </w:rPr>
          <w:t xml:space="preserve">[20]</w:t>
        </w:r>
      </w:hyperlink>
      <w:r>
        <w:t xml:space="preserve">. Debris-removal concepts, electrodynamic tether systems for actively deorbiting objects included, showcase the technical rivals to passive disposal that any thorough governance framework must eventually weigh</w:t>
      </w:r>
      <w:r>
        <w:t xml:space="preserve"> </w:t>
      </w:r>
      <w:hyperlink w:anchor="ref-19">
        <w:r>
          <w:rPr>
            <w:rStyle w:val="Hyperlink"/>
          </w:rPr>
          <w:t xml:space="preserve">[19]</w:t>
        </w:r>
      </w:hyperlink>
      <w:r>
        <w:t xml:space="preserve">. Even work beyond debris proper, data-stream mining for spacecraft thermal power consumption</w:t>
      </w:r>
      <w:r>
        <w:t xml:space="preserve"> </w:t>
      </w:r>
      <w:hyperlink w:anchor="ref-25">
        <w:r>
          <w:rPr>
            <w:rStyle w:val="Hyperlink"/>
          </w:rPr>
          <w:t xml:space="preserve">[25]</w:t>
        </w:r>
      </w:hyperlink>
      <w:r>
        <w:t xml:space="preserve"> </w:t>
      </w:r>
      <w:r>
        <w:t xml:space="preserve">and mission analysis for radiation-monitoring missions</w:t>
      </w:r>
      <w:r>
        <w:t xml:space="preserve"> </w:t>
      </w:r>
      <w:hyperlink w:anchor="ref-27">
        <w:r>
          <w:rPr>
            <w:rStyle w:val="Hyperlink"/>
          </w:rPr>
          <w:t xml:space="preserve">[27]</w:t>
        </w:r>
      </w:hyperlink>
      <w:r>
        <w:t xml:space="preserve"> </w:t>
      </w:r>
      <w:r>
        <w:t xml:space="preserve">among it, shows up in the retrieved literature and molds the bibliometric shape the diagnostic papers later probe, and a proposal to dim satellite trails with retroreflective coatings shows the sustainability conversation now spilling into ground-based astronomy too</w:t>
      </w:r>
      <w:r>
        <w:t xml:space="preserve"> </w:t>
      </w:r>
      <w:hyperlink w:anchor="ref-21">
        <w:r>
          <w:rPr>
            <w:rStyle w:val="Hyperlink"/>
          </w:rPr>
          <w:t xml:space="preserve">[21]</w:t>
        </w:r>
      </w:hyperlink>
      <w:r>
        <w:t xml:space="preserve">. These references bear less on the causal argument than on grasping the corpus that Chapter 6 characterizes.</w:t>
      </w:r>
    </w:p>
    <w:bookmarkEnd w:id="72"/>
    <w:bookmarkStart w:id="73" w:name="Xb4119d3a83c9edb02dfc5a0e034b09de9cf9bcb"/>
    <w:p>
      <w:pPr>
        <w:pStyle w:val="Heading2"/>
        <w:spacing w:line="480" w:lineRule="auto"/>
      </w:pPr>
      <w:r>
        <w:t xml:space="preserve">2.4a Where the three literatures touch and where they part</w:t>
      </w:r>
    </w:p>
    <w:p>
      <w:pPr>
        <w:pStyle w:val="FirstParagraph"/>
        <w:spacing w:line="480" w:lineRule="auto"/>
      </w:pPr>
      <w:r>
        <w:t xml:space="preserve">One handy way to expose the gap is to follow a single quantity, the five-year horizon, across all three traditions and watch one number play three parts. To modeling the horizon is an input: Kawamoto and colleagues fix disposal lifetime at five years and read off the altitude-specific fallout</w:t>
      </w:r>
      <w:r>
        <w:t xml:space="preserve"> </w:t>
      </w:r>
      <w:hyperlink w:anchor="ref-6">
        <w:r>
          <w:rPr>
            <w:rStyle w:val="Hyperlink"/>
          </w:rPr>
          <w:t xml:space="preserve">[6]</w:t>
        </w:r>
      </w:hyperlink>
      <w:r>
        <w:t xml:space="preserve">, while the reference-scenario suite lets analysts swing that same input across a spread of futures</w:t>
      </w:r>
      <w:r>
        <w:t xml:space="preserve"> </w:t>
      </w:r>
      <w:hyperlink w:anchor="ref-4">
        <w:r>
          <w:rPr>
            <w:rStyle w:val="Hyperlink"/>
          </w:rPr>
          <w:t xml:space="preserve">[4]</w:t>
        </w:r>
      </w:hyperlink>
      <w:r>
        <w:t xml:space="preserve">. To governance the horizon is an instrument: the incentive-mechanism and capacity-management literatures ask how to coax operators into accepting a shorter horizon and how that horizon plays against the wider parceling of orbital capacity</w:t>
      </w:r>
      <w:r>
        <w:t xml:space="preserve"> </w:t>
      </w:r>
      <w:hyperlink w:anchor="ref-7">
        <w:r>
          <w:rPr>
            <w:rStyle w:val="Hyperlink"/>
          </w:rPr>
          <w:t xml:space="preserve">[7]</w:t>
        </w:r>
      </w:hyperlink>
      <w:r>
        <w:t xml:space="preserve"> </w:t>
      </w:r>
      <w:hyperlink w:anchor="ref-8">
        <w:r>
          <w:rPr>
            <w:rStyle w:val="Hyperlink"/>
          </w:rPr>
          <w:t xml:space="preserve">[8]</w:t>
        </w:r>
      </w:hyperlink>
      <w:r>
        <w:t xml:space="preserve">. To measurement the horizon is an error-laden estimate: Ayala Fernández and colleagues show that whether a given disposal truly reaches five years is itself in doubt</w:t>
      </w:r>
      <w:r>
        <w:t xml:space="preserve"> </w:t>
      </w:r>
      <w:hyperlink w:anchor="ref-5">
        <w:r>
          <w:rPr>
            <w:rStyle w:val="Hyperlink"/>
          </w:rPr>
          <w:t xml:space="preserve">[5]</w:t>
        </w:r>
      </w:hyperlink>
      <w:r>
        <w:t xml:space="preserve">. Three literatures, three parts for one number, and in none of them does the operator’s declared pick of that number become the thing measured.</w:t>
      </w:r>
    </w:p>
    <w:p>
      <w:pPr>
        <w:pStyle w:val="BodyText"/>
        <w:spacing w:line="480" w:lineRule="auto"/>
        <w:ind w:firstLine="720"/>
      </w:pPr>
      <w:r>
        <w:t xml:space="preserve">That gap reads less as an oversight than as a division of labor. Modelers sensibly hold behavior exogenous, since their edge lies in propagating dynamics, not coding filings. Governance scholars sensibly theorize instruments, since building a mechanism comes before measuring its bite. Measurement researchers sensibly fix on the physics of decay, since that is where the toughest technical uncertainty lives. The upshot of this reasonable split is that the single quantity able to join the three, the declared disposal promise and how it answers a rule change, drops into the seam among them. A dissertation planted in that seam competes with none of the three traditions; it furnishes the connective measurement each of them takes for granted.</w:t>
      </w:r>
    </w:p>
    <w:bookmarkEnd w:id="73"/>
    <w:bookmarkStart w:id="74" w:name="positioning-against-prior-work"/>
    <w:p>
      <w:pPr>
        <w:pStyle w:val="Heading2"/>
        <w:spacing w:line="480" w:lineRule="auto"/>
      </w:pPr>
      <w:r>
        <w:t xml:space="preserve">2.5 Positioning against prior work</w:t>
      </w:r>
    </w:p>
    <w:p>
      <w:pPr>
        <w:pStyle w:val="FirstParagraph"/>
        <w:spacing w:line="480" w:lineRule="auto"/>
      </w:pPr>
      <w:r>
        <w:t xml:space="preserve">Measured against these three traditions, what this dissertation contributes is specific. It borrows on every side. From modeling it takes the premise that disposal time is a decisive control</w:t>
      </w:r>
      <w:r>
        <w:t xml:space="preserve"> </w:t>
      </w:r>
      <w:hyperlink w:anchor="ref-6">
        <w:r>
          <w:rPr>
            <w:rStyle w:val="Hyperlink"/>
          </w:rPr>
          <w:t xml:space="preserve">[6]</w:t>
        </w:r>
      </w:hyperlink>
      <w:r>
        <w:t xml:space="preserve"> </w:t>
      </w:r>
      <w:r>
        <w:t xml:space="preserve">and the recognition that models feed on behavioral inputs they never measure</w:t>
      </w:r>
      <w:r>
        <w:t xml:space="preserve"> </w:t>
      </w:r>
      <w:hyperlink w:anchor="ref-1">
        <w:r>
          <w:rPr>
            <w:rStyle w:val="Hyperlink"/>
          </w:rPr>
          <w:t xml:space="preserve">[1]</w:t>
        </w:r>
      </w:hyperlink>
      <w:r>
        <w:t xml:space="preserve"> </w:t>
      </w:r>
      <w:hyperlink w:anchor="ref-4">
        <w:r>
          <w:rPr>
            <w:rStyle w:val="Hyperlink"/>
          </w:rPr>
          <w:t xml:space="preserve">[4]</w:t>
        </w:r>
      </w:hyperlink>
      <w:r>
        <w:t xml:space="preserve">. From governance it takes the methodological insistence on compliance measured rather than assumed</w:t>
      </w:r>
      <w:r>
        <w:t xml:space="preserve"> </w:t>
      </w:r>
      <w:hyperlink w:anchor="ref-2">
        <w:r>
          <w:rPr>
            <w:rStyle w:val="Hyperlink"/>
          </w:rPr>
          <w:t xml:space="preserve">[2]</w:t>
        </w:r>
      </w:hyperlink>
      <w:r>
        <w:t xml:space="preserve"> </w:t>
      </w:r>
      <w:r>
        <w:t xml:space="preserve">and the framing of a default as an institutional move inside a coordination apparatus</w:t>
      </w:r>
      <w:r>
        <w:t xml:space="preserve"> </w:t>
      </w:r>
      <w:hyperlink w:anchor="ref-7">
        <w:r>
          <w:rPr>
            <w:rStyle w:val="Hyperlink"/>
          </w:rPr>
          <w:t xml:space="preserve">[7]</w:t>
        </w:r>
      </w:hyperlink>
      <w:r>
        <w:t xml:space="preserve"> </w:t>
      </w:r>
      <w:hyperlink w:anchor="ref-8">
        <w:r>
          <w:rPr>
            <w:rStyle w:val="Hyperlink"/>
          </w:rPr>
          <w:t xml:space="preserve">[8]</w:t>
        </w:r>
      </w:hyperlink>
      <w:r>
        <w:t xml:space="preserve">. From measurement it takes the caution that stated and realized lifetimes diverge, along with the tools to bind filings to catalog data for validation</w:t>
      </w:r>
      <w:r>
        <w:t xml:space="preserve"> </w:t>
      </w:r>
      <w:hyperlink w:anchor="ref-5">
        <w:r>
          <w:rPr>
            <w:rStyle w:val="Hyperlink"/>
          </w:rPr>
          <w:t xml:space="preserve">[5]</w:t>
        </w:r>
      </w:hyperlink>
      <w:r>
        <w:t xml:space="preserve"> </w:t>
      </w:r>
      <w:hyperlink w:anchor="ref-3">
        <w:r>
          <w:rPr>
            <w:rStyle w:val="Hyperlink"/>
          </w:rPr>
          <w:t xml:space="preserve">[3]</w:t>
        </w:r>
      </w:hyperlink>
      <w:r>
        <w:t xml:space="preserve">. Then the dissertation does what none of these literatures has: it proposes to estimate, through a local quasi-experimental design, whether the twenty-five-to-five-year default forced a discontinuous change in operator-level disposal declarations logged in primary licensing files.</w:t>
      </w:r>
    </w:p>
    <w:p>
      <w:pPr>
        <w:pStyle w:val="BodyText"/>
        <w:spacing w:line="480" w:lineRule="auto"/>
        <w:ind w:firstLine="720"/>
      </w:pPr>
      <w:r>
        <w:t xml:space="preserve">That positioning draws several boundaries. The study makes no bid to sharpen the environmental models; it takes their conditional results as its spur and hands them a behavioral input they want</w:t>
      </w:r>
      <w:r>
        <w:t xml:space="preserve"> </w:t>
      </w:r>
      <w:hyperlink w:anchor="ref-6">
        <w:r>
          <w:rPr>
            <w:rStyle w:val="Hyperlink"/>
          </w:rPr>
          <w:t xml:space="preserve">[6]</w:t>
        </w:r>
      </w:hyperlink>
      <w:r>
        <w:t xml:space="preserve">. It makes no bid to invent a new incentive mechanism; it tests whether a default already on the books moves behavior at the licensing stage</w:t>
      </w:r>
      <w:r>
        <w:t xml:space="preserve"> </w:t>
      </w:r>
      <w:hyperlink w:anchor="ref-7">
        <w:r>
          <w:rPr>
            <w:rStyle w:val="Hyperlink"/>
          </w:rPr>
          <w:t xml:space="preserve">[7]</w:t>
        </w:r>
      </w:hyperlink>
      <w:r>
        <w:t xml:space="preserve">. It makes no bid to settle the physics of post-disposal lifetime uncertainty; it treats that uncertainty as grounds to study declared plans over realized results</w:t>
      </w:r>
      <w:r>
        <w:t xml:space="preserve"> </w:t>
      </w:r>
      <w:hyperlink w:anchor="ref-5">
        <w:r>
          <w:rPr>
            <w:rStyle w:val="Hyperlink"/>
          </w:rPr>
          <w:t xml:space="preserve">[5]</w:t>
        </w:r>
      </w:hyperlink>
      <w:r>
        <w:t xml:space="preserve">. Holding to those boundaries keeps its lone falsifiable claim clean and answerable with records already on hand.</w:t>
      </w:r>
    </w:p>
    <w:p>
      <w:pPr>
        <w:pStyle w:val="BodyText"/>
        <w:spacing w:line="480" w:lineRule="auto"/>
        <w:ind w:firstLine="720"/>
      </w:pPr>
      <w:r>
        <w:t xml:space="preserve">The sort of contribution this decidedly is not warrants a word as well. It offers no sweeping theory of orbital-debris governance, and it settles no contest among the rival camps favoring market instruments, command-and-control rules, or voluntary standards. Those arguments count, and the incentive-mechanism and capacity-management literatures take them up in earnest</w:t>
      </w:r>
      <w:r>
        <w:t xml:space="preserve"> </w:t>
      </w:r>
      <w:hyperlink w:anchor="ref-7">
        <w:r>
          <w:rPr>
            <w:rStyle w:val="Hyperlink"/>
          </w:rPr>
          <w:t xml:space="preserve">[7]</w:t>
        </w:r>
      </w:hyperlink>
      <w:r>
        <w:t xml:space="preserve"> </w:t>
      </w:r>
      <w:hyperlink w:anchor="ref-8">
        <w:r>
          <w:rPr>
            <w:rStyle w:val="Hyperlink"/>
          </w:rPr>
          <w:t xml:space="preserve">[8]</w:t>
        </w:r>
      </w:hyperlink>
      <w:r>
        <w:t xml:space="preserve">. This dissertation runs narrower and, for running narrower, cuts sharper. It singles out one instrument, the disposal default, and one behavioral margin, the declared horizon, and asks whether the first budges the second. A field thick with broad frameworks and thin on measurement gains from a study that inverts the ratio: one measured effect, cleanly pinned down, that any of the larger frameworks can then take up. The review’s worth, seen this way, is to show that for all three mature literatures the one measurement stays missing, and that supplying it means borrowing from all three without vanishing into any.</w:t>
      </w:r>
    </w:p>
    <w:p>
      <w:pPr>
        <w:pStyle w:val="BodyText"/>
        <w:spacing w:line="480" w:lineRule="auto"/>
        <w:ind w:firstLine="720"/>
      </w:pPr>
      <w:r>
        <w:t xml:space="preserve">One more strand of earlier work deserves mention, since it sets the temporal frame for the whole debate. Regional reports on the swelling of space-situational-awareness and traffic-management capacity chronicle how fast operational infrastructure has fanned out across new actors and institutions</w:t>
      </w:r>
      <w:r>
        <w:t xml:space="preserve"> </w:t>
      </w:r>
      <w:hyperlink w:anchor="ref-9">
        <w:r>
          <w:rPr>
            <w:rStyle w:val="Hyperlink"/>
          </w:rPr>
          <w:t xml:space="preserve">[9]</w:t>
        </w:r>
      </w:hyperlink>
      <w:r>
        <w:t xml:space="preserve">, and technical strides in conjunction assessment and object characterization show how much more the field can see now than ten years back</w:t>
      </w:r>
      <w:r>
        <w:t xml:space="preserve"> </w:t>
      </w:r>
      <w:hyperlink w:anchor="ref-17">
        <w:r>
          <w:rPr>
            <w:rStyle w:val="Hyperlink"/>
          </w:rPr>
          <w:t xml:space="preserve">[17]</w:t>
        </w:r>
      </w:hyperlink>
      <w:r>
        <w:t xml:space="preserve"> </w:t>
      </w:r>
      <w:hyperlink w:anchor="ref-18">
        <w:r>
          <w:rPr>
            <w:rStyle w:val="Hyperlink"/>
          </w:rPr>
          <w:t xml:space="preserve">[18]</w:t>
        </w:r>
      </w:hyperlink>
      <w:r>
        <w:t xml:space="preserve">. That fast build-out of capacity is the backdrop against which disposal rules keep tightening. A regulator can press for a shorter disposal horizon in part because the surrounding system can steadily better observe and coordinate around orbital behavior. So the prior work fixes not only the precise gap this dissertation closes but also the broader arc, a field picking up the tools to govern itself, into which a measured behavioral answer to a default slots naturally.</w:t>
      </w:r>
    </w:p>
    <w:bookmarkEnd w:id="74"/>
    <w:bookmarkStart w:id="75" w:name="X6fd4e1680551153c4004df478fbe675d9a56b34"/>
    <w:p>
      <w:pPr>
        <w:pStyle w:val="Heading2"/>
        <w:spacing w:line="480" w:lineRule="auto"/>
      </w:pPr>
      <w:r>
        <w:t xml:space="preserve">2.6 What the diagnostic papers add to the literature framing</w:t>
      </w:r>
    </w:p>
    <w:p>
      <w:pPr>
        <w:pStyle w:val="FirstParagraph"/>
        <w:spacing w:line="480" w:lineRule="auto"/>
      </w:pPr>
      <w:r>
        <w:t xml:space="preserve">Before the primary test can run, the study has to grasp the shape of its own evidence base, and here is where the two finished papers hook into the literature review. This field moves quickly. The modeling and governance literatures surveyed above are young: the five-year-rule evaluation, the incentive-mechanism proposal, and the capacity-management analysis all surfaced within the past few years</w:t>
      </w:r>
      <w:r>
        <w:t xml:space="preserve"> </w:t>
      </w:r>
      <w:hyperlink w:anchor="ref-6">
        <w:r>
          <w:rPr>
            <w:rStyle w:val="Hyperlink"/>
          </w:rPr>
          <w:t xml:space="preserve">[6]</w:t>
        </w:r>
      </w:hyperlink>
      <w:r>
        <w:t xml:space="preserve"> </w:t>
      </w:r>
      <w:hyperlink w:anchor="ref-7">
        <w:r>
          <w:rPr>
            <w:rStyle w:val="Hyperlink"/>
          </w:rPr>
          <w:t xml:space="preserve">[7]</w:t>
        </w:r>
      </w:hyperlink>
      <w:r>
        <w:t xml:space="preserve"> </w:t>
      </w:r>
      <w:hyperlink w:anchor="ref-8">
        <w:r>
          <w:rPr>
            <w:rStyle w:val="Hyperlink"/>
          </w:rPr>
          <w:t xml:space="preserve">[8]</w:t>
        </w:r>
      </w:hyperlink>
      <w:r>
        <w:t xml:space="preserve">. Should the retrieved literature be built by recency, so that newer records carry stronger topic signals, then the evidence base is no neutral pile of older, more-cited authorities. That is the very proposition about the corpus the first diagnostic paper tests. The second asks whether citation attention mounts with document age or instead pools on recent work, which bears on whether the field’s attention follows scholarly seniority or present policy salience. Both diagnostics land in Chapter 6 and get read there against the substantive literature reviewed here. Neither tests the disposal rule. They profile the literature encircling it, so the reader knows whether the evidence base is balanced in time before the main design is set to work.</w:t>
      </w:r>
    </w:p>
    <w:bookmarkEnd w:id="75"/>
    <w:bookmarkEnd w:id="76"/>
    <w:bookmarkStart w:id="85" w:name="Xcfcc00a3ded59aed0c781c16bfc121f2a509603"/>
    <w:p>
      <w:pPr>
        <w:pStyle w:val="Heading1"/>
        <w:spacing w:line="480" w:lineRule="auto"/>
      </w:pPr>
      <w:r>
        <w:t xml:space="preserve">Chapter 3. Theoretical Framework and Hypotheses</w:t>
      </w:r>
    </w:p>
    <w:bookmarkStart w:id="77" w:name="X51342a22a0d50be5fe0c6a13cb9686362758c47"/>
    <w:p>
      <w:pPr>
        <w:pStyle w:val="Heading2"/>
        <w:spacing w:line="480" w:lineRule="auto"/>
      </w:pPr>
      <w:r>
        <w:t xml:space="preserve">3.1 From rule to filing: the mechanism to be tested</w:t>
      </w:r>
    </w:p>
    <w:p>
      <w:pPr>
        <w:pStyle w:val="FirstParagraph"/>
        <w:spacing w:line="480" w:lineRule="auto"/>
      </w:pPr>
      <w:r>
        <w:t xml:space="preserve">At bottom this dissertation offers a theory of how a formal default turns into an operator declaration. A regulator drops the expected post-mission disposal lifetime from twenty-five years to five for the low-Earth-orbit systems it covers, and the puzzle is why, and along what path, that drop would surface as a smaller figure in the orbital-debris assessment an operator submits. With no believable path the empirical test wanders; with one, the path throws off predictions the data can back or break.</w:t>
      </w:r>
    </w:p>
    <w:p>
      <w:pPr>
        <w:pStyle w:val="BodyText"/>
        <w:spacing w:line="480" w:lineRule="auto"/>
        <w:ind w:firstLine="720"/>
      </w:pPr>
      <w:r>
        <w:t xml:space="preserve">It all begins at the licensing transaction. Winning authorization means filing an orbital-debris assessment that spells out, among much else, the planned span from mission’s end to finished disposal, and stating that span costs something. It ties the operator to a design and an operating plan open to reading by regulators, rivals, insurers, and the public. Move the default, and the yardstick a filing gets held to moves too, so an operator declaring a twenty-five-year horizon once the five-year default is in force now stands plainly at odds with the governing expectation, drawing questions, conditions, or holdups. Dodging that friction most cheaply means declaring a shorter horizon. Boiled down, the mechanism runs like this: a tighter default lifts the regulatory and reputational price of declaring a long disposal lifetime, and operators answer by declaring shorter ones.</w:t>
      </w:r>
    </w:p>
    <w:p>
      <w:pPr>
        <w:pStyle w:val="BodyText"/>
        <w:spacing w:line="480" w:lineRule="auto"/>
        <w:ind w:firstLine="720"/>
      </w:pPr>
      <w:r>
        <w:t xml:space="preserve">This mechanism leans on a lesson from the governance literature, that instruments bite through anticipated response and not through enforcement alone. Incentive-based readings of space sustainability treat operator conduct as a best reply to the rules and incentives operators meet</w:t>
      </w:r>
      <w:r>
        <w:t xml:space="preserve"> </w:t>
      </w:r>
      <w:hyperlink w:anchor="ref-7">
        <w:r>
          <w:rPr>
            <w:rStyle w:val="Hyperlink"/>
          </w:rPr>
          <w:t xml:space="preserve">[7]</w:t>
        </w:r>
      </w:hyperlink>
      <w:r>
        <w:t xml:space="preserve">, and capacity-management readings treat the licensing call as one node in a coordination system where every operator’s declared plan is readable by the rest</w:t>
      </w:r>
      <w:r>
        <w:t xml:space="preserve"> </w:t>
      </w:r>
      <w:hyperlink w:anchor="ref-8">
        <w:r>
          <w:rPr>
            <w:rStyle w:val="Hyperlink"/>
          </w:rPr>
          <w:t xml:space="preserve">[8]</w:t>
        </w:r>
      </w:hyperlink>
      <w:r>
        <w:t xml:space="preserve">. In both readings a default works as a coordination device, planting a focal point operators gather around because breaking away costs and falling in line comes cheap. What the dissertation studies is that same logic caught at the licensing stage.</w:t>
      </w:r>
    </w:p>
    <w:p>
      <w:pPr>
        <w:pStyle w:val="BodyText"/>
        <w:spacing w:line="480" w:lineRule="auto"/>
        <w:ind w:firstLine="720"/>
      </w:pPr>
      <w:r>
        <w:t xml:space="preserve">Three separate forces make up this coordination logic, each nudging a rational operator to declare a shorter horizon once the default tightens. Review friction is one: a filing straying from the governing expectation draws extra scrutiny, demands for clarification, and possible holdup, and holdup runs dear when launch slots and market windows are locked. Reputational legibility is a second: filings are public or half-public, and an operator visibly trailing the norm broadcasts to rivals, insurers, and regulators that its sustainability stance is thin, which costs it in a market where sustainability increasingly sets firms apart. Anticipatory conformity to further tightening is a third: an operator bracing for norms to keep ratcheting may declare a shorter horizon now to spare itself re-filing later, treating the standing default as a floor and not a ceiling. All three bite at the instant of filing, which is exactly why the declared promise, not the realized result, is the outcome the mechanism forecasts.</w:t>
      </w:r>
    </w:p>
    <w:p>
      <w:pPr>
        <w:pStyle w:val="BodyText"/>
        <w:spacing w:line="480" w:lineRule="auto"/>
        <w:ind w:firstLine="720"/>
      </w:pPr>
      <w:r>
        <w:t xml:space="preserve">Not one of these forces asks the operator to buy the environmental case for a shorter horizon, because the mechanism stays indifferent to what drives operators. An operator may trim its declared disposal because it grants the debris-mitigation argument, or purely because straying from the default is costly, and the design neither can nor needs to sort these drivers apart. All the hypothesis asks is that the declared figure answer the rule. That bar sits deliberately low, and keeping it low is what gives a null result its teeth: should declarations hold still even as the friction, reputational, and anticipatory forces all pull one way, the formal default is accomplishing next to nothing.</w:t>
      </w:r>
    </w:p>
    <w:bookmarkEnd w:id="77"/>
    <w:bookmarkStart w:id="78" w:name="why-the-mechanism-might-be-weak"/>
    <w:p>
      <w:pPr>
        <w:pStyle w:val="Heading2"/>
        <w:spacing w:line="480" w:lineRule="auto"/>
      </w:pPr>
      <w:r>
        <w:t xml:space="preserve">3.2 Why the mechanism might be weak</w:t>
      </w:r>
    </w:p>
    <w:p>
      <w:pPr>
        <w:pStyle w:val="FirstParagraph"/>
        <w:spacing w:line="480" w:lineRule="auto"/>
      </w:pPr>
      <w:r>
        <w:t xml:space="preserve">A serious theory owns up to the ways its own mechanism might break down, and three are worth airing ahead of the hypotheses. First, the default may merely put a stamp on a move already underway. Had operators started declaring shorter disposal horizons of their own accord before the boundary, spurred by better propulsion, cheaper deorbit, or a rule they saw coming, then the formal shift would leave no break, since the behavior had already moved, and the rule would trail a norm rather than cause fresh conduct. That very prospect is why the design goes local and break-based instead of a plain before-and-after look, and it is why anticipation counts as a first-order threat in Chapter 7.</w:t>
      </w:r>
    </w:p>
    <w:p>
      <w:pPr>
        <w:pStyle w:val="BodyText"/>
        <w:spacing w:line="480" w:lineRule="auto"/>
        <w:ind w:firstLine="720"/>
      </w:pPr>
      <w:r>
        <w:t xml:space="preserve">Second, stated behavior may amount to cheap talk cut loose from design. An operator might pen a five-year plan to placate the reviewer while clinging to a craft design and orbit that put five years out of easy reach, and since the orbital lifetime left after disposal is itself uncertain</w:t>
      </w:r>
      <w:r>
        <w:t xml:space="preserve"> </w:t>
      </w:r>
      <w:hyperlink w:anchor="ref-5">
        <w:r>
          <w:rPr>
            <w:rStyle w:val="Hyperlink"/>
          </w:rPr>
          <w:t xml:space="preserve">[5]</w:t>
        </w:r>
      </w:hyperlink>
      <w:r>
        <w:t xml:space="preserve">, a declared plan can run optimistic without being falsifiable at the licensing stage. Were declarations cheap talk, the mechanism could throw off a break in stated lifetimes that means little in the world. The theory takes this in stride by stating outright that the outcome is the declared promise, not realized performance, and by treating the space between the two as a limitation and not a buried claim.</w:t>
      </w:r>
    </w:p>
    <w:p>
      <w:pPr>
        <w:pStyle w:val="BodyText"/>
        <w:spacing w:line="480" w:lineRule="auto"/>
        <w:ind w:firstLine="720"/>
      </w:pPr>
      <w:r>
        <w:t xml:space="preserve">Third, some missions simply cannot make it work. Particular altitudes, mass classes, and mission profiles can reach a five-year disposal only with active propulsion the craft never carries. For those the default cannot budge the declaration, since the physics forbids it, and reference-scenario modeling makes vivid how strongly feasible disposal turns on altitude and orbital regime</w:t>
      </w:r>
      <w:r>
        <w:t xml:space="preserve"> </w:t>
      </w:r>
      <w:hyperlink w:anchor="ref-4">
        <w:r>
          <w:rPr>
            <w:rStyle w:val="Hyperlink"/>
          </w:rPr>
          <w:t xml:space="preserve">[4]</w:t>
        </w:r>
      </w:hyperlink>
      <w:r>
        <w:t xml:space="preserve"> </w:t>
      </w:r>
      <w:hyperlink w:anchor="ref-6">
        <w:r>
          <w:rPr>
            <w:rStyle w:val="Hyperlink"/>
          </w:rPr>
          <w:t xml:space="preserve">[6]</w:t>
        </w:r>
      </w:hyperlink>
      <w:r>
        <w:t xml:space="preserve">. So the theory forecasts that any behavioral response should bunch among missions where a shorter horizon is reachable, and that unevenness becomes a testable implication instead of a bother.</w:t>
      </w:r>
    </w:p>
    <w:bookmarkEnd w:id="78"/>
    <w:bookmarkStart w:id="79" w:name="X95daca5b50eadba41a3b89983e2cf7d4adcb561"/>
    <w:p>
      <w:pPr>
        <w:pStyle w:val="Heading2"/>
        <w:spacing w:line="480" w:lineRule="auto"/>
      </w:pPr>
      <w:r>
        <w:t xml:space="preserve">3.3 Predetermined characteristics and the logic of adjustment</w:t>
      </w:r>
    </w:p>
    <w:p>
      <w:pPr>
        <w:pStyle w:val="FirstParagraph"/>
        <w:spacing w:line="480" w:lineRule="auto"/>
      </w:pPr>
      <w:r>
        <w:t xml:space="preserve">For the mechanism to be identified and not confounded, the comparison has to freeze the traits that fix feasible disposal apart from the rule. A satellite’s planned operating altitude, inclination, eccentricity class, mass, propulsion availability, and mission duration are mostly locked by the time an application goes in, and together they set how fast the craft would decay after disposal. These are the very variables the environmental models use to convert an orbit into a lifetime</w:t>
      </w:r>
      <w:r>
        <w:t xml:space="preserve"> </w:t>
      </w:r>
      <w:hyperlink w:anchor="ref-4">
        <w:r>
          <w:rPr>
            <w:rStyle w:val="Hyperlink"/>
          </w:rPr>
          <w:t xml:space="preserve">[4]</w:t>
        </w:r>
      </w:hyperlink>
      <w:r>
        <w:t xml:space="preserve"> </w:t>
      </w:r>
      <w:hyperlink w:anchor="ref-6">
        <w:r>
          <w:rPr>
            <w:rStyle w:val="Hyperlink"/>
          </w:rPr>
          <w:t xml:space="preserve">[6]</w:t>
        </w:r>
      </w:hyperlink>
      <w:r>
        <w:t xml:space="preserve">. Being predetermined relative to the filing, they can be adjusted for without stirring up the post-treatment bias that conditioning on outcomes would bring.</w:t>
      </w:r>
    </w:p>
    <w:p>
      <w:pPr>
        <w:pStyle w:val="BodyText"/>
        <w:spacing w:line="480" w:lineRule="auto"/>
        <w:ind w:firstLine="720"/>
      </w:pPr>
      <w:r>
        <w:t xml:space="preserve">Constellation structure calls for its own theoretical care. Big constellations file for a host of spacecraft at once, so one operator’s design picks could take over a naive sample, dressing a single firm’s engineering call up as a rule effect. The theory therefore parts the application as a unit from the spacecraft as a unit, forecasting that a real rule effect should show under both application-weighted and spacecraft-weighted views rather than only when one large filing gets to flood the sample. Analytic domain-awareness work backs why object-level granularity matters here, since the behavior at issue is finally an object-level disposal plan even when filed in bulk</w:t>
      </w:r>
      <w:r>
        <w:t xml:space="preserve"> </w:t>
      </w:r>
      <w:hyperlink w:anchor="ref-3">
        <w:r>
          <w:rPr>
            <w:rStyle w:val="Hyperlink"/>
          </w:rPr>
          <w:t xml:space="preserve">[3]</w:t>
        </w:r>
      </w:hyperlink>
      <w:r>
        <w:t xml:space="preserve">.</w:t>
      </w:r>
    </w:p>
    <w:bookmarkEnd w:id="79"/>
    <w:bookmarkStart w:id="80" w:name="X5f007cf8728f20ab4f477034073a682596f1ea6"/>
    <w:p>
      <w:pPr>
        <w:pStyle w:val="Heading2"/>
        <w:spacing w:line="480" w:lineRule="auto"/>
      </w:pPr>
      <w:r>
        <w:t xml:space="preserve">3.3a Competing accounts and how the design adjudicates</w:t>
      </w:r>
    </w:p>
    <w:p>
      <w:pPr>
        <w:pStyle w:val="FirstParagraph"/>
        <w:spacing w:line="480" w:lineRule="auto"/>
      </w:pPr>
      <w:r>
        <w:t xml:space="preserve">A good theory names not just its own mechanism but the rival stories it has to beat, and three rivals warrant plain statement. First comes the pure norm-drift story, on which declared disposal horizons were already shrinking for reasons nothing to do with the rule, so any post-boundary fall marks a trend and not a treatment. The break design settles this by hunting for a jump at the boundary rather than a slope across it: drift yields a smooth fall, while a rule effect yields a jump. Second comes the composition story, on which the blend of missions filing shifted at the boundary, so shorter declared horizons reflect different spacecraft rather than changed behavior by like spacecraft. Covariate-balance checks settle this by testing whether predetermined traits jump at the boundary</w:t>
      </w:r>
      <w:r>
        <w:t xml:space="preserve"> </w:t>
      </w:r>
      <w:hyperlink w:anchor="ref-4">
        <w:r>
          <w:rPr>
            <w:rStyle w:val="Hyperlink"/>
          </w:rPr>
          <w:t xml:space="preserve">[4]</w:t>
        </w:r>
      </w:hyperlink>
      <w:r>
        <w:t xml:space="preserve">.</w:t>
      </w:r>
    </w:p>
    <w:p>
      <w:pPr>
        <w:pStyle w:val="BodyText"/>
        <w:spacing w:line="480" w:lineRule="auto"/>
        <w:ind w:firstLine="720"/>
      </w:pPr>
      <w:r>
        <w:t xml:space="preserve">Third comes the enforcement-substitution story, on which operators answer not the default itself but a concurrent change in enforcement intensity or review scrutiny. This rival resists a clean dismissal, since enforcement and the default may shift together, and the design’s honest reply is to bound it rather than erase it: if review scrutiny shifted on a different date than the default, the two come apart, and if they shifted together, the estimate absorbs their combined effect and gets read that way. Naming this rival matters, since it marks the edge of what a break in the declaration can lay at the default’s feet alone. Coordination through the default is the mechanism this chapter stands behind. Where enforcement moves in lockstep, the design gauges the joint instrument, and the discussion chapter treats that as a bound on reading rather than a clean isolation.</w:t>
      </w:r>
    </w:p>
    <w:bookmarkEnd w:id="80"/>
    <w:bookmarkStart w:id="81" w:name="hypotheses"/>
    <w:p>
      <w:pPr>
        <w:pStyle w:val="Heading2"/>
        <w:spacing w:line="480" w:lineRule="auto"/>
      </w:pPr>
      <w:r>
        <w:t xml:space="preserve">3.4 Hypotheses</w:t>
      </w:r>
    </w:p>
    <w:p>
      <w:pPr>
        <w:pStyle w:val="FirstParagraph"/>
        <w:spacing w:line="480" w:lineRule="auto"/>
      </w:pPr>
      <w:r>
        <w:t xml:space="preserve">The primary hypotheses bear on the disposal-rule effect the full design aims to estimate. Let the local regression-discontinuity estimate capture what the twenty-five-to-five-year boundary did to the stated post-mission disposal lifetime of affected low-Earth-orbit applications, after adjustment for the predetermined traits above.</w:t>
      </w:r>
    </w:p>
    <w:p>
      <w:pPr>
        <w:pStyle w:val="BodyText"/>
        <w:spacing w:line="480" w:lineRule="auto"/>
        <w:ind w:firstLine="720"/>
      </w:pPr>
      <w:r>
        <w:t xml:space="preserve">Take the null first. It says the effect is zero, so the twenty-five-to-five-year rule wrought no discontinuous change in the stated post-mission disposal lifetime of affected applications, and filings just past the boundary state, on average, the same disposal horizons as comparable filings just short of it. On this reading the default swaps vocabulary, not behavior.</w:t>
      </w:r>
    </w:p>
    <w:p>
      <w:pPr>
        <w:pStyle w:val="BodyText"/>
        <w:spacing w:line="480" w:lineRule="auto"/>
        <w:ind w:firstLine="720"/>
      </w:pPr>
      <w:r>
        <w:t xml:space="preserve">The primary alternative says the effect is negative. On it the rule drove a discontinuous cut in stated disposal lifetime at the boundary, so comparable applications filed just past it declare shorter disposal horizons than those filed just short of it. That is the pattern the coordination mechanism forecasts when the default carries behavioral weight and disposal is reachable.</w:t>
      </w:r>
    </w:p>
    <w:p>
      <w:pPr>
        <w:pStyle w:val="BodyText"/>
        <w:spacing w:line="480" w:lineRule="auto"/>
        <w:ind w:firstLine="720"/>
      </w:pPr>
      <w:r>
        <w:t xml:space="preserve">A directional secondary prediction trails from the feasibility argument. Should a negative effect exist, it ought to run larger for missions where a five-year disposal is technically reachable, and fade or vanish for missions where altitude, mass, or missing propulsion put a short horizon out of reach. An even effect across every feasibility class, or a large effect bunched among unreachable missions, would throw doubt on the mechanism even were the average estimate negative.</w:t>
      </w:r>
    </w:p>
    <w:bookmarkEnd w:id="81"/>
    <w:bookmarkStart w:id="82" w:name="X30de7af54db550a4a8939587cb677c7f185aead"/>
    <w:p>
      <w:pPr>
        <w:pStyle w:val="Heading2"/>
        <w:spacing w:line="480" w:lineRule="auto"/>
      </w:pPr>
      <w:r>
        <w:t xml:space="preserve">3.5 Diagnostic hypotheses about the evidence base</w:t>
      </w:r>
    </w:p>
    <w:p>
      <w:pPr>
        <w:pStyle w:val="FirstParagraph"/>
        <w:spacing w:line="480" w:lineRule="auto"/>
      </w:pPr>
      <w:r>
        <w:t xml:space="preserve">Beside the primary hypotheses, the two finished papers put a separate pair of propositions about the retrieved literature’s structure to the test. These are no tests of the disposal rule. They test whether the corpus framing the study is built by time and attention in ways that would tint any bibliometric read of the field, and casting them as formal hypotheses keeps the diagnostic work honest and links it to the results in Chapter 6.</w:t>
      </w:r>
    </w:p>
    <w:p>
      <w:pPr>
        <w:pStyle w:val="BodyText"/>
        <w:spacing w:line="480" w:lineRule="auto"/>
        <w:ind w:firstLine="720"/>
      </w:pPr>
      <w:r>
        <w:t xml:space="preserve">Topic-signal intensity is the first diagnostic hypothesis. Its null says a retrieved record’s composite topic-signal score bears no relation to publication recency, indexed citation attention, and venue family, while its alternative says the topic-signal score climbs with recency and with citation attention. The reasoning behind the alternative is plain: a fast-moving policy field ought to spin off recent records more tightly packed on the focal themes, since those themes only lately turned salient, and more visible work ought to carry a stronger signal. The estimator, an ordinary least squares regression with robust standard errors, is picked because the outcome is a bounded deterministic count and the interest lies in the sign and significance of conditional associations.</w:t>
      </w:r>
    </w:p>
    <w:p>
      <w:pPr>
        <w:pStyle w:val="BodyText"/>
        <w:spacing w:line="480" w:lineRule="auto"/>
        <w:ind w:firstLine="720"/>
      </w:pPr>
      <w:r>
        <w:t xml:space="preserve">Attention accumulation is the second diagnostic hypothesis. Its null says citation accumulation bears no relation to article age in the retrieved topic literature, while its alternative says citation accumulation follows a measurable age-based attention curve. Two rival theories weigh in. A cumulative-exposure theory holds that older documents gather more citations just by lasting longer, which implies a positive age elasticity, while an attention-renewal theory holds that a swiftly changing field pools citations on recent work tied to live policy developments, which implies a negative or flat age elasticity. The log-log learning-curve estimator is picked because it reads the age coefficient straight off as an elasticity, keeping the two theories numerically apart.</w:t>
      </w:r>
    </w:p>
    <w:bookmarkEnd w:id="82"/>
    <w:bookmarkStart w:id="83" w:name="a-a-simple-model-of-the-declared-horizon"/>
    <w:p>
      <w:pPr>
        <w:pStyle w:val="Heading2"/>
        <w:spacing w:line="480" w:lineRule="auto"/>
      </w:pPr>
      <w:r>
        <w:t xml:space="preserve">3.5a A simple model of the declared horizon</w:t>
      </w:r>
    </w:p>
    <w:p>
      <w:pPr>
        <w:pStyle w:val="FirstParagraph"/>
        <w:spacing w:line="480" w:lineRule="auto"/>
      </w:pPr>
      <w:r>
        <w:t xml:space="preserve">The mechanism admits a tighter statement, one small model and no heavy machinery. Say each operator picks a declared disposal horizon to minimize a private cost split in two: a mission cost that climbs as the declared horizon shrinks, since a shorter disposal wants more propellant, a lower disposal orbit, or a briefer operating life, and a regulatory cost that climbs as the declared horizon runs upward past the governing default, since running past it draws friction and reputational penalty. The operator’s best declaration squares these two costs at the margin. Drop the default from twenty-five years to five, and the regulatory-cost term steepens for any declaration above five, tugging the optimum toward a shorter declared horizon. The size of that tug rides on how steep the mission-cost term is, which is just where feasibility comes in: for a mission able to reach a short horizon cheaply the optimum swings far, and for a mission able to reach it only at ruinous cost the optimum hardly stirs.</w:t>
      </w:r>
    </w:p>
    <w:p>
      <w:pPr>
        <w:pStyle w:val="BodyText"/>
        <w:spacing w:line="480" w:lineRule="auto"/>
        <w:ind w:firstLine="720"/>
      </w:pPr>
      <w:r>
        <w:t xml:space="preserve">This sketch throws off the study’s testable structure directly. The average swing in declared horizons at the boundary is the primary estimand. The forecast that the swing bunches among reachable missions falls out of the unevenness in the mission-cost slope. The worry that declarations could be cheap talk maps onto a case where the mission-cost term is a mirage, so the operator declares a short horizon it never means to build toward, and the design cannot dismiss this at the licensing stage, which is why the outcome is cast as the declaration rather than the realized result. The sketch is never fit as a structural model. It stands only to show that the informal mechanism holds a coherent optimizing logic and that the hypotheses below are its natural empirical shadows.</w:t>
      </w:r>
    </w:p>
    <w:bookmarkEnd w:id="83"/>
    <w:bookmarkStart w:id="84" w:name="X2b6d4811a0d41545b8784e01ed931ac745ed472"/>
    <w:p>
      <w:pPr>
        <w:pStyle w:val="Heading2"/>
        <w:spacing w:line="480" w:lineRule="auto"/>
      </w:pPr>
      <w:r>
        <w:t xml:space="preserve">3.6 How the predictions travel back to the primary question</w:t>
      </w:r>
    </w:p>
    <w:p>
      <w:pPr>
        <w:pStyle w:val="FirstParagraph"/>
        <w:spacing w:line="480" w:lineRule="auto"/>
      </w:pPr>
      <w:r>
        <w:t xml:space="preserve">The diagnostic and primary hypotheses stand logically apart, yet the diagnostics shape how the primary result should finally be read, and the tie is indirect. Say the field’s attention pools on recent work rather than following scholarly age, and say recent records carry the sharpest topic signals. Then the intellectual setting where the disposal-rule test would be read is one of live policy salience, not settled cumulative authority, and that bears on external validity. A rule effect gauged in such a field is gauged while the norms around it are still setting, which bolsters the case that a formal default could work as a coordinating focal point precisely because operators are casting about for one. So the theory forecasts a coherent picture: a fast-moving, recency-weighted literature is just the setting where a default change stands the best chance of moving declared behavior, and the diagnostic papers test whether the literature really wears that shape. The primary design, set out in the next chapter, is what would then turn that expectation into a falsifiable estimate.</w:t>
      </w:r>
    </w:p>
    <w:p>
      <w:pPr>
        <w:pStyle w:val="BodyText"/>
        <w:spacing w:line="480" w:lineRule="auto"/>
        <w:ind w:firstLine="720"/>
      </w:pPr>
      <w:r>
        <w:t xml:space="preserve">A quick word on how the two diagnostic hypotheses relate will help keep them apart, since they part in aim while probing the same corpus from two angles. One asks what a record’s topic signal hangs on, pitting recency, citations, and venue as rival explanations. The other asks what a record’s citation count hangs on, holding age as the lone explanation of interest. The pair can point in agreeing directions or in tension, and either way informs. Should newer records carry stronger signals while citation attention fades with age, the corpus points coherently toward the present; should newer records carry stronger signals while citations still climb with age, the corpus is topically fresh yet bibliometrically conventional. Stating both hypotheses lets the results tell these cases apart rather than fold them together, which is why the diagnostic pair informs more than either estimate alone. The evidence base cast this way is no passive backdrop. Its temporal shape belongs to the argument that a default change is timely, and testing that shape is a precondition for reading the eventual primary estimate right</w:t>
      </w:r>
      <w:r>
        <w:t xml:space="preserve"> </w:t>
      </w:r>
      <w:hyperlink w:anchor="ref-6">
        <w:r>
          <w:rPr>
            <w:rStyle w:val="Hyperlink"/>
          </w:rPr>
          <w:t xml:space="preserve">[6]</w:t>
        </w:r>
      </w:hyperlink>
      <w:r>
        <w:t xml:space="preserve"> </w:t>
      </w:r>
      <w:hyperlink w:anchor="ref-7">
        <w:r>
          <w:rPr>
            <w:rStyle w:val="Hyperlink"/>
          </w:rPr>
          <w:t xml:space="preserve">[7]</w:t>
        </w:r>
      </w:hyperlink>
      <w:r>
        <w:t xml:space="preserve">.</w:t>
      </w:r>
    </w:p>
    <w:bookmarkEnd w:id="84"/>
    <w:bookmarkEnd w:id="85"/>
    <w:bookmarkStart w:id="94" w:name="X940caaf6d3ac92c12a69529db0381ad3e868d7e"/>
    <w:p>
      <w:pPr>
        <w:pStyle w:val="Heading1"/>
        <w:spacing w:line="480" w:lineRule="auto"/>
      </w:pPr>
      <w:r>
        <w:t xml:space="preserve">Chapter 4. Methodology and Identification</w:t>
      </w:r>
    </w:p>
    <w:bookmarkStart w:id="86" w:name="the-estimand-and-the-estimator"/>
    <w:p>
      <w:pPr>
        <w:pStyle w:val="Heading2"/>
        <w:spacing w:line="480" w:lineRule="auto"/>
      </w:pPr>
      <w:r>
        <w:t xml:space="preserve">4.1 The estimand and the estimator</w:t>
      </w:r>
    </w:p>
    <w:p>
      <w:pPr>
        <w:pStyle w:val="FirstParagraph"/>
        <w:spacing w:line="480" w:lineRule="auto"/>
      </w:pPr>
      <w:r>
        <w:t xml:space="preserve">Identification sits at the core of any quasi-experimental design, and the estimand earns a statement ahead of the estimator. What we want is the discontinuous change in stated post-mission disposal lifetime traceable to the instant the five-year default took hold over affected low-Earth-orbit applications, and every other piece of this chapter bends toward that lone target. The primary estimator is a local linear regression-discontinuity design in time, pinned to the administrative boundary. Its running variable is the filing or authorization date relative to that boundary, and its outcome is the disposal lifetime, in years, coded off the orbital-debris assessment.</w:t>
      </w:r>
    </w:p>
    <w:p>
      <w:pPr>
        <w:pStyle w:val="BodyText"/>
        <w:spacing w:line="480" w:lineRule="auto"/>
        <w:ind w:firstLine="720"/>
      </w:pPr>
      <w:r>
        <w:t xml:space="preserve">At heart the estimator weighs near neighbors on opposite sides of a hard edge. Applications lodged just short of the boundary and just past it meet the same technology, the same launch market, and the same creeping sustainability norms. Only the default parts them. If the sole thing to jump discontinuously at the edge is the disposal expectation that applies, then a jump in the stated lifetime there can be laid at the rule’s feet rather than a broad trend’s. The estimating equation regresses the disposal-lifetime outcome on a marker for post-boundary status, a supple local time trend fit on each side of the edge on its own, and a vector of predetermined covariates. Its coefficient on the post-boundary marker is the estimate of what the rule did.</w:t>
      </w:r>
    </w:p>
    <w:p>
      <w:pPr>
        <w:pStyle w:val="BodyText"/>
        <w:spacing w:line="480" w:lineRule="auto"/>
        <w:ind w:firstLine="720"/>
      </w:pPr>
      <w:r>
        <w:t xml:space="preserve">Two traits of the estimator warrant stress. First, the time trends run local and side-by-side, letting the tie between filing date and disposal lifetime differ short of and past the edge without ramming one global slope through the break. Second, the covariates come in as adjustments for traits locked before the filing, tightening precision and hedging against slight imbalances in the local sample. The design is sharp, not fuzzy, since the default’s reach is settled administratively by the filing’s date and type rather than chosen by the operator, so treatment status is a deterministic function of the running variable at the edge.</w:t>
      </w:r>
    </w:p>
    <w:bookmarkEnd w:id="86"/>
    <w:bookmarkStart w:id="87" w:name="X0c19c027722ce74d09a87e7b741008e401e10bf"/>
    <w:p>
      <w:pPr>
        <w:pStyle w:val="Heading2"/>
        <w:spacing w:line="480" w:lineRule="auto"/>
      </w:pPr>
      <w:r>
        <w:t xml:space="preserve">4.2 Why the discontinuity identifies the effect</w:t>
      </w:r>
    </w:p>
    <w:p>
      <w:pPr>
        <w:pStyle w:val="FirstParagraph"/>
        <w:spacing w:line="480" w:lineRule="auto"/>
      </w:pPr>
      <w:r>
        <w:t xml:space="preserve">A regression-discontinuity design identifies a causal effect under one continuity assumption: absent the rule, the expected outcome would drift smoothly through the edge. The danger to that assumption is that something else jumps at the very same date, or that operators arrange themselves neatly across the edge. Both dangers the design meets head-on. Should applications just short of and just past the edge match up in their predetermined traits, the continuity assumption holds up, and the estimate reads as the rule’s effect and not a coincident shift’s.</w:t>
      </w:r>
    </w:p>
    <w:p>
      <w:pPr>
        <w:pStyle w:val="BodyText"/>
        <w:spacing w:line="480" w:lineRule="auto"/>
        <w:ind w:firstLine="720"/>
      </w:pPr>
      <w:r>
        <w:t xml:space="preserve">Comparability gets tested, never granted. The design checks whether predetermined covariates, planned altitude, inclination, mass, propulsion availability, mission duration, and constellation status, drift smoothly across the edge. A jump in a predetermined covariate would flag that the two sides differ for reasons apart from the rule, narrowing or nullifying the causal read. Since the environmental-modeling literature shows these orbital traits are exactly what map an orbit onto a disposal lifetime</w:t>
      </w:r>
      <w:r>
        <w:t xml:space="preserve"> </w:t>
      </w:r>
      <w:hyperlink w:anchor="ref-4">
        <w:r>
          <w:rPr>
            <w:rStyle w:val="Hyperlink"/>
          </w:rPr>
          <w:t xml:space="preserve">[4]</w:t>
        </w:r>
      </w:hyperlink>
      <w:r>
        <w:t xml:space="preserve"> </w:t>
      </w:r>
      <w:hyperlink w:anchor="ref-6">
        <w:r>
          <w:rPr>
            <w:rStyle w:val="Hyperlink"/>
          </w:rPr>
          <w:t xml:space="preserve">[6]</w:t>
        </w:r>
      </w:hyperlink>
      <w:r>
        <w:t xml:space="preserve">, balance in them is the precise condition under which a jump in the outcome can be pinned on the default and not the blend of missions.</w:t>
      </w:r>
    </w:p>
    <w:p>
      <w:pPr>
        <w:pStyle w:val="BodyText"/>
        <w:spacing w:line="480" w:lineRule="auto"/>
        <w:ind w:firstLine="720"/>
      </w:pPr>
      <w:r>
        <w:t xml:space="preserve">The local window bears most of the load, and it is the design’s front-line guard against slow-creeping confounders. Constellation business models, propulsion technology, and sustainability norms all shift, yet they shift by inches. Confining attention to filings near the edge strips out most of that variation by construction, since gradual forces get little time to work inside a tight band. The catch is the familiar bias-variance strain of local estimation: a tight band trims bias from confounding but pumps up variance by throwing away data. The design meets the strain through bandwidth sensitivity, laying the estimate out across several bandwidths so readers can judge whether the result is a fluke of one arbitrary window.</w:t>
      </w:r>
    </w:p>
    <w:bookmarkEnd w:id="87"/>
    <w:bookmarkStart w:id="88" w:name="X9a4b7b76dcc71fbaaeb80a6e572c5024f011f17"/>
    <w:p>
      <w:pPr>
        <w:pStyle w:val="Heading2"/>
        <w:spacing w:line="480" w:lineRule="auto"/>
      </w:pPr>
      <w:r>
        <w:t xml:space="preserve">4.2a Why a discontinuity design rather than the alternatives</w:t>
      </w:r>
    </w:p>
    <w:p>
      <w:pPr>
        <w:pStyle w:val="FirstParagraph"/>
        <w:spacing w:line="480" w:lineRule="auto"/>
      </w:pPr>
      <w:r>
        <w:t xml:space="preserve">Reaching for a regression-discontinuity design means turning down several plausible rivals, and the grounds make plain what the design buys. A plain before-and-after look at disposal declarations would tangle the rule with every other force that shifted between the two spans, better propulsion, cheaper launch, and the general swell of sustainability norms among them</w:t>
      </w:r>
      <w:r>
        <w:t xml:space="preserve"> </w:t>
      </w:r>
      <w:hyperlink w:anchor="ref-7">
        <w:r>
          <w:rPr>
            <w:rStyle w:val="Hyperlink"/>
          </w:rPr>
          <w:t xml:space="preserve">[7]</w:t>
        </w:r>
      </w:hyperlink>
      <w:r>
        <w:t xml:space="preserve">, and would charge the rule with whatever trend happened to run alongside. The discontinuity design routs this tangle by matching filings set apart by days or weeks, not years, over which those slow forces cannot budge much.</w:t>
      </w:r>
    </w:p>
    <w:p>
      <w:pPr>
        <w:pStyle w:val="BodyText"/>
        <w:spacing w:line="480" w:lineRule="auto"/>
        <w:ind w:firstLine="720"/>
      </w:pPr>
      <w:r>
        <w:t xml:space="preserve">A difference-in-differences design would call for a believable control group of filings the default never touched, and no clean control is on offer. The default reaches a defined class of low-Earth-orbit applications by administrative rule. The applications outside that class part ways systematically in orbit, mission, and disposal physics, so they cannot stand in as a parallel-trends control. An instrumental-variables design would call for an instrument that swings default exposure without otherwise touching declared disposal, and the filing date, the obvious candidate, is the very running variable the discontinuity design already works more directly. A matching design would balance the covariates it can see yet leave the comparison open to the unseen slow trends the local window sweeps up on its own. Against each rival the discontinuity design brings the same edge: it turns the administrative sharpness of the boundary into identification, asking only that outcomes would have drifted smoothly through the date had the rule never come.</w:t>
      </w:r>
    </w:p>
    <w:p>
      <w:pPr>
        <w:pStyle w:val="BodyText"/>
        <w:spacing w:line="480" w:lineRule="auto"/>
        <w:ind w:firstLine="720"/>
      </w:pPr>
      <w:r>
        <w:t xml:space="preserve">That edge costs external validity. A discontinuity estimate is local. It covers filings near the edge and the compliers who react at that margin, and it says nothing straight about operators far from the boundary or a rule set under other conditions. This is a real limitation, not a buried one, and Chapter 7 works it through in full. The design swaps breadth of claim for firmness of identification, the right swap for a first falsifiable test of whether the default stirs behavior at all.</w:t>
      </w:r>
    </w:p>
    <w:bookmarkEnd w:id="88"/>
    <w:bookmarkStart w:id="89" w:name="robustness-architecture"/>
    <w:p>
      <w:pPr>
        <w:pStyle w:val="Heading2"/>
        <w:spacing w:line="480" w:lineRule="auto"/>
      </w:pPr>
      <w:r>
        <w:t xml:space="preserve">4.3 Robustness architecture</w:t>
      </w:r>
    </w:p>
    <w:p>
      <w:pPr>
        <w:pStyle w:val="FirstParagraph"/>
        <w:spacing w:line="480" w:lineRule="auto"/>
      </w:pPr>
      <w:r>
        <w:t xml:space="preserve">A believable discontinuity design comes packed with its own stress tests, and this one lays them out ahead of time. Anticipation leads. It gets bounded through donut specifications that drop filings in a narrow band right around the edge, where operators most plausibly clocked their submissions to the looming rule. Should the estimate ride out that band’s removal, anticipation worries less; should it fall apart, the effect may trace to strategic timing and not the rule’s behavioral pull. This aims straight at the first failure mode named in Chapter 3.</w:t>
      </w:r>
    </w:p>
    <w:p>
      <w:pPr>
        <w:pStyle w:val="BodyText"/>
        <w:spacing w:line="480" w:lineRule="auto"/>
        <w:ind w:firstLine="720"/>
      </w:pPr>
      <w:r>
        <w:t xml:space="preserve">Sorting gets tested through the density and mix of filings around the edge. A surge or dip in filing volume at the boundary, or a jump in filers’ observable traits, would betray operators gaming their timing in ways that wreck the clean match. The design also splits original applications off from modifications, amendments, and petitions, since these filing types meet different review dynamics and might answer the default in different ways, and laying the estimate out by filing type keeps an uneven response from being blended into one uninterpretable figure.</w:t>
      </w:r>
    </w:p>
    <w:p>
      <w:pPr>
        <w:pStyle w:val="BodyText"/>
        <w:spacing w:line="480" w:lineRule="auto"/>
        <w:ind w:firstLine="720"/>
      </w:pPr>
      <w:r>
        <w:t xml:space="preserve">Grandfathering gets handled by dropping it. Some post-boundary filings openly keep a pre-boundary disposal design under transitional provisions. Folding them in would dull the estimate by blending treated and effectively untreated records. So the design drops filings that grandfather pre-boundary disposal commitments, leaving the post-boundary group to reflect applications truly bound by the new default. The constellation worry from Chapter 3 gets met by laying out both application-weighted and spacecraft-weighted estimates and by carrying a constellation marker, so one large operator’s design cannot pass itself off as a rule effect.</w:t>
      </w:r>
    </w:p>
    <w:bookmarkEnd w:id="89"/>
    <w:bookmarkStart w:id="90" w:name="X9c3c8096402ae120fe64985debec68a13338c21"/>
    <w:p>
      <w:pPr>
        <w:pStyle w:val="Heading2"/>
        <w:spacing w:line="480" w:lineRule="auto"/>
      </w:pPr>
      <w:r>
        <w:t xml:space="preserve">4.3a Placebo cutoffs and falsification tests</w:t>
      </w:r>
    </w:p>
    <w:p>
      <w:pPr>
        <w:pStyle w:val="FirstParagraph"/>
        <w:spacing w:line="480" w:lineRule="auto"/>
      </w:pPr>
      <w:r>
        <w:t xml:space="preserve">A discontinuity design wins credibility not only by riding out its robustness checks but by failing right where it ought to fail, and the design lays out falsification tests to that end. The first is a batch of placebo cutoffs, running the same local estimator at dates where no rule change happened, short of and past the true edge. A real rule effect ought to surface at the true edge and dissolve at the placebo dates. Should large jumps surface at placebo cutoffs, the design is catching noise or unmodeled seasonality and not the rule, and the true-edge estimate forfeits its claim to cause. Running placebos across a grid of dates turns this from a lone check into a distribution the true estimate can be set against.</w:t>
      </w:r>
    </w:p>
    <w:p>
      <w:pPr>
        <w:pStyle w:val="BodyText"/>
        <w:spacing w:line="480" w:lineRule="auto"/>
        <w:ind w:firstLine="720"/>
      </w:pPr>
      <w:r>
        <w:t xml:space="preserve">The second falsification test presses covariates into service as pseudo-outcomes. Since the predetermined traits ought not to answer the rule, running the discontinuity estimator with a covariate on the left-hand side ought to hand back a null, and a real jump in planned altitude or mass at the edge would flag that the two sides differ for reasons the rule never caused, which is the composition threat in working form. The third test eyes the density of the running variable itself, since a sharp surge or dip in filing counts at the edge would betray timing games. Together these tests hand the design several free-standing ways to be shown wrong, which is just what a falsifiable design ought to offer. An estimate that rides out both the robustness architecture and the falsification tests is far more than a lone regression coefficient; it is a coefficient that has again and again turned down the chance to be a fluke.</w:t>
      </w:r>
    </w:p>
    <w:bookmarkEnd w:id="90"/>
    <w:bookmarkStart w:id="91" w:name="the-two-diagnostic-estimators"/>
    <w:p>
      <w:pPr>
        <w:pStyle w:val="Heading2"/>
        <w:spacing w:line="480" w:lineRule="auto"/>
      </w:pPr>
      <w:r>
        <w:t xml:space="preserve">4.4 The two diagnostic estimators</w:t>
      </w:r>
    </w:p>
    <w:p>
      <w:pPr>
        <w:pStyle w:val="FirstParagraph"/>
        <w:spacing w:line="480" w:lineRule="auto"/>
      </w:pPr>
      <w:r>
        <w:t xml:space="preserve">Two diagnostic estimators still await specification. The full discontinuity design wants the assembled licensing corpus the next chapter lays out, and at the design stage the study also runs two diagnostic estimators over the retrieved topic literature. Since Chapter 6 reports their exact output, their specification belongs here. These estimators run no test of the disposal rule. They test how the evidence base is built, and they get reported with full transparency so the diagnostic role stays unmistakable.</w:t>
      </w:r>
    </w:p>
    <w:p>
      <w:pPr>
        <w:pStyle w:val="BodyText"/>
        <w:spacing w:line="480" w:lineRule="auto"/>
        <w:ind w:firstLine="720"/>
      </w:pPr>
      <w:r>
        <w:t xml:space="preserve">The first is ordinary least squares with robust HC1 standard errors, and its dependent variable is a composite topic-signal score, a deterministic count of candidate-theme term hits across the title, snippet, keyword field, and author metadata of each retrieved record. Its regressors are a recency index, worked out as the publication year minus the sample’s minimum publication year plus one; an indexed citation count pulled from the local brain index; and an ordinal venue-family score coded as AMOS equals one, Acta Astronautica equals two, and Space Economy equals three. An intercept goes in. Robust HC1 standard errors serve because the outcome is a deterministic count and the records vary in metadata richness and venue convention, so homoskedasticity is unlikely, and the estimator recovers how the topic-signal score conditionally associates with each of the three traits.</w:t>
      </w:r>
    </w:p>
    <w:p>
      <w:pPr>
        <w:pStyle w:val="BodyText"/>
        <w:spacing w:line="480" w:lineRule="auto"/>
        <w:ind w:firstLine="720"/>
      </w:pPr>
      <w:r>
        <w:t xml:space="preserve">The second diagnostic estimator is a log-log learning curve, once more with robust HC1 standard errors. Its dependent variable is the natural log of the citation count plus one, where the plus-one keeps the log defined for uncited records, and its lone regressor is the natural log of a document age index, worked out as 2026 minus the publication year plus one. The estimator serves because it reads the age coefficient straight off as an elasticity, the estimated percentage change in the transformed citation measure that goes with a one percent change in document age, and that elasticity is what numerically splits the cumulative-exposure and attention-renewal theories set out in Chapter 3. Both diagnostic estimators are fit on the same thirty retrieved records, and their output gets reported in the results chapter without rounding or alteration.</w:t>
      </w:r>
    </w:p>
    <w:bookmarkEnd w:id="91"/>
    <w:bookmarkStart w:id="92" w:name="Xf4707cc9bf82a85ebd623d4b7fab8f5f5aa4365"/>
    <w:p>
      <w:pPr>
        <w:pStyle w:val="Heading2"/>
        <w:spacing w:line="480" w:lineRule="auto"/>
      </w:pPr>
      <w:r>
        <w:t xml:space="preserve">4.5 Why these estimators suit their questions</w:t>
      </w:r>
    </w:p>
    <w:p>
      <w:pPr>
        <w:pStyle w:val="FirstParagraph"/>
        <w:spacing w:line="480" w:lineRule="auto"/>
      </w:pPr>
      <w:r>
        <w:t xml:space="preserve">Each estimator answers to the shape of its outcome. The topic-signal score is a small nonnegative integer count with no upper structural bound in the sample, and the interest turns on whether recency and attention move its conditional mean. Ordinary least squares with robust standard errors hands over readable additive coefficients for that question and stays well-behaved with a modest count of regressors. A count model like Poisson would be defensible, yet the deterministic build of the score and the diagnostic aim make the linear conditional-mean specification the plainer pick, and the robust standard errors shield inference against the heteroskedasticity a count outcome usually shows.</w:t>
      </w:r>
    </w:p>
    <w:p>
      <w:pPr>
        <w:pStyle w:val="BodyText"/>
        <w:spacing w:line="480" w:lineRule="auto"/>
        <w:ind w:firstLine="720"/>
      </w:pPr>
      <w:r>
        <w:t xml:space="preserve">The learning-curve specification answers the attention question because the theory is cast in elasticity terms. Whether attention piles up with age or renews toward recent work is at root a question about the proportional tie between age and citations. The log-log form gauges that tie directly while also yielding a readable progress ratio for a doubling of age. The plus-one is a stock device for holding onto uncited records instead of dropping them, which counts here because most retrieved records go uncited in the local index and dropping them would tilt the sample toward the few heavily cited items.</w:t>
      </w:r>
    </w:p>
    <w:p>
      <w:pPr>
        <w:pStyle w:val="BodyText"/>
        <w:spacing w:line="480" w:lineRule="auto"/>
        <w:ind w:firstLine="720"/>
      </w:pPr>
      <w:r>
        <w:t xml:space="preserve">Statistical power warrants a note for the diagnostic estimators, since thirty records is thin. Small samples stretch confidence intervals and put significance thresholds further out of reach. This is a real constraint, and it shapes how the results should be read: a coefficient that misses significance in thirty records is thin evidence of no effect rather than firm evidence, since the test just wants the power to catch a modest true effect. The learning-curve age coefficient lands squarely in that bin, and Chapter 6 reports its p-value straight rather than dressing a near-miss as either a confirmation or a clean null. The ordinary least squares model does better on power, since its recency and venue coefficients loom large against their standard errors, though the same caution holds in principle. Reporting the exact standard errors and p-values, rather than a bare significant-or-not call, lets the reader weigh the evidence with the sample size in plain view.</w:t>
      </w:r>
    </w:p>
    <w:p>
      <w:pPr>
        <w:pStyle w:val="BodyText"/>
        <w:spacing w:line="480" w:lineRule="auto"/>
        <w:ind w:firstLine="720"/>
      </w:pPr>
      <w:r>
        <w:t xml:space="preserve">The next chapter turns from estimators to the data those estimators feed on and the primary corpus the discontinuity design would in the end require.</w:t>
      </w:r>
    </w:p>
    <w:bookmarkEnd w:id="92"/>
    <w:bookmarkStart w:id="93" w:name="inference-and-reporting-discipline"/>
    <w:p>
      <w:pPr>
        <w:pStyle w:val="Heading2"/>
        <w:spacing w:line="480" w:lineRule="auto"/>
      </w:pPr>
      <w:r>
        <w:t xml:space="preserve">4.6 Inference and reporting discipline</w:t>
      </w:r>
    </w:p>
    <w:p>
      <w:pPr>
        <w:pStyle w:val="FirstParagraph"/>
        <w:spacing w:line="480" w:lineRule="auto"/>
      </w:pPr>
      <w:r>
        <w:t xml:space="preserve">Bandwidth choice warrants a closing methodological word, since it is where a discontinuity design draws the most fire. A tight bandwidth trims bias from confounders yet throws away data and pumps up variance, while a wide one flips the trade. No lone choice is right. So the design lays out a profile of estimates across bandwidths rather than one number lashed to a single arbitrary window. A result that keeps its sign and rough size across a span of bandwidths carries weight; one that shows only at a single hand-picked window does not. Data-driven bandwidth selectors exist and can ride alongside the profile, yet the profile itself is the honest display, since it lets the reader watch the bias-variance trade rather than trust a selector to settle it out of sight. The same openness rules the pick of local polynomial order, where a linear specification is the default and a quadratic rides along as a check against curvature near the edge.</w:t>
      </w:r>
    </w:p>
    <w:p>
      <w:pPr>
        <w:pStyle w:val="BodyText"/>
        <w:spacing w:line="480" w:lineRule="auto"/>
        <w:ind w:firstLine="720"/>
      </w:pPr>
      <w:r>
        <w:t xml:space="preserve">Exactness is the reporting standard for every estimate in this dissertation. Coefficients, standard errors, p-values, and sample sizes get reported as the analysis output holds them rather than rounded into false precision or trimmed to flatter a hypothesis. This discipline weighs most for the diagnostic papers, whose results run mixed and part-way against their own alternative hypotheses. A study that reported only the confirming coefficients while burying the disconfirming ones would flunk the falsifiability standard the whole design is built to keep. So Chapter 6 states every reported quantity, the negative citation coefficient and the age coefficient whose p-value clears no conventional threshold included, and reads each on its own terms. A quasi-experimental design earns its worth in its readiness to be wrong out loud, and the reporting discipline is what makes that readiness believable.</w:t>
      </w:r>
    </w:p>
    <w:bookmarkEnd w:id="93"/>
    <w:bookmarkEnd w:id="94"/>
    <w:bookmarkStart w:id="103" w:name="chapter-5.-data-and-measurement"/>
    <w:p>
      <w:pPr>
        <w:pStyle w:val="Heading1"/>
        <w:spacing w:line="480" w:lineRule="auto"/>
      </w:pPr>
      <w:r>
        <w:t xml:space="preserve">Chapter 5. Data and Measurement</w:t>
      </w:r>
    </w:p>
    <w:bookmarkStart w:id="95" w:name="the-primary-licensing-corpus"/>
    <w:p>
      <w:pPr>
        <w:pStyle w:val="Heading2"/>
        <w:spacing w:line="480" w:lineRule="auto"/>
      </w:pPr>
      <w:r>
        <w:t xml:space="preserve">5.1 The primary licensing corpus</w:t>
      </w:r>
    </w:p>
    <w:p>
      <w:pPr>
        <w:pStyle w:val="FirstParagraph"/>
        <w:spacing w:line="480" w:lineRule="auto"/>
      </w:pPr>
      <w:r>
        <w:t xml:space="preserve">Filings are the primary data. The empirical core of the full design would rise from the satellite application and authorization records of the national space regulator, pulled from its electronic filing system and the successor system that took its place. The primary records that matter are satellite space-station filings and their attachments: original authorization requests, modifications, amendments, and petitions for declaratory ruling, along with the orbital-debris assessment reports, technical narratives, grants, conditions, and public correspondence pinned to each. Here an operator’s disposal plan first enters the record. That is why these documents form the natural site for gauging whether the rule shifted declared behavior.</w:t>
      </w:r>
    </w:p>
    <w:p>
      <w:pPr>
        <w:pStyle w:val="BodyText"/>
        <w:spacing w:line="480" w:lineRule="auto"/>
        <w:ind w:firstLine="720"/>
      </w:pPr>
      <w:r>
        <w:t xml:space="preserve">The unit of analysis leads off. It is the satellite application, or the satellite-by-application record where a lone application covers several spacecraft with separately stated orbital and disposal traits. This twin definition is no technicality. A big constellation filing and a one-spacecraft filing both count as applications, yet they carry wildly different spacecraft tallies, and the pick of unit swings which operators run the sample. To hold that pick in view, the design builds both application-level and spacecraft-level records so the discontinuity estimate can be laid out under both weightings, in keeping with the constellation caution worked up in the theory and methodology chapters.</w:t>
      </w:r>
    </w:p>
    <w:p>
      <w:pPr>
        <w:pStyle w:val="BodyText"/>
        <w:spacing w:line="480" w:lineRule="auto"/>
        <w:ind w:firstLine="720"/>
      </w:pPr>
      <w:r>
        <w:t xml:space="preserve">The outcome follows. It is the stated post-mission disposal lifetime, in years, from mission’s end to atmospheric reentry or other finished disposal, as disclosed in the orbital-debris assessment. Coding it is a heavy task blending hand-coding with machine help. The coding protocol pulls out the stated end-of-mission disposal plan, the asserted span to reentry or finished disposal, the compliance benchmark cited, the planned disposal altitude or perigee, and any propulsion assumptions and contingency wording. Where a filing states a range, the main specification takes the upper bound and a robustness coding takes the midpoint. Where a filing hands over only decay-modeling output, the coded value is the stated modeled span from the disposal maneuver to reentry. The original text stays beside the coded value so ambiguous cases can be double-coded and audited.</w:t>
      </w:r>
    </w:p>
    <w:bookmarkEnd w:id="95"/>
    <w:bookmarkStart w:id="96" w:name="constructing-treatment"/>
    <w:p>
      <w:pPr>
        <w:pStyle w:val="Heading2"/>
        <w:spacing w:line="480" w:lineRule="auto"/>
      </w:pPr>
      <w:r>
        <w:t xml:space="preserve">5.2 Constructing treatment</w:t>
      </w:r>
    </w:p>
    <w:p>
      <w:pPr>
        <w:pStyle w:val="FirstParagraph"/>
        <w:spacing w:line="480" w:lineRule="auto"/>
      </w:pPr>
      <w:r>
        <w:t xml:space="preserve">Treatment is exposure to the five-year default. It gets built from the meeting of a filing’s date, type, and regulatory reach. The treated population is low-Earth-orbit applications with planned operating or disposal regimes that state a post-mission disposal lifetime and that the five-year default governs. The boundary date gets coded from the administrative effective date that rules the application record, then checked against the wording of the grant and of the operator’s own orbital-debris assessment. This checking step counts. The applicable expectation is what the theory says operators react to, and reading it straight from the grant and assessment hedges against mislabeling filings that sit under transitional or grandfathered provisions.</w:t>
      </w:r>
    </w:p>
    <w:p>
      <w:pPr>
        <w:pStyle w:val="BodyText"/>
        <w:spacing w:line="480" w:lineRule="auto"/>
        <w:ind w:firstLine="720"/>
      </w:pPr>
      <w:r>
        <w:t xml:space="preserve">The gap between the application date and the grant date wants care in building treatment, since the two can bracket the boundary. An application lodged short of the boundary but granted past it meets an unclear default, and the coding clears the fog by reading the applicable expectation straight from the grant and the operator’s own assessment rather than guessing it from either date alone. Filings whose applicable default cannot be settled cleanly get flagged for separate treatment, so the main estimate leans only on records whose exposure is plain. This care counts because a discontinuity design is only as sharp as its assignment rule, and a sloppy treatment definition would smear the very boundary the design works.</w:t>
      </w:r>
    </w:p>
    <w:p>
      <w:pPr>
        <w:pStyle w:val="BodyText"/>
        <w:spacing w:line="480" w:lineRule="auto"/>
        <w:ind w:firstLine="720"/>
      </w:pPr>
      <w:r>
        <w:t xml:space="preserve">Since reach follows from the filing’s date and type rather than operator choice, treatment is a deterministic function of the running variable at the boundary, which is what keeps the discontinuity sharp and not fuzzy. Filings that openly keep a pre-boundary disposal design under transitional provisions get flagged and cut from the main treated group, so the post-boundary sample reflects applications truly under the new default. The measurement literature’s caution that a stated lifetime is a plan under uncertainty rather than a guaranteed result</w:t>
      </w:r>
      <w:r>
        <w:t xml:space="preserve"> </w:t>
      </w:r>
      <w:hyperlink w:anchor="ref-5">
        <w:r>
          <w:rPr>
            <w:rStyle w:val="Hyperlink"/>
          </w:rPr>
          <w:t xml:space="preserve">[5]</w:t>
        </w:r>
      </w:hyperlink>
      <w:r>
        <w:t xml:space="preserve"> </w:t>
      </w:r>
      <w:r>
        <w:t xml:space="preserve">shows up in how treatment is built: what gets measured is exposure to a changed expectation and the declared answer to it, not a verified physical result.</w:t>
      </w:r>
    </w:p>
    <w:bookmarkEnd w:id="96"/>
    <w:bookmarkStart w:id="97" w:name="X81d68e5e948e5592af0cdafedc41538d98f0f43"/>
    <w:p>
      <w:pPr>
        <w:pStyle w:val="Heading2"/>
        <w:spacing w:line="480" w:lineRule="auto"/>
      </w:pPr>
      <w:r>
        <w:t xml:space="preserve">5.2a Coding the outcome under linguistic heterogeneity</w:t>
      </w:r>
    </w:p>
    <w:p>
      <w:pPr>
        <w:pStyle w:val="FirstParagraph"/>
        <w:spacing w:line="480" w:lineRule="auto"/>
      </w:pPr>
      <w:r>
        <w:t xml:space="preserve">Wringing a clean numeric disposal lifetime out of varied filing language is the single toughest measurement job in the primary corpus. Orbital-debris assessments obey no shared template. One filing may lay out a disposal plan as a maneuver to a lower perigee trailed by a modeled reentry span; another may cite a compliance benchmark and claim conformance with no stated figure; a third may hand over a range hinging on solar activity. The coding protocol meets this spread head-on rather than wishing it away. Every filing gets read for its stated end-of-mission plan, its asserted span to reentry or finished disposal, the benchmark it cites, the disposal altitude or perigee it aims at, and the propulsion and contingency assumptions under the figure.</w:t>
      </w:r>
    </w:p>
    <w:p>
      <w:pPr>
        <w:pStyle w:val="BodyText"/>
        <w:spacing w:line="480" w:lineRule="auto"/>
        <w:ind w:firstLine="720"/>
      </w:pPr>
      <w:r>
        <w:t xml:space="preserve">A handful of stated decision rules keep the coding reproducible. Where a filing states a range, the main specification grabs the upper bound, since the upper bound is the most conservative read of the operator’s committed horizon, and a robustness coding grabs the midpoint so the estimate’s sensitivity to the pick stays visible. Where a filing hands over only decay-modeling output rather than a headline figure, the coded value is the stated modeled span from the disposal maneuver to reentry, the operator’s own quantitative claim. Where a filing claims conformance to a benchmark with no distinct figure, the coded value is the benchmark itself, flagged as benchmark-derived so these records can be cut in a sensitivity check. Ambiguous cases come double-coded by construction, and the original text stays beside every coded value so a later analyst can audit the call. Since remaining lifetime after disposal is physically uncertain</w:t>
      </w:r>
      <w:r>
        <w:t xml:space="preserve"> </w:t>
      </w:r>
      <w:hyperlink w:anchor="ref-5">
        <w:r>
          <w:rPr>
            <w:rStyle w:val="Hyperlink"/>
          </w:rPr>
          <w:t xml:space="preserve">[5]</w:t>
        </w:r>
      </w:hyperlink>
      <w:r>
        <w:t xml:space="preserve">, the protocol holds the coded figure as the operator’s declared plan, never as a forecast of the realized result.</w:t>
      </w:r>
    </w:p>
    <w:bookmarkEnd w:id="97"/>
    <w:bookmarkStart w:id="98" w:name="covariates-fixed-before-authorization"/>
    <w:p>
      <w:pPr>
        <w:pStyle w:val="Heading2"/>
        <w:spacing w:line="480" w:lineRule="auto"/>
      </w:pPr>
      <w:r>
        <w:t xml:space="preserve">5.3 Covariates fixed before authorization</w:t>
      </w:r>
    </w:p>
    <w:p>
      <w:pPr>
        <w:pStyle w:val="FirstParagraph"/>
        <w:spacing w:line="480" w:lineRule="auto"/>
      </w:pPr>
      <w:r>
        <w:t xml:space="preserve">Controls come next. Covariates are the predetermined spacecraft and mission traits that fix feasible disposal apart from the rule, drawn from the same technical schedules riding with each filing. They span planned operating altitude, inclination, eccentricity class, spacecraft mass, satellite count in the filing, propulsion availability, planned mission duration, a constellation marker, application type, and whether the filing is an original authorization, modification, amendment, or petition. Each earns its slot. The environmental-modeling literature shows disposal lifetime to be a function of orbital regime, altitude, and lifetime assumptions</w:t>
      </w:r>
      <w:r>
        <w:t xml:space="preserve"> </w:t>
      </w:r>
      <w:hyperlink w:anchor="ref-4">
        <w:r>
          <w:rPr>
            <w:rStyle w:val="Hyperlink"/>
          </w:rPr>
          <w:t xml:space="preserve">[4]</w:t>
        </w:r>
      </w:hyperlink>
      <w:r>
        <w:t xml:space="preserve"> </w:t>
      </w:r>
      <w:hyperlink w:anchor="ref-6">
        <w:r>
          <w:rPr>
            <w:rStyle w:val="Hyperlink"/>
          </w:rPr>
          <w:t xml:space="preserve">[6]</w:t>
        </w:r>
      </w:hyperlink>
      <w:r>
        <w:t xml:space="preserve">, so adjusting for them cuts the rule’s effect free of the mechanical gaps in how long different orbits take to decay.</w:t>
      </w:r>
    </w:p>
    <w:p>
      <w:pPr>
        <w:pStyle w:val="BodyText"/>
        <w:spacing w:line="480" w:lineRule="auto"/>
        <w:ind w:firstLine="720"/>
      </w:pPr>
      <w:r>
        <w:t xml:space="preserve">Every covariate is predetermined relative to the filing, which is what lets adjustment proceed without post-treatment bias. An operator’s planned altitude and mass are engineering commitments locked well ahead of the disposal declaration, and propulsion availability is a design fact and not a reaction to the rule. Application type is a categorical control parting the review dynamics of new authorizations from those of modifications and petitions. The constellation marker, paired with the satellite count, lets the analysis test whether a lone large operator’s design is running any apparent effect, the very worry the theory chapter raised about constellation dominance and the one analytic domain-awareness work frames as a reason to keep object-level granularity in sight</w:t>
      </w:r>
      <w:r>
        <w:t xml:space="preserve"> </w:t>
      </w:r>
      <w:hyperlink w:anchor="ref-3">
        <w:r>
          <w:rPr>
            <w:rStyle w:val="Hyperlink"/>
          </w:rPr>
          <w:t xml:space="preserve">[3]</w:t>
        </w:r>
      </w:hyperlink>
      <w:r>
        <w:t xml:space="preserve">.</w:t>
      </w:r>
    </w:p>
    <w:bookmarkEnd w:id="98"/>
    <w:bookmarkStart w:id="99" w:name="X120853b01625833233b1897c9a6744398692b21"/>
    <w:p>
      <w:pPr>
        <w:pStyle w:val="Heading2"/>
        <w:spacing w:line="480" w:lineRule="auto"/>
      </w:pPr>
      <w:r>
        <w:t xml:space="preserve">5.3a Constellation filings and the unit problem in practice</w:t>
      </w:r>
    </w:p>
    <w:p>
      <w:pPr>
        <w:pStyle w:val="FirstParagraph"/>
        <w:spacing w:line="480" w:lineRule="auto"/>
      </w:pPr>
      <w:r>
        <w:t xml:space="preserve">Constellations recast the data in ways that want concrete handling rather than abstract nodding. A lone large-constellation application may cover hundreds or thousands of spacecraft under one disposal declaration, while a small-satellite application may cover one. If the application is the unit, the large constellation counts once, its single declaration carrying the same weight as a one-spacecraft filing; if the spacecraft is the unit, that same constellation counts thousands of times, its declaration able to run the whole sample. Neither weighting is wrong. Each answers a different question. The application-weighted estimate asks whether the typical filing answered the rule, while the spacecraft-weighted estimate asks whether the typical spacecraft in the fleet sits under a responsive declaration.</w:t>
      </w:r>
    </w:p>
    <w:p>
      <w:pPr>
        <w:pStyle w:val="BodyText"/>
        <w:spacing w:line="480" w:lineRule="auto"/>
        <w:ind w:firstLine="720"/>
      </w:pPr>
      <w:r>
        <w:t xml:space="preserve">The design carries both units precisely to keep this pick out in the open rather than tucked away. A rule effect that shows under application weighting but fades under spacecraft weighting would betray that many small filers answered while a few large constellations did not, a pattern that matters much for governance, and the reverse pattern would betray that the large constellations, which run the fleet by object count, drove the answer. Since the environmental fallout scales with object count</w:t>
      </w:r>
      <w:r>
        <w:t xml:space="preserve"> </w:t>
      </w:r>
      <w:hyperlink w:anchor="ref-1">
        <w:r>
          <w:rPr>
            <w:rStyle w:val="Hyperlink"/>
          </w:rPr>
          <w:t xml:space="preserve">[1]</w:t>
        </w:r>
      </w:hyperlink>
      <w:r>
        <w:t xml:space="preserve"> </w:t>
      </w:r>
      <w:hyperlink w:anchor="ref-6">
        <w:r>
          <w:rPr>
            <w:rStyle w:val="Hyperlink"/>
          </w:rPr>
          <w:t xml:space="preserve">[6]</w:t>
        </w:r>
      </w:hyperlink>
      <w:r>
        <w:t xml:space="preserve">, the spacecraft-weighted view sits nearer the environmental question, while the application-weighted view sits nearer the behavioral question about operators as decision-makers. Laying out both, along with a constellation marker that lets the two be squared, keeps a lone operator’s engineering pick from passing for a broad behavioral shift and keeps a broad behavioral shift from hiding behind one dominant filer.</w:t>
      </w:r>
    </w:p>
    <w:bookmarkEnd w:id="99"/>
    <w:bookmarkStart w:id="100" w:name="linking-filings-to-the-catalog"/>
    <w:p>
      <w:pPr>
        <w:pStyle w:val="Heading2"/>
        <w:spacing w:line="480" w:lineRule="auto"/>
      </w:pPr>
      <w:r>
        <w:t xml:space="preserve">5.4 Linking filings to the catalog</w:t>
      </w:r>
    </w:p>
    <w:p>
      <w:pPr>
        <w:pStyle w:val="FirstParagraph"/>
        <w:spacing w:line="480" w:lineRule="auto"/>
      </w:pPr>
      <w:r>
        <w:t xml:space="preserve">Where a spacecraft has flown, its filing can be tied to catalog records and historical orbital data. That tie hands over the catalog number, the international designator, the launch date, the observed inclination and mean altitude, the decay date where it applies, and orbit-history summaries. Its job is validation, not outcome measurement. The primary analysis wants no observed reentry, since the dissertation tests the effect on declared disposal promises rather than on realized end-of-life performance. Observed orbital records serve only to confirm that the regime label coded off the filing squares with the orbit the spacecraft truly holds, and to prop up secondary data-quality checks.</w:t>
      </w:r>
    </w:p>
    <w:p>
      <w:pPr>
        <w:pStyle w:val="BodyText"/>
        <w:spacing w:line="480" w:lineRule="auto"/>
        <w:ind w:firstLine="720"/>
      </w:pPr>
      <w:r>
        <w:t xml:space="preserve">That tie is doable today. Contemporary space-domain awareness has ripened enough to carry it. Analytic methods for characterizing resident space objects bind governance questions to object-level data products</w:t>
      </w:r>
      <w:r>
        <w:t xml:space="preserve"> </w:t>
      </w:r>
      <w:hyperlink w:anchor="ref-3">
        <w:r>
          <w:rPr>
            <w:rStyle w:val="Hyperlink"/>
          </w:rPr>
          <w:t xml:space="preserve">[3]</w:t>
        </w:r>
      </w:hyperlink>
      <w:r>
        <w:t xml:space="preserve"> </w:t>
      </w:r>
      <w:hyperlink w:anchor="ref-12">
        <w:r>
          <w:rPr>
            <w:rStyle w:val="Hyperlink"/>
          </w:rPr>
          <w:t xml:space="preserve">[12]</w:t>
        </w:r>
      </w:hyperlink>
      <w:r>
        <w:t xml:space="preserve">, and real-time conjunction-assessment systems show how much precise orbital information now stands ready at hand</w:t>
      </w:r>
      <w:r>
        <w:t xml:space="preserve"> </w:t>
      </w:r>
      <w:hyperlink w:anchor="ref-18">
        <w:r>
          <w:rPr>
            <w:rStyle w:val="Hyperlink"/>
          </w:rPr>
          <w:t xml:space="preserve">[18]</w:t>
        </w:r>
      </w:hyperlink>
      <w:r>
        <w:t xml:space="preserve">. Putting that information to validation, while stopping short of reading compliance off it, keeps the design honest about what it can and cannot see. A filing claiming a low-Earth-orbit regime that ties to a catalog record at a wholly different altitude would get flagged as a coding or classification slip, which shields the outcome measurement without turning the catalog into a compliance verdict the elapsed time cannot yet back.</w:t>
      </w:r>
    </w:p>
    <w:p>
      <w:pPr>
        <w:pStyle w:val="BodyText"/>
        <w:spacing w:line="480" w:lineRule="auto"/>
        <w:ind w:firstLine="720"/>
      </w:pPr>
      <w:r>
        <w:t xml:space="preserve">The tie also opens a limited internal-consistency check that firms up the covariate measurement by squaring declared orbits against flown ones. A filing’s stated altitude and inclination can be set against the observed mean altitude and inclination of the flown object, and wide gaps flag either a coding slip or a mission that flew a different profile than it declared. Since the covariates in the discontinuity design mean to capture predetermined orbital traits, confirming that the declared orbit squares with the flown orbit for flown spacecraft lifts confidence that the covariates gauge what they mean to. For spacecraft not yet flown, no such check is open, and the covariates lean on the declared values alone. This lopsidedness gets logged so estimates can be re-run on the flown subsample as a robustness check. Older work on wringing spacecraft state out of sparse observations</w:t>
      </w:r>
      <w:r>
        <w:t xml:space="preserve"> </w:t>
      </w:r>
      <w:hyperlink w:anchor="ref-17">
        <w:r>
          <w:rPr>
            <w:rStyle w:val="Hyperlink"/>
          </w:rPr>
          <w:t xml:space="preserve">[17]</w:t>
        </w:r>
      </w:hyperlink>
      <w:r>
        <w:t xml:space="preserve"> </w:t>
      </w:r>
      <w:r>
        <w:t xml:space="preserve">and on evidence-based parceling of scarce observation resources</w:t>
      </w:r>
      <w:r>
        <w:t xml:space="preserve"> </w:t>
      </w:r>
      <w:hyperlink w:anchor="ref-20">
        <w:r>
          <w:rPr>
            <w:rStyle w:val="Hyperlink"/>
          </w:rPr>
          <w:t xml:space="preserve">[20]</w:t>
        </w:r>
      </w:hyperlink>
      <w:r>
        <w:t xml:space="preserve"> </w:t>
      </w:r>
      <w:r>
        <w:t xml:space="preserve">shows both the promise and the edges of object-level data for this kind of validation, and the design leans on that data only where it holds up.</w:t>
      </w:r>
    </w:p>
    <w:bookmarkEnd w:id="100"/>
    <w:bookmarkStart w:id="101" w:name="the-diagnostic-dataset"/>
    <w:p>
      <w:pPr>
        <w:pStyle w:val="Heading2"/>
        <w:spacing w:line="480" w:lineRule="auto"/>
      </w:pPr>
      <w:r>
        <w:t xml:space="preserve">5.5 The diagnostic dataset</w:t>
      </w:r>
    </w:p>
    <w:p>
      <w:pPr>
        <w:pStyle w:val="FirstParagraph"/>
        <w:spacing w:line="480" w:lineRule="auto"/>
      </w:pPr>
      <w:r>
        <w:t xml:space="preserve">A second, smaller dataset props up the two finished papers. Built from retrieved topic-literature records, its construction wants exact description, since Chapter 6 reports estimates fit on it. The dataset holds thirty records pulled from the local research index on the dissertation’s themes. Each record carries a document identifier, a publication year, and a source pointer, either a resolvable digital object identifier or a stable link, so every observation cites the retrieved source it stands for. The records run from 2010 through 2026 and span the AMOS conference series, the journal Acta Astronautica, and a Space Economy venue family, squaring with the substantive literature reviewed in Chapter 2.</w:t>
      </w:r>
    </w:p>
    <w:p>
      <w:pPr>
        <w:pStyle w:val="BodyText"/>
        <w:spacing w:line="480" w:lineRule="auto"/>
        <w:ind w:firstLine="720"/>
      </w:pPr>
      <w:r>
        <w:t xml:space="preserve">The variables in the diagnostic dataset are built deterministically, nothing gauged by hand. The topic-signal score tallies candidate-theme term hits across the title, snippet, keyword field, and author metadata of each record, yielding a small nonnegative integer for every observation. The recency index equals the publication year minus the sample’s minimum publication year plus one, so the earliest 2010 records take a value of one and the latest 2026 records take a value of seventeen. The indexed citation count gets parsed from the local index and reads zero where the index reports no count. The venue-family score is the ordinal coding laid out in Chapter 4. For the learning-curve paper, the age index equals 2026 minus the publication year plus one, and the citation count gets turned into citations plus one before logging so uncited records stay in the sample. These builds are mechanical and reproducible from the record metadata, which is what makes the diagnostic estimates auditable.</w:t>
      </w:r>
    </w:p>
    <w:bookmarkEnd w:id="101"/>
    <w:bookmarkStart w:id="102" w:name="Xbdf7583c306fa5b1236649ba9d49639d915a763"/>
    <w:p>
      <w:pPr>
        <w:pStyle w:val="Heading2"/>
        <w:spacing w:line="480" w:lineRule="auto"/>
      </w:pPr>
      <w:r>
        <w:t xml:space="preserve">5.6 What the two datasets can and cannot support</w:t>
      </w:r>
    </w:p>
    <w:p>
      <w:pPr>
        <w:pStyle w:val="FirstParagraph"/>
        <w:spacing w:line="480" w:lineRule="auto"/>
      </w:pPr>
      <w:r>
        <w:t xml:space="preserve">The two datasets are not interchangeable. They prop up very different claims, and holding them apart is vital to reading the dissertation right. The licensing corpus is built to prop up a causal estimate of the disposal-rule effect through the discontinuity design, once assembled and coded at scale, and it is the dataset the falsifiable contribution rides on. The diagnostic dataset props up only descriptive claims about how the retrieved literature is built: whether topic signal tracks recency, citation attention, and venue, and whether citation accumulation tracks document age. It cannot speak to operator behavior. Chapter 6 never asks it to.</w:t>
      </w:r>
    </w:p>
    <w:p>
      <w:pPr>
        <w:pStyle w:val="BodyText"/>
        <w:spacing w:line="480" w:lineRule="auto"/>
        <w:ind w:firstLine="720"/>
      </w:pPr>
      <w:r>
        <w:t xml:space="preserve">Since its estimates are the ones reported at this stage, the diagnostic dataset’s limits earn precise naming. Its sample size is thirty, which pinches precision and leaves estimates sensitive to the blend of the retrieved corpus. Its citation counts come from the local index rather than a harmonized external bibliometric database, so they gauge locally logged attention and not global citation impact. Its venue coding forces one ordinal scale onto venue families that part in audience and metadata convention. None of this dents the diagnostic aim, which is to characterize the evidence base and not gauge the world. The limits do bound reading, and Chapter 7 circles back to them when it parts what the design can show from what the current data cannot.</w:t>
      </w:r>
    </w:p>
    <w:p>
      <w:pPr>
        <w:pStyle w:val="BodyText"/>
        <w:spacing w:line="480" w:lineRule="auto"/>
        <w:ind w:firstLine="720"/>
      </w:pPr>
      <w:r>
        <w:t xml:space="preserve">Provenance and reproducibility round out the account of the diagnostic dataset. Every record carries a source pointer, either a resolvable digital object identifier or a stable link, so any observation can be traced to the document it stands for and re-coded on its own. The deterministic build of the variables means a second analyst starting from the same records and the same coding rules would reproduce the topic-signal score, the recency index, the age index, and the venue-family score exactly. That reproducibility is what lets the diagnostic estimates in Chapter 6 be reported as facts about a defined dataset rather than artifacts of a murky procedure. The primary licensing corpus reaches for the same standard, with retained original text and documented coding rules playing the role the source pointers play here. Since the object-level tie draws on ripe tracking infrastructure</w:t>
      </w:r>
      <w:r>
        <w:t xml:space="preserve"> </w:t>
      </w:r>
      <w:hyperlink w:anchor="ref-3">
        <w:r>
          <w:rPr>
            <w:rStyle w:val="Hyperlink"/>
          </w:rPr>
          <w:t xml:space="preserve">[3]</w:t>
        </w:r>
      </w:hyperlink>
      <w:r>
        <w:t xml:space="preserve"> </w:t>
      </w:r>
      <w:hyperlink w:anchor="ref-18">
        <w:r>
          <w:rPr>
            <w:rStyle w:val="Hyperlink"/>
          </w:rPr>
          <w:t xml:space="preserve">[18]</w:t>
        </w:r>
      </w:hyperlink>
      <w:r>
        <w:t xml:space="preserve">, the provenance of the covariates for flown spacecraft can likewise be checked against an outside record rather than leaning on the filing alone.</w:t>
      </w:r>
    </w:p>
    <w:p>
      <w:pPr>
        <w:pStyle w:val="BodyText"/>
        <w:spacing w:line="480" w:lineRule="auto"/>
        <w:ind w:firstLine="720"/>
      </w:pPr>
      <w:r>
        <w:t xml:space="preserve">The measurement plan for the primary corpus, by contrast, is built to a far stiffer standard, since it is the corpus on which the dissertation’s central claim will in the end stand or fall.</w:t>
      </w:r>
    </w:p>
    <w:bookmarkEnd w:id="102"/>
    <w:bookmarkEnd w:id="103"/>
    <w:bookmarkStart w:id="112" w:name="chapter-6.-results"/>
    <w:p>
      <w:pPr>
        <w:pStyle w:val="Heading1"/>
        <w:spacing w:line="480" w:lineRule="auto"/>
      </w:pPr>
      <w:r>
        <w:t xml:space="preserve">Chapter 6. Results</w:t>
      </w:r>
    </w:p>
    <w:bookmarkStart w:id="104" w:name="what-this-chapter-reports"/>
    <w:p>
      <w:pPr>
        <w:pStyle w:val="Heading2"/>
        <w:spacing w:line="480" w:lineRule="auto"/>
      </w:pPr>
      <w:r>
        <w:t xml:space="preserve">6.1 What this chapter reports</w:t>
      </w:r>
    </w:p>
    <w:p>
      <w:pPr>
        <w:pStyle w:val="FirstParagraph"/>
        <w:spacing w:line="480" w:lineRule="auto"/>
      </w:pPr>
      <w:r>
        <w:t xml:space="preserve">What this chapter lays out is the output of the two finished empirical papers just as the analysis files hold it. Neither paper gauges the disposal-rule effect that forms the dissertation’s central design-stage question. Both are diagnostic screens over the retrieved topic literature, meant to tell the reader whether recency, citation attention, venue family, and document age shape the evidence base. Paper one is an ordinary least squares model of topic-signal intensity; paper two is a log-log learning-curve model of citation accumulation by article age. Both are fit on the same thirty retrieved records, and every reported figure below, coefficients, robust standard errors, p-values, and fit statistics, stands without rounding and just as the analysis output shows it, so the reading leans on the numbers the estimators truly threw off rather than tidied stand-ins for them.</w:t>
      </w:r>
    </w:p>
    <w:p>
      <w:pPr>
        <w:pStyle w:val="BodyText"/>
        <w:spacing w:line="480" w:lineRule="auto"/>
        <w:ind w:firstLine="720"/>
      </w:pPr>
      <w:r>
        <w:t xml:space="preserve">The reporting standard weighs heavily here, since the results run mixed. One coefficient breaks opposite to its own paper’s alternative hypothesis, and another falls short of a conventional significance threshold. A diagnostic that voiced only its confirming figures would be dishonest. So what follows names each number and reads it, the uncooperative ones included.</w:t>
      </w:r>
    </w:p>
    <w:p>
      <w:pPr>
        <w:pStyle w:val="BodyText"/>
        <w:spacing w:line="480" w:lineRule="auto"/>
        <w:ind w:firstLine="720"/>
      </w:pPr>
      <w:r>
        <w:t xml:space="preserve">Two framing cautions ride throughout. First, these are conditional associations in a sample of thirty retrieved records, no causal effects and no population parameters, and every reading below is fenced by that fact. Second, the outcomes are built measures: the topic-signal score is a deterministic tally of theme hits in metadata, and the citation counts come from a local index and not a harmonized bibliometric database. Where a coefficient gets called large or small, the yardstick is these built measures inside this sample, and the reader should carry that yardstick into every reading that comes.</w:t>
      </w:r>
    </w:p>
    <w:bookmarkEnd w:id="104"/>
    <w:bookmarkStart w:id="105" w:name="X0f6c772e6b101b7c6dd01d39f50608c4122d835"/>
    <w:p>
      <w:pPr>
        <w:pStyle w:val="Heading2"/>
        <w:spacing w:line="480" w:lineRule="auto"/>
      </w:pPr>
      <w:r>
        <w:t xml:space="preserve">6.2 Paper 1: ordinary least squares model of topic-signal intensity</w:t>
      </w:r>
    </w:p>
    <w:p>
      <w:pPr>
        <w:pStyle w:val="FirstParagraph"/>
        <w:spacing w:line="480" w:lineRule="auto"/>
      </w:pPr>
      <w:r>
        <w:t xml:space="preserve">Paper one fits ordinary least squares with robust HC1 standard errors on thirty observations, each a retrieved source record. Its dependent variable is the composite topic-signal score, and its regressors are the recency index, the indexed citation count, and the ordinal venue-family score, plus an intercept.</w:t>
      </w:r>
    </w:p>
    <w:p>
      <w:pPr>
        <w:pStyle w:val="BodyText"/>
        <w:spacing w:line="480" w:lineRule="auto"/>
        <w:ind w:firstLine="720"/>
      </w:pPr>
      <w:r>
        <w:t xml:space="preserve">Here is the overall fit. The number of observations is 30. The R-squared is 0.39068305708809203, and the adjusted R-squared is 0.3203772559828718. The model F statistic is 8.390526629356973, with an F-test p-value of 0.00045720096494412607. These figures say the three-regressor specification captures a real slice of the variation in the topic-signal score inside this retrieved-source sample, and that the regressors move jointly with the dependent variable. The roughly seven-percentage-point gap between the R-squared and the adjusted R-squared is the looked-for toll of three regressors in thirty observations, and the adjusted figure stays hefty, so the captured slice is no artifact of overfitting a small sample.</w:t>
      </w:r>
    </w:p>
    <w:p>
      <w:pPr>
        <w:pStyle w:val="BodyText"/>
        <w:spacing w:line="480" w:lineRule="auto"/>
        <w:ind w:firstLine="720"/>
      </w:pPr>
      <w:r>
        <w:t xml:space="preserve">Take the intercept. It is 4.922050326789941, with a robust standard error of 1.6102414084487064 and a p-value of 0.0022377634858253537. Since the recency index and the venue-family score both start at one and not zero, the all-zero covariate blend falls outside the coded data’s real support, so the intercept reads best as a model constant anchoring the fitted plane rather than the looked-for signal score of any actual record. That it parts statistically from zero changes none of that read.</w:t>
      </w:r>
    </w:p>
    <w:p>
      <w:pPr>
        <w:pStyle w:val="BodyText"/>
        <w:spacing w:line="480" w:lineRule="auto"/>
        <w:ind w:firstLine="720"/>
      </w:pPr>
      <w:r>
        <w:t xml:space="preserve">Recency is the headline. Its coefficient is 0.4903504104768052, with a robust standard error of 0.12328250268617919 and a p-value of 6.965726585923575e-05. With citation count and venue family held fixed, a one-unit rise in the recency index goes with a looked-for rise of about 0.49 in the topic-signal score. Since the recency index steps up by one for each publication year past the earliest sampled year, this says fresher records carry stronger metadata signals for the dissertation’s focal themes. It is the paper’s cleanest confirming result, and it backs the recency piece of the alternative hypothesis.</w:t>
      </w:r>
    </w:p>
    <w:p>
      <w:pPr>
        <w:pStyle w:val="BodyText"/>
        <w:spacing w:line="480" w:lineRule="auto"/>
        <w:ind w:firstLine="720"/>
      </w:pPr>
      <w:r>
        <w:t xml:space="preserve">Citation count springs the surprise. Its coefficient is -0.09770626341081738, with a robust standard error of 0.027368921768206215 and a p-value of 0.00035702043141244016. With recency and venue family held fixed, each extra reported citation in the local index goes with a looked-for drop of about 0.098 in the topic-signal score. This coefficient parts statistically from zero, yet its sign flips what the alternative hypothesis forecast. The expectation that locally indexed citation attention would lift the metadata topic signal the data reject.</w:t>
      </w:r>
    </w:p>
    <w:p>
      <w:pPr>
        <w:pStyle w:val="BodyText"/>
        <w:spacing w:line="480" w:lineRule="auto"/>
        <w:ind w:firstLine="720"/>
      </w:pPr>
      <w:r>
        <w:t xml:space="preserve">Venue family closes the list. Its coefficient is -3.004562371934274, with a robust standard error of 0.7325510782613712 and a p-value of 4.1047051751311e-05. With recency and citation count held fixed, a one-unit rise in the ordinal venue-family score goes with a looked-for drop of about 3.00 in the topic-signal score. Under the coding of AMOS equals one, Acta Astronautica equals two, and Space Economy equals three, the negative sign means higher-coded venue families draw lower predicted signal scores in this linear ordinal specification. Its size is large, yet its meaning is chained to the imposed order and should not travel past that coding.</w:t>
      </w:r>
    </w:p>
    <w:bookmarkEnd w:id="105"/>
    <w:bookmarkStart w:id="106" w:name="reading-the-paper-1-result"/>
    <w:p>
      <w:pPr>
        <w:pStyle w:val="Heading2"/>
        <w:spacing w:line="480" w:lineRule="auto"/>
      </w:pPr>
      <w:r>
        <w:t xml:space="preserve">6.3 Reading the Paper 1 result</w:t>
      </w:r>
    </w:p>
    <w:p>
      <w:pPr>
        <w:pStyle w:val="FirstParagraph"/>
        <w:spacing w:line="480" w:lineRule="auto"/>
      </w:pPr>
      <w:r>
        <w:t xml:space="preserve">Fit the pieces together, and the joint read from the first paper is that its null hypothesis, no tie between the signal score and the three traits, finds no support, while its alternative wins only partial support. Recency behaves as forecast, fresher records carrying stronger topic signals. Citation attention behaves against forecast, more locally cited records carrying weaker signals once recency and venue are held fixed. The overall model informs, and each coefficient clears conventional thresholds, yet the alternative hypothesis lands half-confirmed and half-rejected.</w:t>
      </w:r>
    </w:p>
    <w:p>
      <w:pPr>
        <w:pStyle w:val="BodyText"/>
        <w:spacing w:line="480" w:lineRule="auto"/>
        <w:ind w:firstLine="720"/>
      </w:pPr>
      <w:r>
        <w:t xml:space="preserve">The negative citation coefficient is the more curious oddity, and a coherent read is at hand. Citation counts in the local index may catch broad technical centrality rather than tight topical fit with the dissertation’s candidate themes. Foundational or methodologically weighty sources can gather citations for tackling space surveillance, sensor tasking, or general domain awareness</w:t>
      </w:r>
      <w:r>
        <w:t xml:space="preserve"> </w:t>
      </w:r>
      <w:hyperlink w:anchor="ref-3">
        <w:r>
          <w:rPr>
            <w:rStyle w:val="Hyperlink"/>
          </w:rPr>
          <w:t xml:space="preserve">[3]</w:t>
        </w:r>
      </w:hyperlink>
      <w:r>
        <w:t xml:space="preserve"> </w:t>
      </w:r>
      <w:hyperlink w:anchor="ref-12">
        <w:r>
          <w:rPr>
            <w:rStyle w:val="Hyperlink"/>
          </w:rPr>
          <w:t xml:space="preserve">[12]</w:t>
        </w:r>
      </w:hyperlink>
      <w:r>
        <w:t xml:space="preserve">, even where their metadata never bunches on the disposal-rule theme, and fresher, more thematically pointed records may post high signal scores yet fewer gathered citations, since citation attention trails publication. Read this way, the negative coefficient is no paradox but a sign that citation and topical concentration gauge different things in this corpus.</w:t>
      </w:r>
    </w:p>
    <w:p>
      <w:pPr>
        <w:pStyle w:val="BodyText"/>
        <w:spacing w:line="480" w:lineRule="auto"/>
        <w:ind w:firstLine="720"/>
      </w:pPr>
      <w:r>
        <w:t xml:space="preserve">A like caution rides on the venue coefficient. Its negative sign implies the metadata signal runs stronger in lower-coded venue families, which may trace to differences in conference and journal metadata, abstracting habits, and topical specialization across AMOS, Acta Astronautica, and the Space Economy venue. Since the coding forces one linear order onto venue families that differ in kind, the coefficient is a control-adjusted association inside that scheme, no evidence that one venue outweighs another in itself.</w:t>
      </w:r>
    </w:p>
    <w:bookmarkEnd w:id="106"/>
    <w:bookmarkStart w:id="107" w:name="X3fcf44e4c4fb837cb8b9b81b03ae0298032464d"/>
    <w:p>
      <w:pPr>
        <w:pStyle w:val="Heading2"/>
        <w:spacing w:line="480" w:lineRule="auto"/>
      </w:pPr>
      <w:r>
        <w:t xml:space="preserve">6.3a The magnitude of the recency effect in context</w:t>
      </w:r>
    </w:p>
    <w:p>
      <w:pPr>
        <w:pStyle w:val="FirstParagraph"/>
        <w:spacing w:line="480" w:lineRule="auto"/>
      </w:pPr>
      <w:r>
        <w:t xml:space="preserve">The recency coefficient of 0.4903504104768052 warrants a scale a reader can feel. The recency index in the sample runs from one, for the oldest 2010 records, to seventeen, for the latest 2026 records, a stretch of sixteen units. Multiply the coefficient by that stretch and the model forecasts a difference of roughly 7.8 points in the topic-signal score between the oldest and newest records, holding citation count and venue family fixed. Set against a signal score whose observed values run from one to nineteen, a forecast swing of nearly eight points across the time stretch is large, not marginal. The corpus’s recency structure is no faint statistical artifact but a ruling feature of how the retrieved literature is laid out.</w:t>
      </w:r>
    </w:p>
    <w:p>
      <w:pPr>
        <w:pStyle w:val="BodyText"/>
        <w:spacing w:line="480" w:lineRule="auto"/>
        <w:ind w:firstLine="720"/>
      </w:pPr>
      <w:r>
        <w:t xml:space="preserve">That size squares with the field’s substantive history. The dissertation’s focal themes, the five-year disposal rule, remaining-lifetime uncertainty, capacity management, and incentive design, are late arrivals in the literature, with the anchor studies surfacing in the last few years</w:t>
      </w:r>
      <w:r>
        <w:t xml:space="preserve"> </w:t>
      </w:r>
      <w:hyperlink w:anchor="ref-5">
        <w:r>
          <w:rPr>
            <w:rStyle w:val="Hyperlink"/>
          </w:rPr>
          <w:t xml:space="preserve">[5]</w:t>
        </w:r>
      </w:hyperlink>
      <w:r>
        <w:t xml:space="preserve"> </w:t>
      </w:r>
      <w:hyperlink w:anchor="ref-6">
        <w:r>
          <w:rPr>
            <w:rStyle w:val="Hyperlink"/>
          </w:rPr>
          <w:t xml:space="preserve">[6]</w:t>
        </w:r>
      </w:hyperlink>
      <w:r>
        <w:t xml:space="preserve"> </w:t>
      </w:r>
      <w:hyperlink w:anchor="ref-7">
        <w:r>
          <w:rPr>
            <w:rStyle w:val="Hyperlink"/>
          </w:rPr>
          <w:t xml:space="preserve">[7]</w:t>
        </w:r>
      </w:hyperlink>
      <w:r>
        <w:t xml:space="preserve"> </w:t>
      </w:r>
      <w:hyperlink w:anchor="ref-8">
        <w:r>
          <w:rPr>
            <w:rStyle w:val="Hyperlink"/>
          </w:rPr>
          <w:t xml:space="preserve">[8]</w:t>
        </w:r>
      </w:hyperlink>
      <w:r>
        <w:t xml:space="preserve">. Older records in the corpus, drawn from 2010-era conference work on sensor tasking and debris-removal concepts</w:t>
      </w:r>
      <w:r>
        <w:t xml:space="preserve"> </w:t>
      </w:r>
      <w:hyperlink w:anchor="ref-19">
        <w:r>
          <w:rPr>
            <w:rStyle w:val="Hyperlink"/>
          </w:rPr>
          <w:t xml:space="preserve">[19]</w:t>
        </w:r>
      </w:hyperlink>
      <w:r>
        <w:t xml:space="preserve"> </w:t>
      </w:r>
      <w:hyperlink w:anchor="ref-20">
        <w:r>
          <w:rPr>
            <w:rStyle w:val="Hyperlink"/>
          </w:rPr>
          <w:t xml:space="preserve">[20]</w:t>
        </w:r>
      </w:hyperlink>
      <w:r>
        <w:t xml:space="preserve">, run ahead of the disposal-rule conversation and so carry weaker signals on its specific vocabulary. The large recency coefficient is the corpus clocking the arrival of a new research agenda. This read is descriptive and not causal, yet it holds together, and it is just the temporal structure the theory chapter looked for in a fast-moving policy field.</w:t>
      </w:r>
    </w:p>
    <w:bookmarkEnd w:id="107"/>
    <w:bookmarkStart w:id="108" w:name="X85bc27421bc2fabe8292ce730145ffa3498b58b"/>
    <w:p>
      <w:pPr>
        <w:pStyle w:val="Heading2"/>
        <w:spacing w:line="480" w:lineRule="auto"/>
      </w:pPr>
      <w:r>
        <w:t xml:space="preserve">6.4 Paper 2: learning-curve model of citation accumulation</w:t>
      </w:r>
    </w:p>
    <w:p>
      <w:pPr>
        <w:pStyle w:val="FirstParagraph"/>
        <w:spacing w:line="480" w:lineRule="auto"/>
      </w:pPr>
      <w:r>
        <w:t xml:space="preserve">Paper two fits a log-log learning-curve model with robust HC1 standard errors on the same thirty records. Its dependent variable is the natural log of the citation count plus one, and its lone regressor is the natural log of the document age index, worked out as 2026 minus the publication year plus one.</w:t>
      </w:r>
    </w:p>
    <w:p>
      <w:pPr>
        <w:pStyle w:val="BodyText"/>
        <w:spacing w:line="480" w:lineRule="auto"/>
        <w:ind w:firstLine="720"/>
      </w:pPr>
      <w:r>
        <w:t xml:space="preserve">The fit sample size is 30. The reported R-squared is 0.055175900369067055. The intercept estimate is 1.1224086328806648, with a robust standard error of 0.42228736127568495 and a p-value of 0.007862311256256952. The coefficient on the logged age variable is -0.37275063780031276, with a robust standard error of 0.208050628575883 and a p-value of 0.07319156847205394. The implied progress ratio for a doubling of age is 0.7723086110105191.</w:t>
      </w:r>
    </w:p>
    <w:p>
      <w:pPr>
        <w:pStyle w:val="BodyText"/>
        <w:spacing w:line="480" w:lineRule="auto"/>
        <w:ind w:firstLine="720"/>
      </w:pPr>
      <w:r>
        <w:t xml:space="preserve">Read as an elasticity, the age coefficient says a one percent rise in the document age index goes with an estimated 0.373 percent drop in the citation count plus one, on the fitted log-log scale. The direction runs negative. That breaks with a plain cumulative-exposure view in which older documents must pile up more citations simply by lasting longer, and lines up instead with an attention-renewal pattern in which newer documents draw comparatively more citation attention.</w:t>
      </w:r>
    </w:p>
    <w:p>
      <w:pPr>
        <w:pStyle w:val="BodyText"/>
        <w:spacing w:line="480" w:lineRule="auto"/>
        <w:ind w:firstLine="720"/>
      </w:pPr>
      <w:r>
        <w:t xml:space="preserve">Two features cool that read. The p-value on the age coefficient is 0.07319156847205394, which clears no 0.05 threshold, so the null that citation accumulation bears no tie to article age cannot be rejected at conventional levels, and the evidence hints rather than settles. The R-squared of 0.055175900369067055 runs low, telling us article age alone holds only a slim slice of the variation in citation counts. That slim slice surprises nobody in a mixed literature where citation accumulation hangs on venue, institutional visibility, policy timing, and technical novelty, and where the corpus runs from environmental modeling and reference scenarios</w:t>
      </w:r>
      <w:r>
        <w:t xml:space="preserve"> </w:t>
      </w:r>
      <w:hyperlink w:anchor="ref-1">
        <w:r>
          <w:rPr>
            <w:rStyle w:val="Hyperlink"/>
          </w:rPr>
          <w:t xml:space="preserve">[1]</w:t>
        </w:r>
      </w:hyperlink>
      <w:r>
        <w:t xml:space="preserve"> </w:t>
      </w:r>
      <w:hyperlink w:anchor="ref-4">
        <w:r>
          <w:rPr>
            <w:rStyle w:val="Hyperlink"/>
          </w:rPr>
          <w:t xml:space="preserve">[4]</w:t>
        </w:r>
      </w:hyperlink>
      <w:r>
        <w:t xml:space="preserve"> </w:t>
      </w:r>
      <w:r>
        <w:t xml:space="preserve">to sensor tasking and analytic domain awareness</w:t>
      </w:r>
      <w:r>
        <w:t xml:space="preserve"> </w:t>
      </w:r>
      <w:hyperlink w:anchor="ref-3">
        <w:r>
          <w:rPr>
            <w:rStyle w:val="Hyperlink"/>
          </w:rPr>
          <w:t xml:space="preserve">[3]</w:t>
        </w:r>
      </w:hyperlink>
      <w:r>
        <w:t xml:space="preserve"> </w:t>
      </w:r>
      <w:hyperlink w:anchor="ref-12">
        <w:r>
          <w:rPr>
            <w:rStyle w:val="Hyperlink"/>
          </w:rPr>
          <w:t xml:space="preserve">[12]</w:t>
        </w:r>
      </w:hyperlink>
      <w:r>
        <w:t xml:space="preserve"> </w:t>
      </w:r>
      <w:r>
        <w:t xml:space="preserve">to post-mission disposal and capacity management</w:t>
      </w:r>
      <w:r>
        <w:t xml:space="preserve"> </w:t>
      </w:r>
      <w:hyperlink w:anchor="ref-6">
        <w:r>
          <w:rPr>
            <w:rStyle w:val="Hyperlink"/>
          </w:rPr>
          <w:t xml:space="preserve">[6]</w:t>
        </w:r>
      </w:hyperlink>
      <w:r>
        <w:t xml:space="preserve"> </w:t>
      </w:r>
      <w:hyperlink w:anchor="ref-8">
        <w:r>
          <w:rPr>
            <w:rStyle w:val="Hyperlink"/>
          </w:rPr>
          <w:t xml:space="preserve">[8]</w:t>
        </w:r>
      </w:hyperlink>
      <w:r>
        <w:t xml:space="preserve">.</w:t>
      </w:r>
    </w:p>
    <w:bookmarkEnd w:id="108"/>
    <w:bookmarkStart w:id="109" w:name="reading-the-paper-2-result"/>
    <w:p>
      <w:pPr>
        <w:pStyle w:val="Heading2"/>
        <w:spacing w:line="480" w:lineRule="auto"/>
      </w:pPr>
      <w:r>
        <w:t xml:space="preserve">6.5 Reading the Paper 2 result</w:t>
      </w:r>
    </w:p>
    <w:p>
      <w:pPr>
        <w:pStyle w:val="FirstParagraph"/>
        <w:spacing w:line="480" w:lineRule="auto"/>
      </w:pPr>
      <w:r>
        <w:t xml:space="preserve">Paper two hands qualified support to its alternative hypothesis and backs no strong version of its null. The fitted curve runs negative, with an age elasticity of -0.37275063780031276 and a doubling-age progress ratio of 0.7723086110105191, yet the inferential strength gets pinched by a p-value of 0.07319156847205394 and by the slim fit. The most defensible read is that the retrieved literature shows hinting evidence of age-structured attention, newer documents pulling relatively more citation attention than older ones in this specification.</w:t>
      </w:r>
    </w:p>
    <w:p>
      <w:pPr>
        <w:pStyle w:val="BodyText"/>
        <w:spacing w:line="480" w:lineRule="auto"/>
        <w:ind w:firstLine="720"/>
      </w:pPr>
      <w:r>
        <w:t xml:space="preserve">A caution trails. This negative coefficient should not be read as a charge that older work counts for little. Earlier contributions on debris-removal concepts, sensor tasking, and domain awareness stay part of the field’s technical lineage</w:t>
      </w:r>
      <w:r>
        <w:t xml:space="preserve"> </w:t>
      </w:r>
      <w:hyperlink w:anchor="ref-12">
        <w:r>
          <w:rPr>
            <w:rStyle w:val="Hyperlink"/>
          </w:rPr>
          <w:t xml:space="preserve">[12]</w:t>
        </w:r>
      </w:hyperlink>
      <w:r>
        <w:t xml:space="preserve"> </w:t>
      </w:r>
      <w:hyperlink w:anchor="ref-19">
        <w:r>
          <w:rPr>
            <w:rStyle w:val="Hyperlink"/>
          </w:rPr>
          <w:t xml:space="preserve">[19]</w:t>
        </w:r>
      </w:hyperlink>
      <w:r>
        <w:t xml:space="preserve">. The result says only that, in this sample and under this estimator, citation attention does not climb with document age. That line bears on the dissertation, since it means citation-based portraits of the default-disposal debate may mirror present policy salience as much as gathered scholarly authority. Should attention pool on recent publications, the field’s citation structure is tracking the live regulatory conversation, the shift from a twenty-five-year norm toward a five-year expectation</w:t>
      </w:r>
      <w:r>
        <w:t xml:space="preserve"> </w:t>
      </w:r>
      <w:hyperlink w:anchor="ref-6">
        <w:r>
          <w:rPr>
            <w:rStyle w:val="Hyperlink"/>
          </w:rPr>
          <w:t xml:space="preserve">[6]</w:t>
        </w:r>
      </w:hyperlink>
      <w:r>
        <w:t xml:space="preserve"> </w:t>
      </w:r>
      <w:r>
        <w:t xml:space="preserve">and the uncertainty in remaining orbital lifetime that rings it</w:t>
      </w:r>
      <w:r>
        <w:t xml:space="preserve"> </w:t>
      </w:r>
      <w:hyperlink w:anchor="ref-5">
        <w:r>
          <w:rPr>
            <w:rStyle w:val="Hyperlink"/>
          </w:rPr>
          <w:t xml:space="preserve">[5]</w:t>
        </w:r>
      </w:hyperlink>
      <w:r>
        <w:t xml:space="preserve"> </w:t>
      </w:r>
      <w:r>
        <w:t xml:space="preserve">included.</w:t>
      </w:r>
    </w:p>
    <w:bookmarkEnd w:id="109"/>
    <w:bookmarkStart w:id="110" w:name="X58725c6e313e54982addf3853525ccddc6761b7"/>
    <w:p>
      <w:pPr>
        <w:pStyle w:val="Heading2"/>
        <w:spacing w:line="480" w:lineRule="auto"/>
      </w:pPr>
      <w:r>
        <w:t xml:space="preserve">6.5a The venue coefficient and the ordinal-coding caveat</w:t>
      </w:r>
    </w:p>
    <w:p>
      <w:pPr>
        <w:pStyle w:val="FirstParagraph"/>
        <w:spacing w:line="480" w:lineRule="auto"/>
      </w:pPr>
      <w:r>
        <w:t xml:space="preserve">The venue-family coefficient of -3.004562371934274 is the largest in absolute size of any coefficient across either paper, and its bulk calls for a careful read and not a literal one. Under the coding of AMOS equals one, Acta Astronautica equals two, and Space Economy equals three, a one-step climb up the venue scale forecasts a drop of about three points in the topic-signal score, holding recency and citations fixed. Taken flat, this says the Space Economy venue family carries markedly weaker theme signals than the AMOS conference records. That flat read is where caution belongs, since the coding forces one linear order onto three venue families that differ in kind, in audience, in abstracting habits, and in metadata richness.</w:t>
      </w:r>
    </w:p>
    <w:p>
      <w:pPr>
        <w:pStyle w:val="BodyText"/>
        <w:spacing w:line="480" w:lineRule="auto"/>
        <w:ind w:firstLine="720"/>
      </w:pPr>
      <w:r>
        <w:t xml:space="preserve">The right read treats the coefficient as a control-adjusted association inside an imposed scheme, no ranking of built-in worth. AMOS conference records in this corpus bunch on surveillance, sensor tasking, compliance, and debris concepts</w:t>
      </w:r>
      <w:r>
        <w:t xml:space="preserve"> </w:t>
      </w:r>
      <w:hyperlink w:anchor="ref-3">
        <w:r>
          <w:rPr>
            <w:rStyle w:val="Hyperlink"/>
          </w:rPr>
          <w:t xml:space="preserve">[3]</w:t>
        </w:r>
      </w:hyperlink>
      <w:r>
        <w:t xml:space="preserve"> </w:t>
      </w:r>
      <w:hyperlink w:anchor="ref-12">
        <w:r>
          <w:rPr>
            <w:rStyle w:val="Hyperlink"/>
          </w:rPr>
          <w:t xml:space="preserve">[12]</w:t>
        </w:r>
      </w:hyperlink>
      <w:r>
        <w:t xml:space="preserve">, and their metadata may simply spend more of the candidate-theme vocabulary than the shorter or differently built metadata of the Space Economy family. The venue control earns its keep, which is to bar venue-driven metadata gaps from tainting the recency and citation estimates, and the recency coefficient rides out that control cleanly. What the venue coefficient never licenses is any charge that one venue outweighs another in scientific worth. Reporting its exact size while refusing to over-read it is the honest handling of a large coefficient perched on a brittle coding pick.</w:t>
      </w:r>
    </w:p>
    <w:bookmarkEnd w:id="110"/>
    <w:bookmarkStart w:id="111" w:name="what-the-two-papers-establish-together"/>
    <w:p>
      <w:pPr>
        <w:pStyle w:val="Heading2"/>
        <w:spacing w:line="480" w:lineRule="auto"/>
      </w:pPr>
      <w:r>
        <w:t xml:space="preserve">6.6 What the two papers establish together</w:t>
      </w:r>
    </w:p>
    <w:p>
      <w:pPr>
        <w:pStyle w:val="FirstParagraph"/>
        <w:spacing w:line="480" w:lineRule="auto"/>
      </w:pPr>
      <w:r>
        <w:t xml:space="preserve">Set side by side, the two diagnostic papers pin down a steady claim about the evidence base. Time is what organizes it. Paper one shows topic-signal intensity climbing with recency. Paper two hints that citation attention neither piles up with age and may in fact fall off with it. Both point toward a corpus whose focal content and whose attention tilt toward recent work rather than older, more-cited authorities. That finding is exactly the structure the theory chapter looked for in a fast-moving policy field, and it carries a specific upshot for how the eventual primary result should be read.</w:t>
      </w:r>
    </w:p>
    <w:p>
      <w:pPr>
        <w:pStyle w:val="BodyText"/>
        <w:spacing w:line="480" w:lineRule="auto"/>
        <w:ind w:firstLine="720"/>
      </w:pPr>
      <w:r>
        <w:t xml:space="preserve">That upshot is one of context, not causation. A recency-weighted, attention-renewing literature is the intellectual setting where a formal default most plausibly can work as a coordinating focal point, since operators and analysts are turning toward current developments rather than settled convention. Neither paper gauges the disposal-rule effect, and neither pretends to. What they do is strip away a naive read of the evidence base in which older, heavily cited work would anchor the field on its own, and in this corpus it does not.</w:t>
      </w:r>
    </w:p>
    <w:p>
      <w:pPr>
        <w:pStyle w:val="BodyText"/>
        <w:spacing w:line="480" w:lineRule="auto"/>
        <w:ind w:firstLine="720"/>
      </w:pPr>
      <w:r>
        <w:t xml:space="preserve">A tension between the two papers is worth surfacing rather than smoothing over. Paper one finds indexed citation attention tied negatively to topic signal, and paper two finds citation attention failing to climb with document age. Laid together, these say the most-cited records in the corpus are neither the most topically packed nor dependably the oldest. The lone record with fifty-two citations in the sample makes the point: a heavily cited item whose topic signal runs low, just the sort of broadly foundational work that gathers citations for reasons apart from the disposal-rule theme. So the two coefficients square with one another and with one underlying story, in which citation counts in this index track general technical centrality while topic signal tracks tight thematic fit, and the two properties peel apart. Catching that split serves better than a tidy result would have, since it warns off using raw citation counts as a stand-in for topical relevance when the eventual primary literature gets assembled.</w:t>
      </w:r>
    </w:p>
    <w:p>
      <w:pPr>
        <w:pStyle w:val="BodyText"/>
        <w:spacing w:line="480" w:lineRule="auto"/>
        <w:ind w:firstLine="720"/>
      </w:pPr>
      <w:r>
        <w:t xml:space="preserve">The primary discontinuity design set out in Chapters 4 and 5 is what would turn this contextual finding into a falsifiable estimate of whether the twenty-five-to-five-year rule shifted declared disposal behavior. Chapter 7 turns to what these results mean, what they cannot show, and the threats any such estimate must ride out.</w:t>
      </w:r>
    </w:p>
    <w:bookmarkEnd w:id="111"/>
    <w:bookmarkEnd w:id="112"/>
    <w:bookmarkStart w:id="121" w:name="chapter-7.-discussion-and-limitations"/>
    <w:p>
      <w:pPr>
        <w:pStyle w:val="Heading1"/>
        <w:spacing w:line="480" w:lineRule="auto"/>
      </w:pPr>
      <w:r>
        <w:t xml:space="preserve">Chapter 7. Discussion and Limitations</w:t>
      </w:r>
    </w:p>
    <w:bookmarkStart w:id="113" w:name="what-the-findings-mean"/>
    <w:p>
      <w:pPr>
        <w:pStyle w:val="Heading2"/>
        <w:spacing w:line="480" w:lineRule="auto"/>
      </w:pPr>
      <w:r>
        <w:t xml:space="preserve">7.1 What the findings mean</w:t>
      </w:r>
    </w:p>
    <w:p>
      <w:pPr>
        <w:pStyle w:val="FirstParagraph"/>
        <w:spacing w:line="480" w:lineRule="auto"/>
      </w:pPr>
      <w:r>
        <w:t xml:space="preserve">The diagnostic results carry a modest but real message: in both its topical content and its citation attention, the literature ringing the default-disposal question tilts toward recent work. Paper one shows fresher records carrying stronger signals on the dissertation’s focal themes, with a recency coefficient of 0.4903504104768052 that parts clearly from zero. Paper two hints that citation attention neither builds with document age and may slip with it, with an age elasticity of -0.37275063780031276 that leans in the attention-renewal direction even as its p-value of 0.07319156847205394 leaves the result shy of conventional significance. Read together, the two papers sketch a field whose intellectual center of gravity rests near the present rather than in an older, settled canon.</w:t>
      </w:r>
    </w:p>
    <w:p>
      <w:pPr>
        <w:pStyle w:val="BodyText"/>
        <w:spacing w:line="480" w:lineRule="auto"/>
        <w:ind w:firstLine="720"/>
      </w:pPr>
      <w:r>
        <w:t xml:space="preserve">This bears on the dissertation’s larger argument in a specific way. Should the scholarly conversation about disposal rules cluster on recent developments, then the norms operators answer to are still setting rather than long locked. A governance setting of that stripe is where a formal default most likely carries behavioral weight, since a freshly stated expectation can serve as a focal point where no settled convention yet holds sway. The diagnostic finding proves nothing about the rule moving behavior. It fixes that the field is the fast-moving, recency-weighted sort of place where such a rule effect is plausible, a precondition worth confirming ahead of the primary test.</w:t>
      </w:r>
    </w:p>
    <w:p>
      <w:pPr>
        <w:pStyle w:val="BodyText"/>
        <w:spacing w:line="480" w:lineRule="auto"/>
        <w:ind w:firstLine="720"/>
      </w:pPr>
      <w:r>
        <w:t xml:space="preserve">The negative citation coefficient in paper one earns its own reflection, since it is the result furthest from first expectation. A sensible prior would hold that more-cited work runs more central and so more thematically packed. In this corpus the data reject that prior. The most credible read is that local citation counts pay off broad technical foundations, work on surveillance, sensor tasking, and general domain awareness</w:t>
      </w:r>
      <w:r>
        <w:t xml:space="preserve"> </w:t>
      </w:r>
      <w:hyperlink w:anchor="ref-3">
        <w:r>
          <w:rPr>
            <w:rStyle w:val="Hyperlink"/>
          </w:rPr>
          <w:t xml:space="preserve">[3]</w:t>
        </w:r>
      </w:hyperlink>
      <w:r>
        <w:t xml:space="preserve"> </w:t>
      </w:r>
      <w:hyperlink w:anchor="ref-12">
        <w:r>
          <w:rPr>
            <w:rStyle w:val="Hyperlink"/>
          </w:rPr>
          <w:t xml:space="preserve">[12]</w:t>
        </w:r>
      </w:hyperlink>
      <w:r>
        <w:t xml:space="preserve">, while the strongest topic signals lodge in fresher, tighter contributions on the disposal rule itself</w:t>
      </w:r>
      <w:r>
        <w:t xml:space="preserve"> </w:t>
      </w:r>
      <w:hyperlink w:anchor="ref-6">
        <w:r>
          <w:rPr>
            <w:rStyle w:val="Hyperlink"/>
          </w:rPr>
          <w:t xml:space="preserve">[6]</w:t>
        </w:r>
      </w:hyperlink>
      <w:r>
        <w:t xml:space="preserve"> </w:t>
      </w:r>
      <w:r>
        <w:t xml:space="preserve">and on the lifetime uncertainty that rings it</w:t>
      </w:r>
      <w:r>
        <w:t xml:space="preserve"> </w:t>
      </w:r>
      <w:hyperlink w:anchor="ref-5">
        <w:r>
          <w:rPr>
            <w:rStyle w:val="Hyperlink"/>
          </w:rPr>
          <w:t xml:space="preserve">[5]</w:t>
        </w:r>
      </w:hyperlink>
      <w:r>
        <w:t xml:space="preserve">. Citation and topical concentration peel apart, and the study gains for having gauged that rather than waved it away.</w:t>
      </w:r>
    </w:p>
    <w:bookmarkEnd w:id="113"/>
    <w:bookmarkStart w:id="114" w:name="X7d7d6c0b2f1e296fded5f65b7e682a52a92ecbd"/>
    <w:p>
      <w:pPr>
        <w:pStyle w:val="Heading2"/>
        <w:spacing w:line="480" w:lineRule="auto"/>
      </w:pPr>
      <w:r>
        <w:t xml:space="preserve">7.1a Situating the diagnostic findings in the wider literature</w:t>
      </w:r>
    </w:p>
    <w:p>
      <w:pPr>
        <w:pStyle w:val="FirstParagraph"/>
        <w:spacing w:line="480" w:lineRule="auto"/>
      </w:pPr>
      <w:r>
        <w:t xml:space="preserve">This pattern stands alone in no way. The recency structure paper one catches mirrors one visible across the substantive literature reviewed earlier. The debris-governance conversation has sped up sharply of late, with the five-year-rule evaluation</w:t>
      </w:r>
      <w:r>
        <w:t xml:space="preserve"> </w:t>
      </w:r>
      <w:hyperlink w:anchor="ref-6">
        <w:r>
          <w:rPr>
            <w:rStyle w:val="Hyperlink"/>
          </w:rPr>
          <w:t xml:space="preserve">[6]</w:t>
        </w:r>
      </w:hyperlink>
      <w:r>
        <w:t xml:space="preserve">, the incentive-mechanism proposal</w:t>
      </w:r>
      <w:r>
        <w:t xml:space="preserve"> </w:t>
      </w:r>
      <w:hyperlink w:anchor="ref-7">
        <w:r>
          <w:rPr>
            <w:rStyle w:val="Hyperlink"/>
          </w:rPr>
          <w:t xml:space="preserve">[7]</w:t>
        </w:r>
      </w:hyperlink>
      <w:r>
        <w:t xml:space="preserve">, and the capacity-management analysis</w:t>
      </w:r>
      <w:r>
        <w:t xml:space="preserve"> </w:t>
      </w:r>
      <w:hyperlink w:anchor="ref-8">
        <w:r>
          <w:rPr>
            <w:rStyle w:val="Hyperlink"/>
          </w:rPr>
          <w:t xml:space="preserve">[8]</w:t>
        </w:r>
      </w:hyperlink>
      <w:r>
        <w:t xml:space="preserve"> </w:t>
      </w:r>
      <w:r>
        <w:t xml:space="preserve">all landing close together and fast turning into reference points. A corpus that tilts topic signal toward recent work is clocking that speed-up. So the finding does more than portray a dataset. From a bibliometric angle it backs the impression that orbital-debris governance is a field in fast formation and not a settled discipline.</w:t>
      </w:r>
    </w:p>
    <w:p>
      <w:pPr>
        <w:pStyle w:val="BodyText"/>
        <w:spacing w:line="480" w:lineRule="auto"/>
        <w:ind w:firstLine="720"/>
      </w:pPr>
      <w:r>
        <w:t xml:space="preserve">The same frame helps read the attention-renewal signal from paper two. Should the field’s live questions be recent, then citations will tend to run toward recent work that grapples with them, and older foundational studies on debris removal or sensor tasking will draw fewer cites even as they stay part of the technical lineage</w:t>
      </w:r>
      <w:r>
        <w:t xml:space="preserve"> </w:t>
      </w:r>
      <w:hyperlink w:anchor="ref-19">
        <w:r>
          <w:rPr>
            <w:rStyle w:val="Hyperlink"/>
          </w:rPr>
          <w:t xml:space="preserve">[19]</w:t>
        </w:r>
      </w:hyperlink>
      <w:r>
        <w:t xml:space="preserve"> </w:t>
      </w:r>
      <w:hyperlink w:anchor="ref-20">
        <w:r>
          <w:rPr>
            <w:rStyle w:val="Hyperlink"/>
          </w:rPr>
          <w:t xml:space="preserve">[20]</w:t>
        </w:r>
      </w:hyperlink>
      <w:r>
        <w:t xml:space="preserve">. The negative age elasticity leans that way. It is weak, yet it leans. Neither diagnostic can bear heavy inferential weight alone, yet together they sketch a steady portrait of a young, fast-moving evidence base, and that portrait is what makes the behavioral question about defaults timely. A default set on a field whose norms are still hardening has more room to shape conduct than one set on a field where practice is long locked.</w:t>
      </w:r>
    </w:p>
    <w:bookmarkEnd w:id="114"/>
    <w:bookmarkStart w:id="115" w:name="X74919f4697a379b711a5007b49875d09c5bd179"/>
    <w:p>
      <w:pPr>
        <w:pStyle w:val="Heading2"/>
        <w:spacing w:line="480" w:lineRule="auto"/>
      </w:pPr>
      <w:r>
        <w:t xml:space="preserve">7.2 Threats to the validity of the primary design</w:t>
      </w:r>
    </w:p>
    <w:p>
      <w:pPr>
        <w:pStyle w:val="FirstParagraph"/>
        <w:spacing w:line="480" w:lineRule="auto"/>
      </w:pPr>
      <w:r>
        <w:t xml:space="preserve">The primary discontinuity design awaits estimation, yet its threats can be named now, since how credible the eventual estimate turns out rides on how well they are foreseen. Anticipation leads. Operators may have started declaring shorter disposal horizons ahead of the formal boundary, whether because propulsion and deorbit economics were already sharpening or because the looming rule was well flagged, and if so the break would undersell the rule’s pull, since part of the behavioral shift would have landed before the edge. The design’s guard is the donut specification that drops filings right around the boundary paired with laying estimates out across several pre-boundary bandwidths, so a smooth pre-boundary drift can be parted from a sharp break.</w:t>
      </w:r>
    </w:p>
    <w:p>
      <w:pPr>
        <w:pStyle w:val="BodyText"/>
        <w:spacing w:line="480" w:lineRule="auto"/>
        <w:ind w:firstLine="720"/>
      </w:pPr>
      <w:r>
        <w:t xml:space="preserve">Selection into filing timing is the second threat. Operators may have rushed or stalled applications to land on the kind side of the edge, which would wreck the two groups’ comparability. To catch it, the design tests for jumps in filing volume and in observable spacecraft traits at the boundary. A surge in filings or a jump in the blend of altitudes and mass classes would betray gaming, and the causal read would narrow to match. Since the environmental-modeling literature shows how strongly disposal lifetime hangs on these orbital traits</w:t>
      </w:r>
      <w:r>
        <w:t xml:space="preserve"> </w:t>
      </w:r>
      <w:hyperlink w:anchor="ref-4">
        <w:r>
          <w:rPr>
            <w:rStyle w:val="Hyperlink"/>
          </w:rPr>
          <w:t xml:space="preserve">[4]</w:t>
        </w:r>
      </w:hyperlink>
      <w:r>
        <w:t xml:space="preserve"> </w:t>
      </w:r>
      <w:hyperlink w:anchor="ref-6">
        <w:r>
          <w:rPr>
            <w:rStyle w:val="Hyperlink"/>
          </w:rPr>
          <w:t xml:space="preserve">[6]</w:t>
        </w:r>
      </w:hyperlink>
      <w:r>
        <w:t xml:space="preserve">, a covariate jump would be a grave warning and not a slight imbalance.</w:t>
      </w:r>
    </w:p>
    <w:p>
      <w:pPr>
        <w:pStyle w:val="BodyText"/>
        <w:spacing w:line="480" w:lineRule="auto"/>
        <w:ind w:firstLine="720"/>
      </w:pPr>
      <w:r>
        <w:t xml:space="preserve">Measurement error is the third threat. Orbital-debris assessments spend varied language, and the underlying quantity, remaining lifetime after disposal, is itself uncertain</w:t>
      </w:r>
      <w:r>
        <w:t xml:space="preserve"> </w:t>
      </w:r>
      <w:hyperlink w:anchor="ref-5">
        <w:r>
          <w:rPr>
            <w:rStyle w:val="Hyperlink"/>
          </w:rPr>
          <w:t xml:space="preserve">[5]</w:t>
        </w:r>
      </w:hyperlink>
      <w:r>
        <w:t xml:space="preserve">. The coding protocol answers by keeping original text, double-coding ambiguous cases, and laying out sensitivity to rival coding rules such as the upper-bound versus midpoint pick for stated ranges. This wipes out none of the error. It brings the error into view and bounds its sway over the estimate.</w:t>
      </w:r>
    </w:p>
    <w:p>
      <w:pPr>
        <w:pStyle w:val="BodyText"/>
        <w:spacing w:line="480" w:lineRule="auto"/>
        <w:ind w:firstLine="720"/>
      </w:pPr>
      <w:r>
        <w:t xml:space="preserve">The fourth threat is broader sustainability trends that move operator behavior apart from the rule. Governance debates over capacity management and incentive design run active and could shift declarations on their own</w:t>
      </w:r>
      <w:r>
        <w:t xml:space="preserve"> </w:t>
      </w:r>
      <w:hyperlink w:anchor="ref-7">
        <w:r>
          <w:rPr>
            <w:rStyle w:val="Hyperlink"/>
          </w:rPr>
          <w:t xml:space="preserve">[7]</w:t>
        </w:r>
      </w:hyperlink>
      <w:r>
        <w:t xml:space="preserve"> </w:t>
      </w:r>
      <w:hyperlink w:anchor="ref-8">
        <w:r>
          <w:rPr>
            <w:rStyle w:val="Hyperlink"/>
          </w:rPr>
          <w:t xml:space="preserve">[8]</w:t>
        </w:r>
      </w:hyperlink>
      <w:r>
        <w:t xml:space="preserve">. The local boundary design is the main guard, since gradual forces get scant room to work inside a tight band, and the covariate-balance and bandwidth checks bound whatever leftover sway lingers. The fifth threat is constellation dominance, where a lone large operator’s filings could run the sample, and laying out both application-weighted and spacecraft-weighted estimates, plus a constellation marker, keeps one firm’s engineering pick from passing for a rule effect.</w:t>
      </w:r>
    </w:p>
    <w:bookmarkEnd w:id="115"/>
    <w:bookmarkStart w:id="116" w:name="what-the-current-data-cannot-show"/>
    <w:p>
      <w:pPr>
        <w:pStyle w:val="Heading2"/>
        <w:spacing w:line="480" w:lineRule="auto"/>
      </w:pPr>
      <w:r>
        <w:t xml:space="preserve">7.3 What the current data cannot show</w:t>
      </w:r>
    </w:p>
    <w:p>
      <w:pPr>
        <w:pStyle w:val="FirstParagraph"/>
        <w:spacing w:line="480" w:lineRule="auto"/>
      </w:pPr>
      <w:r>
        <w:t xml:space="preserve">A design-stage dissertation earns its honesty in how plainly it owns what it has yet to do, and three limits warrant flat statement. The results reported in Chapter 6 come wholly from the diagnostic dataset of thirty retrieved records, not the licensing corpus. They portray the literature’s structure. They say nothing about operator behavior. They cannot be read as any sort of early estimate of the disposal-rule effect, and the dissertation’s primary claim stays untested until the licensing corpus is assembled and the discontinuity design run.</w:t>
      </w:r>
    </w:p>
    <w:p>
      <w:pPr>
        <w:pStyle w:val="BodyText"/>
        <w:spacing w:line="480" w:lineRule="auto"/>
        <w:ind w:firstLine="720"/>
      </w:pPr>
      <w:r>
        <w:t xml:space="preserve">Its own limits fence even the descriptive claims of the diagnostic dataset. Its sample size is thirty, which pinches statistical power and leaves the estimates sensitive to which records happen to surface. The learning-curve model’s low R-squared of 0.055175900369067055 confirms that article age holds only a slim slice of citation variation, so the age-attention finding is a weak signal in a noisy setting and not a firm regularity. The citation counts come from the local index rather than a harmonized external database, so they gauge locally logged attention and not global impact, and neither diagnostic model controls for author network, subfield, article type, or policy timing. These gaps pass for a diagnostic screen yet would sink a substantive bibliometric claim, and the dissertation makes none.</w:t>
      </w:r>
    </w:p>
    <w:p>
      <w:pPr>
        <w:pStyle w:val="BodyText"/>
        <w:spacing w:line="480" w:lineRule="auto"/>
        <w:ind w:firstLine="720"/>
      </w:pPr>
      <w:r>
        <w:t xml:space="preserve">A further limit touches generalizing from the diagnostic corpus to the substantive literature at large. The thirty records were pulled on the dissertation’s themes, and any retrieval bakes in its own selection: records spending different vocabulary, or sitting in venues the retrieval never reached, come underrepresented. The recency and attention patterns the diagnostics catch are patterns in the retrieved set, and they need not hold across the full universe of debris-governance scholarship. That is a reason to hold the diagnostic conclusions as portraits of the assembled evidence base rather than claims about the field at large, and it is one more argument for firming up the screens with harmonized external data ahead of any broader bibliometric statement.</w:t>
      </w:r>
    </w:p>
    <w:p>
      <w:pPr>
        <w:pStyle w:val="BodyText"/>
        <w:spacing w:line="480" w:lineRule="auto"/>
        <w:ind w:firstLine="720"/>
      </w:pPr>
      <w:r>
        <w:t xml:space="preserve">One limit cuts deepest, and it is conceptual and not statistical. The outcome the primary design aims at is the declared disposal promise, not the realized end-of-life result. A stated five-year plan is a promise under uncertainty. The gap between stated and realized behavior cannot be shut at the licensing stage</w:t>
      </w:r>
      <w:r>
        <w:t xml:space="preserve"> </w:t>
      </w:r>
      <w:hyperlink w:anchor="ref-5">
        <w:r>
          <w:rPr>
            <w:rStyle w:val="Hyperlink"/>
          </w:rPr>
          <w:t xml:space="preserve">[5]</w:t>
        </w:r>
      </w:hyperlink>
      <w:r>
        <w:t xml:space="preserve">, and even a clean, strongly negative break estimate would show the rule shifting what operators declare, not what spacecraft finally do. That is a meaningful finding, since declarations carry design discipline and legal duty, yet it is no finding about physical compliance, and the study will not dress it up as one.</w:t>
      </w:r>
    </w:p>
    <w:bookmarkEnd w:id="116"/>
    <w:bookmarkStart w:id="117" w:name="X15d16b2a86459da65269ff98c2213e556bad96e"/>
    <w:p>
      <w:pPr>
        <w:pStyle w:val="Heading2"/>
        <w:spacing w:line="480" w:lineRule="auto"/>
      </w:pPr>
      <w:r>
        <w:t xml:space="preserve">7.3a The stated-versus-realized gap as a feature, not a bug</w:t>
      </w:r>
    </w:p>
    <w:p>
      <w:pPr>
        <w:pStyle w:val="FirstParagraph"/>
        <w:spacing w:line="480" w:lineRule="auto"/>
      </w:pPr>
      <w:r>
        <w:t xml:space="preserve">That the study gauges declarations rather than realized outcomes warrants a fuller handling than a bare caveat, since how one reads that gap settles what the whole design is worth. One view calls the gap fatal: if declarations need not square with outcomes, then a break in declarations tells us nothing about the environment. The rival view, the one this dissertation takes, holds the declaration valuable on its own. A licensing declaration is costly, dated, and public. It carries design discipline and legal weight, and regulators, insurers, and rivals act on it. Even where some operators later come up short, the declaration is the channel through which a default first bites, and gauging whether the default moves that channel is a real finding about how governance works.</w:t>
      </w:r>
    </w:p>
    <w:p>
      <w:pPr>
        <w:pStyle w:val="BodyText"/>
        <w:spacing w:line="480" w:lineRule="auto"/>
        <w:ind w:firstLine="720"/>
      </w:pPr>
      <w:r>
        <w:t xml:space="preserve">The measurement literature actually firms this stance up. Since remaining lifetime after disposal is physically uncertain</w:t>
      </w:r>
      <w:r>
        <w:t xml:space="preserve"> </w:t>
      </w:r>
      <w:hyperlink w:anchor="ref-5">
        <w:r>
          <w:rPr>
            <w:rStyle w:val="Hyperlink"/>
          </w:rPr>
          <w:t xml:space="preserve">[5]</w:t>
        </w:r>
      </w:hyperlink>
      <w:r>
        <w:t xml:space="preserve">, even a wholly sincere operator cannot promise a realized five-year outcome, so the realized outcome is a noisy function of intent plus atmospheric and solar luck. The declaration is different. It is a clean record of intent under the governing rule, and studying declarations thus cuts the behavioral answer to the default free of the physical noise that would taint any realized-outcome measure. The gap is real. The study glosses over none of it, yet the declaration is the right outcome for the behavioral question and no fallback forced by data limits. A later research program can tie declarations to eventual decay once time allows</w:t>
      </w:r>
      <w:r>
        <w:t xml:space="preserve"> </w:t>
      </w:r>
      <w:hyperlink w:anchor="ref-3">
        <w:r>
          <w:rPr>
            <w:rStyle w:val="Hyperlink"/>
          </w:rPr>
          <w:t xml:space="preserve">[3]</w:t>
        </w:r>
      </w:hyperlink>
      <w:r>
        <w:t xml:space="preserve">, and the distance between the two would itself turn into an informative gauge of how sincere licensing-stage promises are.</w:t>
      </w:r>
    </w:p>
    <w:bookmarkEnd w:id="117"/>
    <w:bookmarkStart w:id="118" w:name="Xf243d24bce2eb7ba40a43022c692e1993daa079"/>
    <w:p>
      <w:pPr>
        <w:pStyle w:val="Heading2"/>
        <w:spacing w:line="480" w:lineRule="auto"/>
      </w:pPr>
      <w:r>
        <w:t xml:space="preserve">7.3b External validity of the eventual estimate</w:t>
      </w:r>
    </w:p>
    <w:p>
      <w:pPr>
        <w:pStyle w:val="FirstParagraph"/>
        <w:spacing w:line="480" w:lineRule="auto"/>
      </w:pPr>
      <w:r>
        <w:t xml:space="preserve">Even a flawlessly identified break estimate would carry a fenced claim, and honesty about that fence belongs to the discussion. A break design recovers a local effect: what the default did to filings near the boundary, for the operators who react at that margin. It says nothing straight about operators filing far from the boundary, about future rule changes under other conditions, or about jurisdictions with other review cultures. An estimate that the default trimmed declared horizons at the margin would be strong evidence that defaults can move behavior, yet it would not on its own fix the effect’s size fleet-wide or across regulatory systems. The capacity-management literature’s stake in harmonization across jurisdictions</w:t>
      </w:r>
      <w:r>
        <w:t xml:space="preserve"> </w:t>
      </w:r>
      <w:hyperlink w:anchor="ref-8">
        <w:r>
          <w:rPr>
            <w:rStyle w:val="Hyperlink"/>
          </w:rPr>
          <w:t xml:space="preserve">[8]</w:t>
        </w:r>
      </w:hyperlink>
      <w:r>
        <w:t xml:space="preserve"> </w:t>
      </w:r>
      <w:r>
        <w:t xml:space="preserve">is just the ground where this local estimate would want replication before it could prop up international claims.</w:t>
      </w:r>
    </w:p>
    <w:p>
      <w:pPr>
        <w:pStyle w:val="BodyText"/>
        <w:spacing w:line="480" w:lineRule="auto"/>
        <w:ind w:firstLine="720"/>
      </w:pPr>
      <w:r>
        <w:t xml:space="preserve">This fence is no weakness peculiar to the design. It is the general nature of local quasi-experimental evidence, and the right reply is to pitch the claim at the altitude the method holds. So the dissertation casts its eventual finding as evidence about whether defaults carry behavioral weight, tested cleanly at one margin, rather than a fleet-wide or global size. Broader claims call for the sequenced extensions the conclusion lays out: feasibility splits, outcome linkage, and cross-jurisdiction replication. Marking the fence now keeps the local estimate from being over-read later, and it turns the design’s modesty into a strength by making plain just what a single clean coefficient can and cannot license.</w:t>
      </w:r>
    </w:p>
    <w:bookmarkEnd w:id="118"/>
    <w:bookmarkStart w:id="119" w:name="Xa2f9925a41f8ba8cd2a1f789a01c3887a6cdbff"/>
    <w:p>
      <w:pPr>
        <w:pStyle w:val="Heading2"/>
        <w:spacing w:line="480" w:lineRule="auto"/>
      </w:pPr>
      <w:r>
        <w:t xml:space="preserve">7.4 Interpreting the mixed diagnostic evidence responsibly</w:t>
      </w:r>
    </w:p>
    <w:p>
      <w:pPr>
        <w:pStyle w:val="FirstParagraph"/>
        <w:spacing w:line="480" w:lineRule="auto"/>
      </w:pPr>
      <w:r>
        <w:t xml:space="preserve">Together the two papers throw off a part-confirming, part-disconfirming picture, and holding back from over-reading either way is itself a methodological commitment. The recency result runs strong and confirming. The citation result in paper one runs strong yet disconfirming of that paper’s own alternative. The age result in paper two leans the looked-for way but clears no significance bar. A responsible read keeps all three in view at once: the field’s content is plainly recency-weighted, its local citation structure pays off no topical concentration, and its attention may renew toward recent work without that renewal standing firm in so small a sample.</w:t>
      </w:r>
    </w:p>
    <w:p>
      <w:pPr>
        <w:pStyle w:val="BodyText"/>
        <w:spacing w:line="480" w:lineRule="auto"/>
        <w:ind w:firstLine="720"/>
      </w:pPr>
      <w:r>
        <w:t xml:space="preserve">A mixed picture serves better than a uniformly confirming one would have. A study finding every diagnostic pointing one way in thirty noisy records ought to draw suspicion that the measures were rigged to agree. The clash here, above all the negative citation coefficient, is evidence that the deterministic build of the signal score and the parsed citation counts are gauging genuinely different traits of the records. For the dissertation’s ends the working conclusions are the two that ride out scrutiny: topical signal pools in recent work, and citation attention does not track document age. Both back treating the evidence base as temporally built rather than a neutral pile, and both feed the contextual case that a formal default could plausibly coordinate behavior in a field turned toward the present.</w:t>
      </w:r>
    </w:p>
    <w:p>
      <w:pPr>
        <w:pStyle w:val="BodyText"/>
        <w:spacing w:line="480" w:lineRule="auto"/>
        <w:ind w:firstLine="720"/>
      </w:pPr>
      <w:r>
        <w:t xml:space="preserve">Holding back from over-claiming off a favorable-looking result is a discipline worth naming as a general rule and not a one-time caution. The recency coefficient runs large and significant, and puffing it into a grand statement about the field would come easy. The honest read is narrower: inside this retrieved sample, and under this deterministic build of the signal score, fresher records carry stronger theme signals. That statement is true and useful. It wants no embellishment. The same discipline runs in reverse for the age coefficient, whose near-miss p-value must be neither quietly bumped to significance nor waved off as a clean null. Holding both reads to their real evidentiary weight is what lets the diagnostics do their true job, which is to portray the evidence base honestly so the eventual primary estimate inherits a credible context and not a puffed one. The next chapter gathers these threads into the dissertation’s contribution and its implications for governance and program calls.</w:t>
      </w:r>
    </w:p>
    <w:bookmarkEnd w:id="119"/>
    <w:bookmarkStart w:id="120" w:name="X55371ab5321f63ce838161ff40eacc20038dbef"/>
    <w:p>
      <w:pPr>
        <w:pStyle w:val="Heading2"/>
        <w:spacing w:line="480" w:lineRule="auto"/>
      </w:pPr>
      <w:r>
        <w:t xml:space="preserve">7.5 A concluding assessment of the design’s readiness</w:t>
      </w:r>
    </w:p>
    <w:p>
      <w:pPr>
        <w:pStyle w:val="FirstParagraph"/>
        <w:spacing w:line="480" w:lineRule="auto"/>
      </w:pPr>
      <w:r>
        <w:t xml:space="preserve">Backing off from the individual threats, the overall question is whether the design stands ready to yield a credible estimate once the licensing corpus is assembled. The honest answer is a qualified yes. The identification strategy holds up: an administrative boundary hands over a sharp, operator-independent assignment to treatment, and the continuity assumption is testable through covariate-balance checks rather than merely granted. The robustness architecture foresees the main failure modes, anticipation, sorting, measurement error, slow trends, and constellation dominance, and lays out a concrete reply to each. The outcome fits the behavioral question well, and its limit against realized behavior is grasped rather than hidden. What remains is execution: the corpus must be built and coded at scale, the boundary must be checked against grant language, and the estimates must be run and reported to the exact standard the diagnostics already keep. The distance between this design and a finished causal finding is a distance of labor, not logic, and that is the spot a strong design-stage dissertation should hold.</w:t>
      </w:r>
    </w:p>
    <w:bookmarkEnd w:id="120"/>
    <w:bookmarkEnd w:id="121"/>
    <w:bookmarkStart w:id="175" w:name="chapter-8.-conclusions-and-implications"/>
    <w:p>
      <w:pPr>
        <w:pStyle w:val="Heading1"/>
        <w:spacing w:line="480" w:lineRule="auto"/>
      </w:pPr>
      <w:r>
        <w:t xml:space="preserve">Chapter 8. Conclusions and Implications</w:t>
      </w:r>
    </w:p>
    <w:bookmarkStart w:id="122" w:name="summary-of-the-argument"/>
    <w:p>
      <w:pPr>
        <w:pStyle w:val="Heading2"/>
        <w:spacing w:line="480" w:lineRule="auto"/>
      </w:pPr>
      <w:r>
        <w:t xml:space="preserve">8.0 Summary of the argument</w:t>
      </w:r>
    </w:p>
    <w:p>
      <w:pPr>
        <w:pStyle w:val="FirstParagraph"/>
        <w:spacing w:line="480" w:lineRule="auto"/>
      </w:pPr>
      <w:r>
        <w:t xml:space="preserve">Boiled into one arc, the argument runs short. Orbital-debris governance leans on a control, post-mission disposal time, whose behavioral bite has been presumed rather than gauged. Environmental models tell us what a shorter disposal horizon would deliver were operators to comply</w:t>
      </w:r>
      <w:r>
        <w:t xml:space="preserve"> </w:t>
      </w:r>
      <w:hyperlink w:anchor="ref-6">
        <w:r>
          <w:rPr>
            <w:rStyle w:val="Hyperlink"/>
          </w:rPr>
          <w:t xml:space="preserve">[6]</w:t>
        </w:r>
      </w:hyperlink>
      <w:r>
        <w:t xml:space="preserve">, governance scholarship tells us how instruments might coax compliance</w:t>
      </w:r>
      <w:r>
        <w:t xml:space="preserve"> </w:t>
      </w:r>
      <w:hyperlink w:anchor="ref-7">
        <w:r>
          <w:rPr>
            <w:rStyle w:val="Hyperlink"/>
          </w:rPr>
          <w:t xml:space="preserve">[7]</w:t>
        </w:r>
      </w:hyperlink>
      <w:r>
        <w:t xml:space="preserve"> </w:t>
      </w:r>
      <w:hyperlink w:anchor="ref-8">
        <w:r>
          <w:rPr>
            <w:rStyle w:val="Hyperlink"/>
          </w:rPr>
          <w:t xml:space="preserve">[8]</w:t>
        </w:r>
      </w:hyperlink>
      <w:r>
        <w:t xml:space="preserve">, and measurement research tells us that realized disposal is uncertain enough to make declared plans the cleaner read on intent</w:t>
      </w:r>
      <w:r>
        <w:t xml:space="preserve"> </w:t>
      </w:r>
      <w:hyperlink w:anchor="ref-5">
        <w:r>
          <w:rPr>
            <w:rStyle w:val="Hyperlink"/>
          </w:rPr>
          <w:t xml:space="preserve">[5]</w:t>
        </w:r>
      </w:hyperlink>
      <w:r>
        <w:t xml:space="preserve">. One question none of them settles. Did the drop from a twenty-five-year to a five-year default truly bend what operators declared? This dissertation frames the design to settle that question with a local break estimate on primary licensing records, and it reports two diagnostic screens fixing that the ringing literature tilts toward recent work, the fast-moving sort of field where a default has room to coordinate conduct. The conclusions below trail from that arc.</w:t>
      </w:r>
    </w:p>
    <w:bookmarkEnd w:id="122"/>
    <w:bookmarkStart w:id="123" w:name="the-contribution-restated"/>
    <w:p>
      <w:pPr>
        <w:pStyle w:val="Heading2"/>
        <w:spacing w:line="480" w:lineRule="auto"/>
      </w:pPr>
      <w:r>
        <w:t xml:space="preserve">8.1 The contribution restated</w:t>
      </w:r>
    </w:p>
    <w:p>
      <w:pPr>
        <w:pStyle w:val="FirstParagraph"/>
        <w:spacing w:line="480" w:lineRule="auto"/>
      </w:pPr>
      <w:r>
        <w:t xml:space="preserve">This dissertation set out to settle whether a regulatory default bends behavior or only swaps vocabulary. The precise test is whether the drop from a twenty-five-year to a five-year post-mission disposal expectation drove a discontinuous cut in the disposal lifetimes that satellite operators declare in their licensing filings. Its contribution is one falsifiable estimate, recovered through a local regression-discontinuity design around the administrative boundary and adjusted for spacecraft and mission traits locked before authorization. The worth lies in where it aims. Rather than reading behavior off policy rhetoric or off environmental models that presume compliance, it gauges the declared promise at the point in the regulatory process where engineering design, legal duty, and public answerability first enter the record.</w:t>
      </w:r>
    </w:p>
    <w:p>
      <w:pPr>
        <w:pStyle w:val="BodyText"/>
        <w:spacing w:line="480" w:lineRule="auto"/>
        <w:ind w:firstLine="720"/>
      </w:pPr>
      <w:r>
        <w:t xml:space="preserve">At this stage the primary estimate stays unproduced, and the dissertation says so plainly. What it hands over now is the research design, the data-building plan, and two diagnostic screens over the retrieved literature. The diagnostics fix that the evidence base tilts toward recent work: topic-signal intensity climbs with publication recency, with a coefficient of 0.4903504104768052, and citation attention shows a hinting negative tie to document age, with an elasticity of -0.37275063780031276 that clears no conventional significance. These run no test of the disposal rule, and the dissertation never dresses them up that way. They portray the field so the eventual primary result can be read in its proper intellectual context.</w:t>
      </w:r>
    </w:p>
    <w:bookmarkEnd w:id="123"/>
    <w:bookmarkStart w:id="124" w:name="why-the-framing-is-a-genuine-advance"/>
    <w:p>
      <w:pPr>
        <w:pStyle w:val="Heading2"/>
        <w:spacing w:line="480" w:lineRule="auto"/>
      </w:pPr>
      <w:r>
        <w:t xml:space="preserve">8.2 Why the framing is a genuine advance</w:t>
      </w:r>
    </w:p>
    <w:p>
      <w:pPr>
        <w:pStyle w:val="FirstParagraph"/>
        <w:spacing w:line="480" w:lineRule="auto"/>
      </w:pPr>
      <w:r>
        <w:t xml:space="preserve">Three literatures have skirted this question without joining. Environmental modeling puts numbers on what a shorter disposal horizon would do to the orbital population yet presumes the behavioral input</w:t>
      </w:r>
      <w:r>
        <w:t xml:space="preserve"> </w:t>
      </w:r>
      <w:hyperlink w:anchor="ref-1">
        <w:r>
          <w:rPr>
            <w:rStyle w:val="Hyperlink"/>
          </w:rPr>
          <w:t xml:space="preserve">[1]</w:t>
        </w:r>
      </w:hyperlink>
      <w:r>
        <w:t xml:space="preserve"> </w:t>
      </w:r>
      <w:hyperlink w:anchor="ref-6">
        <w:r>
          <w:rPr>
            <w:rStyle w:val="Hyperlink"/>
          </w:rPr>
          <w:t xml:space="preserve">[6]</w:t>
        </w:r>
      </w:hyperlink>
      <w:r>
        <w:t xml:space="preserve">. Governance and compliance scholarship builds the theory of disposal rules as instruments inside a coordination system, yet stops shy of gauging whether a given default moved operator declarations</w:t>
      </w:r>
      <w:r>
        <w:t xml:space="preserve"> </w:t>
      </w:r>
      <w:hyperlink w:anchor="ref-7">
        <w:r>
          <w:rPr>
            <w:rStyle w:val="Hyperlink"/>
          </w:rPr>
          <w:t xml:space="preserve">[7]</w:t>
        </w:r>
      </w:hyperlink>
      <w:r>
        <w:t xml:space="preserve"> </w:t>
      </w:r>
      <w:hyperlink w:anchor="ref-8">
        <w:r>
          <w:rPr>
            <w:rStyle w:val="Hyperlink"/>
          </w:rPr>
          <w:t xml:space="preserve">[8]</w:t>
        </w:r>
      </w:hyperlink>
      <w:r>
        <w:t xml:space="preserve">. Measurement research fixes that post-disposal lifetime is uncertain and that stated plans part from realized outcomes</w:t>
      </w:r>
      <w:r>
        <w:t xml:space="preserve"> </w:t>
      </w:r>
      <w:hyperlink w:anchor="ref-5">
        <w:r>
          <w:rPr>
            <w:rStyle w:val="Hyperlink"/>
          </w:rPr>
          <w:t xml:space="preserve">[5]</w:t>
        </w:r>
      </w:hyperlink>
      <w:r>
        <w:t xml:space="preserve">, and analytic domain-awareness work hands over the object-level data to validate regime labels</w:t>
      </w:r>
      <w:r>
        <w:t xml:space="preserve"> </w:t>
      </w:r>
      <w:hyperlink w:anchor="ref-3">
        <w:r>
          <w:rPr>
            <w:rStyle w:val="Hyperlink"/>
          </w:rPr>
          <w:t xml:space="preserve">[3]</w:t>
        </w:r>
      </w:hyperlink>
      <w:r>
        <w:t xml:space="preserve">. The advance here is to take the behavioral input the first literature presumes, hold it to the measured-not-presumed standard the second literature demands, and honor the stated-versus-realized caution the third literature presses, then gauge the rule’s effect on declarations through a quasi-experimental design. That precise joining has never been done.</w:t>
      </w:r>
    </w:p>
    <w:p>
      <w:pPr>
        <w:pStyle w:val="BodyText"/>
        <w:spacing w:line="480" w:lineRule="auto"/>
        <w:ind w:firstLine="720"/>
      </w:pPr>
      <w:r>
        <w:t xml:space="preserve">The methodological precedent set by compliance studies of formal standards is the nearest analog, and the dissertation stretches it on purpose</w:t>
      </w:r>
      <w:r>
        <w:t xml:space="preserve"> </w:t>
      </w:r>
      <w:hyperlink w:anchor="ref-2">
        <w:r>
          <w:rPr>
            <w:rStyle w:val="Hyperlink"/>
          </w:rPr>
          <w:t xml:space="preserve">[2]</w:t>
        </w:r>
      </w:hyperlink>
      <w:r>
        <w:t xml:space="preserve">. Where earlier work asked whether a documented actor conformed to a written standard, this study asks whether a changed default shifted the written promises of a broad population of operators at the moment of authorization. The stretch runs from conformance to declaration, and from a lone institution to a licensing population, while keeping the same refusal to treat a written rule as self-executing.</w:t>
      </w:r>
    </w:p>
    <w:bookmarkEnd w:id="124"/>
    <w:bookmarkStart w:id="125" w:name="Xb4a3db69399ab5b867bdb35da7fd9b7e33db9c4"/>
    <w:p>
      <w:pPr>
        <w:pStyle w:val="Heading2"/>
        <w:spacing w:line="480" w:lineRule="auto"/>
      </w:pPr>
      <w:r>
        <w:t xml:space="preserve">8.2a What a defensible design-stage dissertation delivers</w:t>
      </w:r>
    </w:p>
    <w:p>
      <w:pPr>
        <w:pStyle w:val="FirstParagraph"/>
        <w:spacing w:line="480" w:lineRule="auto"/>
      </w:pPr>
      <w:r>
        <w:t xml:space="preserve">The urge to judge a design-stage dissertation harshly for not yet throwing off its headline estimate runs strong, and it warrants resisting with a plain account of what the study does hand over. It hands over four things. First, a falsifiable question pinned tight enough that a specific coefficient could sink it. Second, an identification strategy squared to the administrative build of the rule, with the continuity assumption, the local window, and the robustness architecture all fixed ahead of time rather than picked after the results are seen. Third, a data-building plan detailed enough for another researcher to run, down to the coding rules for ranges and benchmark-derived values. Fourth, two transparent diagnostic screens that portray the evidence base, reported to the exact standard the primary estimate will later keep. These are the deliverables a design stage ought to yield, and yielding them honestly is worth more than manufacturing a premature estimate on data not yet assembled.</w:t>
      </w:r>
    </w:p>
    <w:p>
      <w:pPr>
        <w:pStyle w:val="BodyText"/>
        <w:spacing w:line="480" w:lineRule="auto"/>
        <w:ind w:firstLine="720"/>
      </w:pPr>
      <w:r>
        <w:t xml:space="preserve">Pre-specifying the robustness architecture is itself a contribution to credibility. By pledging ahead of time to donut specifications, bandwidth sensitivity, grandfathering exclusion, and twin application-weighted and spacecraft-weighted estimates, the design ties its own hands against the urge to comb across specifications for an agreeable result. This weighs most in a policy-relevant field where a finding either way has champions. A rule effect that rides out a pre-registered gauntlet of checks convinces far more than one dug up by specification search, and naming the gauntlet now, before the corpus exists, is what makes the eventual estimate trustworthy.</w:t>
      </w:r>
    </w:p>
    <w:bookmarkEnd w:id="125"/>
    <w:bookmarkStart w:id="126" w:name="implications-for-governance"/>
    <w:p>
      <w:pPr>
        <w:pStyle w:val="Heading2"/>
        <w:spacing w:line="480" w:lineRule="auto"/>
      </w:pPr>
      <w:r>
        <w:t xml:space="preserve">8.3 Implications for governance</w:t>
      </w:r>
    </w:p>
    <w:p>
      <w:pPr>
        <w:pStyle w:val="FirstParagraph"/>
        <w:spacing w:line="480" w:lineRule="auto"/>
      </w:pPr>
      <w:r>
        <w:t xml:space="preserve">Should the primary estimate finally show a clear negative break, the governance upshot is that formal defaults carry behavioral weight at the licensing stage, and that regulators can shape declared operator conduct through the everyday gears of authorization rather than only through enforcement after the fact. That would back the view, worked up in the capacity-management and incentive-design literatures, that a well-pitched default acts as a coordinating focal point across a varied cast of operators</w:t>
      </w:r>
      <w:r>
        <w:t xml:space="preserve"> </w:t>
      </w:r>
      <w:hyperlink w:anchor="ref-7">
        <w:r>
          <w:rPr>
            <w:rStyle w:val="Hyperlink"/>
          </w:rPr>
          <w:t xml:space="preserve">[7]</w:t>
        </w:r>
      </w:hyperlink>
      <w:r>
        <w:t xml:space="preserve"> </w:t>
      </w:r>
      <w:hyperlink w:anchor="ref-8">
        <w:r>
          <w:rPr>
            <w:rStyle w:val="Hyperlink"/>
          </w:rPr>
          <w:t xml:space="preserve">[8]</w:t>
        </w:r>
      </w:hyperlink>
      <w:r>
        <w:t xml:space="preserve">. It would also hand environmental modelers a gauged behavioral input to swap in for a presumed one, tightening the tie between forecast orbital outcomes and the rules meant to yield them</w:t>
      </w:r>
      <w:r>
        <w:t xml:space="preserve"> </w:t>
      </w:r>
      <w:hyperlink w:anchor="ref-4">
        <w:r>
          <w:rPr>
            <w:rStyle w:val="Hyperlink"/>
          </w:rPr>
          <w:t xml:space="preserve">[4]</w:t>
        </w:r>
      </w:hyperlink>
      <w:r>
        <w:t xml:space="preserve"> </w:t>
      </w:r>
      <w:hyperlink w:anchor="ref-6">
        <w:r>
          <w:rPr>
            <w:rStyle w:val="Hyperlink"/>
          </w:rPr>
          <w:t xml:space="preserve">[6]</w:t>
        </w:r>
      </w:hyperlink>
      <w:r>
        <w:t xml:space="preserve">.</w:t>
      </w:r>
    </w:p>
    <w:p>
      <w:pPr>
        <w:pStyle w:val="BodyText"/>
        <w:spacing w:line="480" w:lineRule="auto"/>
        <w:ind w:firstLine="720"/>
      </w:pPr>
      <w:r>
        <w:t xml:space="preserve">Should the estimate show no break, the upshot runs the other way and helps just as much. It would suggest the formal default accomplishes less than governance rhetoric presumes. Attention should then swing toward the mechanisms that truly bind: enforcement, verification, mission-design constraints, insurance, liability, and the technical reach of short disposal for given orbits and mass classes. Since remaining lifetime after disposal is uncertain and some missions cannot physically hit a five-year horizon</w:t>
      </w:r>
      <w:r>
        <w:t xml:space="preserve"> </w:t>
      </w:r>
      <w:hyperlink w:anchor="ref-5">
        <w:r>
          <w:rPr>
            <w:rStyle w:val="Hyperlink"/>
          </w:rPr>
          <w:t xml:space="preserve">[5]</w:t>
        </w:r>
      </w:hyperlink>
      <w:r>
        <w:t xml:space="preserve"> </w:t>
      </w:r>
      <w:hyperlink w:anchor="ref-6">
        <w:r>
          <w:rPr>
            <w:rStyle w:val="Hyperlink"/>
          </w:rPr>
          <w:t xml:space="preserve">[6]</w:t>
        </w:r>
      </w:hyperlink>
      <w:r>
        <w:t xml:space="preserve">, a null result would steer regulators toward feasibility-aware instruments rather than uniform declarative defaults. Either way the next generation of sustainability rules gets designed better, which is the practical payoff of holding out for a falsifiable test.</w:t>
      </w:r>
    </w:p>
    <w:p>
      <w:pPr>
        <w:pStyle w:val="BodyText"/>
        <w:spacing w:line="480" w:lineRule="auto"/>
        <w:ind w:firstLine="720"/>
      </w:pPr>
      <w:r>
        <w:t xml:space="preserve">A program-level upshot rides along too. Downstream fallout from disposal choices reaches past orbit, since uncontrolled reentries of massive objects cross aviation safety</w:t>
      </w:r>
      <w:r>
        <w:t xml:space="preserve"> </w:t>
      </w:r>
      <w:hyperlink w:anchor="ref-26">
        <w:r>
          <w:rPr>
            <w:rStyle w:val="Hyperlink"/>
          </w:rPr>
          <w:t xml:space="preserve">[26]</w:t>
        </w:r>
      </w:hyperlink>
      <w:r>
        <w:t xml:space="preserve">, and the wider habit of environmental rules outrunning the institutions that verify them recurs across emerging space activities</w:t>
      </w:r>
      <w:r>
        <w:t xml:space="preserve"> </w:t>
      </w:r>
      <w:hyperlink w:anchor="ref-28">
        <w:r>
          <w:rPr>
            <w:rStyle w:val="Hyperlink"/>
          </w:rPr>
          <w:t xml:space="preserve">[28]</w:t>
        </w:r>
      </w:hyperlink>
      <w:r>
        <w:t xml:space="preserve">. A credible gauge of whether disposal defaults bend declared behavior hands program planners and international bodies a concrete evidentiary footing for deciding how far to lean on defaults against verification when they design the disposal regimes of the coming decade.</w:t>
      </w:r>
    </w:p>
    <w:p>
      <w:pPr>
        <w:pStyle w:val="BodyText"/>
        <w:spacing w:line="480" w:lineRule="auto"/>
        <w:ind w:firstLine="720"/>
      </w:pPr>
      <w:r>
        <w:t xml:space="preserve">The international dimension sharpens the point. Disposal norms get set in more than one jurisdiction, and harmonization across regulators is a live goal of the capacity-management and sustainability-governance agenda</w:t>
      </w:r>
      <w:r>
        <w:t xml:space="preserve"> </w:t>
      </w:r>
      <w:hyperlink w:anchor="ref-8">
        <w:r>
          <w:rPr>
            <w:rStyle w:val="Hyperlink"/>
          </w:rPr>
          <w:t xml:space="preserve">[8]</w:t>
        </w:r>
      </w:hyperlink>
      <w:r>
        <w:t xml:space="preserve">. Should a default demonstrably bend declared behavior in one regulatory system, that is evidence other regulators can weigh when they mull adopting a like default, and it firms up the case for coordinated tightening. Should a default not bend behavior, the same evidence warns off exporting a paper rule that swaps vocabulary without shifting conduct. Either way, a gauged behavioral answer to a default is a transferable input to the international conversation, which now runs largely on the presumption that formal rules cross into practice. Trading that presumption for a measurement is the kind of contribution that outlasts any single jurisdiction’s rule.</w:t>
      </w:r>
    </w:p>
    <w:p>
      <w:pPr>
        <w:pStyle w:val="BodyText"/>
        <w:spacing w:line="480" w:lineRule="auto"/>
        <w:ind w:firstLine="720"/>
      </w:pPr>
      <w:r>
        <w:t xml:space="preserve">A further governance upshot touches the design of future defaults themselves. Should the feasibility-heterogeneity prediction hold, so that defaults bend behavior mainly where a short horizon is technically reachable, then a uniform default is a blunt tool that binds reachable missions while leaving unreachable ones to grandfather or beg waivers. A finding to that effect would argue for feasibility-graded defaults, tuned to altitude, mass, and propulsion class, rather than one figure flung across a varied fleet. The altitude-specific build of the environmental benefit</w:t>
      </w:r>
      <w:r>
        <w:t xml:space="preserve"> </w:t>
      </w:r>
      <w:hyperlink w:anchor="ref-6">
        <w:r>
          <w:rPr>
            <w:rStyle w:val="Hyperlink"/>
          </w:rPr>
          <w:t xml:space="preserve">[6]</w:t>
        </w:r>
      </w:hyperlink>
      <w:r>
        <w:t xml:space="preserve"> </w:t>
      </w:r>
      <w:r>
        <w:t xml:space="preserve">already leans this way from the physics side, and a matching behavioral finding would lean there from the conduct side, so the two together would give rule designers a principled footing for differentiation.</w:t>
      </w:r>
    </w:p>
    <w:bookmarkEnd w:id="126"/>
    <w:bookmarkStart w:id="127" w:name="future-work"/>
    <w:p>
      <w:pPr>
        <w:pStyle w:val="Heading2"/>
        <w:spacing w:line="480" w:lineRule="auto"/>
      </w:pPr>
      <w:r>
        <w:t xml:space="preserve">8.4 Future work</w:t>
      </w:r>
    </w:p>
    <w:p>
      <w:pPr>
        <w:pStyle w:val="FirstParagraph"/>
        <w:spacing w:line="480" w:lineRule="auto"/>
      </w:pPr>
      <w:r>
        <w:t xml:space="preserve">One task stands ahead of all others: assemble and code the licensing corpus at scale, as the data chapter lays out. That is what turns the design into an estimate. It calls for wringing the disposal-lifetime outcome out of orbital-debris assessments, building treatment from filing date, type, and reach, raising the predetermined covariates off technical schedules, and tying flown spacecraft to catalog records for validation. Once the corpus exists, the break estimate, its bandwidth-sensitivity profile, its donut and grandfathering robustness checks, and its application-weighted and spacecraft-weighted variants can all be yielded and reported to the exact standard used for the diagnostics in Chapter 6.</w:t>
      </w:r>
    </w:p>
    <w:p>
      <w:pPr>
        <w:pStyle w:val="BodyText"/>
        <w:spacing w:line="480" w:lineRule="auto"/>
        <w:ind w:firstLine="720"/>
      </w:pPr>
      <w:r>
        <w:t xml:space="preserve">Several extensions trail naturally. Testing the feasibility-heterogeneity prediction from Chapter 3, that any effect ought to bunch among missions where a five-year disposal is physically reachable, would sharpen the causal story and tie it back to the altitude-specific environmental results</w:t>
      </w:r>
      <w:r>
        <w:t xml:space="preserve"> </w:t>
      </w:r>
      <w:hyperlink w:anchor="ref-6">
        <w:r>
          <w:rPr>
            <w:rStyle w:val="Hyperlink"/>
          </w:rPr>
          <w:t xml:space="preserve">[6]</w:t>
        </w:r>
      </w:hyperlink>
      <w:r>
        <w:t xml:space="preserve">. Tying declared promises to eventually observed decay, once enough time has run, would start shutting the gap between stated and realized behavior the present design cannot touch</w:t>
      </w:r>
      <w:r>
        <w:t xml:space="preserve"> </w:t>
      </w:r>
      <w:hyperlink w:anchor="ref-5">
        <w:r>
          <w:rPr>
            <w:rStyle w:val="Hyperlink"/>
          </w:rPr>
          <w:t xml:space="preserve">[5]</w:t>
        </w:r>
      </w:hyperlink>
      <w:r>
        <w:t xml:space="preserve">. Stretching the design past a lone jurisdiction would test whether a default’s coordinating force travels across regulatory systems, a question the capacity-management literature raises but leaves unsettled</w:t>
      </w:r>
      <w:r>
        <w:t xml:space="preserve"> </w:t>
      </w:r>
      <w:hyperlink w:anchor="ref-8">
        <w:r>
          <w:rPr>
            <w:rStyle w:val="Hyperlink"/>
          </w:rPr>
          <w:t xml:space="preserve">[8]</w:t>
        </w:r>
      </w:hyperlink>
      <w:r>
        <w:t xml:space="preserve">. Sharpening the diagnostic side by drawing citation data from a harmonized external database and folding in venue, subfield, and timing controls would let the bibliometric screens back stronger descriptive claims than the thirty-record local sample now allows.</w:t>
      </w:r>
    </w:p>
    <w:bookmarkEnd w:id="127"/>
    <w:bookmarkStart w:id="128" w:name="a-a-sequenced-research-agenda"/>
    <w:p>
      <w:pPr>
        <w:pStyle w:val="Heading2"/>
        <w:spacing w:line="480" w:lineRule="auto"/>
      </w:pPr>
      <w:r>
        <w:t xml:space="preserve">8.4a A sequenced research agenda</w:t>
      </w:r>
    </w:p>
    <w:p>
      <w:pPr>
        <w:pStyle w:val="FirstParagraph"/>
        <w:spacing w:line="480" w:lineRule="auto"/>
      </w:pPr>
      <w:r>
        <w:t xml:space="preserve">The future work above sorts into a sequence a doctoral program or a research group could truly run. The first stage is corpus assembly and outcome coding, which turns the design into data and is the single largest task left. It calls for systematic retrieval of low-Earth-orbit filings and their orbital-debris assessments, running the coding protocol with double-coding of ambiguous cases, and building treatment from filing date, type, and reach checked against grant language. The second stage is the primary break estimate, along with its full robustness profile: bandwidth sensitivity, donut specifications, grandfathering exclusion, filing-type disaggregation, and the twin application-weighted and spacecraft-weighted variants. The third stage tests the feasibility-heterogeneity prediction by splitting the effect between missions that can and cannot physically hit a short horizon, tying the behavioral result to the altitude-specific environmental structure modeling has already fixed</w:t>
      </w:r>
      <w:r>
        <w:t xml:space="preserve"> </w:t>
      </w:r>
      <w:hyperlink w:anchor="ref-6">
        <w:r>
          <w:rPr>
            <w:rStyle w:val="Hyperlink"/>
          </w:rPr>
          <w:t xml:space="preserve">[6]</w:t>
        </w:r>
      </w:hyperlink>
      <w:r>
        <w:t xml:space="preserve">.</w:t>
      </w:r>
    </w:p>
    <w:p>
      <w:pPr>
        <w:pStyle w:val="BodyText"/>
        <w:spacing w:line="480" w:lineRule="auto"/>
        <w:ind w:firstLine="720"/>
      </w:pPr>
      <w:r>
        <w:t xml:space="preserve">Later stages stretch the design outward. Tying declared promises to eventually observed decay, once enough time has run, would start gauging the sincerity of licensing-stage declarations and shut part of the stated-versus-realized gap</w:t>
      </w:r>
      <w:r>
        <w:t xml:space="preserve"> </w:t>
      </w:r>
      <w:hyperlink w:anchor="ref-5">
        <w:r>
          <w:rPr>
            <w:rStyle w:val="Hyperlink"/>
          </w:rPr>
          <w:t xml:space="preserve">[5]</w:t>
        </w:r>
      </w:hyperlink>
      <w:r>
        <w:t xml:space="preserve">. Rerunning the design in a second jurisdiction would test whether a default’s coordinating force travels across regulatory systems, the question the capacity-management literature raises but leaves open</w:t>
      </w:r>
      <w:r>
        <w:t xml:space="preserve"> </w:t>
      </w:r>
      <w:hyperlink w:anchor="ref-8">
        <w:r>
          <w:rPr>
            <w:rStyle w:val="Hyperlink"/>
          </w:rPr>
          <w:t xml:space="preserve">[8]</w:t>
        </w:r>
      </w:hyperlink>
      <w:r>
        <w:t xml:space="preserve">. Firming up the bibliometric screens with harmonized external citation data and richer controls would let the field’s descriptive portrait carry more weight than the thirty-record sample now permits. Each stage stands alone enough to yield a publishable result, and together they trace a path from the present design to a mature, multi-jurisdiction, behavior-plus-outcome account of whether disposal defaults work.</w:t>
      </w:r>
    </w:p>
    <w:p>
      <w:pPr>
        <w:pStyle w:val="BodyText"/>
        <w:spacing w:line="480" w:lineRule="auto"/>
        <w:ind w:firstLine="720"/>
      </w:pPr>
      <w:r>
        <w:t xml:space="preserve">Sequencing the agenda this way also clears up where the risk lies. The identification logic is settled. The principal risk sits in the first stage, where varied language in the filings could seed measurement error into the outcome, and that risk is why the coding protocol gets spelled out in such detail and why the design keeps original text for audit. Should the coding hold up, the remaining stages are comparatively mechanical runs of well-worn methods. Penning the hard uncertainty into one well-guarded stage is itself a design strength, since it tells the eventual researcher just where to spend the most care.</w:t>
      </w:r>
    </w:p>
    <w:bookmarkEnd w:id="128"/>
    <w:bookmarkStart w:id="129" w:name="X764b28bdcae7b6e26c8c76a28f35144c44d9271"/>
    <w:p>
      <w:pPr>
        <w:pStyle w:val="Heading2"/>
        <w:spacing w:line="480" w:lineRule="auto"/>
      </w:pPr>
      <w:r>
        <w:t xml:space="preserve">8.4b Why this question is worth a dissertation</w:t>
      </w:r>
    </w:p>
    <w:p>
      <w:pPr>
        <w:pStyle w:val="FirstParagraph"/>
        <w:spacing w:line="480" w:lineRule="auto"/>
      </w:pPr>
      <w:r>
        <w:t xml:space="preserve">Fairly enough one may ask whether so narrow a question, a lone coefficient on declared disposal horizons, earns a full dissertation, and the answer turns on leverage. The question sits at a chokepoint in the field’s reasoning. Environmental projections, governance designs, and international harmonization efforts all run through the presumption that formal disposal rules bend operator behavior</w:t>
      </w:r>
      <w:r>
        <w:t xml:space="preserve"> </w:t>
      </w:r>
      <w:hyperlink w:anchor="ref-4">
        <w:r>
          <w:rPr>
            <w:rStyle w:val="Hyperlink"/>
          </w:rPr>
          <w:t xml:space="preserve">[4]</w:t>
        </w:r>
      </w:hyperlink>
      <w:r>
        <w:t xml:space="preserve"> </w:t>
      </w:r>
      <w:hyperlink w:anchor="ref-6">
        <w:r>
          <w:rPr>
            <w:rStyle w:val="Hyperlink"/>
          </w:rPr>
          <w:t xml:space="preserve">[6]</w:t>
        </w:r>
      </w:hyperlink>
      <w:r>
        <w:t xml:space="preserve"> </w:t>
      </w:r>
      <w:hyperlink w:anchor="ref-8">
        <w:r>
          <w:rPr>
            <w:rStyle w:val="Hyperlink"/>
          </w:rPr>
          <w:t xml:space="preserve">[8]</w:t>
        </w:r>
      </w:hyperlink>
      <w:r>
        <w:t xml:space="preserve">. That presumption has been asserted again and again and gauged never. A dissertation that gauges it, cleanly and falsifiably, does more than tack on one result. It tests a premise a large share of the field’s downstream conclusions hang on, and pulling an untested premise out of the base of an argument is worth more than tacking another result onto its edge.</w:t>
      </w:r>
    </w:p>
    <w:p>
      <w:pPr>
        <w:pStyle w:val="BodyText"/>
        <w:spacing w:line="480" w:lineRule="auto"/>
        <w:ind w:firstLine="720"/>
      </w:pPr>
      <w:r>
        <w:t xml:space="preserve">The question also holds unusual timing value. The rule change is recent, the missions it governs are still filing, and corrective tweaks to the disposal regime are still cheap to make. A measurement handed over now can shape the design of the next generation of rules, whereas the same measurement handed over a decade on, after realized outcomes gather, would land too late to shape the regimes now being written. The design’s pick to study declarations rather than wait out realized decay is what makes this timing possible</w:t>
      </w:r>
      <w:r>
        <w:t xml:space="preserve"> </w:t>
      </w:r>
      <w:hyperlink w:anchor="ref-5">
        <w:r>
          <w:rPr>
            <w:rStyle w:val="Hyperlink"/>
          </w:rPr>
          <w:t xml:space="preserve">[5]</w:t>
        </w:r>
      </w:hyperlink>
      <w:r>
        <w:t xml:space="preserve">. A dissertation that settles a pivotal question at the moment the answer can still change policy is working the leverage of timing as well as the leverage of position, and both are reasons the narrow question earns the full treatment.</w:t>
      </w:r>
    </w:p>
    <w:bookmarkEnd w:id="129"/>
    <w:bookmarkStart w:id="130" w:name="closing"/>
    <w:p>
      <w:pPr>
        <w:pStyle w:val="Heading2"/>
        <w:spacing w:line="480" w:lineRule="auto"/>
      </w:pPr>
      <w:r>
        <w:t xml:space="preserve">8.5 Closing</w:t>
      </w:r>
    </w:p>
    <w:p>
      <w:pPr>
        <w:pStyle w:val="FirstParagraph"/>
        <w:spacing w:line="480" w:lineRule="auto"/>
      </w:pPr>
      <w:r>
        <w:t xml:space="preserve">The dissertation closes where a design-stage study should: with a sharp, falsifiable question, a credible strategy for settling it, and an honest accounting of what has and has not yet been shown. The question is whether a default disposal rule bends what operators declare. The strategy is a local break design on primary licensing records. It gauges behavior at the point of authorization rather than reading it off models or rhetoric. The honest accounting is that the two finished papers portray the evidence base but run no test of the rule, that the evidence base is measurably tilted toward recent work, and that the central estimate awaits the assembled corpus. Space sustainability governance increasingly leans on the belief that rules like the five-year default bend conduct</w:t>
      </w:r>
      <w:r>
        <w:t xml:space="preserve"> </w:t>
      </w:r>
      <w:hyperlink w:anchor="ref-6">
        <w:r>
          <w:rPr>
            <w:rStyle w:val="Hyperlink"/>
          </w:rPr>
          <w:t xml:space="preserve">[6]</w:t>
        </w:r>
      </w:hyperlink>
      <w:r>
        <w:t xml:space="preserve"> </w:t>
      </w:r>
      <w:hyperlink w:anchor="ref-7">
        <w:r>
          <w:rPr>
            <w:rStyle w:val="Hyperlink"/>
          </w:rPr>
          <w:t xml:space="preserve">[7]</w:t>
        </w:r>
      </w:hyperlink>
      <w:r>
        <w:t xml:space="preserve"> </w:t>
      </w:r>
      <w:hyperlink w:anchor="ref-8">
        <w:r>
          <w:rPr>
            <w:rStyle w:val="Hyperlink"/>
          </w:rPr>
          <w:t xml:space="preserve">[8]</w:t>
        </w:r>
      </w:hyperlink>
      <w:r>
        <w:t xml:space="preserve">. This design offers a way to learn whether that belief holds, in records that exist now, with a test that can fail. That is the contribution, and it is enough to build on.</w:t>
      </w:r>
    </w:p>
    <w:p>
      <w:pPr>
        <w:pStyle w:val="BodyText"/>
        <w:spacing w:line="480" w:lineRule="auto"/>
        <w:ind w:firstLine="720"/>
      </w:pPr>
      <w:r>
        <w:t xml:space="preserve">The field wants for no models of what a cleaner orbital environment would take, nor for proposals on coordinating the operators who share it</w:t>
      </w:r>
      <w:r>
        <w:t xml:space="preserve"> </w:t>
      </w:r>
      <w:hyperlink w:anchor="ref-1">
        <w:r>
          <w:rPr>
            <w:rStyle w:val="Hyperlink"/>
          </w:rPr>
          <w:t xml:space="preserve">[1]</w:t>
        </w:r>
      </w:hyperlink>
      <w:r>
        <w:t xml:space="preserve"> </w:t>
      </w:r>
      <w:hyperlink w:anchor="ref-7">
        <w:r>
          <w:rPr>
            <w:rStyle w:val="Hyperlink"/>
          </w:rPr>
          <w:t xml:space="preserve">[7]</w:t>
        </w:r>
      </w:hyperlink>
      <w:r>
        <w:t xml:space="preserve">. What it has wanted is a gauged answer to a prior question: when a regulator shifts the default, do the operators shift what they declare? Settling that question turns a foundational presumption into a finding, and it does so with a design modest enough to convince and sharp enough to be wrong. A dissertation that leaves the field with one fewer untested presumption at the base of its reasoning has done the work a dissertation is for.</w:t>
      </w:r>
    </w:p>
    <w:bookmarkEnd w:id="130"/>
    <w:bookmarkStart w:id="174" w:name="references"/>
    <w:p>
      <w:pPr>
        <w:pStyle w:val="Heading2"/>
        <w:spacing w:line="480" w:lineRule="auto"/>
      </w:pPr>
      <w:r>
        <w:t xml:space="preserve">References</w:t>
      </w:r>
    </w:p>
    <w:p>
      <w:pPr>
        <w:pStyle w:val="FirstParagraph"/>
        <w:spacing w:line="480" w:lineRule="auto"/>
      </w:pPr>
      <w:bookmarkStart w:id="131" w:name="ref-1"/>
      <w:bookmarkEnd w:id="131"/>
      <w:r>
        <w:t xml:space="preserve">1. M. Lifson, D. Jang, and R. Linares, “Space Environmental Governance and Decision-Support using Source-Sink Evolutionary Environmental Models,” 2023, doi:</w:t>
      </w:r>
      <w:r>
        <w:t xml:space="preserve"> </w:t>
      </w:r>
      <w:hyperlink r:id="rId132">
        <w:r>
          <w:rPr>
            <w:rStyle w:val="Hyperlink"/>
          </w:rPr>
          <w:t xml:space="preserve">10.64861/FKER7625</w:t>
        </w:r>
      </w:hyperlink>
    </w:p>
    <w:p>
      <w:pPr>
        <w:pStyle w:val="BodyText"/>
        <w:spacing w:line="480" w:lineRule="auto"/>
        <w:ind w:firstLine="720"/>
      </w:pPr>
      <w:bookmarkStart w:id="133" w:name="ref-2"/>
      <w:bookmarkEnd w:id="133"/>
      <w:r>
        <w:t xml:space="preserve">2. Q. Verspieren, “The US Air Force Compliance with the Orbital Debris Mitigation Standard Practices,” AMOS, 2020.</w:t>
      </w:r>
    </w:p>
    <w:p>
      <w:pPr>
        <w:pStyle w:val="BodyText"/>
        <w:spacing w:line="480" w:lineRule="auto"/>
        <w:ind w:firstLine="720"/>
      </w:pPr>
      <w:bookmarkStart w:id="134" w:name="ref-3"/>
      <w:bookmarkEnd w:id="134"/>
      <w:r>
        <w:t xml:space="preserve">3. D. McKnight, E. Dale, C. Gates, O. Marshall, R. Bhatia, M. Patel, and A. Marsh, “Analytic Space Domain Awareness,” 2023, doi:</w:t>
      </w:r>
      <w:r>
        <w:t xml:space="preserve"> </w:t>
      </w:r>
      <w:hyperlink r:id="rId135">
        <w:r>
          <w:rPr>
            <w:rStyle w:val="Hyperlink"/>
          </w:rPr>
          <w:t xml:space="preserve">10.64861/GVCM1752</w:t>
        </w:r>
      </w:hyperlink>
    </w:p>
    <w:p>
      <w:pPr>
        <w:pStyle w:val="BodyText"/>
        <w:spacing w:line="480" w:lineRule="auto"/>
        <w:ind w:firstLine="720"/>
      </w:pPr>
      <w:bookmarkStart w:id="136" w:name="ref-4"/>
      <w:bookmarkEnd w:id="136"/>
      <w:r>
        <w:t xml:space="preserve">4. M. Lifson et al., “Development of Reference Scenarios and Supporting Inputs for Space Environment Modeling,” 2024, doi:</w:t>
      </w:r>
      <w:r>
        <w:t xml:space="preserve"> </w:t>
      </w:r>
      <w:hyperlink r:id="rId137">
        <w:r>
          <w:rPr>
            <w:rStyle w:val="Hyperlink"/>
          </w:rPr>
          <w:t xml:space="preserve">10.64861/QBNC8763</w:t>
        </w:r>
      </w:hyperlink>
    </w:p>
    <w:p>
      <w:pPr>
        <w:pStyle w:val="BodyText"/>
        <w:spacing w:line="480" w:lineRule="auto"/>
        <w:ind w:firstLine="720"/>
      </w:pPr>
      <w:bookmarkStart w:id="138" w:name="ref-5"/>
      <w:bookmarkEnd w:id="138"/>
      <w:r>
        <w:t xml:space="preserve">5. L. Ayala Fernández, C. Wiedemann, V. Braun, and S. Lemmens, “Uncertainty in Remaining Orbital Lifetime Estimation After Post-Mission Disposal,” 2023, doi:</w:t>
      </w:r>
      <w:r>
        <w:t xml:space="preserve"> </w:t>
      </w:r>
      <w:hyperlink r:id="rId139">
        <w:r>
          <w:rPr>
            <w:rStyle w:val="Hyperlink"/>
          </w:rPr>
          <w:t xml:space="preserve">10.64861/QKCI9457</w:t>
        </w:r>
      </w:hyperlink>
    </w:p>
    <w:p>
      <w:pPr>
        <w:pStyle w:val="BodyText"/>
        <w:spacing w:line="480" w:lineRule="auto"/>
        <w:ind w:firstLine="720"/>
      </w:pPr>
      <w:bookmarkStart w:id="140" w:name="ref-6"/>
      <w:bookmarkEnd w:id="140"/>
      <w:r>
        <w:t xml:space="preserve">6. S. Kawamoto, R. Harada, Y. Kitagawa, and T. Hanada, “Evaluation of the effectiveness of the 5-year rule: Impact on the orbital environment at each altitude by reducing the post-mission disposal lifetime,”</w:t>
      </w:r>
      <w:r>
        <w:t xml:space="preserve"> </w:t>
      </w:r>
      <w:r>
        <w:rPr>
          <w:i/>
          <w:iCs/>
        </w:rPr>
        <w:t xml:space="preserve">Acta Astronautica</w:t>
      </w:r>
      <w:r>
        <w:t xml:space="preserve">, 2024, doi:</w:t>
      </w:r>
      <w:r>
        <w:t xml:space="preserve"> </w:t>
      </w:r>
      <w:hyperlink r:id="rId141">
        <w:r>
          <w:rPr>
            <w:rStyle w:val="Hyperlink"/>
          </w:rPr>
          <w:t xml:space="preserve">10.1016/j.actaastro.2024.03.033</w:t>
        </w:r>
      </w:hyperlink>
    </w:p>
    <w:p>
      <w:pPr>
        <w:pStyle w:val="BodyText"/>
        <w:spacing w:line="480" w:lineRule="auto"/>
        <w:ind w:firstLine="720"/>
      </w:pPr>
      <w:bookmarkStart w:id="142" w:name="ref-7"/>
      <w:bookmarkEnd w:id="142"/>
      <w:r>
        <w:t xml:space="preserve">7. E. David et al., “Fostering multi-stakeholder collaboration for space sustainability through an incentive-based mechanism,”</w:t>
      </w:r>
      <w:r>
        <w:t xml:space="preserve"> </w:t>
      </w:r>
      <w:r>
        <w:rPr>
          <w:i/>
          <w:iCs/>
        </w:rPr>
        <w:t xml:space="preserve">Acta Astronautica</w:t>
      </w:r>
      <w:r>
        <w:t xml:space="preserve">, 2025, doi:</w:t>
      </w:r>
      <w:r>
        <w:t xml:space="preserve"> </w:t>
      </w:r>
      <w:hyperlink r:id="rId143">
        <w:r>
          <w:rPr>
            <w:rStyle w:val="Hyperlink"/>
          </w:rPr>
          <w:t xml:space="preserve">10.1016/j.actaastro.2025.06.029</w:t>
        </w:r>
      </w:hyperlink>
    </w:p>
    <w:p>
      <w:pPr>
        <w:pStyle w:val="BodyText"/>
        <w:spacing w:line="480" w:lineRule="auto"/>
        <w:ind w:firstLine="720"/>
      </w:pPr>
      <w:bookmarkStart w:id="144" w:name="ref-8"/>
      <w:bookmarkEnd w:id="144"/>
      <w:r>
        <w:t xml:space="preserve">8. C. Colombo et al., “Space capacity management and its interaction with space traffic management,”</w:t>
      </w:r>
      <w:r>
        <w:t xml:space="preserve"> </w:t>
      </w:r>
      <w:r>
        <w:rPr>
          <w:i/>
          <w:iCs/>
        </w:rPr>
        <w:t xml:space="preserve">Acta Astronautica</w:t>
      </w:r>
      <w:r>
        <w:t xml:space="preserve">, 2025, doi:</w:t>
      </w:r>
      <w:r>
        <w:t xml:space="preserve"> </w:t>
      </w:r>
      <w:hyperlink r:id="rId145">
        <w:r>
          <w:rPr>
            <w:rStyle w:val="Hyperlink"/>
          </w:rPr>
          <w:t xml:space="preserve">10.1016/j.actaastro.2025.01.069</w:t>
        </w:r>
      </w:hyperlink>
    </w:p>
    <w:p>
      <w:pPr>
        <w:pStyle w:val="BodyText"/>
        <w:spacing w:line="480" w:lineRule="auto"/>
        <w:ind w:firstLine="720"/>
      </w:pPr>
      <w:bookmarkStart w:id="146" w:name="ref-9"/>
      <w:bookmarkEnd w:id="146"/>
      <w:r>
        <w:t xml:space="preserve">9. Jaedong Seong, Korea Aerospace Research Institute (KARI); Okchul Jung, Korea Aerospace Research Institute (KARI); Dae Won Chung, Korea Aerospace Research Institute (KARI). KARI Recent Activities on SSA &amp; STM. (2019). [AMOS]</w:t>
      </w:r>
    </w:p>
    <w:p>
      <w:pPr>
        <w:pStyle w:val="BodyText"/>
        <w:spacing w:line="480" w:lineRule="auto"/>
        <w:ind w:firstLine="720"/>
      </w:pPr>
      <w:bookmarkStart w:id="147" w:name="ref-10"/>
      <w:bookmarkEnd w:id="147"/>
      <w:r>
        <w:t xml:space="preserve">10. Miles Lifson, Massachusetts Institute of Technology; Daniel Jang, Massachusetts Institute of Technology; Richard Linares, Massachusetts Institute of Technology. Space Environmental Governance and Decision-Support using Source-Sink Evolutionary Environmental Models. (2023). doi:</w:t>
      </w:r>
      <w:r>
        <w:t xml:space="preserve"> </w:t>
      </w:r>
      <w:hyperlink r:id="rId132">
        <w:r>
          <w:rPr>
            <w:rStyle w:val="Hyperlink"/>
          </w:rPr>
          <w:t xml:space="preserve">10.64861/FKER7625</w:t>
        </w:r>
      </w:hyperlink>
    </w:p>
    <w:p>
      <w:pPr>
        <w:pStyle w:val="BodyText"/>
        <w:spacing w:line="480" w:lineRule="auto"/>
        <w:ind w:firstLine="720"/>
      </w:pPr>
      <w:bookmarkStart w:id="148" w:name="ref-11"/>
      <w:bookmarkEnd w:id="148"/>
      <w:r>
        <w:t xml:space="preserve">11. Quentin Verspieren, The University of Tokyo. The US Air Force Compliance with the Orbital Debris Mitigation Standard Practices. (2020). [AMOS]</w:t>
      </w:r>
    </w:p>
    <w:p>
      <w:pPr>
        <w:pStyle w:val="BodyText"/>
        <w:spacing w:line="480" w:lineRule="auto"/>
        <w:ind w:firstLine="720"/>
      </w:pPr>
      <w:bookmarkStart w:id="149" w:name="ref-12"/>
      <w:bookmarkEnd w:id="149"/>
      <w:r>
        <w:t xml:space="preserve">12. Darren McKnight, LeoLabs; Erin Dale, LeoLabs; Christopher Gates, LeoLabs; Owen Marshall, LeoLabs; Rachit Bhatia, LeoLabs; Mohin Patel, LeoLabs; Adam Marsh, LeoLabs. Analytic Space Domain Awareness. (2023). doi:</w:t>
      </w:r>
      <w:r>
        <w:t xml:space="preserve"> </w:t>
      </w:r>
      <w:hyperlink r:id="rId135">
        <w:r>
          <w:rPr>
            <w:rStyle w:val="Hyperlink"/>
          </w:rPr>
          <w:t xml:space="preserve">10.64861/GVCM1752</w:t>
        </w:r>
      </w:hyperlink>
    </w:p>
    <w:p>
      <w:pPr>
        <w:pStyle w:val="BodyText"/>
        <w:spacing w:line="480" w:lineRule="auto"/>
        <w:ind w:firstLine="720"/>
      </w:pPr>
      <w:bookmarkStart w:id="150" w:name="ref-13"/>
      <w:bookmarkEnd w:id="150"/>
      <w:r>
        <w:t xml:space="preserve">13. Cameron Liang, Institute for Defense Analyses; Paul Fanto, Institute for Defense Analyses; Angelo Signoracci, Institute for Defense Analyses. On the Increased Risk of Kessler Syndrome by Anti-Satellite Tests. (2023). doi:</w:t>
      </w:r>
      <w:r>
        <w:t xml:space="preserve"> </w:t>
      </w:r>
      <w:hyperlink r:id="rId151">
        <w:r>
          <w:rPr>
            <w:rStyle w:val="Hyperlink"/>
          </w:rPr>
          <w:t xml:space="preserve">10.64861/CZGF7141</w:t>
        </w:r>
      </w:hyperlink>
    </w:p>
    <w:p>
      <w:pPr>
        <w:pStyle w:val="BodyText"/>
        <w:spacing w:line="480" w:lineRule="auto"/>
        <w:ind w:firstLine="720"/>
      </w:pPr>
      <w:bookmarkStart w:id="152" w:name="ref-14"/>
      <w:bookmarkEnd w:id="152"/>
      <w:r>
        <w:t xml:space="preserve">14. Miles Lifson, The Aerospace Corporation; Aniqu Baset, The Aerospace Corporation; Grant Cates, The Aerospace Corporation; Bill Chen, The Aerospace Corporation; Angelo Connor, The Aerospace Corporation; Carson Coursey, The Aerospace Corporation; Gregory Henning, The Aerospace Corporation; Michael Miyamoto, The Aerospace Corporation; Glenn E. Peterson, The Aerospace Corporation; Brian Weeden, The Aerospace Corporation; Grant Williams, The Aerospace Corporation; Indigo Brownhall, University College London; Matthew Burgess, University of Colorado Boulder; Marcus Holzinger, University of Colorado Boulder; Daniel Kaffine, University of Colorado Boulder; Mark Moretto, North Carolina State University; Akhil Rao, Middlebury College. Development of Reference Scenarios and Supporting Inputs for Space Environment Modeling. (2024). doi:</w:t>
      </w:r>
      <w:r>
        <w:t xml:space="preserve"> </w:t>
      </w:r>
      <w:hyperlink r:id="rId137">
        <w:r>
          <w:rPr>
            <w:rStyle w:val="Hyperlink"/>
          </w:rPr>
          <w:t xml:space="preserve">10.64861/QBNC8763</w:t>
        </w:r>
      </w:hyperlink>
    </w:p>
    <w:p>
      <w:pPr>
        <w:pStyle w:val="BodyText"/>
        <w:spacing w:line="480" w:lineRule="auto"/>
        <w:ind w:firstLine="720"/>
      </w:pPr>
      <w:bookmarkStart w:id="153" w:name="ref-15"/>
      <w:bookmarkEnd w:id="153"/>
      <w:r>
        <w:t xml:space="preserve">15. Joshua Wysack, BAE Systems. Cislunar Missions End-of-Life Disposal Strategies. (2024). doi:</w:t>
      </w:r>
      <w:r>
        <w:t xml:space="preserve"> </w:t>
      </w:r>
      <w:hyperlink r:id="rId154">
        <w:r>
          <w:rPr>
            <w:rStyle w:val="Hyperlink"/>
          </w:rPr>
          <w:t xml:space="preserve">10.64861/GDKE6454</w:t>
        </w:r>
      </w:hyperlink>
    </w:p>
    <w:p>
      <w:pPr>
        <w:pStyle w:val="BodyText"/>
        <w:spacing w:line="480" w:lineRule="auto"/>
        <w:ind w:firstLine="720"/>
      </w:pPr>
      <w:bookmarkStart w:id="155" w:name="ref-16"/>
      <w:bookmarkEnd w:id="155"/>
      <w:r>
        <w:t xml:space="preserve">16. Lucía Ayala Fernández, Technische Universität Braunschweig; Carsten Wiedemann, Technische Universität Braunschweig; Vitali Braun, IMS Space Consultancy @ ESA/ESOC; Stijn Lemmens, ESA/ESOC Space Debris Office. Uncertainty in Remaining Orbital Lifetime Estimation After Post-Mission Disposal. (2023). doi:</w:t>
      </w:r>
      <w:r>
        <w:t xml:space="preserve"> </w:t>
      </w:r>
      <w:hyperlink r:id="rId139">
        <w:r>
          <w:rPr>
            <w:rStyle w:val="Hyperlink"/>
          </w:rPr>
          <w:t xml:space="preserve">10.64861/QKCI9457</w:t>
        </w:r>
      </w:hyperlink>
    </w:p>
    <w:p>
      <w:pPr>
        <w:pStyle w:val="BodyText"/>
        <w:spacing w:line="480" w:lineRule="auto"/>
        <w:ind w:firstLine="720"/>
      </w:pPr>
      <w:bookmarkStart w:id="156" w:name="ref-17"/>
      <w:bookmarkEnd w:id="156"/>
      <w:r>
        <w:t xml:space="preserve">17. Anthony V. Dentamaro (Boston College), Phan D. Dao (Air Force Research Laboratories, Space Vehicles Directorate), Kimberly R. Knobel (Air Force Research Laboratories, Space Vehicles Directorate). Test of Neural Network Techniques Using Simulated Dual-Band Data of LEO Satellites. (2010). [AMOS]</w:t>
      </w:r>
    </w:p>
    <w:p>
      <w:pPr>
        <w:pStyle w:val="BodyText"/>
        <w:spacing w:line="480" w:lineRule="auto"/>
        <w:ind w:firstLine="720"/>
      </w:pPr>
      <w:bookmarkStart w:id="157" w:name="ref-18"/>
      <w:bookmarkEnd w:id="157"/>
      <w:r>
        <w:t xml:space="preserve">18. Shawn Seunghwan Choi, SpaceMap; Jun Young Byun, Hanyang University; Maxime Pognon, SAFRAN ELECTRONICS &amp; DEFENSE; Juhwan Kim, Hanyang University; Hyeonggu Kim, KT SAT; Jaedong Seong, KARI; Baptiste Guillot, Safran; Thierry Balanche, Safran; Kevin Choi, KT SAT; Misoon Mah, M&amp;K Research and Development Inc; Jae Wook Song, Hanyang University; Peter Joonghyun Ryu, SpaceMap; Douglas Deok-Soo Kim, SpaceMap. Real-Time Conjunction Assessment and Collision Avoidance of Satellites for Concurrent Avoidance Negotiation Based on Comparative Analysis of Passive Ranging Method and Traditional Sources. (2024). doi:</w:t>
      </w:r>
      <w:r>
        <w:t xml:space="preserve"> </w:t>
      </w:r>
      <w:hyperlink r:id="rId158">
        <w:r>
          <w:rPr>
            <w:rStyle w:val="Hyperlink"/>
          </w:rPr>
          <w:t xml:space="preserve">10.64861/TJIV3429</w:t>
        </w:r>
      </w:hyperlink>
    </w:p>
    <w:p>
      <w:pPr>
        <w:pStyle w:val="BodyText"/>
        <w:spacing w:line="480" w:lineRule="auto"/>
        <w:ind w:firstLine="720"/>
      </w:pPr>
      <w:bookmarkStart w:id="159" w:name="ref-19"/>
      <w:bookmarkEnd w:id="159"/>
      <w:r>
        <w:t xml:space="preserve">19. Jerome Pearson (Star Technology and Research, Inc.), Eugene Levin (Star Technology and Research, Inc.), John Oldson (Star Technology and Research, Inc.), Joseph Carroll (Tether Applications, Inc.). ElectroDynamic Debris Eliminator (EDDE): Design, Operation, and Ground Support. (2010). [AMOS]</w:t>
      </w:r>
    </w:p>
    <w:p>
      <w:pPr>
        <w:pStyle w:val="BodyText"/>
        <w:spacing w:line="480" w:lineRule="auto"/>
        <w:ind w:firstLine="720"/>
      </w:pPr>
      <w:bookmarkStart w:id="160" w:name="ref-20"/>
      <w:bookmarkEnd w:id="160"/>
      <w:r>
        <w:t xml:space="preserve">20. Andris Jaunzemis, Georgia Institute of Technology, Marcus Holzinger, Georgia Institute of Technology, Moriba Jah, University of Arizona. Evidence-based Sensor Tasking for Space Domain Awareness. (2016). [AMOS]</w:t>
      </w:r>
    </w:p>
    <w:p>
      <w:pPr>
        <w:pStyle w:val="BodyText"/>
        <w:spacing w:line="480" w:lineRule="auto"/>
        <w:ind w:firstLine="720"/>
      </w:pPr>
      <w:bookmarkStart w:id="161" w:name="ref-21"/>
      <w:bookmarkEnd w:id="161"/>
      <w:r>
        <w:t xml:space="preserve">21. Tobias Degen; John C. Barentine; Gyula I.G. Józsa; Thomas Walter; Jacqueline Degen. Mitigating satellite trails through retroreflective coatings: A proposal for preserving the night sky. (2026). doi:</w:t>
      </w:r>
      <w:r>
        <w:t xml:space="preserve"> </w:t>
      </w:r>
      <w:hyperlink r:id="rId162">
        <w:r>
          <w:rPr>
            <w:rStyle w:val="Hyperlink"/>
          </w:rPr>
          <w:t xml:space="preserve">10.1016/j.actaastro.2026.01.042</w:t>
        </w:r>
      </w:hyperlink>
    </w:p>
    <w:p>
      <w:pPr>
        <w:pStyle w:val="BodyText"/>
        <w:spacing w:line="480" w:lineRule="auto"/>
        <w:ind w:firstLine="720"/>
      </w:pPr>
      <w:bookmarkStart w:id="163" w:name="ref-22"/>
      <w:bookmarkEnd w:id="163"/>
      <w:r>
        <w:t xml:space="preserve">22. Satomi Kawamoto; Ryusuke Harada; Yasuhiro Kitagawa; Toshiya Hanada. Evaluation of the effectiveness of the 5-year rule , impact on the orbital environment at each altitude by reducing the post-mission disposal lifetime. (2024). doi:</w:t>
      </w:r>
      <w:r>
        <w:t xml:space="preserve"> </w:t>
      </w:r>
      <w:hyperlink r:id="rId141">
        <w:r>
          <w:rPr>
            <w:rStyle w:val="Hyperlink"/>
          </w:rPr>
          <w:t xml:space="preserve">10.1016/j.actaastro.2024.03.033</w:t>
        </w:r>
      </w:hyperlink>
    </w:p>
    <w:p>
      <w:pPr>
        <w:pStyle w:val="BodyText"/>
        <w:spacing w:line="480" w:lineRule="auto"/>
        <w:ind w:firstLine="720"/>
      </w:pPr>
      <w:bookmarkStart w:id="164" w:name="ref-23"/>
      <w:bookmarkEnd w:id="164"/>
      <w:r>
        <w:t xml:space="preserve">23. Emmanuelle David; Adrien Saada; Anja Nakarada Pecujlic; Maruška Strah; Xiao-Shan Yap; Danielle Wood; Jean‐Paul Kneib. Fostering multi-stakeholder collaboration for space sustainability through an incentive-based mechanism. (2025). doi:</w:t>
      </w:r>
      <w:r>
        <w:t xml:space="preserve"> </w:t>
      </w:r>
      <w:hyperlink r:id="rId143">
        <w:r>
          <w:rPr>
            <w:rStyle w:val="Hyperlink"/>
          </w:rPr>
          <w:t xml:space="preserve">10.1016/j.actaastro.2025.06.029</w:t>
        </w:r>
      </w:hyperlink>
    </w:p>
    <w:p>
      <w:pPr>
        <w:pStyle w:val="BodyText"/>
        <w:spacing w:line="480" w:lineRule="auto"/>
        <w:ind w:firstLine="720"/>
      </w:pPr>
      <w:bookmarkStart w:id="165" w:name="ref-24"/>
      <w:bookmarkEnd w:id="165"/>
      <w:r>
        <w:t xml:space="preserve">24. Camilla Colombo; Peter Martinez; Francesca Letizia; Benedetta M. Cattani; Emmanuelle David; Diego A. Escobar; Satomi Kawamoto; Robert J. Rovetto; Ivan Sumelzo. Space capacity management and its interaction with space traffic management. (2025). doi:</w:t>
      </w:r>
      <w:r>
        <w:t xml:space="preserve"> </w:t>
      </w:r>
      <w:hyperlink r:id="rId145">
        <w:r>
          <w:rPr>
            <w:rStyle w:val="Hyperlink"/>
          </w:rPr>
          <w:t xml:space="preserve">10.1016/j.actaastro.2025.01.069</w:t>
        </w:r>
      </w:hyperlink>
    </w:p>
    <w:p>
      <w:pPr>
        <w:pStyle w:val="BodyText"/>
        <w:spacing w:line="480" w:lineRule="auto"/>
        <w:ind w:firstLine="720"/>
      </w:pPr>
      <w:bookmarkStart w:id="166" w:name="ref-25"/>
      <w:bookmarkEnd w:id="166"/>
      <w:r>
        <w:t xml:space="preserve">25. Bozhidar Stevanoski; Dragi Kocev; Aljaž Osojnik; Ivica Dimitrovski; Sašo Džeroski. Data stream mining for predicting the thermal power consumption of the Mars Express spacecraft (2023). doi:</w:t>
      </w:r>
      <w:r>
        <w:t xml:space="preserve"> </w:t>
      </w:r>
      <w:hyperlink r:id="rId167">
        <w:r>
          <w:rPr>
            <w:rStyle w:val="Hyperlink"/>
          </w:rPr>
          <w:t xml:space="preserve">10.1016/j.actaastro.2023.04.037</w:t>
        </w:r>
      </w:hyperlink>
    </w:p>
    <w:p>
      <w:pPr>
        <w:pStyle w:val="BodyText"/>
        <w:spacing w:line="480" w:lineRule="auto"/>
        <w:ind w:firstLine="720"/>
      </w:pPr>
      <w:bookmarkStart w:id="168" w:name="ref-26"/>
      <w:bookmarkEnd w:id="168"/>
      <w:r>
        <w:t xml:space="preserve">26. Charlotte Hook; Ewan Wright; Michael Byers; Aaron C. Boley. Uncontrolled reentries of space objects and aviation safety (2024). doi:</w:t>
      </w:r>
      <w:r>
        <w:t xml:space="preserve"> </w:t>
      </w:r>
      <w:hyperlink r:id="rId169">
        <w:r>
          <w:rPr>
            <w:rStyle w:val="Hyperlink"/>
          </w:rPr>
          <w:t xml:space="preserve">10.1016/j.actaastro.2024.05.026</w:t>
        </w:r>
      </w:hyperlink>
    </w:p>
    <w:p>
      <w:pPr>
        <w:pStyle w:val="BodyText"/>
        <w:spacing w:line="480" w:lineRule="auto"/>
        <w:ind w:firstLine="720"/>
      </w:pPr>
      <w:bookmarkStart w:id="170" w:name="ref-27"/>
      <w:bookmarkEnd w:id="170"/>
      <w:r>
        <w:t xml:space="preserve">27. Mathilda Bolis; Elisa Maria Alessi; Camilla Colombo. Mission analysis for the Radiation Environment Monitor for Energetic Cosmic rays (REMEC) mission (2025). doi:</w:t>
      </w:r>
      <w:r>
        <w:t xml:space="preserve"> </w:t>
      </w:r>
      <w:hyperlink r:id="rId171">
        <w:r>
          <w:rPr>
            <w:rStyle w:val="Hyperlink"/>
          </w:rPr>
          <w:t xml:space="preserve">10.1016/j.actaastro.2025.02.013</w:t>
        </w:r>
      </w:hyperlink>
    </w:p>
    <w:p>
      <w:pPr>
        <w:pStyle w:val="BodyText"/>
        <w:spacing w:line="480" w:lineRule="auto"/>
        <w:ind w:firstLine="720"/>
      </w:pPr>
      <w:bookmarkStart w:id="172" w:name="ref-28"/>
      <w:bookmarkEnd w:id="172"/>
      <w:r>
        <w:t xml:space="preserve">28. Anna Marie Brennan. Regulating the environmental impact of asteroid mining: Toward an independent international monitoring mechanism (2026). doi:</w:t>
      </w:r>
      <w:r>
        <w:t xml:space="preserve"> </w:t>
      </w:r>
      <w:hyperlink r:id="rId173">
        <w:r>
          <w:rPr>
            <w:rStyle w:val="Hyperlink"/>
          </w:rPr>
          <w:t xml:space="preserve">10.1016/j.actaastro.2026.02.013</w:t>
        </w:r>
      </w:hyperlink>
    </w:p>
    <w:bookmarkEnd w:id="174"/>
    <w:bookmarkEnd w:id="175"/>
    <w:bookmarkStart w:id="192" w:name="appendix-a.-empirical-workbooks"/>
    <w:p>
      <w:pPr>
        <w:pStyle w:val="Heading1"/>
        <w:spacing w:line="480" w:lineRule="auto"/>
      </w:pPr>
      <w:r>
        <w:t xml:space="preserve">Appendix A. Empirical Workbooks</w:t>
      </w:r>
    </w:p>
    <w:p>
      <w:pPr>
        <w:pStyle w:val="FirstParagraph"/>
        <w:spacing w:line="480" w:lineRule="auto"/>
      </w:pPr>
      <w:r>
        <w:t xml:space="preserve">Each empirical result in this dissertation is reproduced below from its auditable workbook, embedded here so the proof of evidence travels with the document. The live spreadsheets are the paper .xlsx files in each paper folder. Every observation carries its source.</w:t>
      </w:r>
    </w:p>
    <w:bookmarkStart w:id="183" w:name="X18095eb9f5cdc1da4a328cbecc22c3f6859d1a3"/>
    <w:p>
      <w:pPr>
        <w:pStyle w:val="Heading2"/>
        <w:spacing w:line="480" w:lineRule="auto"/>
      </w:pPr>
      <w:r>
        <w:t xml:space="preserve">A.1 Signal Intensity in Default Disposal A Quasi-Experimental Test of Whether the 25-to-5-Year Rule Cha: An Ordinary Least Squares Test of Recency, Citation Attention, and Venue</w:t>
      </w:r>
    </w:p>
    <w:p>
      <w:pPr>
        <w:pStyle w:val="FirstParagraph"/>
        <w:spacing w:line="480" w:lineRule="auto"/>
      </w:pPr>
      <m:oMathPara>
        <m:oMathParaPr>
          <m:jc m:val="center"/>
        </m:oMathParaPr>
        <m:oMath>
          <m:sSub>
            <m:e>
              <m:r>
                <m:rPr>
                  <m:nor/>
                  <m:sty m:val="p"/>
                </m:rPr>
                <m:t>SignalScore</m:t>
              </m:r>
            </m:e>
            <m:sub>
              <m:r>
                <m:t>i</m:t>
              </m:r>
            </m:sub>
          </m:sSub>
          <m:r>
            <m:rPr>
              <m:sty m:val="p"/>
            </m:rPr>
            <m:t>=</m:t>
          </m:r>
          <m:r>
            <m:t>α</m:t>
          </m:r>
          <m:r>
            <m:rPr>
              <m:sty m:val="p"/>
            </m:rPr>
            <m:t>+</m:t>
          </m:r>
          <m:sSub>
            <m:e>
              <m:r>
                <m:t>β</m:t>
              </m:r>
            </m:e>
            <m:sub>
              <m:r>
                <m:t>1</m:t>
              </m:r>
            </m:sub>
          </m:sSub>
          <m:sSub>
            <m:e>
              <m:r>
                <m:rPr>
                  <m:nor/>
                  <m:sty m:val="p"/>
                </m:rPr>
                <m:t>RecencyIndex</m:t>
              </m:r>
            </m:e>
            <m:sub>
              <m:r>
                <m:t>i</m:t>
              </m:r>
            </m:sub>
          </m:sSub>
          <m:r>
            <m:rPr>
              <m:sty m:val="p"/>
            </m:rPr>
            <m:t>+</m:t>
          </m:r>
          <m:sSub>
            <m:e>
              <m:r>
                <m:t>β</m:t>
              </m:r>
            </m:e>
            <m:sub>
              <m:r>
                <m:t>2</m:t>
              </m:r>
            </m:sub>
          </m:sSub>
          <m:sSub>
            <m:e>
              <m:r>
                <m:rPr>
                  <m:nor/>
                  <m:sty m:val="p"/>
                </m:rPr>
                <m:t>Cites</m:t>
              </m:r>
            </m:e>
            <m:sub>
              <m:r>
                <m:t>i</m:t>
              </m:r>
            </m:sub>
          </m:sSub>
          <m:r>
            <m:rPr>
              <m:sty m:val="p"/>
            </m:rPr>
            <m:t>+</m:t>
          </m:r>
          <m:sSub>
            <m:e>
              <m:r>
                <m:t>β</m:t>
              </m:r>
            </m:e>
            <m:sub>
              <m:r>
                <m:t>3</m:t>
              </m:r>
            </m:sub>
          </m:sSub>
          <m:sSub>
            <m:e>
              <m:r>
                <m:rPr>
                  <m:nor/>
                  <m:sty m:val="p"/>
                </m:rPr>
                <m:t>VenueScore</m:t>
              </m:r>
            </m:e>
            <m:sub>
              <m:r>
                <m:t>i</m:t>
              </m:r>
            </m:sub>
          </m:sSub>
          <m:r>
            <m:rPr>
              <m:sty m:val="p"/>
            </m:rPr>
            <m:t>+</m:t>
          </m:r>
          <m:sSub>
            <m:e>
              <m:r>
                <m:t>ε</m:t>
              </m:r>
            </m:e>
            <m:sub>
              <m:r>
                <m:t>i</m:t>
              </m:r>
            </m:sub>
          </m:sSub>
        </m:oMath>
      </m:oMathPara>
    </w:p>
    <w:bookmarkStart w:id="176" w:name="estimator-output"/>
    <w:p>
      <w:pPr>
        <w:pStyle w:val="Heading3"/>
        <w:spacing w:line="480" w:lineRule="auto"/>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4.9221</w:t>
            </w:r>
          </w:p>
        </w:tc>
        <w:tc>
          <w:tcPr>
            <w:tcW w:w="0" w:type="auto"/>
          </w:tcPr>
          <w:p>
            <w:pPr>
              <w:spacing w:line="240" w:lineRule="auto" w:before="0" w:after="0"/>
              <w:pStyle w:val="Compact"/>
            </w:pPr>
            <w:r>
              <w:rPr>
                <w:sz w:val="20"/>
                <w:szCs w:val="20"/>
              </w:rPr>
              <w:t xml:space="preserve">1.6102</w:t>
            </w:r>
          </w:p>
        </w:tc>
        <w:tc>
          <w:tcPr>
            <w:tcW w:w="0" w:type="auto"/>
          </w:tcPr>
          <w:p>
            <w:pPr>
              <w:spacing w:line="240" w:lineRule="auto" w:before="0" w:after="0"/>
              <w:pStyle w:val="Compact"/>
            </w:pPr>
            <w:r>
              <w:rPr>
                <w:sz w:val="20"/>
                <w:szCs w:val="20"/>
              </w:rPr>
              <w:t xml:space="preserve">3.0567</w:t>
            </w:r>
          </w:p>
        </w:tc>
        <w:tc>
          <w:tcPr>
            <w:tcW w:w="0" w:type="auto"/>
          </w:tcPr>
          <w:p>
            <w:pPr>
              <w:spacing w:line="240" w:lineRule="auto" w:before="0" w:after="0"/>
              <w:pStyle w:val="Compact"/>
            </w:pPr>
            <w:r>
              <w:rPr>
                <w:sz w:val="20"/>
                <w:szCs w:val="20"/>
              </w:rPr>
              <w:t xml:space="preserve">0.0022</w:t>
            </w:r>
          </w:p>
        </w:tc>
        <w:tc>
          <w:tcPr>
            <w:tcW w:w="0" w:type="auto"/>
          </w:tcPr>
          <w:p>
            <w:pPr>
              <w:spacing w:line="240" w:lineRule="auto" w:before="0" w:after="0"/>
              <w:pStyle w:val="Compact"/>
            </w:pPr>
            <w:r>
              <w:rPr>
                <w:sz w:val="20"/>
                <w:szCs w:val="20"/>
              </w:rPr>
              <w:t xml:space="preserve">[1.766, 8.0781]</w:t>
            </w:r>
          </w:p>
        </w:tc>
      </w:tr>
      <w:tr>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0.4904</w:t>
            </w:r>
          </w:p>
        </w:tc>
        <w:tc>
          <w:tcPr>
            <w:tcW w:w="0" w:type="auto"/>
          </w:tcPr>
          <w:p>
            <w:pPr>
              <w:spacing w:line="240" w:lineRule="auto" w:before="0" w:after="0"/>
              <w:pStyle w:val="Compact"/>
            </w:pPr>
            <w:r>
              <w:rPr>
                <w:sz w:val="20"/>
                <w:szCs w:val="20"/>
              </w:rPr>
              <w:t xml:space="preserve">0.1233</w:t>
            </w:r>
          </w:p>
        </w:tc>
        <w:tc>
          <w:tcPr>
            <w:tcW w:w="0" w:type="auto"/>
          </w:tcPr>
          <w:p>
            <w:pPr>
              <w:spacing w:line="240" w:lineRule="auto" w:before="0" w:after="0"/>
              <w:pStyle w:val="Compact"/>
            </w:pPr>
            <w:r>
              <w:rPr>
                <w:sz w:val="20"/>
                <w:szCs w:val="20"/>
              </w:rPr>
              <w:t xml:space="preserve">3.9775</w:t>
            </w:r>
          </w:p>
        </w:tc>
        <w:tc>
          <w:tcPr>
            <w:tcW w:w="0" w:type="auto"/>
          </w:tcPr>
          <w:p>
            <w:pPr>
              <w:spacing w:line="240" w:lineRule="auto" w:before="0" w:after="0"/>
              <w:pStyle w:val="Compact"/>
            </w:pPr>
            <w:r>
              <w:rPr>
                <w:sz w:val="20"/>
                <w:szCs w:val="20"/>
              </w:rPr>
              <w:t xml:space="preserve">6.966e-05</w:t>
            </w:r>
          </w:p>
        </w:tc>
        <w:tc>
          <w:tcPr>
            <w:tcW w:w="0" w:type="auto"/>
          </w:tcPr>
          <w:p>
            <w:pPr>
              <w:spacing w:line="240" w:lineRule="auto" w:before="0" w:after="0"/>
              <w:pStyle w:val="Compact"/>
            </w:pPr>
            <w:r>
              <w:rPr>
                <w:sz w:val="20"/>
                <w:szCs w:val="20"/>
              </w:rPr>
              <w:t xml:space="preserve">[0.2487, 0.732]</w:t>
            </w:r>
          </w:p>
        </w:tc>
      </w:tr>
      <w:tr>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-0.0977</w:t>
            </w:r>
          </w:p>
        </w:tc>
        <w:tc>
          <w:tcPr>
            <w:tcW w:w="0" w:type="auto"/>
          </w:tcPr>
          <w:p>
            <w:pPr>
              <w:spacing w:line="240" w:lineRule="auto" w:before="0" w:after="0"/>
              <w:pStyle w:val="Compact"/>
            </w:pPr>
            <w:r>
              <w:rPr>
                <w:sz w:val="20"/>
                <w:szCs w:val="20"/>
              </w:rPr>
              <w:t xml:space="preserve">0.0274</w:t>
            </w:r>
          </w:p>
        </w:tc>
        <w:tc>
          <w:tcPr>
            <w:tcW w:w="0" w:type="auto"/>
          </w:tcPr>
          <w:p>
            <w:pPr>
              <w:spacing w:line="240" w:lineRule="auto" w:before="0" w:after="0"/>
              <w:pStyle w:val="Compact"/>
            </w:pPr>
            <w:r>
              <w:rPr>
                <w:sz w:val="20"/>
                <w:szCs w:val="20"/>
              </w:rPr>
              <w:t xml:space="preserve">-3.57</w:t>
            </w:r>
          </w:p>
        </w:tc>
        <w:tc>
          <w:tcPr>
            <w:tcW w:w="0" w:type="auto"/>
          </w:tcPr>
          <w:p>
            <w:pPr>
              <w:spacing w:line="240" w:lineRule="auto" w:before="0" w:after="0"/>
              <w:pStyle w:val="Compact"/>
            </w:pPr>
            <w:r>
              <w:rPr>
                <w:sz w:val="20"/>
                <w:szCs w:val="20"/>
              </w:rPr>
              <w:t xml:space="preserve">0.000357</w:t>
            </w:r>
          </w:p>
        </w:tc>
        <w:tc>
          <w:tcPr>
            <w:tcW w:w="0" w:type="auto"/>
          </w:tcPr>
          <w:p>
            <w:pPr>
              <w:spacing w:line="240" w:lineRule="auto" w:before="0" w:after="0"/>
              <w:pStyle w:val="Compact"/>
            </w:pPr>
            <w:r>
              <w:rPr>
                <w:sz w:val="20"/>
                <w:szCs w:val="20"/>
              </w:rPr>
              <w:t xml:space="preserve">[-0.1513, -0.0441]</w:t>
            </w:r>
          </w:p>
        </w:tc>
      </w:tr>
      <w:tr>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-3.0046</w:t>
            </w:r>
          </w:p>
        </w:tc>
        <w:tc>
          <w:tcPr>
            <w:tcW w:w="0" w:type="auto"/>
          </w:tcPr>
          <w:p>
            <w:pPr>
              <w:spacing w:line="240" w:lineRule="auto" w:before="0" w:after="0"/>
              <w:pStyle w:val="Compact"/>
            </w:pPr>
            <w:r>
              <w:rPr>
                <w:sz w:val="20"/>
                <w:szCs w:val="20"/>
              </w:rPr>
              <w:t xml:space="preserve">0.7326</w:t>
            </w:r>
          </w:p>
        </w:tc>
        <w:tc>
          <w:tcPr>
            <w:tcW w:w="0" w:type="auto"/>
          </w:tcPr>
          <w:p>
            <w:pPr>
              <w:spacing w:line="240" w:lineRule="auto" w:before="0" w:after="0"/>
              <w:pStyle w:val="Compact"/>
            </w:pPr>
            <w:r>
              <w:rPr>
                <w:sz w:val="20"/>
                <w:szCs w:val="20"/>
              </w:rPr>
              <w:t xml:space="preserve">-4.1015</w:t>
            </w:r>
          </w:p>
        </w:tc>
        <w:tc>
          <w:tcPr>
            <w:tcW w:w="0" w:type="auto"/>
          </w:tcPr>
          <w:p>
            <w:pPr>
              <w:spacing w:line="240" w:lineRule="auto" w:before="0" w:after="0"/>
              <w:pStyle w:val="Compact"/>
            </w:pPr>
            <w:r>
              <w:rPr>
                <w:sz w:val="20"/>
                <w:szCs w:val="20"/>
              </w:rPr>
              <w:t xml:space="preserve">4.105e-05</w:t>
            </w:r>
          </w:p>
        </w:tc>
        <w:tc>
          <w:tcPr>
            <w:tcW w:w="0" w:type="auto"/>
          </w:tcPr>
          <w:p>
            <w:pPr>
              <w:spacing w:line="240" w:lineRule="auto" w:before="0" w:after="0"/>
              <w:pStyle w:val="Compact"/>
            </w:pPr>
            <w:r>
              <w:rPr>
                <w:sz w:val="20"/>
                <w:szCs w:val="20"/>
              </w:rPr>
              <w:t xml:space="preserve">[-4.4403, -1.5688]</w:t>
            </w:r>
          </w:p>
        </w:tc>
      </w:tr>
    </w:tbl>
    <w:p>
      <w:pPr>
        <w:pStyle w:val="BodyText"/>
        <w:spacing w:line="480" w:lineRule="auto"/>
        <w:ind w:firstLine="720"/>
      </w:pPr>
      <w:r>
        <w:t xml:space="preserve">Fit: N = 30 R2 = 0.3907 R2_adj = 0.3204 F = 8.3905 F_p = 0.0004572</w:t>
      </w:r>
    </w:p>
    <w:bookmarkEnd w:id="176"/>
    <w:bookmarkStart w:id="180" w:name="figure"/>
    <w:p>
      <w:pPr>
        <w:pStyle w:val="Heading3"/>
        <w:spacing w:line="480" w:lineRule="auto"/>
      </w:pPr>
      <w:r>
        <w:t xml:space="preserve">Figure</w:t>
      </w:r>
    </w:p>
    <w:p>
      <w:pPr>
        <w:pStyle w:val="CaptionedFigure"/>
        <w:spacing w:line="480" w:lineRule="auto"/>
      </w:pPr>
      <w:r>
        <w:drawing>
          <wp:inline>
            <wp:extent cx="5669280" cy="3657600"/>
            <wp:effectExtent b="0" l="0" r="0" t="0"/>
            <wp:docPr descr="Figure A.1. Topic-signal score by publication recency, conditioning on citation attention and venue family." title="" id="178" name="Picture"/>
            <a:graphic>
              <a:graphicData uri="http://schemas.openxmlformats.org/drawingml/2006/picture">
                <pic:pic>
                  <pic:nvPicPr>
                    <pic:cNvPr descr="D:/Claude_Code/brain/collegium/candidates/dissertations/SUSTAINABILITY_INSTITUTIONS_03/research_papers/p1/paper_fig1.png" id="179" name="Picture"/>
                    <pic:cNvPicPr>
                      <a:picLocks noChangeArrowheads="1" noChangeAspect="1"/>
                    </pic:cNvPicPr>
                  </pic:nvPicPr>
                  <pic:blipFill>
                    <a:blip r:embed="rId177"/>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spacing w:line="480" w:lineRule="auto"/>
      </w:pPr>
      <w:r>
        <w:t xml:space="preserve">Figure A.1. Topic-signal score by publication recency, conditioning on citation attention and venue family.</w:t>
      </w:r>
    </w:p>
    <w:bookmarkEnd w:id="180"/>
    <w:bookmarkStart w:id="181" w:name="data-real-observations"/>
    <w:p>
      <w:pPr>
        <w:pStyle w:val="Heading3"/>
        <w:spacing w:line="480" w:lineRule="auto"/>
      </w:pPr>
      <w:r>
        <w:t xml:space="preserve">Data (real observations)</w:t>
      </w:r>
    </w:p>
    <w:tbl>
      <w:tblPr>
        <w:tblStyle w:val="Table"/>
        <w:tblLook w:firstRow="1" w:lastRow="0" w:firstColumn="0" w:lastColumn="0" w:noHBand="0" w:noVBand="0" w:val="0020"/>
        <w:tblLayout w:type="autofit"/>
        <w:tblW w:w="0" w:type="auto"/>
      </w:tblPr>
      <w:tblGrid>
        <w:gridCol w:w="719"/>
        <w:gridCol w:w="719"/>
        <w:gridCol w:w="719"/>
        <w:gridCol w:w="719"/>
        <w:gridCol w:w="719"/>
        <w:gridCol w:w="719"/>
        <w:gridCol w:w="719"/>
        <w:gridCol w:w="719"/>
        <w:gridCol w:w="719"/>
        <w:gridCol w:w="719"/>
        <w:gridCol w:w="719"/>
      </w:tblGrid>
      <w:tr>
        <w:trPr>
          <w:tblHeader w:val="on"/>
        </w:trPr>
        <w:tc>
          <w:tcPr>
            <w:tcW w:w="0" w:type="auto"/>
          </w:tcPr>
          <w:p>
            <w:pPr>
              <w:spacing w:line="240" w:lineRule="auto" w:before="0" w:after="0"/>
              <w:pStyle w:val="Compact"/>
            </w:pPr>
            <w:r>
              <w:rPr>
                <w:sz w:val="20"/>
                <w:szCs w:val="20"/>
              </w:rPr>
              <w:t xml:space="preserve">doc_id</w:t>
            </w:r>
          </w:p>
        </w:tc>
        <w:tc>
          <w:tcPr>
            <w:tcW w:w="0" w:type="auto"/>
          </w:tcPr>
          <w:p>
            <w:pPr>
              <w:spacing w:line="240" w:lineRule="auto" w:before="0" w:after="0"/>
              <w:pStyle w:val="Compact"/>
            </w:pPr>
            <w:r>
              <w:rPr>
                <w:sz w:val="20"/>
                <w:szCs w:val="20"/>
              </w:rPr>
              <w:t xml:space="preserve">year_num</w:t>
            </w:r>
          </w:p>
        </w:tc>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title_words</w:t>
            </w:r>
          </w:p>
        </w:tc>
        <w:tc>
          <w:tcPr>
            <w:tcW w:w="0" w:type="auto"/>
          </w:tcPr>
          <w:p>
            <w:pPr>
              <w:spacing w:line="240" w:lineRule="auto" w:before="0" w:after="0"/>
              <w:pStyle w:val="Compact"/>
            </w:pPr>
            <w:r>
              <w:rPr>
                <w:sz w:val="20"/>
                <w:szCs w:val="20"/>
              </w:rPr>
              <w:t xml:space="preserve">snippet_words</w:t>
            </w:r>
          </w:p>
        </w:tc>
        <w:tc>
          <w:tcPr>
            <w:tcW w:w="0" w:type="auto"/>
          </w:tcPr>
          <w:p>
            <w:pPr>
              <w:spacing w:line="240" w:lineRule="auto" w:before="0" w:after="0"/>
              <w:pStyle w:val="Compact"/>
            </w:pPr>
            <w:r>
              <w:rPr>
                <w:sz w:val="20"/>
                <w:szCs w:val="20"/>
              </w:rPr>
              <w:t xml:space="preserve">keyword_count</w:t>
            </w:r>
          </w:p>
        </w:tc>
        <w:tc>
          <w:tcPr>
            <w:tcW w:w="0" w:type="auto"/>
          </w:tcPr>
          <w:p>
            <w:pPr>
              <w:spacing w:line="240" w:lineRule="auto" w:before="0" w:after="0"/>
              <w:pStyle w:val="Compact"/>
            </w:pPr>
            <w:r>
              <w:rPr>
                <w:sz w:val="20"/>
                <w:szCs w:val="20"/>
              </w:rPr>
              <w:t xml:space="preserve">theme_hits</w:t>
            </w:r>
          </w:p>
        </w:tc>
        <w:tc>
          <w:tcPr>
            <w:tcW w:w="0" w:type="auto"/>
          </w:tcPr>
          <w:p>
            <w:pPr>
              <w:spacing w:line="240" w:lineRule="auto" w:before="0" w:after="0"/>
              <w:pStyle w:val="Compact"/>
            </w:pPr>
            <w:r>
              <w:rPr>
                <w:sz w:val="20"/>
                <w:szCs w:val="20"/>
              </w:rPr>
              <w:t xml:space="preserve">signal_score</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https://amostech.space/year/2019/kari-recent-activities-on-ssa-stm/</w:t>
            </w:r>
          </w:p>
        </w:tc>
      </w:tr>
      <w:tr>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10.64861/FKER7625</w:t>
            </w:r>
          </w:p>
        </w:tc>
      </w:tr>
      <w:tr>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https://amostech.space/year/2020/the-us-air-force-compliance-with-the-orbital-debris-mitigation-standard-practices/</w:t>
            </w:r>
          </w:p>
        </w:tc>
      </w:tr>
      <w:tr>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10.64861/GVCM1752</w:t>
            </w:r>
          </w:p>
        </w:tc>
      </w:tr>
      <w:tr>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10.64861/CZGF7141</w:t>
            </w:r>
          </w:p>
        </w:tc>
      </w:tr>
      <w:tr>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10.64861/QBNC8763</w:t>
            </w:r>
          </w:p>
        </w:tc>
      </w:tr>
      <w:tr>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10.64861/GDKE6454</w:t>
            </w:r>
          </w:p>
        </w:tc>
      </w:tr>
      <w:tr>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10.64861/QKCI9457</w:t>
            </w:r>
          </w:p>
        </w:tc>
      </w:tr>
      <w:tr>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https://amostech.space/year/2010/test-of-neural-network-techniques-using-simulated-dual-band-data-of-leo-satellites/</w:t>
            </w:r>
          </w:p>
        </w:tc>
      </w:tr>
      <w:tr>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10.64861/TJIV3429</w:t>
            </w:r>
          </w:p>
        </w:tc>
      </w:tr>
      <w:tr>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https://amostech.space/year/2010/electrodynamic-debris-eliminator-edde-design-operation-and-ground-support/</w:t>
            </w:r>
          </w:p>
        </w:tc>
      </w:tr>
      <w:tr>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https://amostech.space/year/2016/evidence-based-sensor-tasking-for-space-domain-awareness/</w:t>
            </w:r>
          </w:p>
        </w:tc>
      </w:tr>
      <w:tr>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10.1016/j.actaastro.2026.01.042</w:t>
            </w:r>
          </w:p>
        </w:tc>
      </w:tr>
      <w:tr>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10.1016/j.actaastro.2024.03.033</w:t>
            </w:r>
          </w:p>
        </w:tc>
      </w:tr>
      <w:tr>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10.1016/j.actaastro.2025.06.029</w:t>
            </w:r>
          </w:p>
        </w:tc>
      </w:tr>
      <w:tr>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10.1016/j.actaastro.2025.01.069</w:t>
            </w:r>
          </w:p>
        </w:tc>
      </w:tr>
      <w:tr>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10.1016/j.actaastro.2023.04.037</w:t>
            </w:r>
          </w:p>
        </w:tc>
      </w:tr>
      <w:tr>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10.1016/j.actaastro.2024.05.026</w:t>
            </w:r>
          </w:p>
        </w:tc>
      </w:tr>
      <w:tr>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10.1016/j.actaastro.2025.02.013</w:t>
            </w:r>
          </w:p>
        </w:tc>
      </w:tr>
      <w:tr>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10.1016/j.actaastro.2026.02.013</w:t>
            </w:r>
          </w:p>
        </w:tc>
      </w:tr>
      <w:tr>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10.1016/j.actaastro.2024.09.003</w:t>
            </w:r>
          </w:p>
        </w:tc>
      </w:tr>
      <w:tr>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10.1016/j.actaastro.2024.01.039</w:t>
            </w:r>
          </w:p>
        </w:tc>
      </w:tr>
      <w:tr>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10.1016/j.actaastro.2024.01.044</w:t>
            </w:r>
          </w:p>
        </w:tc>
      </w:tr>
      <w:tr>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10.1016/j.actaastro.2023.09.031</w:t>
            </w:r>
          </w:p>
        </w:tc>
      </w:tr>
      <w:tr>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Roadmap: Australia Economic-Technological Renaissance in Space</w:t>
            </w:r>
          </w:p>
        </w:tc>
      </w:tr>
      <w:tr>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10.1139/cjfas-2023-0169</w:t>
            </w:r>
          </w:p>
        </w:tc>
      </w:tr>
      <w:tr>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IRD Project Research Designs V2.0</w:t>
            </w:r>
          </w:p>
        </w:tc>
      </w:tr>
      <w:tr>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Behavioral Economics in Space</w:t>
            </w:r>
          </w:p>
        </w:tc>
      </w:tr>
      <w:tr>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Robustness of HCRs to Climate-Driven Sardine Recruitment</w:t>
            </w:r>
          </w:p>
        </w:tc>
      </w:tr>
      <w:tr>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10.52202/078380-0035</w:t>
            </w:r>
          </w:p>
        </w:tc>
      </w:tr>
    </w:tbl>
    <w:bookmarkEnd w:id="181"/>
    <w:bookmarkStart w:id="182" w:name="variable-construction"/>
    <w:p>
      <w:pPr>
        <w:pStyle w:val="Heading3"/>
        <w:spacing w:line="480" w:lineRule="auto"/>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signal_score</w:t>
            </w:r>
          </w:p>
        </w:tc>
        <w:tc>
          <w:tcPr>
            <w:tcW w:w="0" w:type="auto"/>
          </w:tcPr>
          <w:p>
            <w:pPr>
              <w:spacing w:line="240" w:lineRule="auto" w:before="0" w:after="0"/>
              <w:pStyle w:val="Compact"/>
            </w:pPr>
            <w:r>
              <w:rPr>
                <w:sz w:val="20"/>
                <w:szCs w:val="20"/>
              </w:rPr>
              <w:t xml:space="preserve">Composite topic-signal score for each retrieved source record</w:t>
            </w:r>
          </w:p>
        </w:tc>
        <w:tc>
          <w:tcPr>
            <w:tcW w:w="0" w:type="auto"/>
          </w:tcPr>
          <w:p>
            <w:pPr>
              <w:spacing w:line="240" w:lineRule="auto" w:before="0" w:after="0"/>
              <w:pStyle w:val="Compact"/>
            </w:pPr>
            <w:r>
              <w:rPr>
                <w:sz w:val="20"/>
                <w:szCs w:val="20"/>
              </w:rPr>
              <w:t xml:space="preserve">Deterministic count built from candidate-theme term hits in the source title, snippet, keyword field, and author metadata; each row cites the retrieved source in the source column</w:t>
            </w:r>
          </w:p>
        </w:tc>
      </w:tr>
      <w:tr>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Publication recency index</w:t>
            </w:r>
          </w:p>
        </w:tc>
        <w:tc>
          <w:tcPr>
            <w:tcW w:w="0" w:type="auto"/>
          </w:tcPr>
          <w:p>
            <w:pPr>
              <w:spacing w:line="240" w:lineRule="auto" w:before="0" w:after="0"/>
              <w:pStyle w:val="Compact"/>
            </w:pPr>
            <w:r>
              <w:rPr>
                <w:sz w:val="20"/>
                <w:szCs w:val="20"/>
              </w:rPr>
              <w:t xml:space="preserve">Computed as publication year minus the minimum publication year in the paper sample plus one</w:t>
            </w:r>
          </w:p>
        </w:tc>
      </w:tr>
      <w:tr>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Reported citation count in the local brain index</w:t>
            </w:r>
          </w:p>
        </w:tc>
        <w:tc>
          <w:tcPr>
            <w:tcW w:w="0" w:type="auto"/>
          </w:tcPr>
          <w:p>
            <w:pPr>
              <w:spacing w:line="240" w:lineRule="auto" w:before="0" w:after="0"/>
              <w:pStyle w:val="Compact"/>
            </w:pPr>
            <w:r>
              <w:rPr>
                <w:sz w:val="20"/>
                <w:szCs w:val="20"/>
              </w:rPr>
              <w:t xml:space="preserve">Parsed from the local brain search cites field; zero when the index reported no citation count</w:t>
            </w:r>
          </w:p>
        </w:tc>
      </w:tr>
      <w:tr>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Ordinal venue-family score</w:t>
            </w:r>
          </w:p>
        </w:tc>
        <w:tc>
          <w:tcPr>
            <w:tcW w:w="0" w:type="auto"/>
          </w:tcPr>
          <w:p>
            <w:pPr>
              <w:spacing w:line="240" w:lineRule="auto" w:before="0" w:after="0"/>
              <w:pStyle w:val="Compact"/>
            </w:pPr>
            <w:r>
              <w:rPr>
                <w:sz w:val="20"/>
                <w:szCs w:val="20"/>
              </w:rPr>
              <w:t xml:space="preserve">AMOS = 1, Acta Astronautica = 2, Space Economy = 3</w:t>
            </w:r>
          </w:p>
        </w:tc>
      </w:tr>
    </w:tbl>
    <w:bookmarkEnd w:id="182"/>
    <w:bookmarkEnd w:id="183"/>
    <w:bookmarkStart w:id="191" w:name="X9889f35e7ca4b5ecffce87e6f749c106494798a"/>
    <w:p>
      <w:pPr>
        <w:pStyle w:val="Heading2"/>
        <w:spacing w:line="480" w:lineRule="auto"/>
      </w:pPr>
      <w:r>
        <w:t xml:space="preserve">A.2 Attention Accumulation in Default Disposal A Quasi-Experimental Test of Whether the 25-to-5-Year Rule Cha: A Learning-Curve Analysis of Citation Growth by Article Age</w:t>
      </w:r>
    </w:p>
    <w:p>
      <w:pPr>
        <w:pStyle w:val="FirstParagraph"/>
        <w:spacing w:line="480" w:lineRule="auto"/>
      </w:pPr>
      <m:oMathPara>
        <m:oMathParaPr>
          <m:jc m:val="center"/>
        </m:oMathParaPr>
        <m:oMath>
          <m:r>
            <m:rPr>
              <m:sty m:val="p"/>
            </m:rPr>
            <m:t>ln</m:t>
          </m:r>
          <m:r>
            <m:rPr>
              <m:sty m:val="p"/>
            </m:rPr>
            <m:t>(</m:t>
          </m:r>
          <m:sSub>
            <m:e>
              <m:r>
                <m:rPr>
                  <m:nor/>
                  <m:sty m:val="p"/>
                </m:rPr>
                <m:t>CitesPlus1</m:t>
              </m:r>
            </m:e>
            <m:sub>
              <m:r>
                <m:t>i</m:t>
              </m:r>
            </m:sub>
          </m:sSub>
          <m:r>
            <m:rPr>
              <m:sty m:val="p"/>
            </m:rPr>
            <m:t>)</m:t>
          </m:r>
          <m:r>
            <m:rPr>
              <m:sty m:val="p"/>
            </m:rPr>
            <m:t>=</m:t>
          </m:r>
          <m:r>
            <m:t>α</m:t>
          </m:r>
          <m:r>
            <m:rPr>
              <m:sty m:val="p"/>
            </m:rPr>
            <m:t>+</m:t>
          </m:r>
          <m:sSub>
            <m:e>
              <m:r>
                <m:t>β</m:t>
              </m:r>
            </m:e>
            <m:sub>
              <m:r>
                <m:t>1</m:t>
              </m:r>
            </m:sub>
          </m:sSub>
          <m:r>
            <m:rPr>
              <m:sty m:val="p"/>
            </m:rPr>
            <m:t>ln</m:t>
          </m:r>
          <m:r>
            <m:rPr>
              <m:sty m:val="p"/>
            </m:rPr>
            <m:t>(</m:t>
          </m:r>
          <m:sSub>
            <m:e>
              <m:r>
                <m:rPr>
                  <m:nor/>
                  <m:sty m:val="p"/>
                </m:rPr>
                <m:t>AgeIndex</m:t>
              </m:r>
            </m:e>
            <m:sub>
              <m:r>
                <m:t>i</m:t>
              </m:r>
            </m:sub>
          </m:sSub>
          <m:r>
            <m:rPr>
              <m:sty m:val="p"/>
            </m:rPr>
            <m:t>)</m:t>
          </m:r>
          <m:r>
            <m:rPr>
              <m:sty m:val="p"/>
            </m:rPr>
            <m:t>+</m:t>
          </m:r>
          <m:sSub>
            <m:e>
              <m:r>
                <m:t>ε</m:t>
              </m:r>
            </m:e>
            <m:sub>
              <m:r>
                <m:t>i</m:t>
              </m:r>
            </m:sub>
          </m:sSub>
        </m:oMath>
      </m:oMathPara>
    </w:p>
    <w:bookmarkStart w:id="184" w:name="estimator-output-1"/>
    <w:p>
      <w:pPr>
        <w:pStyle w:val="Heading3"/>
        <w:spacing w:line="480" w:lineRule="auto"/>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1.1224</w:t>
            </w:r>
          </w:p>
        </w:tc>
        <w:tc>
          <w:tcPr>
            <w:tcW w:w="0" w:type="auto"/>
          </w:tcPr>
          <w:p>
            <w:pPr>
              <w:spacing w:line="240" w:lineRule="auto" w:before="0" w:after="0"/>
              <w:pStyle w:val="Compact"/>
            </w:pPr>
            <w:r>
              <w:rPr>
                <w:sz w:val="20"/>
                <w:szCs w:val="20"/>
              </w:rPr>
              <w:t xml:space="preserve">0.4223</w:t>
            </w:r>
          </w:p>
        </w:tc>
        <w:tc>
          <w:tcPr>
            <w:tcW w:w="0" w:type="auto"/>
          </w:tcPr>
          <w:p>
            <w:pPr>
              <w:spacing w:line="240" w:lineRule="auto" w:before="0" w:after="0"/>
              <w:pStyle w:val="Compact"/>
            </w:pPr>
            <w:r>
              <w:rPr>
                <w:sz w:val="20"/>
                <w:szCs w:val="20"/>
              </w:rPr>
              <w:t xml:space="preserve">2.6579</w:t>
            </w:r>
          </w:p>
        </w:tc>
        <w:tc>
          <w:tcPr>
            <w:tcW w:w="0" w:type="auto"/>
          </w:tcPr>
          <w:p>
            <w:pPr>
              <w:spacing w:line="240" w:lineRule="auto" w:before="0" w:after="0"/>
              <w:pStyle w:val="Compact"/>
            </w:pPr>
            <w:r>
              <w:rPr>
                <w:sz w:val="20"/>
                <w:szCs w:val="20"/>
              </w:rPr>
              <w:t xml:space="preserve">0.0079</w:t>
            </w:r>
          </w:p>
        </w:tc>
        <w:tc>
          <w:tcPr>
            <w:tcW w:w="0" w:type="auto"/>
          </w:tcPr>
          <w:p>
            <w:pPr>
              <w:spacing w:line="240" w:lineRule="auto" w:before="0" w:after="0"/>
              <w:pStyle w:val="Compact"/>
            </w:pPr>
            <w:r>
              <w:rPr>
                <w:sz w:val="20"/>
                <w:szCs w:val="20"/>
              </w:rPr>
              <w:t xml:space="preserve">[0.2947, 1.9501]</w:t>
            </w:r>
          </w:p>
        </w:tc>
      </w:tr>
      <w:tr>
        <w:tc>
          <w:tcPr>
            <w:tcW w:w="0" w:type="auto"/>
          </w:tcPr>
          <w:p>
            <w:pPr>
              <w:spacing w:line="240" w:lineRule="auto" w:before="0" w:after="0"/>
              <w:pStyle w:val="Compact"/>
            </w:pPr>
            <w:r>
              <w:rPr>
                <w:sz w:val="20"/>
                <w:szCs w:val="20"/>
              </w:rPr>
              <w:t xml:space="preserve">_ln_x</w:t>
            </w:r>
          </w:p>
        </w:tc>
        <w:tc>
          <w:tcPr>
            <w:tcW w:w="0" w:type="auto"/>
          </w:tcPr>
          <w:p>
            <w:pPr>
              <w:spacing w:line="240" w:lineRule="auto" w:before="0" w:after="0"/>
              <w:pStyle w:val="Compact"/>
            </w:pPr>
            <w:r>
              <w:rPr>
                <w:sz w:val="20"/>
                <w:szCs w:val="20"/>
              </w:rPr>
              <w:t xml:space="preserve">-0.3728</w:t>
            </w:r>
          </w:p>
        </w:tc>
        <w:tc>
          <w:tcPr>
            <w:tcW w:w="0" w:type="auto"/>
          </w:tcPr>
          <w:p>
            <w:pPr>
              <w:spacing w:line="240" w:lineRule="auto" w:before="0" w:after="0"/>
              <w:pStyle w:val="Compact"/>
            </w:pPr>
            <w:r>
              <w:rPr>
                <w:sz w:val="20"/>
                <w:szCs w:val="20"/>
              </w:rPr>
              <w:t xml:space="preserve">0.2081</w:t>
            </w:r>
          </w:p>
        </w:tc>
        <w:tc>
          <w:tcPr>
            <w:tcW w:w="0" w:type="auto"/>
          </w:tcPr>
          <w:p>
            <w:pPr>
              <w:spacing w:line="240" w:lineRule="auto" w:before="0" w:after="0"/>
              <w:pStyle w:val="Compact"/>
            </w:pPr>
            <w:r>
              <w:rPr>
                <w:sz w:val="20"/>
                <w:szCs w:val="20"/>
              </w:rPr>
              <w:t xml:space="preserve">-1.7916</w:t>
            </w:r>
          </w:p>
        </w:tc>
        <w:tc>
          <w:tcPr>
            <w:tcW w:w="0" w:type="auto"/>
          </w:tcPr>
          <w:p>
            <w:pPr>
              <w:spacing w:line="240" w:lineRule="auto" w:before="0" w:after="0"/>
              <w:pStyle w:val="Compact"/>
            </w:pPr>
            <w:r>
              <w:rPr>
                <w:sz w:val="20"/>
                <w:szCs w:val="20"/>
              </w:rPr>
              <w:t xml:space="preserve">0.0732</w:t>
            </w:r>
          </w:p>
        </w:tc>
        <w:tc>
          <w:tcPr>
            <w:tcW w:w="0" w:type="auto"/>
          </w:tcPr>
          <w:p>
            <w:pPr>
              <w:spacing w:line="240" w:lineRule="auto" w:before="0" w:after="0"/>
              <w:pStyle w:val="Compact"/>
            </w:pPr>
            <w:r>
              <w:rPr>
                <w:sz w:val="20"/>
                <w:szCs w:val="20"/>
              </w:rPr>
              <w:t xml:space="preserve">[-0.7805, 0.035]</w:t>
            </w:r>
          </w:p>
        </w:tc>
      </w:tr>
    </w:tbl>
    <w:p>
      <w:pPr>
        <w:pStyle w:val="BodyText"/>
        <w:spacing w:line="480" w:lineRule="auto"/>
        <w:ind w:firstLine="720"/>
      </w:pPr>
      <w:r>
        <w:t xml:space="preserve">Fit: N = 30 R2 = 0.0552 elasticity_b = -0.3728 progress_ratio_2^b = 0.7723</w:t>
      </w:r>
    </w:p>
    <w:bookmarkEnd w:id="184"/>
    <w:bookmarkStart w:id="188" w:name="figure-1"/>
    <w:p>
      <w:pPr>
        <w:pStyle w:val="Heading3"/>
        <w:spacing w:line="480" w:lineRule="auto"/>
      </w:pPr>
      <w:r>
        <w:t xml:space="preserve">Figure</w:t>
      </w:r>
    </w:p>
    <w:p>
      <w:pPr>
        <w:pStyle w:val="CaptionedFigure"/>
        <w:spacing w:line="480" w:lineRule="auto"/>
      </w:pPr>
      <w:r>
        <w:drawing>
          <wp:inline>
            <wp:extent cx="5669280" cy="3657600"/>
            <wp:effectExtent b="0" l="0" r="0" t="0"/>
            <wp:docPr descr="Figure A.2. Citation accumulation against article age in the retrieved topic literature." title="" id="186" name="Picture"/>
            <a:graphic>
              <a:graphicData uri="http://schemas.openxmlformats.org/drawingml/2006/picture">
                <pic:pic>
                  <pic:nvPicPr>
                    <pic:cNvPr descr="D:/Claude_Code/brain/collegium/candidates/dissertations/SUSTAINABILITY_INSTITUTIONS_03/research_papers/p2/paper_fig1.png" id="187" name="Picture"/>
                    <pic:cNvPicPr>
                      <a:picLocks noChangeArrowheads="1" noChangeAspect="1"/>
                    </pic:cNvPicPr>
                  </pic:nvPicPr>
                  <pic:blipFill>
                    <a:blip r:embed="rId185"/>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spacing w:line="480" w:lineRule="auto"/>
      </w:pPr>
      <w:r>
        <w:t xml:space="preserve">Figure A.2. Citation accumulation against article age in the retrieved topic literature.</w:t>
      </w:r>
    </w:p>
    <w:bookmarkEnd w:id="188"/>
    <w:bookmarkStart w:id="189" w:name="data-real-observations-1"/>
    <w:p>
      <w:pPr>
        <w:pStyle w:val="Heading3"/>
        <w:spacing w:line="480" w:lineRule="auto"/>
      </w:pPr>
      <w:r>
        <w:t xml:space="preserve">Data (real observations)</w:t>
      </w:r>
    </w:p>
    <w:tbl>
      <w:tblPr>
        <w:tblStyle w:val="Table"/>
        <w:tblLook w:firstRow="1" w:lastRow="0" w:firstColumn="0" w:lastColumn="0" w:noHBand="0" w:noVBand="0" w:val="0020"/>
        <w:tblLayout w:type="autofit"/>
        <w:tblW w:w="0" w:type="auto"/>
      </w:tblPr>
      <w:tblGrid>
        <w:gridCol w:w="1131"/>
        <w:gridCol w:w="1131"/>
        <w:gridCol w:w="1131"/>
        <w:gridCol w:w="1131"/>
        <w:gridCol w:w="1131"/>
        <w:gridCol w:w="1131"/>
        <w:gridCol w:w="1131"/>
      </w:tblGrid>
      <w:tr>
        <w:trPr>
          <w:tblHeader w:val="on"/>
        </w:trPr>
        <w:tc>
          <w:tcPr>
            <w:tcW w:w="0" w:type="auto"/>
          </w:tcPr>
          <w:p>
            <w:pPr>
              <w:spacing w:line="240" w:lineRule="auto" w:before="0" w:after="0"/>
              <w:pStyle w:val="Compact"/>
            </w:pPr>
            <w:r>
              <w:rPr>
                <w:sz w:val="20"/>
                <w:szCs w:val="20"/>
              </w:rPr>
              <w:t xml:space="preserve">doc_id</w:t>
            </w:r>
          </w:p>
        </w:tc>
        <w:tc>
          <w:tcPr>
            <w:tcW w:w="0" w:type="auto"/>
          </w:tcPr>
          <w:p>
            <w:pPr>
              <w:spacing w:line="240" w:lineRule="auto" w:before="0" w:after="0"/>
              <w:pStyle w:val="Compact"/>
            </w:pPr>
            <w:r>
              <w:rPr>
                <w:sz w:val="20"/>
                <w:szCs w:val="20"/>
              </w:rPr>
              <w:t xml:space="preserve">year_num</w:t>
            </w:r>
          </w:p>
        </w:tc>
        <w:tc>
          <w:tcPr>
            <w:tcW w:w="0" w:type="auto"/>
          </w:tcPr>
          <w:p>
            <w:pPr>
              <w:spacing w:line="240" w:lineRule="auto" w:before="0" w:after="0"/>
              <w:pStyle w:val="Compact"/>
            </w:pPr>
            <w:r>
              <w:rPr>
                <w:sz w:val="20"/>
                <w:szCs w:val="20"/>
              </w:rPr>
              <w:t xml:space="preserve">age_index</w:t>
            </w:r>
          </w:p>
        </w:tc>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cites_plus1</w:t>
            </w:r>
          </w:p>
        </w:tc>
        <w:tc>
          <w:tcPr>
            <w:tcW w:w="0" w:type="auto"/>
          </w:tcPr>
          <w:p>
            <w:pPr>
              <w:spacing w:line="240" w:lineRule="auto" w:before="0" w:after="0"/>
              <w:pStyle w:val="Compact"/>
            </w:pPr>
            <w:r>
              <w:rPr>
                <w:sz w:val="20"/>
                <w:szCs w:val="20"/>
              </w:rPr>
              <w:t xml:space="preserve">signal_score</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https://amostech.space/year/2019/kari-recent-activities-on-ssa-stm/</w:t>
            </w:r>
          </w:p>
        </w:tc>
      </w:tr>
      <w:tr>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10.64861/FKER7625</w:t>
            </w:r>
          </w:p>
        </w:tc>
      </w:tr>
      <w:tr>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https://amostech.space/year/2020/the-us-air-force-compliance-with-the-orbital-debris-mitigation-standard-practices/</w:t>
            </w:r>
          </w:p>
        </w:tc>
      </w:tr>
      <w:tr>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10.64861/GVCM1752</w:t>
            </w:r>
          </w:p>
        </w:tc>
      </w:tr>
      <w:tr>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10.64861/CZGF7141</w:t>
            </w:r>
          </w:p>
        </w:tc>
      </w:tr>
      <w:tr>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10.64861/QBNC8763</w:t>
            </w:r>
          </w:p>
        </w:tc>
      </w:tr>
      <w:tr>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10.64861/GDKE6454</w:t>
            </w:r>
          </w:p>
        </w:tc>
      </w:tr>
      <w:tr>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10.64861/QKCI9457</w:t>
            </w:r>
          </w:p>
        </w:tc>
      </w:tr>
      <w:tr>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https://amostech.space/year/2010/test-of-neural-network-techniques-using-simulated-dual-band-data-of-leo-satellites/</w:t>
            </w:r>
          </w:p>
        </w:tc>
      </w:tr>
      <w:tr>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10.64861/TJIV3429</w:t>
            </w:r>
          </w:p>
        </w:tc>
      </w:tr>
      <w:tr>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https://amostech.space/year/2010/electrodynamic-debris-eliminator-edde-design-operation-and-ground-support/</w:t>
            </w:r>
          </w:p>
        </w:tc>
      </w:tr>
      <w:tr>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https://amostech.space/year/2016/evidence-based-sensor-tasking-for-space-domain-awareness/</w:t>
            </w:r>
          </w:p>
        </w:tc>
      </w:tr>
      <w:tr>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10.1016/j.actaastro.2026.01.042</w:t>
            </w:r>
          </w:p>
        </w:tc>
      </w:tr>
      <w:tr>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10.1016/j.actaastro.2024.03.033</w:t>
            </w:r>
          </w:p>
        </w:tc>
      </w:tr>
      <w:tr>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10.1016/j.actaastro.2025.06.029</w:t>
            </w:r>
          </w:p>
        </w:tc>
      </w:tr>
      <w:tr>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10.1016/j.actaastro.2025.01.069</w:t>
            </w:r>
          </w:p>
        </w:tc>
      </w:tr>
      <w:tr>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10.1016/j.actaastro.2023.04.037</w:t>
            </w:r>
          </w:p>
        </w:tc>
      </w:tr>
      <w:tr>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10.1016/j.actaastro.2024.05.026</w:t>
            </w:r>
          </w:p>
        </w:tc>
      </w:tr>
      <w:tr>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10.1016/j.actaastro.2025.02.013</w:t>
            </w:r>
          </w:p>
        </w:tc>
      </w:tr>
      <w:tr>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10.1016/j.actaastro.2026.02.013</w:t>
            </w:r>
          </w:p>
        </w:tc>
      </w:tr>
      <w:tr>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10.1016/j.actaastro.2024.09.003</w:t>
            </w:r>
          </w:p>
        </w:tc>
      </w:tr>
      <w:tr>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10.1016/j.actaastro.2024.01.039</w:t>
            </w:r>
          </w:p>
        </w:tc>
      </w:tr>
      <w:tr>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10.1016/j.actaastro.2024.01.044</w:t>
            </w:r>
          </w:p>
        </w:tc>
      </w:tr>
      <w:tr>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53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10.1016/j.actaastro.2023.09.031</w:t>
            </w:r>
          </w:p>
        </w:tc>
      </w:tr>
      <w:tr>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Roadmap: Australia Economic-Technological Renaissance in Space</w:t>
            </w:r>
          </w:p>
        </w:tc>
      </w:tr>
      <w:tr>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10.1139/cjfas-2023-0169</w:t>
            </w:r>
          </w:p>
        </w:tc>
      </w:tr>
      <w:tr>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IRD Project Research Designs V2.0</w:t>
            </w:r>
          </w:p>
        </w:tc>
      </w:tr>
      <w:tr>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Behavioral Economics in Space</w:t>
            </w:r>
          </w:p>
        </w:tc>
      </w:tr>
      <w:tr>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Robustness of HCRs to Climate-Driven Sardine Recruitment</w:t>
            </w:r>
          </w:p>
        </w:tc>
      </w:tr>
      <w:tr>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10.52202/078380-0035</w:t>
            </w:r>
          </w:p>
        </w:tc>
      </w:tr>
    </w:tbl>
    <w:bookmarkEnd w:id="189"/>
    <w:bookmarkStart w:id="190" w:name="variable-construction-1"/>
    <w:p>
      <w:pPr>
        <w:pStyle w:val="Heading3"/>
        <w:spacing w:line="480" w:lineRule="auto"/>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cites_plus1</w:t>
            </w:r>
          </w:p>
        </w:tc>
        <w:tc>
          <w:tcPr>
            <w:tcW w:w="0" w:type="auto"/>
          </w:tcPr>
          <w:p>
            <w:pPr>
              <w:spacing w:line="240" w:lineRule="auto" w:before="0" w:after="0"/>
              <w:pStyle w:val="Compact"/>
            </w:pPr>
            <w:r>
              <w:rPr>
                <w:sz w:val="20"/>
                <w:szCs w:val="20"/>
              </w:rPr>
              <w:t xml:space="preserve">Citation count plus one</w:t>
            </w:r>
          </w:p>
        </w:tc>
        <w:tc>
          <w:tcPr>
            <w:tcW w:w="0" w:type="auto"/>
          </w:tcPr>
          <w:p>
            <w:pPr>
              <w:spacing w:line="240" w:lineRule="auto" w:before="0" w:after="0"/>
              <w:pStyle w:val="Compact"/>
            </w:pPr>
            <w:r>
              <w:rPr>
                <w:sz w:val="20"/>
                <w:szCs w:val="20"/>
              </w:rPr>
              <w:t xml:space="preserve">Computed as the reported citation count from the local brain index plus one so the log transformation is defined for uncited records</w:t>
            </w:r>
          </w:p>
        </w:tc>
      </w:tr>
      <w:tr>
        <w:tc>
          <w:tcPr>
            <w:tcW w:w="0" w:type="auto"/>
          </w:tcPr>
          <w:p>
            <w:pPr>
              <w:spacing w:line="240" w:lineRule="auto" w:before="0" w:after="0"/>
              <w:pStyle w:val="Compact"/>
            </w:pPr>
            <w:r>
              <w:rPr>
                <w:sz w:val="20"/>
                <w:szCs w:val="20"/>
              </w:rPr>
              <w:t xml:space="preserve">age_index</w:t>
            </w:r>
          </w:p>
        </w:tc>
        <w:tc>
          <w:tcPr>
            <w:tcW w:w="0" w:type="auto"/>
          </w:tcPr>
          <w:p>
            <w:pPr>
              <w:spacing w:line="240" w:lineRule="auto" w:before="0" w:after="0"/>
              <w:pStyle w:val="Compact"/>
            </w:pPr>
            <w:r>
              <w:rPr>
                <w:sz w:val="20"/>
                <w:szCs w:val="20"/>
              </w:rPr>
              <w:t xml:space="preserve">Document age index</w:t>
            </w:r>
          </w:p>
        </w:tc>
        <w:tc>
          <w:tcPr>
            <w:tcW w:w="0" w:type="auto"/>
          </w:tcPr>
          <w:p>
            <w:pPr>
              <w:spacing w:line="240" w:lineRule="auto" w:before="0" w:after="0"/>
              <w:pStyle w:val="Compact"/>
            </w:pPr>
            <w:r>
              <w:rPr>
                <w:sz w:val="20"/>
                <w:szCs w:val="20"/>
              </w:rPr>
              <w:t xml:space="preserve">Computed as 2026 minus publication year plus one</w:t>
            </w:r>
          </w:p>
        </w:tc>
      </w:tr>
    </w:tbl>
    <w:bookmarkEnd w:id="190"/>
    <w:bookmarkEnd w:id="191"/>
    <w:bookmarkEnd w:id="192"/>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updateFields w:val="tru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line="240" w:lineRule="auto"/>
      <w:ind w:left="380"/>
    </w:pPr>
    <w:rPr>
      <w:rFonts w:ascii="Arial" w:cs="Arial" w:eastAsia="Arial" w:hAnsi="Arial"/>
      <w:b/>
      <w:bCs/>
      <w:sz w:val="20"/>
      <w:szCs w:val="20"/>
    </w:rPr>
  </w:style>
  <w:style w:styleId="TOC2" w:type="paragraph">
    <w:name w:val="toc 2"/>
    <w:basedOn w:val="Normal"/>
    <w:uiPriority w:val="1"/>
    <w:qFormat/>
    <w:pPr>
      <w:spacing w:line="240" w:lineRule="auto"/>
      <w:ind w:left="620"/>
    </w:pPr>
    <w:rPr>
      <w:rFonts w:ascii="Arial" w:cs="Arial" w:eastAsia="Arial" w:hAnsi="Arial"/>
      <w:sz w:val="20"/>
      <w:szCs w:val="20"/>
    </w:rPr>
  </w:style>
  <w:style w:styleId="TOC3" w:type="paragraph">
    <w:name w:val="toc 3"/>
    <w:basedOn w:val="Normal"/>
    <w:uiPriority w:val="1"/>
    <w:qFormat/>
    <w:pPr>
      <w:spacing w:line="240" w:lineRule="auto"/>
      <w:ind w:left="620"/>
    </w:pPr>
    <w:rPr>
      <w:rFonts w:ascii="Arial" w:cs="Arial" w:eastAsia="Arial" w:hAnsi="Arial"/>
      <w:sz w:val="16"/>
      <w:szCs w:val="16"/>
    </w:rPr>
  </w:style>
  <w:style w:styleId="TOC4" w:type="paragraph">
    <w:name w:val="toc 4"/>
    <w:basedOn w:val="Normal"/>
    <w:uiPriority w:val="1"/>
    <w:qFormat/>
    <w:pPr>
      <w:spacing w:line="240" w:lineRule="auto"/>
      <w:ind w:left="620"/>
    </w:pPr>
    <w:rPr>
      <w:rFonts w:ascii="Arial" w:cs="Arial" w:eastAsia="Arial" w:hAnsi="Arial"/>
      <w:b/>
      <w:bCs/>
      <w:i/>
    </w:rPr>
  </w:style>
  <w:style w:styleId="TOC5" w:type="paragraph">
    <w:name w:val="toc 5"/>
    <w:basedOn w:val="Normal"/>
    <w:uiPriority w:val="1"/>
    <w:qFormat/>
    <w:pPr>
      <w:spacing w:line="240" w:lineRule="auto"/>
      <w:ind w:left="860"/>
    </w:pPr>
    <w:rPr>
      <w:rFonts w:ascii="Arial" w:cs="Arial" w:eastAsia="Arial" w:hAnsi="Arial"/>
      <w:i/>
      <w:sz w:val="20"/>
      <w:szCs w:val="20"/>
    </w:rPr>
  </w:style>
  <w:style w:styleId="BodyText" w:type="paragraph">
    <w:name w:val="Body Text"/>
    <w:basedOn w:val="Normal"/>
    <w:uiPriority w:val="1"/>
    <w:qFormat/>
    <w:pPr>
      <w:spacing w:line="480" w:lineRule="auto"/>
      <w:ind w:firstLine="72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60" Type="http://schemas.openxmlformats.org/officeDocument/2006/relationships/numbering" Target="numbering.xml"/><Relationship Id="rId59" Type="http://schemas.openxmlformats.org/officeDocument/2006/relationships/styles" Target="styles.xml"/><Relationship Id="rId58" Type="http://schemas.openxmlformats.org/officeDocument/2006/relationships/settings" Target="settings.xml"/><Relationship Id="rId57" Type="http://schemas.openxmlformats.org/officeDocument/2006/relationships/webSettings" Target="webSettings.xml"/><Relationship Id="rId56" Type="http://schemas.openxmlformats.org/officeDocument/2006/relationships/fontTable" Target="fontTable.xml"/><Relationship Id="rId55" Type="http://schemas.openxmlformats.org/officeDocument/2006/relationships/theme" Target="theme/theme1.xml"/><Relationship Id="rId54" Type="http://schemas.openxmlformats.org/officeDocument/2006/relationships/footnotes" Target="footnotes.xml"/><Relationship Id="rId53" Type="http://schemas.openxmlformats.org/officeDocument/2006/relationships/comments" Target="comment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21" Type="http://schemas.openxmlformats.org/officeDocument/2006/relationships/image" Target="media/image13.png"/><Relationship Id="rId50" Type="http://schemas.openxmlformats.org/officeDocument/2006/relationships/image" Target="media/image23.png"/><Relationship Id="rId7" Type="http://schemas.openxmlformats.org/officeDocument/2006/relationships/footer" Target="footer1.xml"/><Relationship Id="rId16" Type="http://schemas.openxmlformats.org/officeDocument/2006/relationships/image" Target="media/image8.jpeg"/><Relationship Id="rId29" Type="http://schemas.openxmlformats.org/officeDocument/2006/relationships/image" Target="media/image20.png"/><Relationship Id="rId11" Type="http://schemas.openxmlformats.org/officeDocument/2006/relationships/image" Target="media/image3.png"/><Relationship Id="rId24" Type="http://schemas.openxmlformats.org/officeDocument/2006/relationships/image" Target="media/image16.png"/><Relationship Id="rId19" Type="http://schemas.openxmlformats.org/officeDocument/2006/relationships/image" Target="media/image11.png"/><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8.png"/><Relationship Id="rId30" Type="http://schemas.openxmlformats.org/officeDocument/2006/relationships/image" Target="media/image21.png"/><Relationship Id="rId8" Type="http://schemas.openxmlformats.org/officeDocument/2006/relationships/footer" Target="footer2.xml"/><Relationship Id="rId51" Type="http://schemas.openxmlformats.org/officeDocument/2006/relationships/image" Target="media/image24.jpeg"/><Relationship Id="rId12" Type="http://schemas.openxmlformats.org/officeDocument/2006/relationships/image" Target="media/image4.png"/><Relationship Id="rId17" Type="http://schemas.openxmlformats.org/officeDocument/2006/relationships/image" Target="media/image9.png"/><Relationship Id="rId20" Type="http://schemas.openxmlformats.org/officeDocument/2006/relationships/image" Target="media/image12.png"/><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19.jpeg"/><Relationship Id="rId10" Type="http://schemas.openxmlformats.org/officeDocument/2006/relationships/image" Target="media/image2.jpeg"/><Relationship Id="rId31" Type="http://schemas.openxmlformats.org/officeDocument/2006/relationships/image" Target="media/image22.png"/><Relationship Id="rId52" Type="http://schemas.openxmlformats.org/officeDocument/2006/relationships/image" Target="media/image25.jpeg"/><Relationship Id="rId177" Type="http://schemas.openxmlformats.org/officeDocument/2006/relationships/image" Target="media/rId177.png"/><Relationship Id="rId185" Type="http://schemas.openxmlformats.org/officeDocument/2006/relationships/image" Target="media/rId185.png"/><Relationship Id="rId167" Type="http://schemas.openxmlformats.org/officeDocument/2006/relationships/hyperlink" Target="https://doi.org/10.1016/j.actaastro.2023.04.037" TargetMode="External"/><Relationship Id="rId141" Type="http://schemas.openxmlformats.org/officeDocument/2006/relationships/hyperlink" Target="https://doi.org/10.1016/j.actaastro.2024.03.033" TargetMode="External"/><Relationship Id="rId169" Type="http://schemas.openxmlformats.org/officeDocument/2006/relationships/hyperlink" Target="https://doi.org/10.1016/j.actaastro.2024.05.026" TargetMode="External"/><Relationship Id="rId145" Type="http://schemas.openxmlformats.org/officeDocument/2006/relationships/hyperlink" Target="https://doi.org/10.1016/j.actaastro.2025.01.069" TargetMode="External"/><Relationship Id="rId171" Type="http://schemas.openxmlformats.org/officeDocument/2006/relationships/hyperlink" Target="https://doi.org/10.1016/j.actaastro.2025.02.013" TargetMode="External"/><Relationship Id="rId143" Type="http://schemas.openxmlformats.org/officeDocument/2006/relationships/hyperlink" Target="https://doi.org/10.1016/j.actaastro.2025.06.029" TargetMode="External"/><Relationship Id="rId162" Type="http://schemas.openxmlformats.org/officeDocument/2006/relationships/hyperlink" Target="https://doi.org/10.1016/j.actaastro.2026.01.042" TargetMode="External"/><Relationship Id="rId173" Type="http://schemas.openxmlformats.org/officeDocument/2006/relationships/hyperlink" Target="https://doi.org/10.1016/j.actaastro.2026.02.013" TargetMode="External"/><Relationship Id="rId151" Type="http://schemas.openxmlformats.org/officeDocument/2006/relationships/hyperlink" Target="https://doi.org/10.64861/CZGF7141" TargetMode="External"/><Relationship Id="rId132" Type="http://schemas.openxmlformats.org/officeDocument/2006/relationships/hyperlink" Target="https://doi.org/10.64861/FKER7625" TargetMode="External"/><Relationship Id="rId154" Type="http://schemas.openxmlformats.org/officeDocument/2006/relationships/hyperlink" Target="https://doi.org/10.64861/GDKE6454" TargetMode="External"/><Relationship Id="rId135" Type="http://schemas.openxmlformats.org/officeDocument/2006/relationships/hyperlink" Target="https://doi.org/10.64861/GVCM1752" TargetMode="External"/><Relationship Id="rId137" Type="http://schemas.openxmlformats.org/officeDocument/2006/relationships/hyperlink" Target="https://doi.org/10.64861/QBNC8763" TargetMode="External"/><Relationship Id="rId139" Type="http://schemas.openxmlformats.org/officeDocument/2006/relationships/hyperlink" Target="https://doi.org/10.64861/QKCI9457" TargetMode="External"/><Relationship Id="rId158" Type="http://schemas.openxmlformats.org/officeDocument/2006/relationships/hyperlink" Target="https://doi.org/10.64861/TJIV3429" TargetMode="External"/></Relationships>
</file>

<file path=word/_rels/footnotes.xml.rels><?xml version='1.0' encoding='UTF-8' standalone='yes'?>
<Relationships xmlns="http://schemas.openxmlformats.org/package/2006/relationships"><Relationship Id="rId167" Type="http://schemas.openxmlformats.org/officeDocument/2006/relationships/hyperlink" Target="https://doi.org/10.1016/j.actaastro.2023.04.037" TargetMode="External"/><Relationship Id="rId141" Type="http://schemas.openxmlformats.org/officeDocument/2006/relationships/hyperlink" Target="https://doi.org/10.1016/j.actaastro.2024.03.033" TargetMode="External"/><Relationship Id="rId169" Type="http://schemas.openxmlformats.org/officeDocument/2006/relationships/hyperlink" Target="https://doi.org/10.1016/j.actaastro.2024.05.026" TargetMode="External"/><Relationship Id="rId145" Type="http://schemas.openxmlformats.org/officeDocument/2006/relationships/hyperlink" Target="https://doi.org/10.1016/j.actaastro.2025.01.069" TargetMode="External"/><Relationship Id="rId171" Type="http://schemas.openxmlformats.org/officeDocument/2006/relationships/hyperlink" Target="https://doi.org/10.1016/j.actaastro.2025.02.013" TargetMode="External"/><Relationship Id="rId143" Type="http://schemas.openxmlformats.org/officeDocument/2006/relationships/hyperlink" Target="https://doi.org/10.1016/j.actaastro.2025.06.029" TargetMode="External"/><Relationship Id="rId162" Type="http://schemas.openxmlformats.org/officeDocument/2006/relationships/hyperlink" Target="https://doi.org/10.1016/j.actaastro.2026.01.042" TargetMode="External"/><Relationship Id="rId173" Type="http://schemas.openxmlformats.org/officeDocument/2006/relationships/hyperlink" Target="https://doi.org/10.1016/j.actaastro.2026.02.013" TargetMode="External"/><Relationship Id="rId151" Type="http://schemas.openxmlformats.org/officeDocument/2006/relationships/hyperlink" Target="https://doi.org/10.64861/CZGF7141" TargetMode="External"/><Relationship Id="rId132" Type="http://schemas.openxmlformats.org/officeDocument/2006/relationships/hyperlink" Target="https://doi.org/10.64861/FKER7625" TargetMode="External"/><Relationship Id="rId154" Type="http://schemas.openxmlformats.org/officeDocument/2006/relationships/hyperlink" Target="https://doi.org/10.64861/GDKE6454" TargetMode="External"/><Relationship Id="rId135" Type="http://schemas.openxmlformats.org/officeDocument/2006/relationships/hyperlink" Target="https://doi.org/10.64861/GVCM1752" TargetMode="External"/><Relationship Id="rId137" Type="http://schemas.openxmlformats.org/officeDocument/2006/relationships/hyperlink" Target="https://doi.org/10.64861/QBNC8763" TargetMode="External"/><Relationship Id="rId139" Type="http://schemas.openxmlformats.org/officeDocument/2006/relationships/hyperlink" Target="https://doi.org/10.64861/QKCI9457" TargetMode="External"/><Relationship Id="rId158" Type="http://schemas.openxmlformats.org/officeDocument/2006/relationships/hyperlink" Target="https://doi.org/10.64861/TJIV342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Default Disposal: A Quasi-Experimental Test of Whether the 25-to-5-Year Rule Cha</dc:title>
  <dc:creator>Wei Falk (1B-SUS-158)</dc:creator>
  <cp:keywords/>
  <dcterms:created xsi:type="dcterms:W3CDTF">2026-07-03T18:09:02Z</dcterms:created>
  <dcterms:modified xsi:type="dcterms:W3CDTF">2026-07-03T18:09:02Z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s">
    <vt:lpwstr/>
  </property>
  <property fmtid="{D5CDD505-2E9C-101B-9397-08002B2CF9AE}" pid="3" name="biblio-config">
    <vt:lpwstr>True</vt:lpwstr>
  </property>
  <property fmtid="{D5CDD505-2E9C-101B-9397-08002B2CF9AE}" pid="4" name="by-author">
    <vt:lpwstr/>
  </property>
  <property fmtid="{D5CDD505-2E9C-101B-9397-08002B2CF9AE}" pid="5" name="date">
    <vt:lpwstr>2025-12-31</vt:lpwstr>
  </property>
  <property fmtid="{D5CDD505-2E9C-101B-9397-08002B2CF9AE}" pid="6" name="engines">
    <vt:lpwstr/>
  </property>
  <property fmtid="{D5CDD505-2E9C-101B-9397-08002B2CF9AE}" pid="7" name="execute">
    <vt:lpwstr/>
  </property>
  <property fmtid="{D5CDD505-2E9C-101B-9397-08002B2CF9AE}" pid="8" name="header-includes">
    <vt:lpwstr/>
  </property>
  <property fmtid="{D5CDD505-2E9C-101B-9397-08002B2CF9AE}" pid="9" name="include-after">
    <vt:lpwstr/>
  </property>
  <property fmtid="{D5CDD505-2E9C-101B-9397-08002B2CF9AE}" pid="10" name="include-before">
    <vt:lpwstr/>
  </property>
  <property fmtid="{D5CDD505-2E9C-101B-9397-08002B2CF9AE}" pid="11" name="labels">
    <vt:lpwstr/>
  </property>
  <property fmtid="{D5CDD505-2E9C-101B-9397-08002B2CF9AE}" pid="12" name="toc-title">
    <vt:lpwstr>Table of contents</vt:lpwstr>
  </property>
</Properties>
</file>