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892c1ee7189e07abb00834fffa09b9416d15178"/>
    <w:p>
      <w:pPr>
        <w:pStyle w:val="Heading1"/>
      </w:pPr>
      <w:r>
        <w:t xml:space="preserve">Signal Intensity in Limits to Growth in Orbit A System-Dynamics Test of Whether LEO Population Beha: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Yara Delgado (1B-SUS-201) and the dissertation project</w:t>
      </w:r>
      <w:r>
        <w:t xml:space="preserve"> </w:t>
      </w:r>
      <w:r>
        <w:rPr>
          <w:i/>
          <w:iCs/>
        </w:rPr>
        <w:t xml:space="preserve">Limits to Growth in Orbit: A System-Dynamics Test of Whether LEO Population Beha</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R2=0.35649942072531304, R2_adj=0.2822493538859261, F=11.619256728210877, F_p=5.132562702001138e-05. The exact term summary is: const coef=11.591887420029597 p=1.4264061374802343e-10; recency_index coef=-0.13239868079637226 p=0.23762799299803727; cites_num coef=0.07157257230082223 p=1.1278961294234016e-06; venue_score coef=-2.087499168066845 p=0.003263118841996373.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Audrey Allison, Boeing. WRC-19: New Space Law Enabling the Sustainability of LEO (2020). [AMOS]</w:t>
      </w:r>
      <w:r>
        <w:t xml:space="preserve"> </w:t>
      </w:r>
      <w:bookmarkStart w:id="68" w:name="ref-2"/>
      <w:bookmarkEnd w:id="68"/>
      <w:r>
        <w:t xml:space="preserve">2. Cameron Liang, Institute for Defense Analyses; Paul Fanto, Institute for Defense Analyses; Angelo Signoracci, Institute for Defense Analyses. On the Increased Risk of Kessler Syndrome by Anti-Satellite Tests (2023). doi:</w:t>
      </w:r>
      <w:r>
        <w:t xml:space="preserve"> </w:t>
      </w:r>
      <w:hyperlink r:id="rId69">
        <w:r>
          <w:rPr>
            <w:rStyle w:val="Hyperlink"/>
          </w:rPr>
          <w:t xml:space="preserve">10.64861/CZGF7141</w:t>
        </w:r>
      </w:hyperlink>
      <w:r>
        <w:t xml:space="preserve"> </w:t>
      </w:r>
      <w:bookmarkStart w:id="70" w:name="ref-3"/>
      <w:bookmarkEnd w:id="70"/>
      <w:r>
        <w:t xml:space="preserve">3. Alinda Mashiku, NASA; Lauri Newman, NASA; Dolan Highsmith, The Aerospace Corporation. NASA Conjunction Assessment Risk Analysis (CARA) Compendium for Artificial Intelligence and Machine Learning for Satellite Collision Avoidance (2025). doi:</w:t>
      </w:r>
      <w:r>
        <w:t xml:space="preserve"> </w:t>
      </w:r>
      <w:hyperlink r:id="rId71">
        <w:r>
          <w:rPr>
            <w:rStyle w:val="Hyperlink"/>
          </w:rPr>
          <w:t xml:space="preserve">10.64861/HKAM1019</w:t>
        </w:r>
      </w:hyperlink>
      <w:r>
        <w:t xml:space="preserve"> </w:t>
      </w:r>
      <w:bookmarkStart w:id="72" w:name="ref-4"/>
      <w:bookmarkEnd w:id="72"/>
      <w:r>
        <w:t xml:space="preserve">4. Jin Choi, Korea Astronomy and Space Science Institute (KASI); Jung Hyun Jo, KASI; Myung-Jin Kim, KASI; Dong-Goo Roh, KASI; Hong-Suh Yim, KASI. Concept of the Korean Optical Space Surveillance Telescope System NSOS_Beta for Monitoring the High-Altitude Orbit Region (2024). doi:</w:t>
      </w:r>
      <w:r>
        <w:t xml:space="preserve"> </w:t>
      </w:r>
      <w:hyperlink r:id="rId73">
        <w:r>
          <w:rPr>
            <w:rStyle w:val="Hyperlink"/>
          </w:rPr>
          <w:t xml:space="preserve">10.64861/YUKJ4448</w:t>
        </w:r>
      </w:hyperlink>
      <w:r>
        <w:t xml:space="preserve"> </w:t>
      </w:r>
      <w:bookmarkStart w:id="74" w:name="ref-5"/>
      <w:bookmarkEnd w:id="74"/>
      <w:r>
        <w:t xml:space="preserve">5. Matthew Stevenson, LeoLabs; Darren McKnight, LeoLabs; Hugh Lewis, University of Southampton; Chris Kunstadter, AXA XL; Rachit Bhatia, LeoLabs. Identifying the Statistically-Most-Concerning Conjunctions in LEO (2021). [AMOS]</w:t>
      </w:r>
      <w:r>
        <w:t xml:space="preserve"> </w:t>
      </w:r>
      <w:bookmarkStart w:id="75" w:name="ref-6"/>
      <w:bookmarkEnd w:id="75"/>
      <w:r>
        <w:t xml:space="preserve">6. Ming Jiang (Lawrence Livermore National Laboratory), Willem H. de Vries (Lawrence Livermore National Laboratory), Alexander J. Pertica (Lawrence Livermore National Laboratory), Scot S. Olivier (Lawrence Livermore National Laboratory). Computing and Visualizing Reachable Volumes for Maneuvering Satellites (2011). [AMOS]</w:t>
      </w:r>
      <w:r>
        <w:t xml:space="preserve"> </w:t>
      </w:r>
      <w:bookmarkStart w:id="76" w:name="ref-7"/>
      <w:bookmarkEnd w:id="76"/>
      <w:r>
        <w:t xml:space="preserve">7. Tomas Hrobar, Comenius University in Bratislava; Jiri Silha, Comenius University, Faculty of Mathematics, Physics and Informatics; Matej Zigo, Comenius University in Bratislava; Peter Jevcak, Comenius University in Bratislava; Palash Patole, Astronomical Institute of the University of Bern; Thomas Schildknecht, Astronomisches Institut Universität Bern. Attitude determination of cylindrical rocket bodies by using simultaneous bistatic photometric measurements (2023). doi:</w:t>
      </w:r>
      <w:r>
        <w:t xml:space="preserve"> </w:t>
      </w:r>
      <w:hyperlink r:id="rId77">
        <w:r>
          <w:rPr>
            <w:rStyle w:val="Hyperlink"/>
          </w:rPr>
          <w:t xml:space="preserve">10.64861/AYQY6554</w:t>
        </w:r>
      </w:hyperlink>
      <w:r>
        <w:t xml:space="preserve"> </w:t>
      </w:r>
      <w:bookmarkStart w:id="78" w:name="ref-8"/>
      <w:bookmarkEnd w:id="78"/>
      <w:r>
        <w:t xml:space="preserve">8. Geoffrey Reeves (Los Alamos National Laboratory), Reiner H. W. Friedel (Los Alamos National Laboratory), Yue Chen (Los Alamos National Laboratory), Josef Koller (Los Alamos National Laboratory), Michael Henderson (Los Alamos National Laboratory). The Los Alamos Dynamic Radiation Environment Assimilation Model (DREAM) for Space Weather Specification and Forecasting (2008). [AMOS]</w:t>
      </w:r>
    </w:p>
    <w:bookmarkEnd w:id="79"/>
    <w:bookmarkStart w:id="80"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11.5919</w:t>
            </w:r>
          </w:p>
        </w:tc>
        <w:tc>
          <w:tcPr>
            <w:tcW w:w="0" w:type="auto"/>
          </w:tcPr>
          <w:p>
            <w:pPr>
              <w:spacing w:line="240" w:lineRule="auto" w:before="0" w:after="0"/>
              <w:pStyle w:val="Compact"/>
            </w:pPr>
            <w:r>
              <w:rPr>
                <w:sz w:val="20"/>
                <w:szCs w:val="20"/>
              </w:rPr>
              <w:t xml:space="preserve">1.8075</w:t>
            </w:r>
          </w:p>
        </w:tc>
        <w:tc>
          <w:tcPr>
            <w:tcW w:w="0" w:type="auto"/>
          </w:tcPr>
          <w:p>
            <w:pPr>
              <w:spacing w:line="240" w:lineRule="auto" w:before="0" w:after="0"/>
              <w:pStyle w:val="Compact"/>
            </w:pPr>
            <w:r>
              <w:rPr>
                <w:sz w:val="20"/>
                <w:szCs w:val="20"/>
              </w:rPr>
              <w:t xml:space="preserve">6.413</w:t>
            </w:r>
          </w:p>
        </w:tc>
        <w:tc>
          <w:tcPr>
            <w:tcW w:w="0" w:type="auto"/>
          </w:tcPr>
          <w:p>
            <w:pPr>
              <w:spacing w:line="240" w:lineRule="auto" w:before="0" w:after="0"/>
              <w:pStyle w:val="Compact"/>
            </w:pPr>
            <w:r>
              <w:rPr>
                <w:sz w:val="20"/>
                <w:szCs w:val="20"/>
              </w:rPr>
              <w:t xml:space="preserve">1.426e-10</w:t>
            </w:r>
          </w:p>
        </w:tc>
        <w:tc>
          <w:tcPr>
            <w:tcW w:w="0" w:type="auto"/>
          </w:tcPr>
          <w:p>
            <w:pPr>
              <w:spacing w:line="240" w:lineRule="auto" w:before="0" w:after="0"/>
              <w:pStyle w:val="Compact"/>
            </w:pPr>
            <w:r>
              <w:rPr>
                <w:sz w:val="20"/>
                <w:szCs w:val="20"/>
              </w:rPr>
              <w:t xml:space="preserve">[8.0492, 15.1346]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-0.1324</w:t>
            </w:r>
          </w:p>
        </w:tc>
        <w:tc>
          <w:tcPr>
            <w:tcW w:w="0" w:type="auto"/>
          </w:tcPr>
          <w:p>
            <w:pPr>
              <w:spacing w:line="240" w:lineRule="auto" w:before="0" w:after="0"/>
              <w:pStyle w:val="Compact"/>
            </w:pPr>
            <w:r>
              <w:rPr>
                <w:sz w:val="20"/>
                <w:szCs w:val="20"/>
              </w:rPr>
              <w:t xml:space="preserve">0.1121</w:t>
            </w:r>
          </w:p>
        </w:tc>
        <w:tc>
          <w:tcPr>
            <w:tcW w:w="0" w:type="auto"/>
          </w:tcPr>
          <w:p>
            <w:pPr>
              <w:spacing w:line="240" w:lineRule="auto" w:before="0" w:after="0"/>
              <w:pStyle w:val="Compact"/>
            </w:pPr>
            <w:r>
              <w:rPr>
                <w:sz w:val="20"/>
                <w:szCs w:val="20"/>
              </w:rPr>
              <w:t xml:space="preserve">-1.1809</w:t>
            </w:r>
          </w:p>
        </w:tc>
        <w:tc>
          <w:tcPr>
            <w:tcW w:w="0" w:type="auto"/>
          </w:tcPr>
          <w:p>
            <w:pPr>
              <w:spacing w:line="240" w:lineRule="auto" w:before="0" w:after="0"/>
              <w:pStyle w:val="Compact"/>
            </w:pPr>
            <w:r>
              <w:rPr>
                <w:sz w:val="20"/>
                <w:szCs w:val="20"/>
              </w:rPr>
              <w:t xml:space="preserve">0.2376</w:t>
            </w:r>
          </w:p>
        </w:tc>
        <w:tc>
          <w:tcPr>
            <w:tcW w:w="0" w:type="auto"/>
          </w:tcPr>
          <w:p>
            <w:pPr>
              <w:spacing w:line="240" w:lineRule="auto" w:before="0" w:after="0"/>
              <w:pStyle w:val="Compact"/>
            </w:pPr>
            <w:r>
              <w:rPr>
                <w:sz w:val="20"/>
                <w:szCs w:val="20"/>
              </w:rPr>
              <w:t xml:space="preserve">[-0.3521, 0.0873]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0.0716</w:t>
            </w:r>
          </w:p>
        </w:tc>
        <w:tc>
          <w:tcPr>
            <w:tcW w:w="0" w:type="auto"/>
          </w:tcPr>
          <w:p>
            <w:pPr>
              <w:spacing w:line="240" w:lineRule="auto" w:before="0" w:after="0"/>
              <w:pStyle w:val="Compact"/>
            </w:pPr>
            <w:r>
              <w:rPr>
                <w:sz w:val="20"/>
                <w:szCs w:val="20"/>
              </w:rPr>
              <w:t xml:space="preserve">0.0147</w:t>
            </w:r>
          </w:p>
        </w:tc>
        <w:tc>
          <w:tcPr>
            <w:tcW w:w="0" w:type="auto"/>
          </w:tcPr>
          <w:p>
            <w:pPr>
              <w:spacing w:line="240" w:lineRule="auto" w:before="0" w:after="0"/>
              <w:pStyle w:val="Compact"/>
            </w:pPr>
            <w:r>
              <w:rPr>
                <w:sz w:val="20"/>
                <w:szCs w:val="20"/>
              </w:rPr>
              <w:t xml:space="preserve">4.8679</w:t>
            </w:r>
          </w:p>
        </w:tc>
        <w:tc>
          <w:tcPr>
            <w:tcW w:w="0" w:type="auto"/>
          </w:tcPr>
          <w:p>
            <w:pPr>
              <w:spacing w:line="240" w:lineRule="auto" w:before="0" w:after="0"/>
              <w:pStyle w:val="Compact"/>
            </w:pPr>
            <w:r>
              <w:rPr>
                <w:sz w:val="20"/>
                <w:szCs w:val="20"/>
              </w:rPr>
              <w:t xml:space="preserve">1.128e-06</w:t>
            </w:r>
          </w:p>
        </w:tc>
        <w:tc>
          <w:tcPr>
            <w:tcW w:w="0" w:type="auto"/>
          </w:tcPr>
          <w:p>
            <w:pPr>
              <w:spacing w:line="240" w:lineRule="auto" w:before="0" w:after="0"/>
              <w:pStyle w:val="Compact"/>
            </w:pPr>
            <w:r>
              <w:rPr>
                <w:sz w:val="20"/>
                <w:szCs w:val="20"/>
              </w:rPr>
              <w:t xml:space="preserve">[0.0428, 0.1004]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-2.0875</w:t>
            </w:r>
          </w:p>
        </w:tc>
        <w:tc>
          <w:tcPr>
            <w:tcW w:w="0" w:type="auto"/>
          </w:tcPr>
          <w:p>
            <w:pPr>
              <w:spacing w:line="240" w:lineRule="auto" w:before="0" w:after="0"/>
              <w:pStyle w:val="Compact"/>
            </w:pPr>
            <w:r>
              <w:rPr>
                <w:sz w:val="20"/>
                <w:szCs w:val="20"/>
              </w:rPr>
              <w:t xml:space="preserve">0.7096</w:t>
            </w:r>
          </w:p>
        </w:tc>
        <w:tc>
          <w:tcPr>
            <w:tcW w:w="0" w:type="auto"/>
          </w:tcPr>
          <w:p>
            <w:pPr>
              <w:spacing w:line="240" w:lineRule="auto" w:before="0" w:after="0"/>
              <w:pStyle w:val="Compact"/>
            </w:pPr>
            <w:r>
              <w:rPr>
                <w:sz w:val="20"/>
                <w:szCs w:val="20"/>
              </w:rPr>
              <w:t xml:space="preserve">-2.9418</w:t>
            </w:r>
          </w:p>
        </w:tc>
        <w:tc>
          <w:tcPr>
            <w:tcW w:w="0" w:type="auto"/>
          </w:tcPr>
          <w:p>
            <w:pPr>
              <w:spacing w:line="240" w:lineRule="auto" w:before="0" w:after="0"/>
              <w:pStyle w:val="Compact"/>
            </w:pPr>
            <w:r>
              <w:rPr>
                <w:sz w:val="20"/>
                <w:szCs w:val="20"/>
              </w:rPr>
              <w:t xml:space="preserve">0.0033</w:t>
            </w:r>
          </w:p>
        </w:tc>
        <w:tc>
          <w:tcPr>
            <w:tcW w:w="0" w:type="auto"/>
          </w:tcPr>
          <w:p>
            <w:pPr>
              <w:spacing w:line="240" w:lineRule="auto" w:before="0" w:after="0"/>
              <w:pStyle w:val="Compact"/>
            </w:pPr>
            <w:r>
              <w:rPr>
                <w:sz w:val="20"/>
                <w:szCs w:val="20"/>
              </w:rPr>
              <w:t xml:space="preserve">[-3.4783, -0.6967]</w:t>
            </w:r>
          </w:p>
        </w:tc>
      </w:tr>
    </w:tbl>
    <w:p>
      <w:pPr>
        <w:pStyle w:val="BodyText"/>
      </w:pPr>
      <w:r>
        <w:t xml:space="preserve">Fit: N = 30 R2 = 0.3565 R2_adj = 0.2822 F = 11.6193 F_p = 5.133e-05</w:t>
      </w:r>
    </w:p>
    <w:p>
      <w:pPr>
        <w:pStyle w:val="CaptionedFigure"/>
      </w:pPr>
      <w:r>
        <w:drawing>
          <wp:inline>
            <wp:extent cx="5669280" cy="3657600"/>
            <wp:effectExtent b="0" l="0" r="0" t="0"/>
            <wp:docPr descr="Figure 1. Topic-signal score by publication recency, conditioning on citation attention and venue family." title="" id="82" name="Picture"/>
            <a:graphic>
              <a:graphicData uri="http://schemas.openxmlformats.org/drawingml/2006/picture">
                <pic:pic>
                  <pic:nvPicPr>
                    <pic:cNvPr descr="D:\Claude_Code\brain\collegium\candidates\dissertations\SUSTAINABILITY_INSTITUTIONS_02\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https://amostech.space/year/2021/identifying-the-statistically-most-concerning-conjunctions-in-leo/</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https://amostech.space/year/2022/all-sky-electro-optical-tracking-of-mega-constellations-in-low-earth-orbit/</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10.64861/AYQY6554</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10.64861/HKAM1019</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https://amostech.space/year/2007/an-assessment-of-the-january-2007-chinese-asat-test-on-the-leo-environment/</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https://amostech.space/year/2019/development-of-the-slovak-70-cm-optical-passive-system-dedicated-to-space-debris-tracking-on-leo-to-geo-orbits/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https://amostech.space/year/2010/pay-me-now-or-pay-me-more-later-start-the-development-of-active-orbital-debris-removal-now/</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https://amostech.space/year/2022/a-map-of-the-statistical-collision-risk-in-leo/</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https://amostech.space/year/2010/operational-impact-of-improved-space-tracking-on-collision-avoidance-in-the-future-leo-space-debris-environment/</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10.64861/IKLU8599</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https://amostech.space/year/2010/operation-impact-of-improved-space-tracking-on-collision-avoidance-in-the-future-leo-space-debris-environment/</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10.64861/CKQN3841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10.1016/j.actaastro.2024.09.045</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10.1016/j.actaastro.2026.04.046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10.1016/j.actaastro.2026.04.055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10.1016/j.actaastro.2024.03.002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10.1016/j.actaastro.2024.09.063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10.1016/j.actaastro.2025.02.019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10.1016/j.actaastro.2021.03.030</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10.1016/j.actaastro.2020.05.005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10.1016/j.actaastro.2022.10.021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10.1016/j.actaastro.2023.01.021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10.1016/j.actaastro.2025.01.048</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 Capacity Modeling for Sustainable Design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 Capacity Modeling for Sustainable Design (AMOS)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10.1016/j.jsse.2020.06.006</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Understanding Long-Term Orbital Debris Population Dynamics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11.5919</w:t>
            </w:r>
          </w:p>
        </w:tc>
        <w:tc>
          <w:tcPr>
            <w:tcW w:w="0" w:type="auto"/>
          </w:tcPr>
          <w:p>
            <w:pPr>
              <w:spacing w:line="240" w:lineRule="auto" w:before="0" w:after="0"/>
              <w:pStyle w:val="Compact"/>
            </w:pPr>
            <w:r>
              <w:rPr>
                <w:sz w:val="20"/>
                <w:szCs w:val="20"/>
              </w:rPr>
              <w:t xml:space="preserve">1.8075</w:t>
            </w:r>
          </w:p>
        </w:tc>
        <w:tc>
          <w:tcPr>
            <w:tcW w:w="0" w:type="auto"/>
          </w:tcPr>
          <w:p>
            <w:pPr>
              <w:spacing w:line="240" w:lineRule="auto" w:before="0" w:after="0"/>
              <w:pStyle w:val="Compact"/>
            </w:pPr>
            <w:r>
              <w:rPr>
                <w:sz w:val="20"/>
                <w:szCs w:val="20"/>
              </w:rPr>
              <w:t xml:space="preserve">6.413</w:t>
            </w:r>
          </w:p>
        </w:tc>
        <w:tc>
          <w:tcPr>
            <w:tcW w:w="0" w:type="auto"/>
          </w:tcPr>
          <w:p>
            <w:pPr>
              <w:spacing w:line="240" w:lineRule="auto" w:before="0" w:after="0"/>
              <w:pStyle w:val="Compact"/>
            </w:pPr>
            <w:r>
              <w:rPr>
                <w:sz w:val="20"/>
                <w:szCs w:val="20"/>
              </w:rPr>
              <w:t xml:space="preserve">1.426e-10</w:t>
            </w:r>
          </w:p>
        </w:tc>
        <w:tc>
          <w:tcPr>
            <w:tcW w:w="0" w:type="auto"/>
          </w:tcPr>
          <w:p>
            <w:pPr>
              <w:spacing w:line="240" w:lineRule="auto" w:before="0" w:after="0"/>
              <w:pStyle w:val="Compact"/>
            </w:pPr>
            <w:r>
              <w:rPr>
                <w:sz w:val="20"/>
                <w:szCs w:val="20"/>
              </w:rPr>
              <w:t xml:space="preserve">[8.0492, 15.1346]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-0.1324</w:t>
            </w:r>
          </w:p>
        </w:tc>
        <w:tc>
          <w:tcPr>
            <w:tcW w:w="0" w:type="auto"/>
          </w:tcPr>
          <w:p>
            <w:pPr>
              <w:spacing w:line="240" w:lineRule="auto" w:before="0" w:after="0"/>
              <w:pStyle w:val="Compact"/>
            </w:pPr>
            <w:r>
              <w:rPr>
                <w:sz w:val="20"/>
                <w:szCs w:val="20"/>
              </w:rPr>
              <w:t xml:space="preserve">0.1121</w:t>
            </w:r>
          </w:p>
        </w:tc>
        <w:tc>
          <w:tcPr>
            <w:tcW w:w="0" w:type="auto"/>
          </w:tcPr>
          <w:p>
            <w:pPr>
              <w:spacing w:line="240" w:lineRule="auto" w:before="0" w:after="0"/>
              <w:pStyle w:val="Compact"/>
            </w:pPr>
            <w:r>
              <w:rPr>
                <w:sz w:val="20"/>
                <w:szCs w:val="20"/>
              </w:rPr>
              <w:t xml:space="preserve">-1.1809</w:t>
            </w:r>
          </w:p>
        </w:tc>
        <w:tc>
          <w:tcPr>
            <w:tcW w:w="0" w:type="auto"/>
          </w:tcPr>
          <w:p>
            <w:pPr>
              <w:spacing w:line="240" w:lineRule="auto" w:before="0" w:after="0"/>
              <w:pStyle w:val="Compact"/>
            </w:pPr>
            <w:r>
              <w:rPr>
                <w:sz w:val="20"/>
                <w:szCs w:val="20"/>
              </w:rPr>
              <w:t xml:space="preserve">0.2376</w:t>
            </w:r>
          </w:p>
        </w:tc>
        <w:tc>
          <w:tcPr>
            <w:tcW w:w="0" w:type="auto"/>
          </w:tcPr>
          <w:p>
            <w:pPr>
              <w:spacing w:line="240" w:lineRule="auto" w:before="0" w:after="0"/>
              <w:pStyle w:val="Compact"/>
            </w:pPr>
            <w:r>
              <w:rPr>
                <w:sz w:val="20"/>
                <w:szCs w:val="20"/>
              </w:rPr>
              <w:t xml:space="preserve">[-0.3521, 0.0873]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0.0716</w:t>
            </w:r>
          </w:p>
        </w:tc>
        <w:tc>
          <w:tcPr>
            <w:tcW w:w="0" w:type="auto"/>
          </w:tcPr>
          <w:p>
            <w:pPr>
              <w:spacing w:line="240" w:lineRule="auto" w:before="0" w:after="0"/>
              <w:pStyle w:val="Compact"/>
            </w:pPr>
            <w:r>
              <w:rPr>
                <w:sz w:val="20"/>
                <w:szCs w:val="20"/>
              </w:rPr>
              <w:t xml:space="preserve">0.0147</w:t>
            </w:r>
          </w:p>
        </w:tc>
        <w:tc>
          <w:tcPr>
            <w:tcW w:w="0" w:type="auto"/>
          </w:tcPr>
          <w:p>
            <w:pPr>
              <w:spacing w:line="240" w:lineRule="auto" w:before="0" w:after="0"/>
              <w:pStyle w:val="Compact"/>
            </w:pPr>
            <w:r>
              <w:rPr>
                <w:sz w:val="20"/>
                <w:szCs w:val="20"/>
              </w:rPr>
              <w:t xml:space="preserve">4.8679</w:t>
            </w:r>
          </w:p>
        </w:tc>
        <w:tc>
          <w:tcPr>
            <w:tcW w:w="0" w:type="auto"/>
          </w:tcPr>
          <w:p>
            <w:pPr>
              <w:spacing w:line="240" w:lineRule="auto" w:before="0" w:after="0"/>
              <w:pStyle w:val="Compact"/>
            </w:pPr>
            <w:r>
              <w:rPr>
                <w:sz w:val="20"/>
                <w:szCs w:val="20"/>
              </w:rPr>
              <w:t xml:space="preserve">1.128e-06</w:t>
            </w:r>
          </w:p>
        </w:tc>
        <w:tc>
          <w:tcPr>
            <w:tcW w:w="0" w:type="auto"/>
          </w:tcPr>
          <w:p>
            <w:pPr>
              <w:spacing w:line="240" w:lineRule="auto" w:before="0" w:after="0"/>
              <w:pStyle w:val="Compact"/>
            </w:pPr>
            <w:r>
              <w:rPr>
                <w:sz w:val="20"/>
                <w:szCs w:val="20"/>
              </w:rPr>
              <w:t xml:space="preserve">[0.0428, 0.1004]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-2.0875</w:t>
            </w:r>
          </w:p>
        </w:tc>
        <w:tc>
          <w:tcPr>
            <w:tcW w:w="0" w:type="auto"/>
          </w:tcPr>
          <w:p>
            <w:pPr>
              <w:spacing w:line="240" w:lineRule="auto" w:before="0" w:after="0"/>
              <w:pStyle w:val="Compact"/>
            </w:pPr>
            <w:r>
              <w:rPr>
                <w:sz w:val="20"/>
                <w:szCs w:val="20"/>
              </w:rPr>
              <w:t xml:space="preserve">0.7096</w:t>
            </w:r>
          </w:p>
        </w:tc>
        <w:tc>
          <w:tcPr>
            <w:tcW w:w="0" w:type="auto"/>
          </w:tcPr>
          <w:p>
            <w:pPr>
              <w:spacing w:line="240" w:lineRule="auto" w:before="0" w:after="0"/>
              <w:pStyle w:val="Compact"/>
            </w:pPr>
            <w:r>
              <w:rPr>
                <w:sz w:val="20"/>
                <w:szCs w:val="20"/>
              </w:rPr>
              <w:t xml:space="preserve">-2.9418</w:t>
            </w:r>
          </w:p>
        </w:tc>
        <w:tc>
          <w:tcPr>
            <w:tcW w:w="0" w:type="auto"/>
          </w:tcPr>
          <w:p>
            <w:pPr>
              <w:spacing w:line="240" w:lineRule="auto" w:before="0" w:after="0"/>
              <w:pStyle w:val="Compact"/>
            </w:pPr>
            <w:r>
              <w:rPr>
                <w:sz w:val="20"/>
                <w:szCs w:val="20"/>
              </w:rPr>
              <w:t xml:space="preserve">0.0033</w:t>
            </w:r>
          </w:p>
        </w:tc>
        <w:tc>
          <w:tcPr>
            <w:tcW w:w="0" w:type="auto"/>
          </w:tcPr>
          <w:p>
            <w:pPr>
              <w:spacing w:line="240" w:lineRule="auto" w:before="0" w:after="0"/>
              <w:pStyle w:val="Compact"/>
            </w:pPr>
            <w:r>
              <w:rPr>
                <w:sz w:val="20"/>
                <w:szCs w:val="20"/>
              </w:rPr>
              <w:t xml:space="preserve">[-3.4783, -0.6967]</w:t>
            </w:r>
          </w:p>
        </w:tc>
      </w:tr>
    </w:tbl>
    <w:p>
      <w:pPr>
        <w:pStyle w:val="BodyText"/>
      </w:pPr>
      <w:r>
        <w:t xml:space="preserve">Fit: N = 30 R2 = 0.3565 R2_adj = 0.2822 F = 11.6193 F_p = 5.133e-05</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7" Target="https://doi.org/10.64861/AYQY6554" TargetMode="External" /><Relationship Type="http://schemas.openxmlformats.org/officeDocument/2006/relationships/hyperlink" Id="rId69" Target="https://doi.org/10.64861/CZGF7141" TargetMode="External" /><Relationship Type="http://schemas.openxmlformats.org/officeDocument/2006/relationships/hyperlink" Id="rId71" Target="https://doi.org/10.64861/HKAM1019" TargetMode="External" /><Relationship Type="http://schemas.openxmlformats.org/officeDocument/2006/relationships/hyperlink" Id="rId73" Target="https://doi.org/10.64861/YUKJ4448" TargetMode="External" /></Relationships>
</file>

<file path=word/_rels/footnotes.xml.rels><?xml version="1.0" encoding="UTF-8"?><Relationships xmlns="http://schemas.openxmlformats.org/package/2006/relationships"><Relationship Type="http://schemas.openxmlformats.org/officeDocument/2006/relationships/hyperlink" Id="rId77" Target="https://doi.org/10.64861/AYQY6554" TargetMode="External" /><Relationship Type="http://schemas.openxmlformats.org/officeDocument/2006/relationships/hyperlink" Id="rId69" Target="https://doi.org/10.64861/CZGF7141" TargetMode="External" /><Relationship Type="http://schemas.openxmlformats.org/officeDocument/2006/relationships/hyperlink" Id="rId71" Target="https://doi.org/10.64861/HKAM1019" TargetMode="External" /><Relationship Type="http://schemas.openxmlformats.org/officeDocument/2006/relationships/hyperlink" Id="rId73" Target="https://doi.org/10.64861/YUKJ444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2026-06-29T09:36:59Z</dcterms:created>
  <dcterms:modified xsi:type="dcterms:W3CDTF">2026-06-29T09:36:59Z</dcterms:modified>
</cp:coreProperties>
</file>

<file path=docProps/custom.xml><?xml version="1.0" encoding="utf-8"?>
<Properties xmlns="http://schemas.openxmlformats.org/officeDocument/2006/custom-properties" xmlns:vt="http://schemas.openxmlformats.org/officeDocument/2006/docPropsVTypes"/>
</file>