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LIMITS TO GROWTH IN ORBIT: A SYSTEM-DYNAMICS TEST OF WHETHER LEO POPULATION BEHA</w:t>
      </w:r>
    </w:p>
    <w:p>
      <w:pPr>
        <w:jc w:val="center"/>
      </w:pPr>
    </w:p>
    <w:p>
      <w:pPr>
        <w:jc w:val="center"/>
      </w:pPr>
      <w:r>
        <w:rPr>
          <w:rFonts w:ascii="Times New Roman" w:hAnsi="Times New Roman"/>
          <w:sz w:val="24"/>
        </w:rPr>
        <w:t>by</w:t>
      </w:r>
    </w:p>
    <w:p>
      <w:pPr>
        <w:jc w:val="center"/>
      </w:pPr>
      <w:r>
        <w:rPr>
          <w:rFonts w:ascii="Times New Roman" w:hAnsi="Times New Roman"/>
          <w:b/>
          <w:sz w:val="28"/>
        </w:rPr>
        <w:t>Yara Delgado</w:t>
      </w:r>
    </w:p>
    <w:p>
      <w:pPr>
        <w:jc w:val="center"/>
      </w:pPr>
      <w:r>
        <w:rPr>
          <w:rFonts w:ascii="Times New Roman" w:hAnsi="Times New Roman"/>
          <w:sz w:val="24"/>
        </w:rPr>
        <w:t>1B-SUS-201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Low Earth orbit is filling. That plain observation now anchors a policy conversation that has grown faster than the institutions meant to steer it. Yara Delgado’s dissertation,</w:t>
      </w:r>
      <w:r>
        <w:t xml:space="preserve"> </w:t>
      </w:r>
      <w:r>
        <w:rPr>
          <w:i/>
          <w:iCs/>
        </w:rPr>
        <w:t xml:space="preserve">Limits to Growth in Orbit: A System-Dynamics Test of Whether LEO Population Behaves as a Bounded Commons</w:t>
      </w:r>
      <w:r>
        <w:t xml:space="preserve">, takes the crowding problem seriously without pretending that a single documentary study can resolve it. The project asks a narrower and more answerable question. Can the visibility of the orbital-sustainability topic, its recency, its citation attention, and the venue families that carry it, be measured from an auditable set of source records rather than asserted from intuition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That reframing matters because the debate over orbital crowding often mixes two kinds of claim. One is physical: collision probabilities rise as object counts rise, fragment populations breed further fragments, and anti-satellite tests inject long-lived debris that no institution can recall</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other is institutional: governance language hardens, softens, or stalls, and it does so on a timeline that rarely matches the physical urgency. This study lives at the seam between the two. It treats the written record itself, the papers, the venues, the reported citation counts, as data about how a sustainability problem becomes legible to the community that must eventually regulate it.</w:t>
      </w:r>
    </w:p>
    <w:p>
      <w:pPr>
        <w:pStyle w:val="BodyText"/>
        <w:spacing w:line="480" w:lineRule="auto"/>
        <w:ind w:firstLine="720"/>
      </w:pPr>
      <w:r>
        <w:t xml:space="preserve">The contribution is deliberately bounded. This is not a general essay on space debris, and it does not claim to estimate the carrying capacity of any orbital shell; it proposes one falsifiable document-level test and reports only the deterministic results produced by two embedded empirical exercises. Where the evidence is strong, the dissertation says so plainly. Where the evidence is only suggestive, it refuses to inflate a noisy metadata signal into a confident policy verdict. A reader should be able to trace every substantive number from source selection, through variable construction, to estimator output, and back to interpretation, without any hidden step.</w:t>
      </w:r>
    </w:p>
    <w:bookmarkStart w:id="61" w:name="the-problem-and-why-it-is-hard"/>
    <w:p>
      <w:pPr>
        <w:pStyle w:val="Heading2"/>
        <w:spacing w:line="480" w:lineRule="auto"/>
      </w:pPr>
      <w:r>
        <w:t xml:space="preserve">The problem and why it is hard</w:t>
      </w:r>
    </w:p>
    <w:p>
      <w:pPr>
        <w:pStyle w:val="FirstParagraph"/>
        <w:spacing w:line="480" w:lineRule="auto"/>
      </w:pPr>
      <w:r>
        <w:t xml:space="preserve">Space governance problems tend to become visible before institutions agree on the right operating rule. The 2007 Chinese anti-satellite test is the canonical example. It was recognized almost immediately as a durable insult to the low-orbit environment, yet the corresponding hardening of international norms took years and remains incomplete</w:t>
      </w:r>
      <w:r>
        <w:t xml:space="preserve"> </w:t>
      </w:r>
      <w:hyperlink w:anchor="ref-2">
        <w:r>
          <w:rPr>
            <w:rStyle w:val="Hyperlink"/>
          </w:rPr>
          <w:t xml:space="preserve">[2]</w:t>
        </w:r>
      </w:hyperlink>
      <w:r>
        <w:t xml:space="preserve">. Crowding follows a similar rhythm. Operators and analysts detect the risk, describe it in technical venues, and only later see it translated into launch-licensing conditions, disposal mandates, or the spectrum-coordination rules that emerge from the World Radiocommunication Conference</w:t>
      </w:r>
      <w:r>
        <w:t xml:space="preserve"> </w:t>
      </w:r>
      <w:hyperlink w:anchor="ref-1">
        <w:r>
          <w:rPr>
            <w:rStyle w:val="Hyperlink"/>
          </w:rPr>
          <w:t xml:space="preserve">[1]</w:t>
        </w:r>
      </w:hyperlink>
      <w:r>
        <w:t xml:space="preserve">. The difficulty is that early visibility is easy to feel and hard to measure. A researcher can sense that everyone is now writing about LEO sustainability, but sensing is not evidence. To make the intuition testable, the topic signal has to be pinned to observable features of the record: when a source was published, how much citation attention it has drawn, and which venue family carries it. Each of those features is imperfect. Citation counts pulled from a local index are not universal citation counts. Venue coding is ordinal and coarse. Publication recency conflates genuine attention growth with the simple fact that more is published every year. The design confronts these imperfections rather than papering over them, and it uses the imperfections to set the limits of what may be concluded</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A second difficulty is causal modesty. Even a clean association between topic signal and recency would not prove that institutions are responding to orbital crowding. It would show that the retrieved corpus is structured in a particular way. The distance between corpus structure and institutional causation is real, and the dissertation keeps it in view throughout. The point of the empirical work is to discipline the evidence, to show which parts of the sustainability topic are already legible in metadata and which parts still require direct document coding that this design does not attempt</w:t>
      </w:r>
      <w:r>
        <w:t xml:space="preserve"> </w:t>
      </w:r>
      <w:hyperlink w:anchor="ref-6">
        <w:r>
          <w:rPr>
            <w:rStyle w:val="Hyperlink"/>
          </w:rPr>
          <w:t xml:space="preserve">[6]</w:t>
        </w:r>
      </w:hyperlink>
      <w:r>
        <w:t xml:space="preserve">.</w:t>
      </w:r>
    </w:p>
    <w:p>
      <w:pPr>
        <w:pStyle w:val="BodyText"/>
        <w:spacing w:line="480" w:lineRule="auto"/>
        <w:ind w:firstLine="720"/>
      </w:pPr>
      <w:r>
        <w:t xml:space="preserve">Low orbit is a commons. It fills fast. It clears slowly. That asymmetry is the whole problem.</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The dissertation stakes itself on one hypothesis pair, stated at the level of the retrieved source corpus.</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This is falsifiable in the strict sense; if the estimators return weak and imprecise associations across the board, H0 survives and the dissertation reports that the sustainability signal is not yet cleanly visible in structured metadata. The point holds. If specific predictors return signed, precise coefficients, H1 gains support for those channels and only those channels. The design does not permit a face-saving retreat into vague language. Each coefficient either clears a conventional significance threshold or it does not, and the interpretation follows the arithmetic.</w:t>
      </w:r>
    </w:p>
    <w:bookmarkEnd w:id="62"/>
    <w:bookmarkStart w:id="63" w:name="the-empirical-spine"/>
    <w:p>
      <w:pPr>
        <w:pStyle w:val="Heading2"/>
        <w:spacing w:line="480" w:lineRule="auto"/>
      </w:pPr>
      <w:r>
        <w:t xml:space="preserve">The empirical spine</w:t>
      </w:r>
    </w:p>
    <w:p>
      <w:pPr>
        <w:pStyle w:val="FirstParagraph"/>
        <w:spacing w:line="480" w:lineRule="auto"/>
      </w:pPr>
      <w:r>
        <w:t xml:space="preserve">Two small models carry the test. Paper 1 estimates an ordinary least squares regression of a composite topic-signal score on three predictors: a publication-recency index, a reported citation count, and an ordinal venue-family score. It asks how the sustainability topic is distributed across the cross-section of the retrieved literature. Paper 2 estimates a log-log learning-curve model of citation accumulation against article age. It asks whether attention accrues to this literature in a measurable temporal pattern, the way a learning curve describes falling unit cost against cumulative production</w:t>
      </w:r>
      <w:r>
        <w:t xml:space="preserve"> </w:t>
      </w:r>
      <w:hyperlink w:anchor="ref-9">
        <w:r>
          <w:rPr>
            <w:rStyle w:val="Hyperlink"/>
          </w:rPr>
          <w:t xml:space="preserve">[9]</w:t>
        </w:r>
      </w:hyperlink>
      <w:r>
        <w:t xml:space="preserve">; the two models are complementary, not interchangeable. One studies cross-sectional structure at a single snapshot; the other studies accumulation over time. Reporting both prevents a common error, in which a single specification is asked to answer two distinct questions and then over-interpreted. Chapter 6 reports the exact output of each model, coefficient by coefficient, and the discussion that follows never exceeds what those numbers license.</w:t>
      </w:r>
    </w:p>
    <w:p>
      <w:pPr>
        <w:pStyle w:val="BodyText"/>
        <w:spacing w:line="480" w:lineRule="auto"/>
        <w:ind w:firstLine="720"/>
      </w:pPr>
      <w:r>
        <w:t xml:space="preserve">The dataset behind both models is a candidate-specific pack of thirty retrieved source records spanning 2007 through 2026, drawn from the AMOS conference proceedings, the</w:t>
      </w:r>
      <w:r>
        <w:t xml:space="preserve"> </w:t>
      </w:r>
      <w:r>
        <w:rPr>
          <w:i/>
          <w:iCs/>
        </w:rPr>
        <w:t xml:space="preserve">Acta Astronautica</w:t>
      </w:r>
      <w:r>
        <w:t xml:space="preserve"> </w:t>
      </w:r>
      <w:r>
        <w:t xml:space="preserve">journal family, and a small set of space-economy documents</w:t>
      </w:r>
      <w:r>
        <w:t xml:space="preserve"> </w:t>
      </w:r>
      <w:hyperlink w:anchor="ref-5">
        <w:r>
          <w:rPr>
            <w:rStyle w:val="Hyperlink"/>
          </w:rPr>
          <w:t xml:space="preserve">[5]</w:t>
        </w:r>
      </w:hyperlink>
      <w:r>
        <w:t xml:space="preserve"> </w:t>
      </w:r>
      <w:hyperlink w:anchor="ref-9">
        <w:r>
          <w:rPr>
            <w:rStyle w:val="Hyperlink"/>
          </w:rPr>
          <w:t xml:space="preserve">[9]</w:t>
        </w:r>
      </w:hyperlink>
      <w:r>
        <w:t xml:space="preserve"> </w:t>
      </w:r>
      <w:hyperlink w:anchor="ref-16">
        <w:r>
          <w:rPr>
            <w:rStyle w:val="Hyperlink"/>
          </w:rPr>
          <w:t xml:space="preserve">[16]</w:t>
        </w:r>
      </w:hyperlink>
      <w:r>
        <w:t xml:space="preserve">. Consider the scale. Each record preserves a source column, so that any reader can return to the underlying document. The venue families are heterogeneous by design: conference proceedings, peer-reviewed journal articles, and grey-literature economic roadmaps sample different corners of how orbital sustainability is discussed. The venue-score variable is the instrument for detecting whether those corners differ.</w:t>
      </w:r>
    </w:p>
    <w:bookmarkEnd w:id="63"/>
    <w:bookmarkStart w:id="64" w:name="what-this-dissertation-does-not-do"/>
    <w:p>
      <w:pPr>
        <w:pStyle w:val="Heading2"/>
        <w:spacing w:line="480" w:lineRule="auto"/>
      </w:pPr>
      <w:r>
        <w:t xml:space="preserve">What this dissertation does not do</w:t>
      </w:r>
    </w:p>
    <w:p>
      <w:pPr>
        <w:pStyle w:val="FirstParagraph"/>
        <w:spacing w:line="480" w:lineRule="auto"/>
      </w:pPr>
      <w:r>
        <w:t xml:space="preserve">It does not simulate orbital population dynamics, though the title invokes a system-dynamics frame and the surrounding literature supplies the physical mechanisms that make crowding a limits-to-growth problem</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4">
        <w:r>
          <w:rPr>
            <w:rStyle w:val="Hyperlink"/>
          </w:rPr>
          <w:t xml:space="preserve">[14]</w:t>
        </w:r>
      </w:hyperlink>
      <w:r>
        <w:t xml:space="preserve">. It does not estimate the causal effect of any policy. It does not claim that its citation counts are complete, or that its thirty records exhaust the field. These boundaries are not apologies. They are the conditions under which the falsifiable test stays honest. A design that promised more would deliver less that a reader could trust. The stakes justify the modesty. Regulators writing disposal rules, insurers pricing conjunction risk, and agencies planning constellation growth all need to know whether the sustainability conversation has matured into a structured evidence base or remains a scatter of urgent but disconnected claims</w:t>
      </w:r>
      <w:r>
        <w:t xml:space="preserve"> </w:t>
      </w:r>
      <w:hyperlink w:anchor="ref-5">
        <w:r>
          <w:rPr>
            <w:rStyle w:val="Hyperlink"/>
          </w:rPr>
          <w:t xml:space="preserve">[5]</w:t>
        </w:r>
      </w:hyperlink>
      <w:r>
        <w:t xml:space="preserve"> </w:t>
      </w:r>
      <w:hyperlink w:anchor="ref-16">
        <w:r>
          <w:rPr>
            <w:rStyle w:val="Hyperlink"/>
          </w:rPr>
          <w:t xml:space="preserve">[16]</w:t>
        </w:r>
      </w:hyperlink>
      <w:r>
        <w:t xml:space="preserve">. A method that can tell the difference, cheaply and reproducibly, from public metadata alone, is worth having even when its verdict is qualified. This dissertation offers that method and applies it to one topic.</w:t>
      </w:r>
    </w:p>
    <w:p>
      <w:pPr>
        <w:pStyle w:val="BodyText"/>
        <w:spacing w:line="480" w:lineRule="auto"/>
        <w:ind w:firstLine="720"/>
      </w:pPr>
      <w:r>
        <w:t xml:space="preserve">Consider the concrete decisions that hinge on that distinction. An insurer setting premiums for a constellation in a crowded shell needs to know whether the technical consensus on collision risk is settling or still in flux, because a settling consensus supports stable pricing while a contested one demands a risk margin</w:t>
      </w:r>
      <w:r>
        <w:t xml:space="preserve"> </w:t>
      </w:r>
      <w:hyperlink w:anchor="ref-5">
        <w:r>
          <w:rPr>
            <w:rStyle w:val="Hyperlink"/>
          </w:rPr>
          <w:t xml:space="preserve">[5]</w:t>
        </w:r>
      </w:hyperlink>
      <w:r>
        <w:t xml:space="preserve">. A licensing authority deciding whether to mandate a five-year post-mission disposal window, rather than the older twenty-five-year guideline, wants evidence that the disposal-timing literature has matured enough to defend the tighter rule against legal challenge</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An agency deciding how much to invest in space-surveillance sensors wants to know whether the observability literature is converging on which regions are undersampled</w:t>
      </w:r>
      <w:r>
        <w:t xml:space="preserve"> </w:t>
      </w:r>
      <w:hyperlink w:anchor="ref-4">
        <w:r>
          <w:rPr>
            <w:rStyle w:val="Hyperlink"/>
          </w:rPr>
          <w:t xml:space="preserve">[4]</w:t>
        </w:r>
      </w:hyperlink>
      <w:r>
        <w:t xml:space="preserve">. In each case the decision-maker is implicitly reading the field’s documentary state, and each would benefit from a method that reads it explicitly and reports its confidence honestly.</w:t>
      </w:r>
    </w:p>
    <w:bookmarkEnd w:id="64"/>
    <w:bookmarkStart w:id="65" w:name="a-word-on-the-two-model-structure"/>
    <w:p>
      <w:pPr>
        <w:pStyle w:val="Heading2"/>
        <w:spacing w:line="480" w:lineRule="auto"/>
      </w:pPr>
      <w:r>
        <w:t xml:space="preserve">A word on the two-model structure</w:t>
      </w:r>
    </w:p>
    <w:p>
      <w:pPr>
        <w:pStyle w:val="FirstParagraph"/>
        <w:spacing w:line="480" w:lineRule="auto"/>
      </w:pPr>
      <w:r>
        <w:t xml:space="preserve">It would have been simpler to run one regression and call it the empirical core. The data are thin. The design deliberately runs two, and the reason is epistemic rather than decorative. Cross-sectional structure and temporal accumulation are different properties of a literature, and a field can have one without the other. A topic can be sharply structured at a snapshot, with attention and venue cleanly predicting thematic density, while its citation stock accumulates in a ragged, age-indifferent way because one or two articles dominate the counts</w:t>
      </w:r>
      <w:r>
        <w:t xml:space="preserve"> </w:t>
      </w:r>
      <w:hyperlink w:anchor="ref-5">
        <w:r>
          <w:rPr>
            <w:rStyle w:val="Hyperlink"/>
          </w:rPr>
          <w:t xml:space="preserve">[5]</w:t>
        </w:r>
      </w:hyperlink>
      <w:r>
        <w:t xml:space="preserve"> </w:t>
      </w:r>
      <w:hyperlink w:anchor="ref-9">
        <w:r>
          <w:rPr>
            <w:rStyle w:val="Hyperlink"/>
          </w:rPr>
          <w:t xml:space="preserve">[9]</w:t>
        </w:r>
      </w:hyperlink>
      <w:r>
        <w:t xml:space="preserve">. Asking a single model to speak to both properties invites the analyst to read whichever pattern the model happens to show as if it answered both questions. Splitting the work into two models, each matched to one property, removes that temptation and lets the honest answer be mixed: legible in one dimension, not the other. Chapter 6 delivers exactly that mixed verdict, and the two-model structure is what makes the mixture reportable rather than blurred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65"/>
    <w:bookmarkStart w:id="66" w:name="X6e2827d13ba5247f63456e5516b6a35b91ff1aa"/>
    <w:p>
      <w:pPr>
        <w:pStyle w:val="Heading2"/>
        <w:spacing w:line="480" w:lineRule="auto"/>
      </w:pPr>
      <w:r>
        <w:t xml:space="preserve">The commons framing and why it fits orbit</w:t>
      </w:r>
    </w:p>
    <w:p>
      <w:pPr>
        <w:pStyle w:val="FirstParagraph"/>
        <w:spacing w:line="480" w:lineRule="auto"/>
      </w:pPr>
      <w:r>
        <w:t xml:space="preserve">The subtitle asks whether the low-orbit population behaves as a bounded commons, and that phrase does real work. A commons, in the classic formulation, is a shared resource that no single user owns, from which each user draws private benefit while imposing a diffuse cost on all the others. Orbit fits the definition almost too neatly. An operator that launches a satellite captures the full value of the mission while adding a small increment of collision risk that every other operator, present and future, must bear. The satellite that later fragments, or the upper stage that lingers for decades, spreads its cost across a population that never consented to it</w:t>
      </w:r>
      <w:r>
        <w:t xml:space="preserve"> </w:t>
      </w:r>
      <w:hyperlink w:anchor="ref-2">
        <w:r>
          <w:rPr>
            <w:rStyle w:val="Hyperlink"/>
          </w:rPr>
          <w:t xml:space="preserve">[2]</w:t>
        </w:r>
      </w:hyperlink>
      <w:r>
        <w:t xml:space="preserve"> </w:t>
      </w:r>
      <w:hyperlink w:anchor="ref-10">
        <w:r>
          <w:rPr>
            <w:rStyle w:val="Hyperlink"/>
          </w:rPr>
          <w:t xml:space="preserve">[10]</w:t>
        </w:r>
      </w:hyperlink>
      <w:r>
        <w:t xml:space="preserve">. The economic logic that governs fisheries, grazing land, and groundwater governs orbit as well, with the added cruelty that the orbital sink clears slowly and the debris cannot be recalled once created</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What makes orbit distinctive among commons is the asymmetry between injection and removal. A grazed pasture recovers in a season; a depleted aquifer can refill over years; but a debris cloud at 800 kilometers persists for a human lifetime because atmospheric drag is negligible at that altitude</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So the orbital commons is one where the tragedy, if it arrives, is close to irreversible on policy timescales. That irreversibility is what lends the limits-to-growth framing its bite. A resource that self-corrects invites patience; a resource that does not invites urgent institutional design, and the record of that design attempt is what this dissertation reads.</w:t>
      </w:r>
    </w:p>
    <w:p>
      <w:pPr>
        <w:pStyle w:val="BodyText"/>
        <w:spacing w:line="480" w:lineRule="auto"/>
        <w:ind w:firstLine="720"/>
      </w:pPr>
      <w:r>
        <w:t xml:space="preserve">The commons framing also clarifies why documentary evidence is a reasonable place to look for institutional response. Precision matters here. Commons problems are solved, when they are solved, through shared norms, monitoring, and graduated rules that a community negotiates before enforcing. Those negotiations leave a paper trail: technical papers that quantify the harm, conference sessions that debate the remedy, and eventually regulatory instruments that codify a rule</w:t>
      </w:r>
      <w:r>
        <w:t xml:space="preserve"> </w:t>
      </w:r>
      <w:hyperlink w:anchor="ref-1">
        <w:r>
          <w:rPr>
            <w:rStyle w:val="Hyperlink"/>
          </w:rPr>
          <w:t xml:space="preserve">[1]</w:t>
        </w:r>
      </w:hyperlink>
      <w:r>
        <w:t xml:space="preserve"> </w:t>
      </w:r>
      <w:hyperlink w:anchor="ref-5">
        <w:r>
          <w:rPr>
            <w:rStyle w:val="Hyperlink"/>
          </w:rPr>
          <w:t xml:space="preserve">[5]</w:t>
        </w:r>
      </w:hyperlink>
      <w:r>
        <w:t xml:space="preserve">. If orbital crowding is becoming a governed commons rather than an ungoverned one, the transition should be visible first in how the community writes about it, which is exactly the layer this study measures.</w:t>
      </w:r>
    </w:p>
    <w:bookmarkEnd w:id="66"/>
    <w:bookmarkStart w:id="67" w:name="why-a-design-stage-dissertation"/>
    <w:p>
      <w:pPr>
        <w:pStyle w:val="Heading2"/>
        <w:spacing w:line="480" w:lineRule="auto"/>
      </w:pPr>
      <w:r>
        <w:t xml:space="preserve">Why a design-stage dissertation</w:t>
      </w:r>
    </w:p>
    <w:p>
      <w:pPr>
        <w:pStyle w:val="FirstParagraph"/>
        <w:spacing w:line="480" w:lineRule="auto"/>
      </w:pPr>
      <w:r>
        <w:t xml:space="preserve">This is explicitly a design-stage dissertation, and that label deserves a defense rather than an apology. A design-stage study establishes that a question is measurable, builds the instrument, runs it once on obtainable data, and reports what the instrument can and cannot detect. It is the empirical equivalent of a pilot: valuable precisely because it de-risks the larger study that would follow. In a domain where the temptation is to leap from a striking statistic to a sweeping governance claim, a study that stops to ask whether the underlying signal is even measurable performs a service</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alternative failure modes are worth naming, because avoiding them is part of the contribution. A dissertation could gather impressive-sounding metadata and report only the coefficients that flatter a preferred narrative. It could treat a proxy as if it were the concept it stands for, calling a term count a measure of substantive engagement without acknowledging the gap. It could generalize from a convenience sample to the whole field as though retrieval introduced no bias. Each of these is common, and each is corrosive. The design here is built to make them hard: every coefficient is reported whether or not it flatters H1, every proxy is labeled as a proxy, and every claim is bounded to the retained corpus</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67"/>
    <w:bookmarkStart w:id="68" w:name="roadmap"/>
    <w:p>
      <w:pPr>
        <w:pStyle w:val="Heading2"/>
        <w:spacing w:line="480" w:lineRule="auto"/>
      </w:pPr>
      <w:r>
        <w:t xml:space="preserve">Roadmap</w:t>
      </w:r>
    </w:p>
    <w:p>
      <w:pPr>
        <w:pStyle w:val="FirstParagraph"/>
        <w:spacing w:line="480" w:lineRule="auto"/>
      </w:pPr>
      <w:r>
        <w:t xml:space="preserve">The remainder proceeds in seven chapters. Chapter 2 situates the study against prior work on orbital crowding, debris dynamics, and the bibliometrics of an emerging field, drawing the physical and institutional literatures into one frame. Chapter 3 states the mechanism and derives the testable predictions that H1 encodes. Chapter 4 sets out the two estimators and argues why each identifies the association it claims to identify, along with the limits of that identification. Chapter 5 documents the dataset, the variable construction rules, the sources, and the sample size. Chapter 6 reports the exact estimator output for both papers and interprets the signs and magnitudes. Chapter 7 discusses what the findings mean, the threats to validity, and what the data cannot show. Chapter 8 states the contribution, its relevance to orbital-sustainability governance and to program evidence, and the next empirical step that would move the design from corpus screening toward direct document-level measurement</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68"/>
    <w:bookmarkStart w:id="69" w:name="the-audience-and-the-register"/>
    <w:p>
      <w:pPr>
        <w:pStyle w:val="Heading2"/>
        <w:spacing w:line="480" w:lineRule="auto"/>
      </w:pPr>
      <w:r>
        <w:t xml:space="preserve">The audience and the register</w:t>
      </w:r>
    </w:p>
    <w:p>
      <w:pPr>
        <w:pStyle w:val="FirstParagraph"/>
        <w:spacing w:line="480" w:lineRule="auto"/>
      </w:pPr>
      <w:r>
        <w:t xml:space="preserve">This dissertation is written for two audiences at once, and the tension between them shapes its register. The first is a doctoral committee that will judge whether the empirical claims are correctly bounded and the identification is sound. The second is a practitioner readership, in agencies, operators, standards bodies, and insurers, that will judge whether the method is useful for the decisions they actually face</w:t>
      </w:r>
      <w:r>
        <w:t xml:space="preserve"> </w:t>
      </w:r>
      <w:hyperlink w:anchor="ref-1">
        <w:r>
          <w:rPr>
            <w:rStyle w:val="Hyperlink"/>
          </w:rPr>
          <w:t xml:space="preserve">[1]</w:t>
        </w:r>
      </w:hyperlink>
      <w:r>
        <w:t xml:space="preserve"> </w:t>
      </w:r>
      <w:hyperlink w:anchor="ref-5">
        <w:r>
          <w:rPr>
            <w:rStyle w:val="Hyperlink"/>
          </w:rPr>
          <w:t xml:space="preserve">[5]</w:t>
        </w:r>
      </w:hyperlink>
      <w:r>
        <w:t xml:space="preserve">. Serving both means resisting two temptations. The committee register tempts a study toward technical elaboration that adds rigor in appearance but not in substance; the practitioner register tempts it toward confident summaries that outrun the evidence. The middle path taken here reports the arithmetic in full for the committee and states the bounded, decision-relevant lesson plainly for the practitioner, without letting either audience pull the claims out of proportion</w:t>
      </w:r>
      <w:r>
        <w:t xml:space="preserve"> </w:t>
      </w:r>
      <w:hyperlink w:anchor="ref-3">
        <w:r>
          <w:rPr>
            <w:rStyle w:val="Hyperlink"/>
          </w:rPr>
          <w:t xml:space="preserve">[3]</w:t>
        </w:r>
      </w:hyperlink>
      <w:r>
        <w:t xml:space="preserve">. That dual audience also explains why the physical literature is treated with respect rather than displaced. A committee might ask why a study that measures documentary structure spends any time on decay times, breakup scaling, and launch forecasts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answer is that the practitioner cannot use a documentary finding unless it connects to the physical problem they are governing. The physical literature supplies that connection: it is the reason the sustainability topic exists as something worth measuring, and it is the frame within which a coefficient about citation attention becomes a statement about a maturing risk rather than an abstract bibliometric curiosity</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p>
      <w:pPr>
        <w:pStyle w:val="BodyText"/>
        <w:spacing w:line="480" w:lineRule="auto"/>
        <w:ind w:firstLine="720"/>
      </w:pPr>
      <w:r>
        <w:t xml:space="preserve">A note on how to read the chapters that follow. The record is small. The empirical claims are concentrated in Chapter 6, and every number there is transcribed from a deterministic run rather than re-estimated in prose. The chapters before it build the case for why those numbers deserve to be believed as measurements: the literature that gives them meaning, the mechanism that makes them predictions, the estimators that make them identifiable, and the data that make them auditable. The chapters after it work out what the numbers license and what they forbid. A reader in a hurry could read Chapters 1, 6, and 8 and come away with the honest verdict. A reader who wants to check that verdict has, in Chapters 2 through 5 and 7, everything needed to do so</w:t>
      </w:r>
      <w:r>
        <w:t xml:space="preserve"> </w:t>
      </w:r>
      <w:hyperlink w:anchor="ref-8">
        <w:r>
          <w:rPr>
            <w:rStyle w:val="Hyperlink"/>
          </w:rPr>
          <w:t xml:space="preserve">[8]</w:t>
        </w:r>
      </w:hyperlink>
      <w:r>
        <w:t xml:space="preserve">.</w:t>
      </w:r>
    </w:p>
    <w:bookmarkEnd w:id="69"/>
    <w:bookmarkEnd w:id="70"/>
    <w:bookmarkStart w:id="82" w:name="chapter-2.-literature-review"/>
    <w:p>
      <w:pPr>
        <w:pStyle w:val="Heading1"/>
        <w:spacing w:line="480" w:lineRule="auto"/>
      </w:pPr>
      <w:r>
        <w:t xml:space="preserve">Chapter 2. Literature Review</w:t>
      </w:r>
    </w:p>
    <w:p>
      <w:pPr>
        <w:pStyle w:val="FirstParagraph"/>
        <w:spacing w:line="480" w:lineRule="auto"/>
      </w:pPr>
      <w:r>
        <w:t xml:space="preserve">Two literatures bear on this dissertation, and they usually talk past each other. That boundary is real. The first is the physical and operational study of the low-orbit environment: how objects accumulate, how they break up, how long they linger, and how tests and collisions inject debris that outlives the missions that caused it. The second is the study of how a scientific and policy field organizes itself, visible in citation attention, publication timing, and the venues that carry a topic. This chapter reads both and then argues that the gap between them is exactly where a document-level measurement design can contribute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71" w:name="the-physical-case-for-a-limit"/>
    <w:p>
      <w:pPr>
        <w:pStyle w:val="Heading2"/>
        <w:spacing w:line="480" w:lineRule="auto"/>
      </w:pPr>
      <w:r>
        <w:t xml:space="preserve">The physical case for a limit</w:t>
      </w:r>
    </w:p>
    <w:p>
      <w:pPr>
        <w:pStyle w:val="FirstParagraph"/>
        <w:spacing w:line="480" w:lineRule="auto"/>
      </w:pPr>
      <w:r>
        <w:t xml:space="preserve">The premise that orbit has a limit is not rhetorical. It follows from mechanics. Every resident space object occupies a volume that a maneuvering satellite must avoid, and the set of positions a spacecraft can reach within a planning horizon defines a reachable volume that grows with the number of nearby objects</w:t>
      </w:r>
      <w:r>
        <w:t xml:space="preserve"> </w:t>
      </w:r>
      <w:hyperlink w:anchor="ref-6">
        <w:r>
          <w:rPr>
            <w:rStyle w:val="Hyperlink"/>
          </w:rPr>
          <w:t xml:space="preserve">[6]</w:t>
        </w:r>
      </w:hyperlink>
      <w:r>
        <w:t xml:space="preserve">. As object counts rise, those volumes overlap more often, and the conjunction-screening workload rises faster than the object count itself. Analysts at LeoLabs and elsewhere have shown that a small subset of conjunctions carries most of the collision probability, which means the danger is concentrated rather than uniform, and that concentration shifts as the population changes</w:t>
      </w:r>
      <w:r>
        <w:t xml:space="preserve"> </w:t>
      </w:r>
      <w:hyperlink w:anchor="ref-5">
        <w:r>
          <w:rPr>
            <w:rStyle w:val="Hyperlink"/>
          </w:rPr>
          <w:t xml:space="preserve">[5]</w:t>
        </w:r>
      </w:hyperlink>
      <w:r>
        <w:t xml:space="preserve">. Anti-satellite tests are the clearest injection of durable risk. Work at the Institute for Defense Analyses models how a single kinetic test raises the probability of a runaway fragmentation cascade, the Kessler regime, by seeding the environment with debris that will not decay for decades</w:t>
      </w:r>
      <w:r>
        <w:t xml:space="preserve"> </w:t>
      </w:r>
      <w:hyperlink w:anchor="ref-2">
        <w:r>
          <w:rPr>
            <w:rStyle w:val="Hyperlink"/>
          </w:rPr>
          <w:t xml:space="preserve">[2]</w:t>
        </w:r>
      </w:hyperlink>
      <w:r>
        <w:t xml:space="preserve">. The 2007 test remains the reference event: its fragments were still being tracked and cataloged years later, and they materially changed the risk picture for spacecraft that had nothing to do with the test</w:t>
      </w:r>
      <w:r>
        <w:t xml:space="preserve"> </w:t>
      </w:r>
      <w:hyperlink w:anchor="ref-2">
        <w:r>
          <w:rPr>
            <w:rStyle w:val="Hyperlink"/>
          </w:rPr>
          <w:t xml:space="preserve">[2]</w:t>
        </w:r>
      </w:hyperlink>
      <w:r>
        <w:t xml:space="preserve">. The physical point is simple and unforgiving. Debris created quickly decays slowly, and no institution can recall it once it is aloft.</w:t>
      </w:r>
    </w:p>
    <w:p>
      <w:pPr>
        <w:pStyle w:val="BodyText"/>
        <w:spacing w:line="480" w:lineRule="auto"/>
        <w:ind w:firstLine="720"/>
      </w:pPr>
      <w:r>
        <w:t xml:space="preserve">Decay timing is therefore central to whether crowding is self-correcting. Niccolai and Mengali provide analytic estimates of how long a LEO spacecraft remains in orbit before atmospheric drag removes it, and their results show that residence time depends sharply on altitude and area-to-mass ratio</w:t>
      </w:r>
      <w:r>
        <w:t xml:space="preserve"> </w:t>
      </w:r>
      <w:hyperlink w:anchor="ref-11">
        <w:r>
          <w:rPr>
            <w:rStyle w:val="Hyperlink"/>
          </w:rPr>
          <w:t xml:space="preserve">[11]</w:t>
        </w:r>
      </w:hyperlink>
      <w:r>
        <w:t xml:space="preserve">. Jenkin and colleagues extend this by assessing how much time reentering objects spend passing through the LEO, GEO, and semi-synchronous zones on long-term disposal orbits, which matters because a disposed object still poses risk while it lingers</w:t>
      </w:r>
      <w:r>
        <w:t xml:space="preserve"> </w:t>
      </w:r>
      <w:hyperlink w:anchor="ref-10">
        <w:r>
          <w:rPr>
            <w:rStyle w:val="Hyperlink"/>
          </w:rPr>
          <w:t xml:space="preserve">[10]</w:t>
        </w:r>
      </w:hyperlink>
      <w:r>
        <w:t xml:space="preserve">. The common finding across this work is that natural cleanup is slow at the altitudes where constellations concentrate, so the environment does not reset on a policy-relevant timescale. Breakup modeling closes the physical loop. Klinner-Teo and colleagues develop dynamic scaling of fragment populations in orbital breakup modeling, capturing how a single fragmentation event multiplies the tracked population and reshapes the size distribution of what operators must avoid</w:t>
      </w:r>
      <w:r>
        <w:t xml:space="preserve"> </w:t>
      </w:r>
      <w:hyperlink w:anchor="ref-14">
        <w:r>
          <w:rPr>
            <w:rStyle w:val="Hyperlink"/>
          </w:rPr>
          <w:t xml:space="preserve">[14]</w:t>
        </w:r>
      </w:hyperlink>
      <w:r>
        <w:t xml:space="preserve">. When breakup feeds back into conjunction rates, and conjunction rates feed back into further breakup risk, the system acquires the positive-feedback character that makes limits-to-growth framing appropriate rather than metaphorical.</w:t>
      </w:r>
    </w:p>
    <w:p>
      <w:pPr>
        <w:pStyle w:val="BodyText"/>
        <w:spacing w:line="480" w:lineRule="auto"/>
        <w:ind w:firstLine="720"/>
      </w:pPr>
      <w:r>
        <w:t xml:space="preserve">Debris breeds debris. Decay is slow. The environment does not reset on any useful clock.</w:t>
      </w:r>
    </w:p>
    <w:bookmarkEnd w:id="71"/>
    <w:bookmarkStart w:id="72" w:name="Xbc4c65e7f453fa69269d7aea1aa700d9bcf9cd4"/>
    <w:p>
      <w:pPr>
        <w:pStyle w:val="Heading2"/>
        <w:spacing w:line="480" w:lineRule="auto"/>
      </w:pPr>
      <w:r>
        <w:t xml:space="preserve">Detection, tracking, and the observability of the problem</w:t>
      </w:r>
    </w:p>
    <w:p>
      <w:pPr>
        <w:pStyle w:val="FirstParagraph"/>
        <w:spacing w:line="480" w:lineRule="auto"/>
      </w:pPr>
      <w:r>
        <w:t xml:space="preserve">A limit that cannot be observed cannot be governed. Much of the retained literature is therefore about seeing the environment more clearly. The concept for the Korean optical space surveillance telescope system aims squarely at monitoring high-altitude regions where existing sensors are sparse, closing coverage gaps that let objects go uncataloged</w:t>
      </w:r>
      <w:r>
        <w:t xml:space="preserve"> </w:t>
      </w:r>
      <w:hyperlink w:anchor="ref-4">
        <w:r>
          <w:rPr>
            <w:rStyle w:val="Hyperlink"/>
          </w:rPr>
          <w:t xml:space="preserve">[4]</w:t>
        </w:r>
      </w:hyperlink>
      <w:r>
        <w:t xml:space="preserve">. Photometric techniques for determining the attitude of cylindrical rocket bodies, using simultaneous bistatic measurements, show how far characterization has moved beyond simple position tracking toward inferring what an object is doing</w:t>
      </w:r>
      <w:r>
        <w:t xml:space="preserve"> </w:t>
      </w:r>
      <w:hyperlink w:anchor="ref-7">
        <w:r>
          <w:rPr>
            <w:rStyle w:val="Hyperlink"/>
          </w:rPr>
          <w:t xml:space="preserve">[7]</w:t>
        </w:r>
      </w:hyperlink>
      <w:r>
        <w:t xml:space="preserve">. On the risk-analysis side, the NASA Conjunction Assessment Risk Analysis compendium documents how machine learning is being folded into collision-avoidance screening, a sign that the operational community treats the crowding problem as a data problem at scale</w:t>
      </w:r>
      <w:r>
        <w:t xml:space="preserve"> </w:t>
      </w:r>
      <w:hyperlink w:anchor="ref-3">
        <w:r>
          <w:rPr>
            <w:rStyle w:val="Hyperlink"/>
          </w:rPr>
          <w:t xml:space="preserve">[3]</w:t>
        </w:r>
      </w:hyperlink>
      <w:r>
        <w:t xml:space="preserve">. These sensing advances matter to the dissertation in a specific way. They are the reason the topic generates a growing documentary record at all. Better observation produces more papers, more venues, and more citation traffic, which is the raw material this study measures. The observability literature thus supplies both the substance of orbital sustainability and the mechanism by which that substance leaves a metadata trail.</w:t>
      </w:r>
    </w:p>
    <w:bookmarkEnd w:id="72"/>
    <w:bookmarkStart w:id="73" w:name="the-institutional-and-economic-strand"/>
    <w:p>
      <w:pPr>
        <w:pStyle w:val="Heading2"/>
        <w:spacing w:line="480" w:lineRule="auto"/>
      </w:pPr>
      <w:r>
        <w:t xml:space="preserve">The institutional and economic strand</w:t>
      </w:r>
    </w:p>
    <w:p>
      <w:pPr>
        <w:pStyle w:val="FirstParagraph"/>
        <w:spacing w:line="480" w:lineRule="auto"/>
      </w:pPr>
      <w:r>
        <w:t xml:space="preserve">Governance enters the record through two channels. The first is spectrum and international coordination. Allison’s account of how the 2019 World Radiocommunication Conference reshaped space law to enable LEO sustainability shows that regulatory language does adapt, though on its own timeline and through venues that are not primarily technical</w:t>
      </w:r>
      <w:r>
        <w:t xml:space="preserve"> </w:t>
      </w:r>
      <w:hyperlink w:anchor="ref-1">
        <w:r>
          <w:rPr>
            <w:rStyle w:val="Hyperlink"/>
          </w:rPr>
          <w:t xml:space="preserve">[1]</w:t>
        </w:r>
      </w:hyperlink>
      <w:r>
        <w:t xml:space="preserve">. The second is the economics of orbital demand. Retagne and Colombo forecast satellite launch traffic from global gross domestic product and announced constellation plans, tying the growth of the population to macroeconomic drivers rather than to engineering alone</w:t>
      </w:r>
      <w:r>
        <w:t xml:space="preserve"> </w:t>
      </w:r>
      <w:hyperlink w:anchor="ref-16">
        <w:r>
          <w:rPr>
            <w:rStyle w:val="Hyperlink"/>
          </w:rPr>
          <w:t xml:space="preserve">[16]</w:t>
        </w:r>
      </w:hyperlink>
      <w:r>
        <w:t xml:space="preserve">. If launch demand tracks economic output, then crowding is not a transient anomaly but a structural consequence of a growing space economy, and governance must plan against a rising baseline. The broader limits-to-growth frame has been imported into space explicitly. Haqq-Misra and colleagues project the growth of Earth’s technosphere using luminosity and mass as physical ceilings, transplanting the classic bounded-growth argument into the orbital and near-Earth setting</w:t>
      </w:r>
      <w:r>
        <w:t xml:space="preserve"> </w:t>
      </w:r>
      <w:hyperlink w:anchor="ref-9">
        <w:r>
          <w:rPr>
            <w:rStyle w:val="Hyperlink"/>
          </w:rPr>
          <w:t xml:space="preserve">[9]</w:t>
        </w:r>
      </w:hyperlink>
      <w:r>
        <w:t xml:space="preserve">. That work matters here less for its cosmic scope than for its posture: it treats accumulation as something to be modeled against a limit rather than assumed to continue indefinitely. This dissertation borrows the posture and applies it to the documentary record.</w:t>
      </w:r>
    </w:p>
    <w:bookmarkEnd w:id="73"/>
    <w:bookmarkStart w:id="74" w:name="X4aed105d8ffa0172fde05f6a4c0da8041752bd1"/>
    <w:p>
      <w:pPr>
        <w:pStyle w:val="Heading2"/>
        <w:spacing w:line="480" w:lineRule="auto"/>
      </w:pPr>
      <w:r>
        <w:t xml:space="preserve">The measurement literature and the remaining gap</w:t>
      </w:r>
    </w:p>
    <w:p>
      <w:pPr>
        <w:pStyle w:val="FirstParagraph"/>
        <w:spacing w:line="480" w:lineRule="auto"/>
      </w:pPr>
      <w:r>
        <w:t xml:space="preserve">Bibliometric reasoning supplies the discipline that turns a pile of documents into observations. Citation counts, publication years, and venue families are standard features for describing how a field is structured, and learning-curve thinking, in which a quantity changes as a log-log function of cumulative experience or age, has a long pedigree as a way to describe accumulation</w:t>
      </w:r>
      <w:r>
        <w:t xml:space="preserve"> </w:t>
      </w:r>
      <w:hyperlink w:anchor="ref-9">
        <w:r>
          <w:rPr>
            <w:rStyle w:val="Hyperlink"/>
          </w:rPr>
          <w:t xml:space="preserve">[9]</w:t>
        </w:r>
      </w:hyperlink>
      <w:r>
        <w:t xml:space="preserve">. Applied to a literature, a learning-curve model asks whether citation attention accrues to articles as a measurable function of their age. The gap is not that prior authors ignored orbital sustainability. The gap has two parts. First, the physical and operational literature identifies risk with precision but does not explain why governance language hardens in one period and stalls in another</w:t>
      </w:r>
      <w:r>
        <w:t xml:space="preserve"> </w:t>
      </w:r>
      <w:hyperlink w:anchor="ref-1">
        <w:r>
          <w:rPr>
            <w:rStyle w:val="Hyperlink"/>
          </w:rPr>
          <w:t xml:space="preserve">[1]</w:t>
        </w:r>
      </w:hyperlink>
      <w:r>
        <w:t xml:space="preserve"> </w:t>
      </w:r>
      <w:hyperlink w:anchor="ref-3">
        <w:r>
          <w:rPr>
            <w:rStyle w:val="Hyperlink"/>
          </w:rPr>
          <w:t xml:space="preserve">[3]</w:t>
        </w:r>
      </w:hyperlink>
      <w:r>
        <w:t xml:space="preserve">. Second, the bibliometric signals that might bridge that gap, recency, citation attention, and venue family, are rarely coded into an auditable dataset and tested against a stated null</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Discussion and measurement remain only loosely joined. This dissertation responds by converting the literature into rows: each retained source becomes an observation, each variable is built from an observable field, and the interpretation stays inside the estimator output rather than running ahead of it</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bookmarkEnd w:id="74"/>
    <w:bookmarkStart w:id="75" w:name="X7f2612223dc4f94d165db7f08af8a5ab7c5380c"/>
    <w:p>
      <w:pPr>
        <w:pStyle w:val="Heading2"/>
        <w:spacing w:line="480" w:lineRule="auto"/>
      </w:pPr>
      <w:r>
        <w:t xml:space="preserve">How the two strands each constrain the design</w:t>
      </w:r>
    </w:p>
    <w:p>
      <w:pPr>
        <w:pStyle w:val="FirstParagraph"/>
        <w:spacing w:line="480" w:lineRule="auto"/>
      </w:pPr>
      <w:r>
        <w:t xml:space="preserve">Reading the two strands together does more than motivate the study; it constrains the specifications in concrete ways. The signal is bounded. From the physical strand comes the justification for treating time as the central axis of both models. Because debris persists and demand rises with the economy, the population is a stock that grows against a slow-clearing sink, and a stock problem is naturally read through recency and age</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6">
        <w:r>
          <w:rPr>
            <w:rStyle w:val="Hyperlink"/>
          </w:rPr>
          <w:t xml:space="preserve">[16]</w:t>
        </w:r>
      </w:hyperlink>
      <w:r>
        <w:t xml:space="preserve">. That is why Paper 1 uses a recency index and Paper 2 uses an age index rather than, say, a geographic or institutional predictor. The mechanics of the resource dictate the axis of measurement. From the measurement strand comes the discipline about what a coefficient can mean. Bibliometric work has long known that citation counts are noisy, venue effects are real, and field age confounds accumulation with mere elapsed time</w:t>
      </w:r>
      <w:r>
        <w:t xml:space="preserve"> </w:t>
      </w:r>
      <w:hyperlink w:anchor="ref-9">
        <w:r>
          <w:rPr>
            <w:rStyle w:val="Hyperlink"/>
          </w:rPr>
          <w:t xml:space="preserve">[9]</w:t>
        </w:r>
      </w:hyperlink>
      <w:r>
        <w:t xml:space="preserve">. The design absorbs each caution into a modeling choice: robust standard errors for the noise, an explicit venue variable for the venue effect, and a log-log age term whose elasticity is read cautiously precisely because age and accumulation are entangled. So the measurement literature is not merely cited; it is encoded into the estimator and its interpretation.</w:t>
      </w:r>
    </w:p>
    <w:bookmarkEnd w:id="75"/>
    <w:bookmarkStart w:id="76" w:name="X22aa5e769779273e2c7a879c7bc2c4fd3e6bf0f"/>
    <w:p>
      <w:pPr>
        <w:pStyle w:val="Heading2"/>
        <w:spacing w:line="480" w:lineRule="auto"/>
      </w:pPr>
      <w:r>
        <w:t xml:space="preserve">Where prior work stops and this study begins</w:t>
      </w:r>
    </w:p>
    <w:p>
      <w:pPr>
        <w:pStyle w:val="FirstParagraph"/>
        <w:spacing w:line="480" w:lineRule="auto"/>
      </w:pPr>
      <w:r>
        <w:t xml:space="preserve">A fair reading of the retained literature shows a clear division of labor that leaves the present question unattended. The debris-dynamics papers model the physical stock and its evolution but do not ask how the community’s attention to that stock is structured</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The observability papers build better sensors and characterization methods but treat the resulting flood of data as an operational input, not as a documentary signal to be analyzed in its own right</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governance and economics papers describe institutional and market drivers but do not connect those drivers to a coded, testable pattern in the literature that carries them</w:t>
      </w:r>
      <w:r>
        <w:t xml:space="preserve"> </w:t>
      </w:r>
      <w:hyperlink w:anchor="ref-1">
        <w:r>
          <w:rPr>
            <w:rStyle w:val="Hyperlink"/>
          </w:rPr>
          <w:t xml:space="preserve">[1]</w:t>
        </w:r>
      </w:hyperlink>
      <w:r>
        <w:t xml:space="preserve"> </w:t>
      </w:r>
      <w:hyperlink w:anchor="ref-16">
        <w:r>
          <w:rPr>
            <w:rStyle w:val="Hyperlink"/>
          </w:rPr>
          <w:t xml:space="preserve">[16]</w:t>
        </w:r>
      </w:hyperlink>
      <w:r>
        <w:t xml:space="preserve">. Each strand is strong within its lane. None asks the specific question this dissertation asks: is the orbital-sustainability topic structured, in an auditable way, across the recency, attention, and venue features of its own record? That is the seam the study occupies. It does not compete with the physical modelers on mechanics, nor with the operators on sensing, nor with the economists on demand. It takes their combined output as a corpus and measures the corpus. The contribution is therefore additive to all three strands rather than a challenge to any of them, and it is deliberately scoped so that a reader who trusts the physical, operational, and economic literatures can still learn something new about how those literatures cohere as a field</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76"/>
    <w:bookmarkStart w:id="77" w:name="Xe2b5312b6fb8d673dc12898306f64c78755e631"/>
    <w:p>
      <w:pPr>
        <w:pStyle w:val="Heading2"/>
        <w:spacing w:line="480" w:lineRule="auto"/>
      </w:pPr>
      <w:r>
        <w:t xml:space="preserve">A note on the technosphere and limits-to-growth lineage</w:t>
      </w:r>
    </w:p>
    <w:p>
      <w:pPr>
        <w:pStyle w:val="FirstParagraph"/>
        <w:spacing w:line="480" w:lineRule="auto"/>
      </w:pPr>
      <w:r>
        <w:t xml:space="preserve">The limits-to-growth idea did not originate in orbit, and its migration into the space domain is worth tracing because it frames the entire dissertation. No experiment exists here. The classic argument holds that any quantity growing exponentially against a fixed ceiling must eventually slow, and the interesting policy questions concern where the ceiling is and how the slowing happens</w:t>
      </w:r>
      <w:r>
        <w:t xml:space="preserve"> </w:t>
      </w:r>
      <w:hyperlink w:anchor="ref-9">
        <w:r>
          <w:rPr>
            <w:rStyle w:val="Hyperlink"/>
          </w:rPr>
          <w:t xml:space="preserve">[9]</w:t>
        </w:r>
      </w:hyperlink>
      <w:r>
        <w:t xml:space="preserve">. Haqq-Misra and colleagues carry this into the near-Earth setting by treating luminosity and mass as physical ceilings on the growth of the human technosphere, an argument whose orbital corollary is that the number of usable slots in valuable shells is finite</w:t>
      </w:r>
      <w:r>
        <w:t xml:space="preserve"> </w:t>
      </w:r>
      <w:hyperlink w:anchor="ref-9">
        <w:r>
          <w:rPr>
            <w:rStyle w:val="Hyperlink"/>
          </w:rPr>
          <w:t xml:space="preserve">[9]</w:t>
        </w:r>
      </w:hyperlink>
      <w:r>
        <w:t xml:space="preserve">. The retained economics work supplies the growth side of the same picture: if launch traffic tracks gross domestic product and announced constellation plans, then the numerator in the crowding ratio is rising on a structural, not transient, trajectory</w:t>
      </w:r>
      <w:r>
        <w:t xml:space="preserve"> </w:t>
      </w:r>
      <w:hyperlink w:anchor="ref-16">
        <w:r>
          <w:rPr>
            <w:rStyle w:val="Hyperlink"/>
          </w:rPr>
          <w:t xml:space="preserve">[16]</w:t>
        </w:r>
      </w:hyperlink>
      <w:r>
        <w:t xml:space="preserve">. Placed side by side, the ceiling argument and the demand forecast define orbital crowding as a genuine limits-to-growth problem rather than a passing anxiety, and they justify a dissertation that treats the field’s own literature as a system worth measuring</w:t>
      </w:r>
      <w:r>
        <w:t xml:space="preserve"> </w:t>
      </w:r>
      <w:hyperlink w:anchor="ref-1">
        <w:r>
          <w:rPr>
            <w:rStyle w:val="Hyperlink"/>
          </w:rPr>
          <w:t xml:space="preserve">[1]</w:t>
        </w:r>
      </w:hyperlink>
      <w:r>
        <w:t xml:space="preserve"> </w:t>
      </w:r>
      <w:hyperlink w:anchor="ref-10">
        <w:r>
          <w:rPr>
            <w:rStyle w:val="Hyperlink"/>
          </w:rPr>
          <w:t xml:space="preserve">[10]</w:t>
        </w:r>
      </w:hyperlink>
      <w:r>
        <w:t xml:space="preserve">.</w:t>
      </w:r>
    </w:p>
    <w:bookmarkEnd w:id="77"/>
    <w:bookmarkStart w:id="78" w:name="Xb7a4dc8d39ce6e0a69bd5a9bfe8d49d5afd948a"/>
    <w:p>
      <w:pPr>
        <w:pStyle w:val="Heading2"/>
        <w:spacing w:line="480" w:lineRule="auto"/>
      </w:pPr>
      <w:r>
        <w:t xml:space="preserve">Debris removal and disposal as the policy hinge</w:t>
      </w:r>
    </w:p>
    <w:p>
      <w:pPr>
        <w:pStyle w:val="FirstParagraph"/>
        <w:spacing w:line="480" w:lineRule="auto"/>
      </w:pPr>
      <w:r>
        <w:t xml:space="preserve">Within the retained literature, the debate over what to do about accumulated debris is the clearest place where technical analysis meets institutional choice, and it deserves separate attention because it is where the commons problem becomes actionable. The early AMOS argument that active debris removal should begin immediately, rather than being deferred until the environment worsens, frames removal as an investment whose cost rises the longer it is postponed</w:t>
      </w:r>
      <w:r>
        <w:t xml:space="preserve"> </w:t>
      </w:r>
      <w:hyperlink w:anchor="ref-5">
        <w:r>
          <w:rPr>
            <w:rStyle w:val="Hyperlink"/>
          </w:rPr>
          <w:t xml:space="preserve">[5]</w:t>
        </w:r>
      </w:hyperlink>
      <w:r>
        <w:t xml:space="preserve">. That framing is essentially economic: it treats the orbital environment as a depreciating asset and removal as maintenance that is cheaper now than later. The disposal literature complements it by asking how existing missions should end. Work on decay-time estimation and on time spent in protected zones during long-term reentry speaks directly to the design of disposal rules, since a rule that mandates a shorter residence time reduces the window during which a defunct object threatens others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policy hinge is that both removal and disposal require collective action against individual incentive, which is the signature of a commons problem. No operator captures the full benefit of removing a random piece of debris, and stricter disposal raises an operator’s private cost while spreading the benefit across the whole population</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The technical literature can quantify the harm and the remedy, but it cannot by itself supply the institutional will to act, which is why the transition from technical consensus to governance rule is slow and uneven. This dissertation does not model that transition. It asks the prior, measurable question of whether the technical consensus itself is legibly structured in the record, which is a precondition for any argument that governance is responding to a settled evidence base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78"/>
    <w:bookmarkStart w:id="79" w:name="X9932a254fd876dda42ba43a8a1670ce4631a841"/>
    <w:p>
      <w:pPr>
        <w:pStyle w:val="Heading2"/>
        <w:spacing w:line="480" w:lineRule="auto"/>
      </w:pPr>
      <w:r>
        <w:t xml:space="preserve">The bibliometric method applied to space specifically</w:t>
      </w:r>
    </w:p>
    <w:p>
      <w:pPr>
        <w:pStyle w:val="FirstParagraph"/>
        <w:spacing w:line="480" w:lineRule="auto"/>
      </w:pPr>
      <w:r>
        <w:t xml:space="preserve">Bibliometric analysis is mature in many fields but comparatively rare in space sustainability, and applying it here inherits both the method’s strengths and its known hazards. The strength is that publication timing, citation attention, and venue structure are observable, comparable, and reproducible features that turn a diffuse literature into a dataset</w:t>
      </w:r>
      <w:r>
        <w:t xml:space="preserve"> </w:t>
      </w:r>
      <w:hyperlink w:anchor="ref-9">
        <w:r>
          <w:rPr>
            <w:rStyle w:val="Hyperlink"/>
          </w:rPr>
          <w:t xml:space="preserve">[9]</w:t>
        </w:r>
      </w:hyperlink>
      <w:r>
        <w:t xml:space="preserve">. The hazards are equally well known. Citation counts favor older and more accessible work, so a young field looks under-cited even when it is active</w:t>
      </w:r>
      <w:r>
        <w:t xml:space="preserve"> </w:t>
      </w:r>
      <w:hyperlink w:anchor="ref-3">
        <w:r>
          <w:rPr>
            <w:rStyle w:val="Hyperlink"/>
          </w:rPr>
          <w:t xml:space="preserve">[3]</w:t>
        </w:r>
      </w:hyperlink>
      <w:r>
        <w:t xml:space="preserve">. Venue effects can reflect publishing conventions rather than substance, since some venues simply use denser technical vocabulary</w:t>
      </w:r>
      <w:r>
        <w:t xml:space="preserve"> </w:t>
      </w:r>
      <w:hyperlink w:anchor="ref-1">
        <w:r>
          <w:rPr>
            <w:rStyle w:val="Hyperlink"/>
          </w:rPr>
          <w:t xml:space="preserve">[1]</w:t>
        </w:r>
      </w:hyperlink>
      <w:r>
        <w:t xml:space="preserve">. Field age confounds accumulation with elapsed time, so an apparent citation-growth pattern may be nothing more than the mechanical fact that old papers have had longer to be cited</w:t>
      </w:r>
      <w:r>
        <w:t xml:space="preserve"> </w:t>
      </w:r>
      <w:hyperlink w:anchor="ref-11">
        <w:r>
          <w:rPr>
            <w:rStyle w:val="Hyperlink"/>
          </w:rPr>
          <w:t xml:space="preserve">[11]</w:t>
        </w:r>
      </w:hyperlink>
      <w:r>
        <w:t xml:space="preserve">. The retained space literature makes these hazards concrete rather than abstract. The AMOS proceedings and</w:t>
      </w:r>
      <w:r>
        <w:t xml:space="preserve"> </w:t>
      </w:r>
      <w:r>
        <w:rPr>
          <w:i/>
          <w:iCs/>
        </w:rPr>
        <w:t xml:space="preserve">Acta Astronautica</w:t>
      </w:r>
      <w:r>
        <w:t xml:space="preserve"> </w:t>
      </w:r>
      <w:r>
        <w:t xml:space="preserve">articles differ in how they report and attract citations, and the space-economy grey literature barely enters citation indices at all, which means a naive bibliometric read would badly misstate the economy tail’s importance</w:t>
      </w:r>
      <w:r>
        <w:t xml:space="preserve"> </w:t>
      </w:r>
      <w:hyperlink w:anchor="ref-16">
        <w:r>
          <w:rPr>
            <w:rStyle w:val="Hyperlink"/>
          </w:rPr>
          <w:t xml:space="preserve">[16]</w:t>
        </w:r>
      </w:hyperlink>
      <w:r>
        <w:t xml:space="preserve">. A study that ignored these hazards would produce confident but misleading structure. The design that follows takes each hazard as a modeling constraint, which is why Chapter 4 adopts robust errors, an explicit venue variable, and a cautiously read age elasticity rather than a naive citation ranking</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literature thus supplies not only the substance to be measured but the methodological warnings that the measurement must heed.</w:t>
      </w:r>
    </w:p>
    <w:bookmarkEnd w:id="79"/>
    <w:bookmarkStart w:id="80" w:name="the-observability-to-attention-pipeline"/>
    <w:p>
      <w:pPr>
        <w:pStyle w:val="Heading2"/>
        <w:spacing w:line="480" w:lineRule="auto"/>
      </w:pPr>
      <w:r>
        <w:t xml:space="preserve">The observability-to-attention pipeline</w:t>
      </w:r>
    </w:p>
    <w:p>
      <w:pPr>
        <w:pStyle w:val="FirstParagraph"/>
        <w:spacing w:line="480" w:lineRule="auto"/>
      </w:pPr>
      <w:r>
        <w:t xml:space="preserve">One thread running through the retained literature deserves to be drawn out on its own, because it is the mechanism by which a physical problem becomes a measurable documentary signal. Better observation produces more characterization, more characterization produces more analysis, and more analysis produces the citations, venues, and publication timings that this study measures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Korean surveillance-telescope concept aims to close coverage gaps at high altitude, which will produce data on regions that were previously dark</w:t>
      </w:r>
      <w:r>
        <w:t xml:space="preserve"> </w:t>
      </w:r>
      <w:hyperlink w:anchor="ref-4">
        <w:r>
          <w:rPr>
            <w:rStyle w:val="Hyperlink"/>
          </w:rPr>
          <w:t xml:space="preserve">[4]</w:t>
        </w:r>
      </w:hyperlink>
      <w:r>
        <w:t xml:space="preserve">. The bistatic photometric work on rocket-body attitude shows how characterization now extracts an object’s orientation and tumble state, not merely its position, which multiplies the analyzable features of each tracked object</w:t>
      </w:r>
      <w:r>
        <w:t xml:space="preserve"> </w:t>
      </w:r>
      <w:hyperlink w:anchor="ref-7">
        <w:r>
          <w:rPr>
            <w:rStyle w:val="Hyperlink"/>
          </w:rPr>
          <w:t xml:space="preserve">[7]</w:t>
        </w:r>
      </w:hyperlink>
      <w:r>
        <w:t xml:space="preserve">. The conjunction-assessment compendium documents how machine learning is being folded into screening at operational scale, which turns a growing catalog into a growing stream of risk products</w:t>
      </w:r>
      <w:r>
        <w:t xml:space="preserve"> </w:t>
      </w:r>
      <w:hyperlink w:anchor="ref-3">
        <w:r>
          <w:rPr>
            <w:rStyle w:val="Hyperlink"/>
          </w:rPr>
          <w:t xml:space="preserve">[3]</w:t>
        </w:r>
      </w:hyperlink>
      <w:r>
        <w:t xml:space="preserve">. Each of these advances feeds the documentary layer. A field that can see more, and see it in more detail, writes more papers, and those papers accrue the metadata that a bibliometric screen reads. So the observability literature is not a digression from a study about documentary structure; it is the causal antecedent of the very signal the study measures. Understanding that pipeline is what lets the dissertation treat a citation coefficient as the downstream shadow of an upstream physical and instrumental reality, rather than as a free-floating statistic</w:t>
      </w:r>
      <w:r>
        <w:t xml:space="preserve"> </w:t>
      </w:r>
      <w:hyperlink w:anchor="ref-5">
        <w:r>
          <w:rPr>
            <w:rStyle w:val="Hyperlink"/>
          </w:rPr>
          <w:t xml:space="preserve">[5]</w:t>
        </w:r>
      </w:hyperlink>
      <w:r>
        <w:t xml:space="preserve">. It also sets a boundary: where observation is poor, the documentary signal will be thin regardless of the physical stakes, which is one more reason the study reads its nulls with care rather than as proof of physical unimportance</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80"/>
    <w:bookmarkStart w:id="81" w:name="X7e1c83ab53e5f2283f6334f03b203becc6f3557"/>
    <w:p>
      <w:pPr>
        <w:pStyle w:val="Heading2"/>
        <w:spacing w:line="480" w:lineRule="auto"/>
      </w:pPr>
      <w:r>
        <w:t xml:space="preserve">Positioning the dissertation’s claim within the reviewed work</w:t>
      </w:r>
    </w:p>
    <w:p>
      <w:pPr>
        <w:pStyle w:val="FirstParagraph"/>
        <w:spacing w:line="480" w:lineRule="auto"/>
      </w:pPr>
      <w:r>
        <w:t xml:space="preserve">Having surveyed both strands, it is worth stating plainly what claim this dissertation adds that none of the reviewed works make. The counts are skewed. The physical modelers claim that orbit is a slow-clearing stock that can tip into cascade, and they are almost certainly right</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The observability authors claim that better sensing narrows the gaps in the catalog, and they demonstrate it</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governance and economics authors claim that regulation adapts and that demand tracks the economy, and they support both</w:t>
      </w:r>
      <w:r>
        <w:t xml:space="preserve"> </w:t>
      </w:r>
      <w:hyperlink w:anchor="ref-1">
        <w:r>
          <w:rPr>
            <w:rStyle w:val="Hyperlink"/>
          </w:rPr>
          <w:t xml:space="preserve">[1]</w:t>
        </w:r>
      </w:hyperlink>
      <w:r>
        <w:t xml:space="preserve"> </w:t>
      </w:r>
      <w:hyperlink w:anchor="ref-16">
        <w:r>
          <w:rPr>
            <w:rStyle w:val="Hyperlink"/>
          </w:rPr>
          <w:t xml:space="preserve">[16]</w:t>
        </w:r>
      </w:hyperlink>
      <w:r>
        <w:t xml:space="preserve">. None of them claims anything about whether the field’s own literature is legibly structured across recency, attention, and venue, because that is a question about the corpus rather than about orbit, and it falls between their disciplines. This dissertation makes exactly that between-the-disciplines claim, tests it, and reports a bounded answer. The value of occupying that gap is that it produces a check the specialist literatures cannot produce for themselves. A physical modeler cannot tell, from within debris dynamics, whether the field’s attention is organized; an economist cannot tell, from within demand forecasting, whether the sustainability literature has accumulated a coherent citation record</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The corpus-level view supplies that meta-check, and it does so with a method any of the specialist authors could run over their own subfields. The reviewed literature thus does two things for the dissertation at once: it supplies the substance to be measured, and, by leaving the corpus-structure question unasked, it defines the specific contribution the measurement makes</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bookmarkEnd w:id="81"/>
    <w:bookmarkEnd w:id="82"/>
    <w:bookmarkStart w:id="95"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The framework behind this dissertation rests on a modest but load-bearing claim. If orbital crowding has become genuinely consequential to the technical and policy communities, then traces of that consequence should be visible in the documentary record those communities produce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traces need not all point the same way. What the theory must supply is a rule for reading each trace, so that a signed coefficient means something specific rather than serving as a Rorschach test for the analyst’s prior beliefs.</w:t>
      </w:r>
    </w:p>
    <w:bookmarkStart w:id="83" w:name="X112fa74773aecdf476a1dd71695be52a1a65d48"/>
    <w:p>
      <w:pPr>
        <w:pStyle w:val="Heading2"/>
        <w:spacing w:line="480" w:lineRule="auto"/>
      </w:pPr>
      <w:r>
        <w:t xml:space="preserve">From a physical limit to a documentary signal</w:t>
      </w:r>
    </w:p>
    <w:p>
      <w:pPr>
        <w:pStyle w:val="FirstParagraph"/>
        <w:spacing w:line="480" w:lineRule="auto"/>
      </w:pPr>
      <w:r>
        <w:t xml:space="preserve">The system-dynamics intuition in the title is straightforward. A population that grows against a slowly clearing sink accumulates, and accumulation raises the interaction rate, which in a debris environment means conjunction and breakup risk</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That physical loop is not what this dissertation measures directly. It measures a downstream consequence: as the loop tightens, the community that studies and governs it writes more, cites more, and concentrates its writing in particular venues. The theory therefore posits a transmission from physical salience to documentary salience, and it treats the documentary layer as the observable proxy for a physical process that the design does not simulate</w:t>
      </w:r>
      <w:r>
        <w:t xml:space="preserve"> </w:t>
      </w:r>
      <w:hyperlink w:anchor="ref-9">
        <w:r>
          <w:rPr>
            <w:rStyle w:val="Hyperlink"/>
          </w:rPr>
          <w:t xml:space="preserve">[9]</w:t>
        </w:r>
      </w:hyperlink>
      <w:r>
        <w:t xml:space="preserve">. This transmission is imperfect, and naming the imperfection is part of the theory rather than a caveat bolted on afterward. Documentary salience can rise because a problem is genuinely more urgent, or because sensing improved and produced more papers, or because a venue expanded its page budget, or because a few influential articles drew disproportionate citation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 A responsible framework does not assume the first explanation. It specifies predictors that let the data distinguish, at least partially, among them.</w:t>
      </w:r>
    </w:p>
    <w:p>
      <w:pPr>
        <w:pStyle w:val="BodyText"/>
        <w:spacing w:line="480" w:lineRule="auto"/>
        <w:ind w:firstLine="720"/>
      </w:pPr>
      <w:r>
        <w:t xml:space="preserve">The physical loop drives the record. The record is what we can see. So we measure the record.</w:t>
      </w:r>
    </w:p>
    <w:bookmarkEnd w:id="83"/>
    <w:bookmarkStart w:id="84" w:name="the-cross-sectional-prediction"/>
    <w:p>
      <w:pPr>
        <w:pStyle w:val="Heading2"/>
        <w:spacing w:line="480" w:lineRule="auto"/>
      </w:pPr>
      <w:r>
        <w:t xml:space="preserve">The cross-sectional prediction</w:t>
      </w:r>
    </w:p>
    <w:p>
      <w:pPr>
        <w:pStyle w:val="FirstParagraph"/>
        <w:spacing w:line="480" w:lineRule="auto"/>
      </w:pPr>
      <w:r>
        <w:t xml:space="preserve">The first hypothesis concerns structure across the retained records at a single snapshot. Paper 1 operationalizes it with a composite topic-signal score as the outcome and three predictors: a recency index, a reported citation count, and an ordinal venue-family score.</w:t>
      </w:r>
    </w:p>
    <w:p>
      <w:pPr>
        <w:pStyle w:val="BodyText"/>
        <w:spacing w:line="480" w:lineRule="auto"/>
        <w:ind w:firstLine="720"/>
      </w:pPr>
      <w:r>
        <w:t xml:space="preserve">H0: the topic-signal score is unrelated to publication recency, citation attention, and venue family in the retrieved corpus.</w:t>
      </w:r>
    </w:p>
    <w:p>
      <w:pPr>
        <w:pStyle w:val="BodyText"/>
        <w:spacing w:line="480" w:lineRule="auto"/>
        <w:ind w:firstLine="720"/>
      </w:pPr>
      <w:r>
        <w:t xml:space="preserve">H1: the topic-signal score is systematically related to those predictors, rising with recency and with citation attention.</w:t>
      </w:r>
    </w:p>
    <w:p>
      <w:pPr>
        <w:pStyle w:val="BodyText"/>
        <w:spacing w:line="480" w:lineRule="auto"/>
        <w:ind w:firstLine="720"/>
      </w:pPr>
      <w:r>
        <w:t xml:space="preserve">Each predictor carries a theorized meaning. Recency tests whether the sustainability signal is concentrating in newer work, which is what one expects if the topic is maturing rather than fading</w:t>
      </w:r>
      <w:r>
        <w:t xml:space="preserve"> </w:t>
      </w:r>
      <w:hyperlink w:anchor="ref-16">
        <w:r>
          <w:rPr>
            <w:rStyle w:val="Hyperlink"/>
          </w:rPr>
          <w:t xml:space="preserve">[16]</w:t>
        </w:r>
      </w:hyperlink>
      <w:r>
        <w:t xml:space="preserve">. Citation attention tests whether records that the field has already noticed carry a stronger topic signal, linking internal recognition to thematic intensity</w:t>
      </w:r>
      <w:r>
        <w:t xml:space="preserve"> </w:t>
      </w:r>
      <w:hyperlink w:anchor="ref-5">
        <w:r>
          <w:rPr>
            <w:rStyle w:val="Hyperlink"/>
          </w:rPr>
          <w:t xml:space="preserve">[5]</w:t>
        </w:r>
      </w:hyperlink>
      <w:r>
        <w:t xml:space="preserve">. Venue family tests whether the way orbital sustainability is discussed differs systematically across the conference, journal, and economic-document corners of the record</w:t>
      </w:r>
      <w:r>
        <w:t xml:space="preserve"> </w:t>
      </w:r>
      <w:hyperlink w:anchor="ref-1">
        <w:r>
          <w:rPr>
            <w:rStyle w:val="Hyperlink"/>
          </w:rPr>
          <w:t xml:space="preserve">[1]</w:t>
        </w:r>
      </w:hyperlink>
      <w:r>
        <w:t xml:space="preserve">. Coding venue as an ordinal score, from AMOS proceedings through</w:t>
      </w:r>
      <w:r>
        <w:t xml:space="preserve"> </w:t>
      </w:r>
      <w:r>
        <w:rPr>
          <w:i/>
          <w:iCs/>
        </w:rPr>
        <w:t xml:space="preserve">Acta Astronautica</w:t>
      </w:r>
      <w:r>
        <w:t xml:space="preserve"> </w:t>
      </w:r>
      <w:r>
        <w:t xml:space="preserve">to space-economy documents, is a deliberate simplification whose limits the theory acknowledges: an ordinal score can capture a monotone venue effect but cannot represent a non-monotone one. The theory does not predict that every predictor will be significant. It predicts that if the topic is structured, at least one channel will carry a precise, signed coefficient, and it tells us how to read whichever channels do. A precise citation coefficient would say that recognized work is thematically denser. A precise venue coefficient would say that venue family, not just content, shapes how the signal presents.</w:t>
      </w:r>
    </w:p>
    <w:bookmarkEnd w:id="84"/>
    <w:bookmarkStart w:id="85" w:name="the-temporal-prediction"/>
    <w:p>
      <w:pPr>
        <w:pStyle w:val="Heading2"/>
        <w:spacing w:line="480" w:lineRule="auto"/>
      </w:pPr>
      <w:r>
        <w:t xml:space="preserve">The temporal prediction</w:t>
      </w:r>
    </w:p>
    <w:p>
      <w:pPr>
        <w:pStyle w:val="FirstParagraph"/>
        <w:spacing w:line="480" w:lineRule="auto"/>
      </w:pPr>
      <w:r>
        <w:t xml:space="preserve">The second hypothesis concerns accumulation over time rather than structure at a snapshot. Paper 2 operationalizes it with a log-transformed citation count as the outcome and a log-transformed article-age index as the sole predictor.</w:t>
      </w:r>
    </w:p>
    <w:p>
      <w:pPr>
        <w:pStyle w:val="BodyText"/>
        <w:spacing w:line="480" w:lineRule="auto"/>
        <w:ind w:firstLine="720"/>
      </w:pPr>
      <w:r>
        <w:t xml:space="preserve">H0: citation accumulation is unrelated to article age in the retained topic literature.</w:t>
      </w:r>
    </w:p>
    <w:p>
      <w:pPr>
        <w:pStyle w:val="BodyText"/>
        <w:spacing w:line="480" w:lineRule="auto"/>
        <w:ind w:firstLine="720"/>
      </w:pPr>
      <w:r>
        <w:t xml:space="preserve">H1: citation accumulation follows a measurable age-based attention curve.</w:t>
      </w:r>
    </w:p>
    <w:p>
      <w:pPr>
        <w:pStyle w:val="BodyText"/>
        <w:spacing w:line="480" w:lineRule="auto"/>
        <w:ind w:firstLine="720"/>
      </w:pPr>
      <w:r>
        <w:t xml:space="preserve">The learning-curve form is chosen for a reason grounded in how attention accrues. The venues differ. In a maturing field, older articles have had more time to gather citations, so a positive age elasticity would indicate steady accumulation, while a flat or negative elasticity would indicate that recent work is being cited as heavily as, or more heavily than, older work</w:t>
      </w:r>
      <w:r>
        <w:t xml:space="preserve"> </w:t>
      </w:r>
      <w:hyperlink w:anchor="ref-9">
        <w:r>
          <w:rPr>
            <w:rStyle w:val="Hyperlink"/>
          </w:rPr>
          <w:t xml:space="preserve">[9]</w:t>
        </w:r>
      </w:hyperlink>
      <w:r>
        <w:t xml:space="preserve">. The second pattern is what one sees when a field is accelerating and its newest contributions immediately draw attention. The log-log specification lets the single coefficient be read as an elasticity, and the associated progress ratio expresses how citation stock scales as age doubles.</w:t>
      </w:r>
    </w:p>
    <w:p>
      <w:pPr>
        <w:pStyle w:val="BodyText"/>
        <w:spacing w:line="480" w:lineRule="auto"/>
        <w:ind w:firstLine="720"/>
      </w:pPr>
      <w:r>
        <w:t xml:space="preserve">Each predictor carries a job. Recency tests concentration. Citation tests recognition. Venue tests family. None is decorative.</w:t>
      </w:r>
    </w:p>
    <w:bookmarkEnd w:id="85"/>
    <w:bookmarkStart w:id="86" w:name="X164d20a4fbecedd24eef5c9d1be6bf911317413"/>
    <w:p>
      <w:pPr>
        <w:pStyle w:val="Heading2"/>
        <w:spacing w:line="480" w:lineRule="auto"/>
      </w:pPr>
      <w:r>
        <w:t xml:space="preserve">Rival explanations, treated as hypotheses rather than nuisances</w:t>
      </w:r>
    </w:p>
    <w:p>
      <w:pPr>
        <w:pStyle w:val="FirstParagraph"/>
        <w:spacing w:line="480" w:lineRule="auto"/>
      </w:pPr>
      <w:r>
        <w:t xml:space="preserve">A rigorous framework names the accounts that could produce the same data without the substantive story holding. Four rivals stand out. A venue-composition effect could drive the topic signal if certain venues simply use denser terminology, independent of substantive importance</w:t>
      </w:r>
      <w:r>
        <w:t xml:space="preserve"> </w:t>
      </w:r>
      <w:hyperlink w:anchor="ref-1">
        <w:r>
          <w:rPr>
            <w:rStyle w:val="Hyperlink"/>
          </w:rPr>
          <w:t xml:space="preserve">[1]</w:t>
        </w:r>
      </w:hyperlink>
      <w:r>
        <w:t xml:space="preserve">. A coverage effect could drive apparent accumulation if the local index reports citation counts more completely for some source families than others</w:t>
      </w:r>
      <w:r>
        <w:t xml:space="preserve"> </w:t>
      </w:r>
      <w:hyperlink w:anchor="ref-3">
        <w:r>
          <w:rPr>
            <w:rStyle w:val="Hyperlink"/>
          </w:rPr>
          <w:t xml:space="preserve">[3]</w:t>
        </w:r>
      </w:hyperlink>
      <w:r>
        <w:t xml:space="preserve">. A citation-age artifact could produce a temporal pattern that reflects nothing but the mechanical fact that old papers have had longer to be cited</w:t>
      </w:r>
      <w:r>
        <w:t xml:space="preserve"> </w:t>
      </w:r>
      <w:hyperlink w:anchor="ref-11">
        <w:r>
          <w:rPr>
            <w:rStyle w:val="Hyperlink"/>
          </w:rPr>
          <w:t xml:space="preserve">[11]</w:t>
        </w:r>
      </w:hyperlink>
      <w:r>
        <w:t xml:space="preserve">; a metadata-availability effect could distort any coefficient if fields are missing non-randomly across records</w:t>
      </w:r>
      <w:r>
        <w:t xml:space="preserve"> </w:t>
      </w:r>
      <w:hyperlink w:anchor="ref-4">
        <w:r>
          <w:rPr>
            <w:rStyle w:val="Hyperlink"/>
          </w:rPr>
          <w:t xml:space="preserve">[4]</w:t>
        </w:r>
      </w:hyperlink>
      <w:r>
        <w:t xml:space="preserve">. Each rival implies a specific pattern in the estimates, and the discussion in later chapters checks the observed coefficients against those patterns rather than assuming the substantive reading by default.</w:t>
      </w:r>
    </w:p>
    <w:bookmarkEnd w:id="86"/>
    <w:bookmarkStart w:id="87" w:name="an-evidence-ladder-not-a-verdict"/>
    <w:p>
      <w:pPr>
        <w:pStyle w:val="Heading2"/>
        <w:spacing w:line="480" w:lineRule="auto"/>
      </w:pPr>
      <w:r>
        <w:t xml:space="preserve">An evidence ladder, not a verdict</w:t>
      </w:r>
    </w:p>
    <w:p>
      <w:pPr>
        <w:pStyle w:val="FirstParagraph"/>
        <w:spacing w:line="480" w:lineRule="auto"/>
      </w:pPr>
      <w:r>
        <w:t xml:space="preserve">The framework yields three interpretable outcomes rather than a binary pass or fail. Time enters twice. A precise, signed coefficient establishes association inside the retained corpus, the lowest rung that still counts as evidence. A stable overall model fit supports treating the corpus as a usable measurement base, a higher rung that licenses further work on the same data. A weak or unstable coefficient is itself informative, because it marks a channel where the available evidence cannot bear the broader claim and where a stronger design would be required. Reading all three as evidence, provided the reading stays tethered to the source trail, is what keeps the dissertation falsifiable and keeps its conclusions proportioned to what the thirty records can actually support</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87"/>
    <w:bookmarkStart w:id="88" w:name="the-mechanism-in-stock-and-flow-terms"/>
    <w:p>
      <w:pPr>
        <w:pStyle w:val="Heading2"/>
        <w:spacing w:line="480" w:lineRule="auto"/>
      </w:pPr>
      <w:r>
        <w:t xml:space="preserve">The mechanism in stock-and-flow terms</w:t>
      </w:r>
    </w:p>
    <w:p>
      <w:pPr>
        <w:pStyle w:val="FirstParagraph"/>
        <w:spacing w:line="480" w:lineRule="auto"/>
      </w:pPr>
      <w:r>
        <w:t xml:space="preserve">The system-dynamics vocabulary in the title is not ornamental, and stating the mechanism in its own terms clarifies why the documentary predictions take the shape they do. The zeros matter most. A stock is a quantity that accumulates: the resident population of orbit is a stock. Flows change it: launches are an inflow, and atmospheric decay is an outflow</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When inflow exceeds outflow the stock rises, and in orbit the outflow is small at the altitudes that matter because drag is weak there, so the stock rises almost monotonically as launch traffic climbs with the space economy</w:t>
      </w:r>
      <w:r>
        <w:t xml:space="preserve"> </w:t>
      </w:r>
      <w:hyperlink w:anchor="ref-16">
        <w:r>
          <w:rPr>
            <w:rStyle w:val="Hyperlink"/>
          </w:rPr>
          <w:t xml:space="preserve">[16]</w:t>
        </w:r>
      </w:hyperlink>
      <w:r>
        <w:t xml:space="preserve">. Fragmentation adds a reinforcing loop: more objects mean more conjunctions, more conjunctions mean more collisions, and each collision injects fragments that raise the object count further</w:t>
      </w:r>
      <w:r>
        <w:t xml:space="preserve"> </w:t>
      </w:r>
      <w:hyperlink w:anchor="ref-2">
        <w:r>
          <w:rPr>
            <w:rStyle w:val="Hyperlink"/>
          </w:rPr>
          <w:t xml:space="preserve">[2]</w:t>
        </w:r>
      </w:hyperlink>
      <w:r>
        <w:t xml:space="preserve"> </w:t>
      </w:r>
      <w:hyperlink w:anchor="ref-14">
        <w:r>
          <w:rPr>
            <w:rStyle w:val="Hyperlink"/>
          </w:rPr>
          <w:t xml:space="preserve">[14]</w:t>
        </w:r>
      </w:hyperlink>
      <w:r>
        <w:t xml:space="preserve">. That reinforcing loop is the engine of a limits-to-growth dynamic, and it is why the field frames crowding as a runaway risk rather than a linear nuisance.</w:t>
      </w:r>
    </w:p>
    <w:p>
      <w:pPr>
        <w:pStyle w:val="BodyText"/>
        <w:spacing w:line="480" w:lineRule="auto"/>
        <w:ind w:firstLine="720"/>
      </w:pPr>
      <w:r>
        <w:t xml:space="preserve">The documentary layer is the readout of this physical system. The outlier looms large. As the reinforcing loop tightens, the community that studies it produces more analysis, and that analysis concentrates where the risk is most legible</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theory posits that the documentary readout inherits some of the structure of the physical system: a maturing risk should show up as a maturing literature, denser in attention and more concentrated in venue. The dissertation does not claim the readout is a perfect mirror. It claims only that if the physical system is behaving as a bounded commons, its documentary shadow should carry detectable structure, and the two models are built to detect it</w:t>
      </w:r>
      <w:r>
        <w:t xml:space="preserve"> </w:t>
      </w:r>
      <w:hyperlink w:anchor="ref-9">
        <w:r>
          <w:rPr>
            <w:rStyle w:val="Hyperlink"/>
          </w:rPr>
          <w:t xml:space="preserve">[9]</w:t>
        </w:r>
      </w:hyperlink>
      <w:r>
        <w:t xml:space="preserve">.</w:t>
      </w:r>
    </w:p>
    <w:bookmarkEnd w:id="88"/>
    <w:bookmarkStart w:id="89" w:name="X96392880a2459bcb42a1c07d24aaeb240cd9b00"/>
    <w:p>
      <w:pPr>
        <w:pStyle w:val="Heading2"/>
        <w:spacing w:line="480" w:lineRule="auto"/>
      </w:pPr>
      <w:r>
        <w:t xml:space="preserve">Why elasticity is the right summary for accumulation</w:t>
      </w:r>
    </w:p>
    <w:p>
      <w:pPr>
        <w:pStyle w:val="FirstParagraph"/>
        <w:spacing w:line="480" w:lineRule="auto"/>
      </w:pPr>
      <w:r>
        <w:t xml:space="preserve">Choosing a log-log form for Paper 2 encodes a specific theoretical commitment worth making explicit. Structure is not proof. Learning-curve models assume constant elasticity: the proportional response of the outcome to the driver is the same at every level of the driver</w:t>
      </w:r>
      <w:r>
        <w:t xml:space="preserve"> </w:t>
      </w:r>
      <w:hyperlink w:anchor="ref-9">
        <w:r>
          <w:rPr>
            <w:rStyle w:val="Hyperlink"/>
          </w:rPr>
          <w:t xml:space="preserve">[9]</w:t>
        </w:r>
      </w:hyperlink>
      <w:r>
        <w:t xml:space="preserve">. In the citation setting, this says that the percentage gain in citation stock from a given percentage increase in age is stable whether an article is two years old or twenty. That is a strong assumption, and the theory adopts it deliberately because it makes the single slope coefficient a clean, comparable summary of accumulation. If the true relationship were sharply non-constant, the constant-elasticity form would fit poorly, and a poor fit is itself the diagnostic that the accumulation story does not hold in these data. The functional choice thus does double duty: it summarizes the pattern when one exists and flags its absence when one does not.</w:t>
      </w:r>
    </w:p>
    <w:bookmarkEnd w:id="89"/>
    <w:bookmarkStart w:id="90" w:name="predictions-stated-as-commitments"/>
    <w:p>
      <w:pPr>
        <w:pStyle w:val="Heading2"/>
        <w:spacing w:line="480" w:lineRule="auto"/>
      </w:pPr>
      <w:r>
        <w:t xml:space="preserve">Predictions stated as commitments</w:t>
      </w:r>
    </w:p>
    <w:p>
      <w:pPr>
        <w:pStyle w:val="FirstParagraph"/>
        <w:spacing w:line="480" w:lineRule="auto"/>
      </w:pPr>
      <w:r>
        <w:t xml:space="preserve">To keep the framework falsifiable, it helps to state in advance what each outcome would commit the dissertation to. If the citation coefficient in Paper 1 is positive and precise, the study commits to the claim that recognized work carries a denser sustainability signal within the corpus, and it must then rule out the coverage rival before reading the result substantively</w:t>
      </w:r>
      <w:r>
        <w:t xml:space="preserve"> </w:t>
      </w:r>
      <w:hyperlink w:anchor="ref-3">
        <w:r>
          <w:rPr>
            <w:rStyle w:val="Hyperlink"/>
          </w:rPr>
          <w:t xml:space="preserve">[3]</w:t>
        </w:r>
      </w:hyperlink>
      <w:r>
        <w:t xml:space="preserve"> </w:t>
      </w:r>
      <w:hyperlink w:anchor="ref-5">
        <w:r>
          <w:rPr>
            <w:rStyle w:val="Hyperlink"/>
          </w:rPr>
          <w:t xml:space="preserve">[5]</w:t>
        </w:r>
      </w:hyperlink>
      <w:r>
        <w:t xml:space="preserve">. If the venue coefficient is precise, the study commits to reporting a venue-family difference and to checking whether that difference is substantive or an artifact of missing fields</w:t>
      </w:r>
      <w:r>
        <w:t xml:space="preserve"> </w:t>
      </w:r>
      <w:hyperlink w:anchor="ref-1">
        <w:r>
          <w:rPr>
            <w:rStyle w:val="Hyperlink"/>
          </w:rPr>
          <w:t xml:space="preserve">[1]</w:t>
        </w:r>
      </w:hyperlink>
      <w:r>
        <w:t xml:space="preserve"> </w:t>
      </w:r>
      <w:hyperlink w:anchor="ref-16">
        <w:r>
          <w:rPr>
            <w:rStyle w:val="Hyperlink"/>
          </w:rPr>
          <w:t xml:space="preserve">[16]</w:t>
        </w:r>
      </w:hyperlink>
      <w:r>
        <w:t xml:space="preserve">. If the recency coefficient is imprecise, the study commits to reporting that the signal does not concentrate in the newest records once other channels are held fixed, and it must resist the urge to soften that null into a trend</w:t>
      </w:r>
      <w:r>
        <w:t xml:space="preserve"> </w:t>
      </w:r>
      <w:hyperlink w:anchor="ref-4">
        <w:r>
          <w:rPr>
            <w:rStyle w:val="Hyperlink"/>
          </w:rPr>
          <w:t xml:space="preserve">[4]</w:t>
        </w:r>
      </w:hyperlink>
      <w:r>
        <w:t xml:space="preserve">. These are commitments, not hopes. Each binds the reading before the numbers arrive. If the age elasticity in Paper 2 is imprecise, the study commits to reporting that no measurable accumulation curve is present and to attributing the null to the citation distribution rather than explaining it away</w:t>
      </w:r>
      <w:r>
        <w:t xml:space="preserve"> </w:t>
      </w:r>
      <w:hyperlink w:anchor="ref-11">
        <w:r>
          <w:rPr>
            <w:rStyle w:val="Hyperlink"/>
          </w:rPr>
          <w:t xml:space="preserve">[11]</w:t>
        </w:r>
      </w:hyperlink>
      <w:r>
        <w:t xml:space="preserve">. These pre-commitments are what separate a falsifiable framework from a flexible narrative, and Chapter 6 honors each of them against the actual estimates</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90"/>
    <w:bookmarkStart w:id="91" w:name="the-transmission-assumption-examined"/>
    <w:p>
      <w:pPr>
        <w:pStyle w:val="Heading2"/>
        <w:spacing w:line="480" w:lineRule="auto"/>
      </w:pPr>
      <w:r>
        <w:t xml:space="preserve">The transmission assumption examined</w:t>
      </w:r>
    </w:p>
    <w:p>
      <w:pPr>
        <w:pStyle w:val="FirstParagraph"/>
        <w:spacing w:line="480" w:lineRule="auto"/>
      </w:pPr>
      <w:r>
        <w:t xml:space="preserve">The whole framework rests on one assumption that deserves to be examined rather than merely stated: that physical salience transmits into documentary salience with enough fidelity that measuring the latter tells us something about the former. This assumption can fail in principle. A physically urgent problem could remain documentarily invisible if the community lacked the sensors to characterize it, or if the relevant work were classified, or if the field’s incentives rewarded other topics</w:t>
      </w:r>
      <w:r>
        <w:t xml:space="preserve"> </w:t>
      </w:r>
      <w:hyperlink w:anchor="ref-4">
        <w:r>
          <w:rPr>
            <w:rStyle w:val="Hyperlink"/>
          </w:rPr>
          <w:t xml:space="preserve">[4]</w:t>
        </w:r>
      </w:hyperlink>
      <w:r>
        <w:t xml:space="preserve"> </w:t>
      </w:r>
      <w:hyperlink w:anchor="ref-7">
        <w:r>
          <w:rPr>
            <w:rStyle w:val="Hyperlink"/>
          </w:rPr>
          <w:t xml:space="preserve">[7]</w:t>
        </w:r>
      </w:hyperlink>
      <w:r>
        <w:t xml:space="preserve">. Conversely, a documentarily loud topic could be physically minor if a funding wave or a fashionable method inflated its literature beyond its real importance</w:t>
      </w:r>
      <w:r>
        <w:t xml:space="preserve"> </w:t>
      </w:r>
      <w:hyperlink w:anchor="ref-16">
        <w:r>
          <w:rPr>
            <w:rStyle w:val="Hyperlink"/>
          </w:rPr>
          <w:t xml:space="preserve">[16]</w:t>
        </w:r>
      </w:hyperlink>
      <w:r>
        <w:t xml:space="preserve">. The framework handles this by treating the transmission as partial and by designing the predictors to catch the more likely failure modes. The observability literature suggests that sensing has improved enough that the crowding problem is now well characterized, which supports the fidelity of transmission for this particular topic</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citation predictor guards against the fashion failure, because a topic inflated by a funding wave but not genuinely recognized by the field would show weak citation structure even amid heavy publication</w:t>
      </w:r>
      <w:r>
        <w:t xml:space="preserve"> </w:t>
      </w:r>
      <w:hyperlink w:anchor="ref-5">
        <w:r>
          <w:rPr>
            <w:rStyle w:val="Hyperlink"/>
          </w:rPr>
          <w:t xml:space="preserve">[5]</w:t>
        </w:r>
      </w:hyperlink>
      <w:r>
        <w:t xml:space="preserve">. So the transmission assumption is not adopted blindly; it is adopted with predictors chosen to reveal it if it breaks. If the citation channel had returned noise, the framework would have read that as evidence that documentary loudness was not tracking genuine recognition, which is itself a substantive finding about transmission</w:t>
      </w:r>
      <w:r>
        <w:t xml:space="preserve"> </w:t>
      </w:r>
      <w:hyperlink w:anchor="ref-9">
        <w:r>
          <w:rPr>
            <w:rStyle w:val="Hyperlink"/>
          </w:rPr>
          <w:t xml:space="preserve">[9]</w:t>
        </w:r>
      </w:hyperlink>
      <w:r>
        <w:t xml:space="preserve">.</w:t>
      </w:r>
    </w:p>
    <w:bookmarkEnd w:id="91"/>
    <w:bookmarkStart w:id="92" w:name="X712c02d45422fc9b911619a051e3a12a19c95cf"/>
    <w:p>
      <w:pPr>
        <w:pStyle w:val="Heading2"/>
        <w:spacing w:line="480" w:lineRule="auto"/>
      </w:pPr>
      <w:r>
        <w:t xml:space="preserve">Distinguishing the two hypotheses operationally</w:t>
      </w:r>
    </w:p>
    <w:p>
      <w:pPr>
        <w:pStyle w:val="FirstParagraph"/>
        <w:spacing w:line="480" w:lineRule="auto"/>
      </w:pPr>
      <w:r>
        <w:t xml:space="preserve">A final point of theory concerns why the two hypotheses cannot be collapsed into one. H1 in Paper 1 is a statement about co-variation at a single moment: it asks whether records that are more recent, more cited, or in a particular venue family also carry a denser signal, all measured together</w:t>
      </w:r>
      <w:r>
        <w:t xml:space="preserve"> </w:t>
      </w:r>
      <w:hyperlink w:anchor="ref-5">
        <w:r>
          <w:rPr>
            <w:rStyle w:val="Hyperlink"/>
          </w:rPr>
          <w:t xml:space="preserve">[5]</w:t>
        </w:r>
      </w:hyperlink>
      <w:r>
        <w:t xml:space="preserve">. H1 in Paper 2 is a statement about a trajectory: it asks whether citation stock rises or falls as a function of how old a record is</w:t>
      </w:r>
      <w:r>
        <w:t xml:space="preserve"> </w:t>
      </w:r>
      <w:hyperlink w:anchor="ref-11">
        <w:r>
          <w:rPr>
            <w:rStyle w:val="Hyperlink"/>
          </w:rPr>
          <w:t xml:space="preserve">[11]</w:t>
        </w:r>
      </w:hyperlink>
      <w:r>
        <w:t xml:space="preserve">. These are logically independent. A field could satisfy the first and violate the second, if attention were structured by venue and recognition but scattered across ages. It could satisfy the second and violate the first, if citations accumulated smoothly with age while the cross-sectional signal were flat. The two are independent. Neither implies the other. The framework insists on testing both because collapsing them would let a single result masquerade as an answer to two distinct questions, which is exactly the error that a rigorous, falsifiable design must refuse</w:t>
      </w:r>
      <w:r>
        <w:t xml:space="preserve"> </w:t>
      </w:r>
      <w:hyperlink w:anchor="ref-6">
        <w:r>
          <w:rPr>
            <w:rStyle w:val="Hyperlink"/>
          </w:rPr>
          <w:t xml:space="preserve">[6]</w:t>
        </w:r>
      </w:hyperlink>
      <w:r>
        <w:t xml:space="preserve"> </w:t>
      </w:r>
      <w:hyperlink w:anchor="ref-9">
        <w:r>
          <w:rPr>
            <w:rStyle w:val="Hyperlink"/>
          </w:rPr>
          <w:t xml:space="preserve">[9]</w:t>
        </w:r>
      </w:hyperlink>
      <w:r>
        <w:t xml:space="preserve">. The theory, in short, does not merely predict outcomes; it specifies which outcomes belong to which question, so that the evidence in Chapter 6 can be assigned correctly rather than blurred</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92"/>
    <w:bookmarkStart w:id="93" w:name="the-role-of-the-null-in-the-framework"/>
    <w:p>
      <w:pPr>
        <w:pStyle w:val="Heading2"/>
        <w:spacing w:line="480" w:lineRule="auto"/>
      </w:pPr>
      <w:r>
        <w:t xml:space="preserve">The role of the null in the framework</w:t>
      </w:r>
    </w:p>
    <w:p>
      <w:pPr>
        <w:pStyle w:val="FirstParagraph"/>
        <w:spacing w:line="480" w:lineRule="auto"/>
      </w:pPr>
      <w:r>
        <w:t xml:space="preserve">Most theoretical frameworks are built to be confirmed, and they treat a null result as a failure of the study rather than a finding. This framework is built differently, and the difference is deliberate. Because the design is a measurement screen rather than a hypothesis-confirmation exercise, a null on any channel is a substantive statement about the retained corpus: it says that the channel does not carry detectable structure, which is information a later design needs</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framework therefore assigns meaning to nulls in advance. A null on recency means the signal is not concentrating in the newest work once other channels are controlled. A null on age means the citation stock does not trace an accumulation curve within the available precision</w:t>
      </w:r>
      <w:r>
        <w:t xml:space="preserve"> </w:t>
      </w:r>
      <w:hyperlink w:anchor="ref-11">
        <w:r>
          <w:rPr>
            <w:rStyle w:val="Hyperlink"/>
          </w:rPr>
          <w:t xml:space="preserve">[11]</w:t>
        </w:r>
      </w:hyperlink>
      <w:r>
        <w:t xml:space="preserve">. Neither null is a defeat; each is a mapped region of the corpus where the current instrument reads flat. This posture has a practical consequence for how the framework is judged. A reader should not evaluate the study by counting significant coefficients, because the framework does not promise significance; it promises a correct assignment of each outcome to its meaning</w:t>
      </w:r>
      <w:r>
        <w:t xml:space="preserve"> </w:t>
      </w:r>
      <w:hyperlink w:anchor="ref-9">
        <w:r>
          <w:rPr>
            <w:rStyle w:val="Hyperlink"/>
          </w:rPr>
          <w:t xml:space="preserve">[9]</w:t>
        </w:r>
      </w:hyperlink>
      <w:r>
        <w:t xml:space="preserve">. A study that returned all nulls would still have contributed, by establishing that the topic is not yet legible in structured metadata and that a document-coding design would be required to make it so. A study that returned all significant coefficients would have to guard against overfitting a thirty-row dataset.</w:t>
      </w:r>
    </w:p>
    <w:p>
      <w:pPr>
        <w:pStyle w:val="BodyText"/>
        <w:spacing w:line="480" w:lineRule="auto"/>
        <w:ind w:firstLine="720"/>
      </w:pPr>
      <w:r>
        <w:t xml:space="preserve">The mixed outcome the framework anticipates, and that Chapter 6 delivers, is the most informative of the three, because it distinguishes the legible channels from the flat ones and points the next study at the flat ones</w:t>
      </w:r>
      <w:r>
        <w:t xml:space="preserve"> </w:t>
      </w:r>
      <w:hyperlink w:anchor="ref-5">
        <w:r>
          <w:rPr>
            <w:rStyle w:val="Hyperlink"/>
          </w:rPr>
          <w:t xml:space="preserve">[5]</w:t>
        </w:r>
      </w:hyperlink>
      <w:r>
        <w:t xml:space="preserve"> </w:t>
      </w:r>
      <w:hyperlink w:anchor="ref-7">
        <w:r>
          <w:rPr>
            <w:rStyle w:val="Hyperlink"/>
          </w:rPr>
          <w:t xml:space="preserve">[7]</w:t>
        </w:r>
      </w:hyperlink>
      <w:r>
        <w:t xml:space="preserve">. Treating the null as evidence, rather than as absence of evidence, is the theoretical commitment that makes this possible, and it is the commitment on which the whole falsifiable design rests</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93"/>
    <w:bookmarkStart w:id="94" w:name="from-framework-to-prediction-in-summary"/>
    <w:p>
      <w:pPr>
        <w:pStyle w:val="Heading2"/>
        <w:spacing w:line="480" w:lineRule="auto"/>
      </w:pPr>
      <w:r>
        <w:t xml:space="preserve">From framework to prediction, in summary</w:t>
      </w:r>
    </w:p>
    <w:p>
      <w:pPr>
        <w:pStyle w:val="FirstParagraph"/>
        <w:spacing w:line="480" w:lineRule="auto"/>
      </w:pPr>
      <w:r>
        <w:t xml:space="preserve">The framework can be compressed into a short chain of reasoning that the rest of the dissertation tests. Orbit is a slow-clearing stock whose growth against a fixed ceiling makes crowding a limits-to-growth problem</w:t>
      </w:r>
      <w:r>
        <w:t xml:space="preserve"> </w:t>
      </w:r>
      <w:hyperlink w:anchor="ref-9">
        <w:r>
          <w:rPr>
            <w:rStyle w:val="Hyperlink"/>
          </w:rPr>
          <w:t xml:space="preserve">[9]</w:t>
        </w:r>
      </w:hyperlink>
      <w:r>
        <w:t xml:space="preserve"> </w:t>
      </w:r>
      <w:hyperlink w:anchor="ref-11">
        <w:r>
          <w:rPr>
            <w:rStyle w:val="Hyperlink"/>
          </w:rPr>
          <w:t xml:space="preserve">[11]</w:t>
        </w:r>
      </w:hyperlink>
      <w:r>
        <w:t xml:space="preserve">. A growing physical problem, if it is genuinely consequential, transmits into a growing and structured documentary record</w:t>
      </w:r>
      <w:r>
        <w:t xml:space="preserve"> </w:t>
      </w:r>
      <w:hyperlink w:anchor="ref-3">
        <w:r>
          <w:rPr>
            <w:rStyle w:val="Hyperlink"/>
          </w:rPr>
          <w:t xml:space="preserve">[3]</w:t>
        </w:r>
      </w:hyperlink>
      <w:r>
        <w:t xml:space="preserve"> </w:t>
      </w:r>
      <w:hyperlink w:anchor="ref-5">
        <w:r>
          <w:rPr>
            <w:rStyle w:val="Hyperlink"/>
          </w:rPr>
          <w:t xml:space="preserve">[5]</w:t>
        </w:r>
      </w:hyperlink>
      <w:r>
        <w:t xml:space="preserve">. That structure, if present, should be visible in the cross-section, where attention and venue predict thematic density, and possibly in the temporal accumulation of citations, where age predicts citation stock</w:t>
      </w:r>
      <w:r>
        <w:t xml:space="preserve"> </w:t>
      </w:r>
      <w:hyperlink w:anchor="ref-16">
        <w:r>
          <w:rPr>
            <w:rStyle w:val="Hyperlink"/>
          </w:rPr>
          <w:t xml:space="preserve">[16]</w:t>
        </w:r>
      </w:hyperlink>
      <w:r>
        <w:t xml:space="preserve">. The two hypotheses test these two visibility channels separately, each with a pre-committed reading for both significance and its absence. If the corpus is legibly structured, at least one channel returns a precise, signed coefficient; if it is not, the study reports the flatness as a mapped feature of the record rather than as a failure</w:t>
      </w:r>
      <w:r>
        <w:t xml:space="preserve"> </w:t>
      </w:r>
      <w:hyperlink w:anchor="ref-4">
        <w:r>
          <w:rPr>
            <w:rStyle w:val="Hyperlink"/>
          </w:rPr>
          <w:t xml:space="preserve">[4]</w:t>
        </w:r>
      </w:hyperlink>
      <w:r>
        <w:t xml:space="preserve">. This chain is deliberately falsifiable at every link. The transmission assumption could break, and the citation predictor is chosen to reveal it if it does</w:t>
      </w:r>
      <w:r>
        <w:t xml:space="preserve"> </w:t>
      </w:r>
      <w:hyperlink w:anchor="ref-7">
        <w:r>
          <w:rPr>
            <w:rStyle w:val="Hyperlink"/>
          </w:rPr>
          <w:t xml:space="preserve">[7]</w:t>
        </w:r>
      </w:hyperlink>
      <w:r>
        <w:t xml:space="preserve">. The cross-sectional prediction could fail, in which case H0 in Paper 1 survives and the topic is judged not yet legible in structured metadata. The temporal prediction could fail independently, in which case H0 in Paper 2 survives and the accumulation curve is judged absent on present data</w:t>
      </w:r>
      <w:r>
        <w:t xml:space="preserve"> </w:t>
      </w:r>
      <w:hyperlink w:anchor="ref-11">
        <w:r>
          <w:rPr>
            <w:rStyle w:val="Hyperlink"/>
          </w:rPr>
          <w:t xml:space="preserve">[11]</w:t>
        </w:r>
      </w:hyperlink>
      <w:r>
        <w:t xml:space="preserve">. Because each link can be checked against a specific estimate, the framework does not merely organize the discussion; it exposes itself to refutation, which is the property that lets Chapter 6 function as a genuine test rather than a confirmation exercise</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94"/>
    <w:bookmarkEnd w:id="95"/>
    <w:bookmarkStart w:id="108"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sets out the two estimators and argues what each can and cannot identify. The posture is conservative by design. Two models. Thirty records. No experiment. Neither model claims randomized assignment, and neither claims that public metadata reveals every causal pathway from orbital crowding to institutional response. Each model asks a sharper and more defensible question: do the variables built from the retained record explain the observed outcome better than a null account of no systematic relationship</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96" w:name="X9895e83558a653dbaaf9904cdbf985a94f8f486"/>
    <w:p>
      <w:pPr>
        <w:pStyle w:val="Heading2"/>
        <w:spacing w:line="480" w:lineRule="auto"/>
      </w:pPr>
      <w:r>
        <w:t xml:space="preserve">Estimator one: ordinary least squares on the cross-section</w:t>
      </w:r>
    </w:p>
    <w:p>
      <w:pPr>
        <w:pStyle w:val="FirstParagraph"/>
        <w:spacing w:line="480" w:lineRule="auto"/>
      </w:pPr>
      <w:r>
        <w:t xml:space="preserve">Paper 1 estimates an ordinary least squares regression of the topic-signal score on three predictors. The specification recorded in the configuration file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Ordinary least squares fits this model by choosing the coefficients that minimize the sum of squared residuals, which under standard conditions yields the best linear unbiased predictor of the outcome given the regressors. The choice is appropriate because the first empirical question is genuinely cross-sectional: it asks whether variation in the topic signal across the thirty records lines up with variation in recency, attention, and venue. A linear additive form is the natural first pass when no theory demands interactions or curvature in the cross-section, and it keeps each coefficient directly interpretable as the marginal change in the signal score per unit change in a predictor, holding the others fixed. Standard errors are computed with the HC1 heteroskedasticity-consistent estimator. This matters. The reason is concrete. The records span conference proceedings with zero reported local citations and journal articles with citation counts ranging into the seventies, so the residual variance almost certainly differs across the range of the regressors</w:t>
      </w:r>
      <w:r>
        <w:t xml:space="preserve"> </w:t>
      </w:r>
      <w:hyperlink w:anchor="ref-5">
        <w:r>
          <w:rPr>
            <w:rStyle w:val="Hyperlink"/>
          </w:rPr>
          <w:t xml:space="preserve">[5]</w:t>
        </w:r>
      </w:hyperlink>
      <w:r>
        <w:t xml:space="preserve">. Classical standard errors assume constant residual variance and would misstate precision when that assumption fails. The HC1 correction relaxes the assumption, adjusting the reported standard errors so that the p-values and significance calls are not artifacts of unmodeled heteroskedasticity. Using robust errors is the difference between a defensible precision claim and a fragile one.</w:t>
      </w:r>
    </w:p>
    <w:p>
      <w:pPr>
        <w:pStyle w:val="BodyText"/>
        <w:spacing w:line="480" w:lineRule="auto"/>
        <w:ind w:firstLine="720"/>
      </w:pPr>
      <w:r>
        <w:t xml:space="preserve">What ordinary least squares identifies here is an association, not a treatment effect. The coefficient on citation attention, for instance, measures how the topic-signal score co-moves with reported citations across records; it does not establish that attention causes thematic density or the reverse. The design accepts this limit openly. The value of the estimate is that it disciplines a claim that would otherwise be made by eye, converting the impression that recognized work is thematically denser into a signed, precision-bounded number that a reader can check against the data.</w:t>
      </w:r>
    </w:p>
    <w:p>
      <w:pPr>
        <w:pStyle w:val="BodyText"/>
        <w:spacing w:line="480" w:lineRule="auto"/>
        <w:ind w:firstLine="720"/>
      </w:pPr>
      <w:r>
        <w:t xml:space="preserve">Consider what that correction buys. It keeps the precision claims honest. Nothing more, nothing less.</w:t>
      </w:r>
    </w:p>
    <w:bookmarkEnd w:id="96"/>
    <w:bookmarkStart w:id="97" w:name="estimator-two-the-log-log-learning-curve"/>
    <w:p>
      <w:pPr>
        <w:pStyle w:val="Heading2"/>
        <w:spacing w:line="480" w:lineRule="auto"/>
      </w:pPr>
      <w:r>
        <w:t xml:space="preserve">Estimator two: the log-log learning curve</w:t>
      </w:r>
    </w:p>
    <w:p>
      <w:pPr>
        <w:pStyle w:val="FirstParagraph"/>
        <w:spacing w:line="480" w:lineRule="auto"/>
      </w:pPr>
      <w:r>
        <w:t xml:space="preserve">Paper 2 estimates a learning-curve model in which both the outcome and the single predictor are log-transformed. The specification recorded in the configuration file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outcome is the reported citation count plus one, and the plus-one is not cosmetic. The null still informs. Many records report zero local citations, and the logarithm of zero is undefined, so adding one before the transformation keeps every observation in the sample rather than silently dropping the uncited records, which are precisely the ones a naive log would discard</w:t>
      </w:r>
      <w:r>
        <w:t xml:space="preserve"> </w:t>
      </w:r>
      <w:hyperlink w:anchor="ref-11">
        <w:r>
          <w:rPr>
            <w:rStyle w:val="Hyperlink"/>
          </w:rPr>
          <w:t xml:space="preserve">[11]</w:t>
        </w:r>
      </w:hyperlink>
      <w:r>
        <w:t xml:space="preserve">. The predictor is the article-age index, computed as 2026 minus the publication year plus one, then logged. Regressing log citations on log age makes the slope coefficient an elasticity: it reports the percentage change in the citation stock associated with a one percent change in article age. Doubling the age scales the expected citation stock by two raised to that elasticity, a quantity the configuration reports as the progress ratio. The learning-curve form identifies the shape of accumulation, not its cause. A positive elasticity would indicate that older records carry more citations, consistent with steady accrual over time. A negative elasticity would indicate the opposite, that newer records draw citation attention at least as fast as older ones, consistent with an accelerating field. Because both variables are logged, the estimator is fitting a constant-elasticity relationship, which is the standard functional assumption of learning-curve analysis and the reason the single slope is so directly interpretable. HC1 robust errors are again used, for the same heteroskedasticity reason: the single influential record with seventy-one citations sits far from the mass of low-citation records and would otherwise distort the classical precision estimate</w:t>
      </w:r>
      <w:r>
        <w:t xml:space="preserve"> </w:t>
      </w:r>
      <w:hyperlink w:anchor="ref-5">
        <w:r>
          <w:rPr>
            <w:rStyle w:val="Hyperlink"/>
          </w:rPr>
          <w:t xml:space="preserve">[5]</w:t>
        </w:r>
      </w:hyperlink>
      <w:r>
        <w:t xml:space="preserve">.</w:t>
      </w:r>
    </w:p>
    <w:p>
      <w:pPr>
        <w:pStyle w:val="BodyText"/>
        <w:spacing w:line="480" w:lineRule="auto"/>
        <w:ind w:firstLine="720"/>
      </w:pPr>
      <w:r>
        <w:t xml:space="preserve">The plus-one is not a trick. It saves the zeros. Those zeros are the proceedings, and they matter most.</w:t>
      </w:r>
    </w:p>
    <w:bookmarkEnd w:id="97"/>
    <w:bookmarkStart w:id="98" w:name="X98cd68339339296b7bea8405a8c3a44a65344e8"/>
    <w:p>
      <w:pPr>
        <w:pStyle w:val="Heading2"/>
        <w:spacing w:line="480" w:lineRule="auto"/>
      </w:pPr>
      <w:r>
        <w:t xml:space="preserve">Why these estimators identify what the hypotheses ask</w:t>
      </w:r>
    </w:p>
    <w:p>
      <w:pPr>
        <w:pStyle w:val="FirstParagraph"/>
        <w:spacing w:line="480" w:lineRule="auto"/>
      </w:pPr>
      <w:r>
        <w:t xml:space="preserve">Identification, in a design with no experiment, rests on the match between the question and the estimator. Paper 1 asks a cross-sectional question and uses a cross-sectional estimator whose coefficients answer it in the units of the outcome. Paper 2 asks a temporal-accumulation question and uses a log-log estimator whose single coefficient answers it as an elasticity. Neither model is asked to carry the other’s question, which is the specific over-reach the two-paper structure is built to prevent. Reporting both, side by side, lets structure and accumulation be judged separately rather than conflated into one over-worked specification. The identifying assumptions are correspondingly limited and stated plainly. For Paper 1, the association is identified conditional on the retained corpus and the three coded predictors; any omitted driver of the topic signal that correlates with a regressor will bias that regressor’s coefficient, and the model cannot rule such drivers out</w:t>
      </w:r>
      <w:r>
        <w:t xml:space="preserve"> </w:t>
      </w:r>
      <w:hyperlink w:anchor="ref-4">
        <w:r>
          <w:rPr>
            <w:rStyle w:val="Hyperlink"/>
          </w:rPr>
          <w:t xml:space="preserve">[4]</w:t>
        </w:r>
      </w:hyperlink>
      <w:r>
        <w:t xml:space="preserve"> </w:t>
      </w:r>
      <w:hyperlink w:anchor="ref-6">
        <w:r>
          <w:rPr>
            <w:rStyle w:val="Hyperlink"/>
          </w:rPr>
          <w:t xml:space="preserve">[6]</w:t>
        </w:r>
      </w:hyperlink>
      <w:r>
        <w:t xml:space="preserve">. For Paper 2, the elasticity is identified under the assumption that reported local citation counts are comparable across records of different ages, an assumption the local index only partially satisfies</w:t>
      </w:r>
      <w:r>
        <w:t xml:space="preserve"> </w:t>
      </w:r>
      <w:hyperlink w:anchor="ref-3">
        <w:r>
          <w:rPr>
            <w:rStyle w:val="Hyperlink"/>
          </w:rPr>
          <w:t xml:space="preserve">[3]</w:t>
        </w:r>
      </w:hyperlink>
      <w:r>
        <w:t xml:space="preserve">. These are not fatal flaws. They are the boundary of the claim, and locating that boundary precisely is the methodological contribution.</w:t>
      </w:r>
    </w:p>
    <w:bookmarkEnd w:id="98"/>
    <w:bookmarkStart w:id="99" w:name="X6ef134cfb22e363f4cbb8649c146917bc99752e"/>
    <w:p>
      <w:pPr>
        <w:pStyle w:val="Heading2"/>
        <w:spacing w:line="480" w:lineRule="auto"/>
      </w:pPr>
      <w:r>
        <w:t xml:space="preserve">Threats the method addresses and threats it does not</w:t>
      </w:r>
    </w:p>
    <w:p>
      <w:pPr>
        <w:pStyle w:val="FirstParagraph"/>
        <w:spacing w:line="480" w:lineRule="auto"/>
      </w:pPr>
      <w:r>
        <w:t xml:space="preserve">Four threats bear on both estimators. Source selection limits external validity, because the thirty records are a retrieved sample rather than the full field, so every estimate is a statement about the retained corpus first and the wider literature only by cautious extension</w:t>
      </w:r>
      <w:r>
        <w:t xml:space="preserve"> </w:t>
      </w:r>
      <w:hyperlink w:anchor="ref-5">
        <w:r>
          <w:rPr>
            <w:rStyle w:val="Hyperlink"/>
          </w:rPr>
          <w:t xml:space="preserve">[5]</w:t>
        </w:r>
      </w:hyperlink>
      <w:r>
        <w:t xml:space="preserve">. Proxy measurement limits construct validity, because citation counts, venue scores, and topic-term hits stand in for concepts they do not perfectly capture</w:t>
      </w:r>
      <w:r>
        <w:t xml:space="preserve"> </w:t>
      </w:r>
      <w:hyperlink w:anchor="ref-7">
        <w:r>
          <w:rPr>
            <w:rStyle w:val="Hyperlink"/>
          </w:rPr>
          <w:t xml:space="preserve">[7]</w:t>
        </w:r>
      </w:hyperlink>
      <w:r>
        <w:t xml:space="preserve">. Omitted variables limit internal validity, because a metadata model cannot include every technical, institutional, and market driver of how a topic is written about</w:t>
      </w:r>
      <w:r>
        <w:t xml:space="preserve"> </w:t>
      </w:r>
      <w:hyperlink w:anchor="ref-16">
        <w:r>
          <w:rPr>
            <w:rStyle w:val="Hyperlink"/>
          </w:rPr>
          <w:t xml:space="preserve">[16]</w:t>
        </w:r>
      </w:hyperlink>
      <w:r>
        <w:t xml:space="preserve">. Overinterpretation is a threat of exposition rather than estimation, and the remedy is procedural: report the numbers first, interpret second, and let a weak coefficient stand as weak. The robust standard errors address heteroskedasticity but not the other three threats, and the dissertation does not pretend otherwise. What the method delivers is a reproducible, auditable association, correctly bounded, rather than an inflated effect the data cannot support</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99"/>
    <w:bookmarkStart w:id="100" w:name="X45ae48dcbba628474cb967a991da9dbd6e35f53"/>
    <w:p>
      <w:pPr>
        <w:pStyle w:val="Heading2"/>
        <w:spacing w:line="480" w:lineRule="auto"/>
      </w:pPr>
      <w:r>
        <w:t xml:space="preserve">Sample size, power, and the honest reading of nulls</w:t>
      </w:r>
    </w:p>
    <w:p>
      <w:pPr>
        <w:pStyle w:val="FirstParagraph"/>
        <w:spacing w:line="480" w:lineRule="auto"/>
      </w:pPr>
      <w:r>
        <w:t xml:space="preserve">A sample of thirty records is small, and any methodology chapter that ignored the consequences for statistical power would be incomplete. The trail stays open. With three predictors and thirty observations, Paper 1 has twenty-six residual degrees of freedom, which is enough to estimate the model but not enough to detect small effects with confidence. This has a direct bearing on how nulls must be read. When a coefficient is imprecise in a small sample, two explanations coexist: the true effect may be near zero, or the true effect may be real but too small for thirty records to resolve. The design cannot always distinguish these, and the interpretation in Chapter 6 is careful to say so rather than treating every null as proof of absence</w:t>
      </w:r>
      <w:r>
        <w:t xml:space="preserve"> </w:t>
      </w:r>
      <w:hyperlink w:anchor="ref-4">
        <w:r>
          <w:rPr>
            <w:rStyle w:val="Hyperlink"/>
          </w:rPr>
          <w:t xml:space="preserve">[4]</w:t>
        </w:r>
      </w:hyperlink>
      <w:r>
        <w:t xml:space="preserve">. The implication runs the other way for the significant coefficients. A coefficient that clears a conventional threshold in a sample this small is, if anything, more notable than the same result in a large sample, because the small sample makes significance harder to achieve. So a precise citation coefficient in Paper 1 is not a fragile artifact of overpowered estimation; it is a signal strong enough to emerge from limited data. Reading significance and non-significance asymmetrically, cautious about nulls and attentive to precise estimates, is the correct posture for a small-N design and is applied consistently in the results</w:t>
      </w:r>
      <w:r>
        <w:t xml:space="preserve"> </w:t>
      </w:r>
      <w:hyperlink w:anchor="ref-5">
        <w:r>
          <w:rPr>
            <w:rStyle w:val="Hyperlink"/>
          </w:rPr>
          <w:t xml:space="preserve">[5]</w:t>
        </w:r>
      </w:hyperlink>
      <w:r>
        <w:t xml:space="preserve">.</w:t>
      </w:r>
    </w:p>
    <w:bookmarkEnd w:id="100"/>
    <w:bookmarkStart w:id="101" w:name="why-not-a-more-elaborate-model"/>
    <w:p>
      <w:pPr>
        <w:pStyle w:val="Heading2"/>
        <w:spacing w:line="480" w:lineRule="auto"/>
      </w:pPr>
      <w:r>
        <w:t xml:space="preserve">Why not a more elaborate model</w:t>
      </w:r>
    </w:p>
    <w:p>
      <w:pPr>
        <w:pStyle w:val="FirstParagraph"/>
        <w:spacing w:line="480" w:lineRule="auto"/>
      </w:pPr>
      <w:r>
        <w:t xml:space="preserve">A reviewer might ask why the design does not use interaction terms, fixed effects for venue, or a count model for the citation outcome. Every number traces back. Each alternative was available and each was declined for a reason grounded in the data rather than in convenience. Interaction terms would consume scarce degrees of freedom to estimate effects the theory does not predict, inviting overfitting in a thirty-row dataset</w:t>
      </w:r>
      <w:r>
        <w:t xml:space="preserve"> </w:t>
      </w:r>
      <w:hyperlink w:anchor="ref-6">
        <w:r>
          <w:rPr>
            <w:rStyle w:val="Hyperlink"/>
          </w:rPr>
          <w:t xml:space="preserve">[6]</w:t>
        </w:r>
      </w:hyperlink>
      <w:r>
        <w:t xml:space="preserve">. Venue fixed effects would absorb the very venue variation the study wants to measure, since venue family is a substantive predictor here, not a nuisance to be partialed out</w:t>
      </w:r>
      <w:r>
        <w:t xml:space="preserve"> </w:t>
      </w:r>
      <w:hyperlink w:anchor="ref-1">
        <w:r>
          <w:rPr>
            <w:rStyle w:val="Hyperlink"/>
          </w:rPr>
          <w:t xml:space="preserve">[1]</w:t>
        </w:r>
      </w:hyperlink>
      <w:r>
        <w:t xml:space="preserve">. A count model for citations would be defensible for the raw counts, but Paper 2 deliberately studies the logged count-plus-one to obtain an elasticity, and Paper 1 uses citations as a right-hand-side predictor where the linear form is adequate</w:t>
      </w:r>
      <w:r>
        <w:t xml:space="preserve"> </w:t>
      </w:r>
      <w:hyperlink w:anchor="ref-11">
        <w:r>
          <w:rPr>
            <w:rStyle w:val="Hyperlink"/>
          </w:rPr>
          <w:t xml:space="preserve">[11]</w:t>
        </w:r>
      </w:hyperlink>
      <w:r>
        <w:t xml:space="preserve">. The chosen specifications are the simplest ones that answer the stated questions, which is the appropriate standard when data are scarce and the goal is an auditable screen rather than a maximally flexible fit</w:t>
      </w:r>
      <w:r>
        <w:t xml:space="preserve"> </w:t>
      </w:r>
      <w:hyperlink w:anchor="ref-9">
        <w:r>
          <w:rPr>
            <w:rStyle w:val="Hyperlink"/>
          </w:rPr>
          <w:t xml:space="preserve">[9]</w:t>
        </w:r>
      </w:hyperlink>
      <w:r>
        <w:t xml:space="preserve">.</w:t>
      </w:r>
    </w:p>
    <w:bookmarkEnd w:id="101"/>
    <w:bookmarkStart w:id="102" w:name="the-role-of-the-deterministic-workbook"/>
    <w:p>
      <w:pPr>
        <w:pStyle w:val="Heading2"/>
        <w:spacing w:line="480" w:lineRule="auto"/>
      </w:pPr>
      <w:r>
        <w:t xml:space="preserve">The role of the deterministic workbook</w:t>
      </w:r>
    </w:p>
    <w:p>
      <w:pPr>
        <w:pStyle w:val="FirstParagraph"/>
        <w:spacing w:line="480" w:lineRule="auto"/>
      </w:pPr>
      <w:r>
        <w:t xml:space="preserve">Identification in this design also rests on reproducibility, which is a methodological virtue that deserves its own note. The corpus is finite. Both models are run in deterministic exercises whose inputs are the published data files and whose outputs are transcribed into Chapter 6 without adjustment. This matters because it removes the analyst as a source of hidden variation. Given the same data file and the same configuration, any competent analyst using ordinary least squares with HC1 errors would recover the same coefficients to the reported precision</w:t>
      </w:r>
      <w:r>
        <w:t xml:space="preserve"> </w:t>
      </w:r>
      <w:hyperlink w:anchor="ref-3">
        <w:r>
          <w:rPr>
            <w:rStyle w:val="Hyperlink"/>
          </w:rPr>
          <w:t xml:space="preserve">[3]</w:t>
        </w:r>
      </w:hyperlink>
      <w:r>
        <w:t xml:space="preserve">. The estimates are therefore not a matter of the author’s judgment about model tuning; they are a fixed property of the data under a pre-specified model. That fixity is what lets the dissertation claim its numbers are auditable rather than merely reported, and it is the final piece of the identification argument: the association is not only correctly bounded but also independently checkable by anyone with the files</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102"/>
    <w:bookmarkStart w:id="103" w:name="X3fdf544363fa64bf47e4fa65f59180dc2ed5f76"/>
    <w:p>
      <w:pPr>
        <w:pStyle w:val="Heading2"/>
        <w:spacing w:line="480" w:lineRule="auto"/>
      </w:pPr>
      <w:r>
        <w:t xml:space="preserve">Interpreting coefficients across two different scales</w:t>
      </w:r>
    </w:p>
    <w:p>
      <w:pPr>
        <w:pStyle w:val="FirstParagraph"/>
        <w:spacing w:line="480" w:lineRule="auto"/>
      </w:pPr>
      <w:r>
        <w:t xml:space="preserve">The two estimators report their coefficients on different scales, and reading them correctly requires holding that difference in mind. Attention concentrates unevenly. Paper 1’s coefficients are in the natural units of the signal score: a recency coefficient is points of signal score per unit of recency, a citation coefficient is points per citation, and a venue coefficient is points per venue step</w:t>
      </w:r>
      <w:r>
        <w:t xml:space="preserve"> </w:t>
      </w:r>
      <w:hyperlink w:anchor="ref-5">
        <w:r>
          <w:rPr>
            <w:rStyle w:val="Hyperlink"/>
          </w:rPr>
          <w:t xml:space="preserve">[5]</w:t>
        </w:r>
      </w:hyperlink>
      <w:r>
        <w:t xml:space="preserve">. These are directly interpretable as marginal effects, which is one advantage of the linear form. Paper 2’s single slope is on a log-log scale, so it is an elasticity rather than a marginal effect: it reports the proportional change in citation stock for a proportional change in age, and the associated progress ratio expresses how the stock scales when age doubles</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A reader who confused the two scales would misread the elasticity as though it were a raw slope, which is why Chapter 6 states the scale explicitly for each coefficient before interpreting it.</w:t>
      </w:r>
    </w:p>
    <w:p>
      <w:pPr>
        <w:pStyle w:val="BodyText"/>
        <w:spacing w:line="480" w:lineRule="auto"/>
        <w:ind w:firstLine="720"/>
      </w:pPr>
      <w:r>
        <w:t xml:space="preserve">The scale difference is not a nuisance; it follows from the questions. The fit is partial. A cross-sectional structure question is naturally answered in the outcome’s own units, because the point is how much the signal moves per unit of predictor. An accumulation question is naturally answered as an elasticity, because the point is the shape of growth, and a constant-elasticity slope is the cleanest summary of that shape</w:t>
      </w:r>
      <w:r>
        <w:t xml:space="preserve"> </w:t>
      </w:r>
      <w:hyperlink w:anchor="ref-9">
        <w:r>
          <w:rPr>
            <w:rStyle w:val="Hyperlink"/>
          </w:rPr>
          <w:t xml:space="preserve">[9]</w:t>
        </w:r>
      </w:hyperlink>
      <w:r>
        <w:t xml:space="preserve">. Matching the reporting scale to the question is part of the identification discipline, and it prevents the common error of comparing a marginal effect and an elasticity as though they were the same kind of number.</w:t>
      </w:r>
    </w:p>
    <w:bookmarkEnd w:id="103"/>
    <w:bookmarkStart w:id="104" w:name="what-identification-does-not-require"/>
    <w:p>
      <w:pPr>
        <w:pStyle w:val="Heading2"/>
        <w:spacing w:line="480" w:lineRule="auto"/>
      </w:pPr>
      <w:r>
        <w:t xml:space="preserve">What identification does not require</w:t>
      </w:r>
    </w:p>
    <w:p>
      <w:pPr>
        <w:pStyle w:val="FirstParagraph"/>
        <w:spacing w:line="480" w:lineRule="auto"/>
      </w:pPr>
      <w:r>
        <w:t xml:space="preserve">It is worth stating what the design deliberately does not assume, because over-claiming the assumptions is as much a failure as under-stating them. The claim stays narrow. The models do not assume that the retained corpus is a random sample of the field; they assume only that it is the corpus about which conclusions will be drawn, with extension beyond it treated as conjecture</w:t>
      </w:r>
      <w:r>
        <w:t xml:space="preserve"> </w:t>
      </w:r>
      <w:hyperlink w:anchor="ref-5">
        <w:r>
          <w:rPr>
            <w:rStyle w:val="Hyperlink"/>
          </w:rPr>
          <w:t xml:space="preserve">[5]</w:t>
        </w:r>
      </w:hyperlink>
      <w:r>
        <w:t xml:space="preserve">. They do not assume that citation counts are complete; they assume only that the local counts are a usable, if imperfect, proxy whose limits bias the accumulation estimate toward the null</w:t>
      </w:r>
      <w:r>
        <w:t xml:space="preserve"> </w:t>
      </w:r>
      <w:hyperlink w:anchor="ref-3">
        <w:r>
          <w:rPr>
            <w:rStyle w:val="Hyperlink"/>
          </w:rPr>
          <w:t xml:space="preserve">[3]</w:t>
        </w:r>
      </w:hyperlink>
      <w:r>
        <w:t xml:space="preserve">. They do not assume linearity in the true data-generating process; they assume linearity as a first-pass functional form whose adequacy is judged by fit and whose failure would show up as poor explanatory power</w:t>
      </w:r>
      <w:r>
        <w:t xml:space="preserve"> </w:t>
      </w:r>
      <w:hyperlink w:anchor="ref-6">
        <w:r>
          <w:rPr>
            <w:rStyle w:val="Hyperlink"/>
          </w:rPr>
          <w:t xml:space="preserve">[6]</w:t>
        </w:r>
      </w:hyperlink>
      <w:r>
        <w:t xml:space="preserve">. Stating these non-requirements matters because a critic could otherwise attribute stronger assumptions to the design and reject it for failing to meet them. The design meets a modest set of assumptions and claims only what that set supports, which is the posture that keeps a non-experimental screen defensible</w:t>
      </w:r>
      <w:r>
        <w:t xml:space="preserve"> </w:t>
      </w:r>
      <w:hyperlink w:anchor="ref-2">
        <w:r>
          <w:rPr>
            <w:rStyle w:val="Hyperlink"/>
          </w:rPr>
          <w:t xml:space="preserve">[2]</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Small samples punish overreach. This one is small. The discipline follows from the size.</w:t>
      </w:r>
    </w:p>
    <w:bookmarkEnd w:id="104"/>
    <w:bookmarkStart w:id="105" w:name="X25f3f631f8b43531ec4e1cd1b1171c171129f86"/>
    <w:p>
      <w:pPr>
        <w:pStyle w:val="Heading2"/>
        <w:spacing w:line="480" w:lineRule="auto"/>
      </w:pPr>
      <w:r>
        <w:t xml:space="preserve">Robustness the design can and cannot offer</w:t>
      </w:r>
    </w:p>
    <w:p>
      <w:pPr>
        <w:pStyle w:val="FirstParagraph"/>
        <w:spacing w:line="480" w:lineRule="auto"/>
      </w:pPr>
      <w:r>
        <w:t xml:space="preserve">A methodology chapter should be candid about which robustness checks are feasible in a design this small and which are not. Reproducibility anchors the work. Feasible checks include inspecting whether the significant coefficients survive the robust error structure, which they do, and confirming that the influential seventy-one-citation record does not single-handedly drive the citation result, which the HC1 errors are constructed to guard against</w:t>
      </w:r>
      <w:r>
        <w:t xml:space="preserve"> </w:t>
      </w:r>
      <w:hyperlink w:anchor="ref-5">
        <w:r>
          <w:rPr>
            <w:rStyle w:val="Hyperlink"/>
          </w:rPr>
          <w:t xml:space="preserve">[5]</w:t>
        </w:r>
      </w:hyperlink>
      <w:r>
        <w:t xml:space="preserve">. Also feasible is the qualitative check that the venue coefficient’s sign is consistent with the known field-completeness pattern in the economy tail, a check that Chapter 5 sets up and Chapter 6 applies</w:t>
      </w:r>
      <w:r>
        <w:t xml:space="preserve"> </w:t>
      </w:r>
      <w:hyperlink w:anchor="ref-16">
        <w:r>
          <w:rPr>
            <w:rStyle w:val="Hyperlink"/>
          </w:rPr>
          <w:t xml:space="preserve">[16]</w:t>
        </w:r>
      </w:hyperlink>
      <w:r>
        <w:t xml:space="preserve">. These are real robustness moves, and they are reported rather than assumed. Infeasible checks include cross-validation, subsample stability across many folds, and the estimation of interaction structure, all of which a thirty-row dataset cannot support without inviting the overfitting the design is trying to avoid</w:t>
      </w:r>
      <w:r>
        <w:t xml:space="preserve"> </w:t>
      </w:r>
      <w:hyperlink w:anchor="ref-6">
        <w:r>
          <w:rPr>
            <w:rStyle w:val="Hyperlink"/>
          </w:rPr>
          <w:t xml:space="preserve">[6]</w:t>
        </w:r>
      </w:hyperlink>
      <w:r>
        <w:t xml:space="preserve">. Attempting them would produce numbers that looked like robustness but functioned as noise. The honest position is that the design offers the robustness a small deterministic screen can offer, robust standard errors, outlier-awareness, and a qualitative consistency check, and does not manufacture the appearance of more</w:t>
      </w:r>
      <w:r>
        <w:t xml:space="preserve"> </w:t>
      </w:r>
      <w:hyperlink w:anchor="ref-3">
        <w:r>
          <w:rPr>
            <w:rStyle w:val="Hyperlink"/>
          </w:rPr>
          <w:t xml:space="preserve">[3]</w:t>
        </w:r>
      </w:hyperlink>
      <w:r>
        <w:t xml:space="preserve">. A reader who wants stronger robustness is directed to the larger, richer dataset that the conclusion recommends, because that is where such checks would become meaningful rather than decorative</w:t>
      </w:r>
      <w:r>
        <w:t xml:space="preserve"> </w:t>
      </w:r>
      <w:hyperlink w:anchor="ref-7">
        <w:r>
          <w:rPr>
            <w:rStyle w:val="Hyperlink"/>
          </w:rPr>
          <w:t xml:space="preserve">[7]</w:t>
        </w:r>
      </w:hyperlink>
      <w:r>
        <w:t xml:space="preserve">.</w:t>
      </w:r>
    </w:p>
    <w:bookmarkEnd w:id="105"/>
    <w:bookmarkStart w:id="106" w:name="X7c31d286ead71e916a2c7cca83a6819c604f5ab"/>
    <w:p>
      <w:pPr>
        <w:pStyle w:val="Heading2"/>
        <w:spacing w:line="480" w:lineRule="auto"/>
      </w:pPr>
      <w:r>
        <w:t xml:space="preserve">Why the estimator choice is defensible to a committee</w:t>
      </w:r>
    </w:p>
    <w:p>
      <w:pPr>
        <w:pStyle w:val="FirstParagraph"/>
        <w:spacing w:line="480" w:lineRule="auto"/>
      </w:pPr>
      <w:r>
        <w:t xml:space="preserve">A doctoral committee will ask whether ordinary least squares and a log-log learning curve are the right tools, and the defense rests on the match between tool and question rather than on the tools’ sophistication. The mechanism is indirect. Ordinary least squares is the standard estimator for a cross-sectional association with a continuous outcome, and its coefficients are directly interpretable as marginal effects, which is exactly what the first hypothesis asks about</w:t>
      </w:r>
      <w:r>
        <w:t xml:space="preserve"> </w:t>
      </w:r>
      <w:hyperlink w:anchor="ref-5">
        <w:r>
          <w:rPr>
            <w:rStyle w:val="Hyperlink"/>
          </w:rPr>
          <w:t xml:space="preserve">[5]</w:t>
        </w:r>
      </w:hyperlink>
      <w:r>
        <w:t xml:space="preserve">. The log-log learning curve is the standard estimator for a constant-elasticity accumulation relationship, and its slope is directly interpretable as an elasticity, which is exactly what the second hypothesis asks about</w:t>
      </w:r>
      <w:r>
        <w:t xml:space="preserve"> </w:t>
      </w:r>
      <w:hyperlink w:anchor="ref-9">
        <w:r>
          <w:rPr>
            <w:rStyle w:val="Hyperlink"/>
          </w:rPr>
          <w:t xml:space="preserve">[9]</w:t>
        </w:r>
      </w:hyperlink>
      <w:r>
        <w:t xml:space="preserve"> </w:t>
      </w:r>
      <w:hyperlink w:anchor="ref-11">
        <w:r>
          <w:rPr>
            <w:rStyle w:val="Hyperlink"/>
          </w:rPr>
          <w:t xml:space="preserve">[11]</w:t>
        </w:r>
      </w:hyperlink>
      <w:r>
        <w:t xml:space="preserve">. Neither choice is exotic, and that is a virtue: a committee can verify the models against textbook expectations, and a practitioner can reproduce them without specialized training. The methodology’s strength is not novelty but fitness for purpose, and its defensibility comes from the transparency with which each estimator is matched to its question and bounded by its assumptions</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106"/>
    <w:bookmarkStart w:id="107" w:name="X906b157e35a88540c53880dc19ff3ba00b6482e"/>
    <w:p>
      <w:pPr>
        <w:pStyle w:val="Heading2"/>
        <w:spacing w:line="480" w:lineRule="auto"/>
      </w:pPr>
      <w:r>
        <w:t xml:space="preserve">The identification logic stated as a whole</w:t>
      </w:r>
    </w:p>
    <w:p>
      <w:pPr>
        <w:pStyle w:val="FirstParagraph"/>
        <w:spacing w:line="480" w:lineRule="auto"/>
      </w:pPr>
      <w:r>
        <w:t xml:space="preserve">Pulling the pieces together, the identification logic of this dissertation rests on four supports rather than on a single strong assumption. The proxy is coarse. The first support is the match between estimator and question: a cross-sectional estimator for a cross-sectional hypothesis and an elasticity estimator for an accumulation hypothesis, so that each coefficient answers the question it is meant to answer in the units that question demands</w:t>
      </w:r>
      <w:r>
        <w:t xml:space="preserve"> </w:t>
      </w:r>
      <w:hyperlink w:anchor="ref-5">
        <w:r>
          <w:rPr>
            <w:rStyle w:val="Hyperlink"/>
          </w:rPr>
          <w:t xml:space="preserve">[5]</w:t>
        </w:r>
      </w:hyperlink>
      <w:r>
        <w:t xml:space="preserve"> </w:t>
      </w:r>
      <w:hyperlink w:anchor="ref-9">
        <w:r>
          <w:rPr>
            <w:rStyle w:val="Hyperlink"/>
          </w:rPr>
          <w:t xml:space="preserve">[9]</w:t>
        </w:r>
      </w:hyperlink>
      <w:r>
        <w:t xml:space="preserve">. The second support is robust inference: HC1 standard errors that keep the heteroskedastic residuals and the single influential citation record from distorting the precision claims</w:t>
      </w:r>
      <w:r>
        <w:t xml:space="preserve"> </w:t>
      </w:r>
      <w:hyperlink w:anchor="ref-11">
        <w:r>
          <w:rPr>
            <w:rStyle w:val="Hyperlink"/>
          </w:rPr>
          <w:t xml:space="preserve">[11]</w:t>
        </w:r>
      </w:hyperlink>
      <w:r>
        <w:t xml:space="preserve">. The third support is bounded scope: every estimate is a statement about the retained corpus, with extension beyond it flagged as conjecture rather than smuggled in as a conclusion</w:t>
      </w:r>
      <w:r>
        <w:t xml:space="preserve"> </w:t>
      </w:r>
      <w:hyperlink w:anchor="ref-16">
        <w:r>
          <w:rPr>
            <w:rStyle w:val="Hyperlink"/>
          </w:rPr>
          <w:t xml:space="preserve">[16]</w:t>
        </w:r>
      </w:hyperlink>
      <w:r>
        <w:t xml:space="preserve">. The fourth support is reproducibility: deterministic runs from published files, so the numbers are a fixed property of the data rather than an artifact of analyst tuning</w:t>
      </w:r>
      <w:r>
        <w:t xml:space="preserve"> </w:t>
      </w:r>
      <w:hyperlink w:anchor="ref-3">
        <w:r>
          <w:rPr>
            <w:rStyle w:val="Hyperlink"/>
          </w:rPr>
          <w:t xml:space="preserve">[3]</w:t>
        </w:r>
      </w:hyperlink>
      <w:r>
        <w:t xml:space="preserve">.</w:t>
      </w:r>
    </w:p>
    <w:p>
      <w:pPr>
        <w:pStyle w:val="BodyText"/>
        <w:spacing w:line="480" w:lineRule="auto"/>
        <w:ind w:firstLine="720"/>
      </w:pPr>
      <w:r>
        <w:t xml:space="preserve">None of these supports alone would carry the identification, and the design does not pretend that any does. The window spans years. Together they yield a modest but defensible claim: within the retained corpus, under a pre-specified model, the associations are what the coefficients say they are, correctly bounded and independently checkable. That is the ceiling of what a non-experimental metadata screen can identify, and reaching it honestly, without reaching past it, is the methodological achievement the dissertation claims</w:t>
      </w:r>
      <w:r>
        <w:t xml:space="preserve"> </w:t>
      </w:r>
      <w:hyperlink w:anchor="ref-2">
        <w:r>
          <w:rPr>
            <w:rStyle w:val="Hyperlink"/>
          </w:rPr>
          <w:t xml:space="preserve">[2]</w:t>
        </w:r>
      </w:hyperlink>
      <w:r>
        <w:t xml:space="preserve"> </w:t>
      </w:r>
      <w:hyperlink w:anchor="ref-7">
        <w:r>
          <w:rPr>
            <w:rStyle w:val="Hyperlink"/>
          </w:rPr>
          <w:t xml:space="preserve">[7]</w:t>
        </w:r>
      </w:hyperlink>
      <w:r>
        <w:t xml:space="preserve">. The chapters that follow report the estimates and interpret them strictly within that ceiling, which is the discipline that lets a small, simple design produce evidence a reader can trust rather than a conclusion a reader must take on faith</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07"/>
    <w:bookmarkEnd w:id="108"/>
    <w:bookmarkStart w:id="121" w:name="chapter-5.-data-and-measurement"/>
    <w:p>
      <w:pPr>
        <w:pStyle w:val="Heading1"/>
        <w:spacing w:line="480" w:lineRule="auto"/>
      </w:pPr>
      <w:r>
        <w:t xml:space="preserve">Chapter 5. Data and Measurement</w:t>
      </w:r>
    </w:p>
    <w:p>
      <w:pPr>
        <w:pStyle w:val="FirstParagraph"/>
        <w:spacing w:line="480" w:lineRule="auto"/>
      </w:pPr>
      <w:r>
        <w:t xml:space="preserve">The data strategy is built to be inspected. Every observation used in the two models comes from the candidate’s retained source records, and every constructed variable is documented in a configuration file that a reader can open alongside the estimation output. The chain runs in one direction: source records establish the universe, the paper datasets define the rows, the configuration files define the variables and formulas, and the workbooks reproduce the estimator results. The dissertation narrative sits at the end of that chain, never ahead of it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109" w:name="the-sample"/>
    <w:p>
      <w:pPr>
        <w:pStyle w:val="Heading2"/>
        <w:spacing w:line="480" w:lineRule="auto"/>
      </w:pPr>
      <w:r>
        <w:t xml:space="preserve">The sample</w:t>
      </w:r>
    </w:p>
    <w:p>
      <w:pPr>
        <w:pStyle w:val="FirstParagraph"/>
        <w:spacing w:line="480" w:lineRule="auto"/>
      </w:pPr>
      <w:r>
        <w:t xml:space="preserve">Both models estimate on thirty retrieved source records. The records span publication years from 2007 through 2026, giving a nineteen-year window that reaches from the aftermath of the 2007 anti-satellite test to the most recent journal work on launch-traffic forecasting and breakup modeling</w:t>
      </w:r>
      <w:r>
        <w:t xml:space="preserve"> </w:t>
      </w:r>
      <w:hyperlink w:anchor="ref-2">
        <w:r>
          <w:rPr>
            <w:rStyle w:val="Hyperlink"/>
          </w:rPr>
          <w:t xml:space="preserve">[2]</w:t>
        </w:r>
      </w:hyperlink>
      <w:r>
        <w:t xml:space="preserve"> </w:t>
      </w:r>
      <w:hyperlink w:anchor="ref-14">
        <w:r>
          <w:rPr>
            <w:rStyle w:val="Hyperlink"/>
          </w:rPr>
          <w:t xml:space="preserve">[14]</w:t>
        </w:r>
      </w:hyperlink>
      <w:r>
        <w:t xml:space="preserve"> </w:t>
      </w:r>
      <w:hyperlink w:anchor="ref-16">
        <w:r>
          <w:rPr>
            <w:rStyle w:val="Hyperlink"/>
          </w:rPr>
          <w:t xml:space="preserve">[16]</w:t>
        </w:r>
      </w:hyperlink>
      <w:r>
        <w:t xml:space="preserve">. That span is deliberate. A window that stopped short of the recent years would miss the surge of constellation-era writing, and a window that began later would lose the reference event against which the field’s memory is anchored. The thirty records are not drawn from a single venue. They fall into three venue families, coded ordinally. AMOS conference proceedings receive a venue score of 1,</w:t>
      </w:r>
      <w:r>
        <w:t xml:space="preserve"> </w:t>
      </w:r>
      <w:r>
        <w:rPr>
          <w:i/>
          <w:iCs/>
        </w:rPr>
        <w:t xml:space="preserve">Acta Astronautica</w:t>
      </w:r>
      <w:r>
        <w:t xml:space="preserve"> </w:t>
      </w:r>
      <w:r>
        <w:t xml:space="preserve">journal articles receive a 2, and space-economy documents receive a 3. Roughly, the sample runs from a block of AMOS proceedings on conjunction risk, tracking, and debris removal, through a larger block of peer-reviewed</w:t>
      </w:r>
      <w:r>
        <w:t xml:space="preserve"> </w:t>
      </w:r>
      <w:r>
        <w:rPr>
          <w:i/>
          <w:iCs/>
        </w:rPr>
        <w:t xml:space="preserve">Acta Astronautica</w:t>
      </w:r>
      <w:r>
        <w:t xml:space="preserve"> </w:t>
      </w:r>
      <w:r>
        <w:t xml:space="preserve">articles on decay timing, breakup dynamics, and launch forecasting, to a small tail of economic roadmaps and capacity-modeling documents</w:t>
      </w:r>
      <w:r>
        <w:t xml:space="preserve"> </w:t>
      </w:r>
      <w:hyperlink w:anchor="ref-5">
        <w:r>
          <w:rPr>
            <w:rStyle w:val="Hyperlink"/>
          </w:rPr>
          <w:t xml:space="preserve">[5]</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heterogeneity is the point. If orbital sustainability were discussed identically everywhere, the venue-score variable would be inert; because the three families sample different discursive corners, the variable can detect a difference if one exists.</w:t>
      </w:r>
    </w:p>
    <w:bookmarkEnd w:id="109"/>
    <w:bookmarkStart w:id="110" w:name="constructing-the-outcome-for-paper-1"/>
    <w:p>
      <w:pPr>
        <w:pStyle w:val="Heading2"/>
        <w:spacing w:line="480" w:lineRule="auto"/>
      </w:pPr>
      <w:r>
        <w:t xml:space="preserve">Constructing the outcome for Paper 1</w:t>
      </w:r>
    </w:p>
    <w:p>
      <w:pPr>
        <w:pStyle w:val="FirstParagraph"/>
        <w:spacing w:line="480" w:lineRule="auto"/>
      </w:pPr>
      <w:r>
        <w:t xml:space="preserve">The Paper 1 outcome is the topic-signal score, a composite that counts how strongly each record engages the sustainability theme. The verdict is mixed. It is a deterministic count built from candidate-theme term hits in the source title, the retrieved snippet, the keyword field, and the author metadata, with each row carrying the retrieved source in a dedicated source column. The construction is mechanical rather than judgmental: the same term list applied to the same fields would reproduce the same score for any analyst, which is what deterministic means in this setting and why the score can serve as an auditable measurement rather than a rating</w:t>
      </w:r>
      <w:r>
        <w:t xml:space="preserve"> </w:t>
      </w:r>
      <w:hyperlink w:anchor="ref-3">
        <w:r>
          <w:rPr>
            <w:rStyle w:val="Hyperlink"/>
          </w:rPr>
          <w:t xml:space="preserve">[3]</w:t>
        </w:r>
      </w:hyperlink>
      <w:r>
        <w:t xml:space="preserve">. The signal score in the retained data ranges from 1 to 12. The low end is populated by short economic-roadmap entries whose titles and snippets carry little sustainability-specific terminology, several of which score exactly 1</w:t>
      </w:r>
      <w:r>
        <w:t xml:space="preserve"> </w:t>
      </w:r>
      <w:hyperlink w:anchor="ref-16">
        <w:r>
          <w:rPr>
            <w:rStyle w:val="Hyperlink"/>
          </w:rPr>
          <w:t xml:space="preserve">[16]</w:t>
        </w:r>
      </w:hyperlink>
      <w:r>
        <w:t xml:space="preserve">. The high end is populated by AMOS and</w:t>
      </w:r>
      <w:r>
        <w:t xml:space="preserve"> </w:t>
      </w:r>
      <w:r>
        <w:rPr>
          <w:i/>
          <w:iCs/>
        </w:rPr>
        <w:t xml:space="preserve">Acta Astronautica</w:t>
      </w:r>
      <w:r>
        <w:t xml:space="preserve"> </w:t>
      </w:r>
      <w:r>
        <w:t xml:space="preserve">records that stack theme hits across title, snippet, and keywords, reaching scores of 10 to 12</w:t>
      </w:r>
      <w:r>
        <w:t xml:space="preserve"> </w:t>
      </w:r>
      <w:hyperlink w:anchor="ref-5">
        <w:r>
          <w:rPr>
            <w:rStyle w:val="Hyperlink"/>
          </w:rPr>
          <w:t xml:space="preserve">[5]</w:t>
        </w:r>
      </w:hyperlink>
      <w:r>
        <w:t xml:space="preserve">. That spread is wide enough to support a regression and is not the product of a handful of outliers alone; the mass of records sits between roughly 5 and 8.</w:t>
      </w:r>
    </w:p>
    <w:p>
      <w:pPr>
        <w:pStyle w:val="BodyText"/>
        <w:spacing w:line="480" w:lineRule="auto"/>
        <w:ind w:firstLine="720"/>
      </w:pPr>
      <w:r>
        <w:t xml:space="preserve">The spread is wide. Ones at the bottom. Twelves at the top. That range feeds the regression.</w:t>
      </w:r>
    </w:p>
    <w:bookmarkEnd w:id="110"/>
    <w:bookmarkStart w:id="111" w:name="the-predictors-for-paper-1"/>
    <w:p>
      <w:pPr>
        <w:pStyle w:val="Heading2"/>
        <w:spacing w:line="480" w:lineRule="auto"/>
      </w:pPr>
      <w:r>
        <w:t xml:space="preserve">The predictors for Paper 1</w:t>
      </w:r>
    </w:p>
    <w:p>
      <w:pPr>
        <w:pStyle w:val="FirstParagraph"/>
        <w:spacing w:line="480" w:lineRule="auto"/>
      </w:pPr>
      <w:r>
        <w:t xml:space="preserve">Three predictors enter the cross-sectional model. The recency index is computed as the publication year minus the minimum publication year in the sample, plus one, so the oldest record scores 1 and the newest scores 20 across the nineteen-year span. This linear coding lets a single coefficient express whether the signal concentrates in newer work. The citation count is parsed directly from the local brain index and set to zero when the index reported no count, which is the honest treatment for a local index that does not attempt to be a universal citation database</w:t>
      </w:r>
      <w:r>
        <w:t xml:space="preserve"> </w:t>
      </w:r>
      <w:hyperlink w:anchor="ref-3">
        <w:r>
          <w:rPr>
            <w:rStyle w:val="Hyperlink"/>
          </w:rPr>
          <w:t xml:space="preserve">[3]</w:t>
        </w:r>
      </w:hyperlink>
      <w:r>
        <w:t xml:space="preserve">. The reported counts are highly skewed: most records show zero, a cluster of journal articles shows single-digit to mid-teens counts, and one 2021</w:t>
      </w:r>
      <w:r>
        <w:t xml:space="preserve"> </w:t>
      </w:r>
      <w:r>
        <w:rPr>
          <w:i/>
          <w:iCs/>
        </w:rPr>
        <w:t xml:space="preserve">Acta Astronautica</w:t>
      </w:r>
      <w:r>
        <w:t xml:space="preserve"> </w:t>
      </w:r>
      <w:r>
        <w:t xml:space="preserve">article shows seventy-one, an influential record that the robust standard errors are meant to accommodate</w:t>
      </w:r>
      <w:r>
        <w:t xml:space="preserve"> </w:t>
      </w:r>
      <w:hyperlink w:anchor="ref-5">
        <w:r>
          <w:rPr>
            <w:rStyle w:val="Hyperlink"/>
          </w:rPr>
          <w:t xml:space="preserve">[5]</w:t>
        </w:r>
      </w:hyperlink>
      <w:r>
        <w:t xml:space="preserve">. The venue score is the ordinal family code described above.</w:t>
      </w:r>
    </w:p>
    <w:bookmarkEnd w:id="111"/>
    <w:bookmarkStart w:id="112" w:name="constructing-the-variables-for-paper-2"/>
    <w:p>
      <w:pPr>
        <w:pStyle w:val="Heading2"/>
        <w:spacing w:line="480" w:lineRule="auto"/>
      </w:pPr>
      <w:r>
        <w:t xml:space="preserve">Constructing the variables for Paper 2</w:t>
      </w:r>
    </w:p>
    <w:p>
      <w:pPr>
        <w:pStyle w:val="FirstParagraph"/>
        <w:spacing w:line="480" w:lineRule="auto"/>
      </w:pPr>
      <w:r>
        <w:t xml:space="preserve">Paper 2 reuses the same thirty records but reshapes them for the temporal question. Legible here, flat there. Its outcome is the citation count plus one, a transformation that keeps uncited records in the sample once the count is logged; without the plus-one, every zero-citation proceeding would drop out and the estimate would be built only from the cited journal tail, badly biasing the picture of accumulation</w:t>
      </w:r>
      <w:r>
        <w:t xml:space="preserve"> </w:t>
      </w:r>
      <w:hyperlink w:anchor="ref-11">
        <w:r>
          <w:rPr>
            <w:rStyle w:val="Hyperlink"/>
          </w:rPr>
          <w:t xml:space="preserve">[11]</w:t>
        </w:r>
      </w:hyperlink>
      <w:r>
        <w:t xml:space="preserve">. Its single predictor is the article-age index, computed as 2026 minus the publication year plus one, so a 2026 article scores 1 and the 2007 record scores 20. The age index and the recency index are mirror images of the same year field, which is intentional: Paper 1 reads time as recency in the cross-section, while Paper 2 reads time as age in the accumulation curve, and keeping them as separate variables keeps the two questions distinct.</w:t>
      </w:r>
    </w:p>
    <w:bookmarkEnd w:id="112"/>
    <w:bookmarkStart w:id="113" w:name="X1d992225dcb05b77b12553f04bfcbe016c10214"/>
    <w:p>
      <w:pPr>
        <w:pStyle w:val="Heading2"/>
        <w:spacing w:line="480" w:lineRule="auto"/>
      </w:pPr>
      <w:r>
        <w:t xml:space="preserve">Provenance, missingness, and known limitations of the measurement</w:t>
      </w:r>
    </w:p>
    <w:p>
      <w:pPr>
        <w:pStyle w:val="FirstParagraph"/>
        <w:spacing w:line="480" w:lineRule="auto"/>
      </w:pPr>
      <w:r>
        <w:t xml:space="preserve">Provenance is preserved at the row level. Each record’s source column holds either a resolvable digital object identifier, such as the</w:t>
      </w:r>
      <w:r>
        <w:t xml:space="preserve"> </w:t>
      </w:r>
      <w:r>
        <w:rPr>
          <w:i/>
          <w:iCs/>
        </w:rPr>
        <w:t xml:space="preserve">Acta Astronautica</w:t>
      </w:r>
      <w:r>
        <w:t xml:space="preserve"> </w:t>
      </w:r>
      <w:r>
        <w:t xml:space="preserve">entries, or a direct AMOS proceedings URL, or a titled grey-literature reference, so any coefficient can be traced back to the specific documents that produced it</w:t>
      </w:r>
      <w:r>
        <w:t xml:space="preserve"> </w:t>
      </w:r>
      <w:hyperlink w:anchor="ref-4">
        <w:r>
          <w:rPr>
            <w:rStyle w:val="Hyperlink"/>
          </w:rPr>
          <w:t xml:space="preserve">[4]</w:t>
        </w:r>
      </w:hyperlink>
      <w:r>
        <w:t xml:space="preserve"> </w:t>
      </w:r>
      <w:hyperlink w:anchor="ref-7">
        <w:r>
          <w:rPr>
            <w:rStyle w:val="Hyperlink"/>
          </w:rPr>
          <w:t xml:space="preserve">[7]</w:t>
        </w:r>
      </w:hyperlink>
      <w:r>
        <w:t xml:space="preserve">. This is what makes the estimator output auditable rather than merely reported. The measurement has honest limits, and stating them is part of the data description rather than a later apology. The topic-signal score simplifies a rich concept into a term count, so a record could engage sustainability substantively while using vocabulary the term list misses. The local citation counts are index measures, not universal counts, so a record cited widely outside the index will read as uncited here</w:t>
      </w:r>
      <w:r>
        <w:t xml:space="preserve"> </w:t>
      </w:r>
      <w:hyperlink w:anchor="ref-3">
        <w:r>
          <w:rPr>
            <w:rStyle w:val="Hyperlink"/>
          </w:rPr>
          <w:t xml:space="preserve">[3]</w:t>
        </w:r>
      </w:hyperlink>
      <w:r>
        <w:t xml:space="preserve">. The venue coding is ordinal and coarse, capturing only a monotone family effect and unable to represent a non-monotone one</w:t>
      </w:r>
      <w:r>
        <w:t xml:space="preserve"> </w:t>
      </w:r>
      <w:hyperlink w:anchor="ref-1">
        <w:r>
          <w:rPr>
            <w:rStyle w:val="Hyperlink"/>
          </w:rPr>
          <w:t xml:space="preserve">[1]</w:t>
        </w:r>
      </w:hyperlink>
      <w:r>
        <w:t xml:space="preserve">. Several space-economy records carry empty snippet and keyword fields, which mechanically depresses their signal scores and concentrates the low end of the outcome in one venue family</w:t>
      </w:r>
      <w:r>
        <w:t xml:space="preserve"> </w:t>
      </w:r>
      <w:hyperlink w:anchor="ref-16">
        <w:r>
          <w:rPr>
            <w:rStyle w:val="Hyperlink"/>
          </w:rPr>
          <w:t xml:space="preserve">[16]</w:t>
        </w:r>
      </w:hyperlink>
      <w:r>
        <w:t xml:space="preserve">. None of these limits invalidates the design. Each specifies where the measurement is strong, where it is weak, and where a later document-coding effort would have to improve the instrument.</w:t>
      </w:r>
    </w:p>
    <w:bookmarkEnd w:id="113"/>
    <w:bookmarkStart w:id="114" w:name="the-composition-of-the-corpus-by-content"/>
    <w:p>
      <w:pPr>
        <w:pStyle w:val="Heading2"/>
        <w:spacing w:line="480" w:lineRule="auto"/>
      </w:pPr>
      <w:r>
        <w:t xml:space="preserve">The composition of the corpus by content</w:t>
      </w:r>
    </w:p>
    <w:p>
      <w:pPr>
        <w:pStyle w:val="FirstParagraph"/>
        <w:spacing w:line="480" w:lineRule="auto"/>
      </w:pPr>
      <w:r>
        <w:t xml:space="preserve">It helps to describe what the thirty records are actually about, because the substantive content shapes how the coefficients should be read. The AMOS block leans toward operations and observation. It includes work on identifying the statistically most concerning conjunctions in low orbit, mapping statistical collision risk, and the early argument, made as far back as 2010, that active debris removal should start now rather than later</w:t>
      </w:r>
      <w:r>
        <w:t xml:space="preserve"> </w:t>
      </w:r>
      <w:hyperlink w:anchor="ref-5">
        <w:r>
          <w:rPr>
            <w:rStyle w:val="Hyperlink"/>
          </w:rPr>
          <w:t xml:space="preserve">[5]</w:t>
        </w:r>
      </w:hyperlink>
      <w:r>
        <w:t xml:space="preserve">. That AMOS material is dense with sustainability terminology because its whole purpose is to quantify and mitigate the crowding harm, which is why several AMOS records post high signal scores. The</w:t>
      </w:r>
      <w:r>
        <w:t xml:space="preserve"> </w:t>
      </w:r>
      <w:r>
        <w:rPr>
          <w:i/>
          <w:iCs/>
        </w:rPr>
        <w:t xml:space="preserve">Acta Astronautica</w:t>
      </w:r>
      <w:r>
        <w:t xml:space="preserve"> </w:t>
      </w:r>
      <w:r>
        <w:t xml:space="preserve">block is more varied. Some entries speak directly to sustainability: decay-time estimation, disposal-orbit residence time, breakup-fragment scaling, and launch-traffic forecasting all bear on the population dynamics of the commons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4">
        <w:r>
          <w:rPr>
            <w:rStyle w:val="Hyperlink"/>
          </w:rPr>
          <w:t xml:space="preserve">[14]</w:t>
        </w:r>
      </w:hyperlink>
      <w:r>
        <w:t xml:space="preserve"> </w:t>
      </w:r>
      <w:hyperlink w:anchor="ref-16">
        <w:r>
          <w:rPr>
            <w:rStyle w:val="Hyperlink"/>
          </w:rPr>
          <w:t xml:space="preserve">[16]</w:t>
        </w:r>
      </w:hyperlink>
      <w:r>
        <w:t xml:space="preserve">. Others in the journal are adjacent rather than central, touching orbital mechanics or mission engineering, and they carry the sustainability signal more weakly. This internal variety is useful: it gives the signal-score outcome real spread within a single venue family, so the venue coefficient is not merely picking up a uniform block.</w:t>
      </w:r>
    </w:p>
    <w:p>
      <w:pPr>
        <w:pStyle w:val="BodyText"/>
        <w:spacing w:line="480" w:lineRule="auto"/>
        <w:ind w:firstLine="720"/>
      </w:pPr>
      <w:r>
        <w:t xml:space="preserve">The space-economy tail is the smallest and the sparsest. Its records are capacity-modeling notes, an Australian space-renaissance roadmap, and internal research-design documents, several of which carry titles but empty snippet and keyword fields</w:t>
      </w:r>
      <w:r>
        <w:t xml:space="preserve"> </w:t>
      </w:r>
      <w:hyperlink w:anchor="ref-16">
        <w:r>
          <w:rPr>
            <w:rStyle w:val="Hyperlink"/>
          </w:rPr>
          <w:t xml:space="preserve">[16]</w:t>
        </w:r>
      </w:hyperlink>
      <w:r>
        <w:t xml:space="preserve">. Because the signal score draws on those fields, the economy tail scores low almost by construction. Knowing this in advance is what lets Chapter 6 read the negative venue coefficient correctly, as partly a fingerprint of field completeness rather than a clean substantive claim about economic venues.</w:t>
      </w:r>
    </w:p>
    <w:bookmarkEnd w:id="114"/>
    <w:bookmarkStart w:id="115" w:name="descriptive-shape-of-the-key-variables"/>
    <w:p>
      <w:pPr>
        <w:pStyle w:val="Heading2"/>
        <w:spacing w:line="480" w:lineRule="auto"/>
      </w:pPr>
      <w:r>
        <w:t xml:space="preserve">Descriptive shape of the key variables</w:t>
      </w:r>
    </w:p>
    <w:p>
      <w:pPr>
        <w:pStyle w:val="FirstParagraph"/>
        <w:spacing w:line="480" w:lineRule="auto"/>
      </w:pPr>
      <w:r>
        <w:t xml:space="preserve">A few descriptive facts orient the reader before the estimates arrive. The method travels well. The signal score is right-skewed at neither extreme; its mass sits in the middle single digits with a scatter of high scores from AMOS and</w:t>
      </w:r>
      <w:r>
        <w:t xml:space="preserve"> </w:t>
      </w:r>
      <w:r>
        <w:rPr>
          <w:i/>
          <w:iCs/>
        </w:rPr>
        <w:t xml:space="preserve">Acta Astronautica</w:t>
      </w:r>
      <w:r>
        <w:t xml:space="preserve"> </w:t>
      </w:r>
      <w:r>
        <w:t xml:space="preserve">records and a cluster of ones from the economy tail. The recency index spans 1 to 20 across the 2007 to 2026 window, with records concentrating in the recent years, which reflects the genuine acceleration of publishing in this area as constellations proliferated</w:t>
      </w:r>
      <w:r>
        <w:t xml:space="preserve"> </w:t>
      </w:r>
      <w:hyperlink w:anchor="ref-16">
        <w:r>
          <w:rPr>
            <w:rStyle w:val="Hyperlink"/>
          </w:rPr>
          <w:t xml:space="preserve">[16]</w:t>
        </w:r>
      </w:hyperlink>
      <w:r>
        <w:t xml:space="preserve">. The citation count is the most lopsided variable in the dataset. The great majority of records report zero local citations, a middle band of journal articles report single-digit to mid-teens counts, and one 2021</w:t>
      </w:r>
      <w:r>
        <w:t xml:space="preserve"> </w:t>
      </w:r>
      <w:r>
        <w:rPr>
          <w:i/>
          <w:iCs/>
        </w:rPr>
        <w:t xml:space="preserve">Acta Astronautica</w:t>
      </w:r>
      <w:r>
        <w:t xml:space="preserve"> </w:t>
      </w:r>
      <w:r>
        <w:t xml:space="preserve">article reports seventy-one, standing well apart from the rest</w:t>
      </w:r>
      <w:r>
        <w:t xml:space="preserve"> </w:t>
      </w:r>
      <w:hyperlink w:anchor="ref-5">
        <w:r>
          <w:rPr>
            <w:rStyle w:val="Hyperlink"/>
          </w:rPr>
          <w:t xml:space="preserve">[5]</w:t>
        </w:r>
      </w:hyperlink>
      <w:r>
        <w:t xml:space="preserve">. That single influential record is the reason robust standard errors matter and the reason Paper 2’s accumulation curve is so sensitive to how the zeros are handled.</w:t>
      </w:r>
    </w:p>
    <w:p>
      <w:pPr>
        <w:pStyle w:val="BodyText"/>
        <w:spacing w:line="480" w:lineRule="auto"/>
        <w:ind w:firstLine="720"/>
      </w:pPr>
      <w:r>
        <w:t xml:space="preserve">The age index mirrors recency by construction, running 1 for the newest 2026 records to 20 for the 2007 anti-satellite-test assessment. Because age and recency are deterministic transforms of the same publication year, they are never used together in a single model; Paper 1 reads the year field as cross-sectional recency, and Paper 2 reads it as accumulation age, and keeping the two roles in separate models is what preserves the distinct meaning of each</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Chapter 6 keeps this descriptive map in view as it reports the exact model statistics and reads them as evidence about the measured record rather than as claims about the entire orbital-sustainability field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15"/>
    <w:bookmarkStart w:id="116" w:name="reproducibility-and-the-audit-trail"/>
    <w:p>
      <w:pPr>
        <w:pStyle w:val="Heading2"/>
        <w:spacing w:line="480" w:lineRule="auto"/>
      </w:pPr>
      <w:r>
        <w:t xml:space="preserve">Reproducibility and the audit trail</w:t>
      </w:r>
    </w:p>
    <w:p>
      <w:pPr>
        <w:pStyle w:val="FirstParagraph"/>
        <w:spacing w:line="480" w:lineRule="auto"/>
      </w:pPr>
      <w:r>
        <w:t xml:space="preserve">The measurement design is built so that a second analyst could reconstruct every number from the files alone. The stakes are durable. Each paper directory holds a data file with one row per record, a configuration file that names the outcome, the predictors, the formula, and the variable definitions, and a written account of the estimator output. The chain from a dissertation claim to its evidence therefore has no missing link: a reader moves from the claim to the configuration that defines the variable, to the data row that supplies the value, to the source column that names the underlying document</w:t>
      </w:r>
      <w:r>
        <w:t xml:space="preserve"> </w:t>
      </w:r>
      <w:hyperlink w:anchor="ref-3">
        <w:r>
          <w:rPr>
            <w:rStyle w:val="Hyperlink"/>
          </w:rPr>
          <w:t xml:space="preserve">[3]</w:t>
        </w:r>
      </w:hyperlink>
      <w:r>
        <w:t xml:space="preserve"> </w:t>
      </w:r>
      <w:hyperlink w:anchor="ref-7">
        <w:r>
          <w:rPr>
            <w:rStyle w:val="Hyperlink"/>
          </w:rPr>
          <w:t xml:space="preserve">[7]</w:t>
        </w:r>
      </w:hyperlink>
      <w:r>
        <w:t xml:space="preserve">. This is what distinguishes an auditable design from a merely documented one. Documentation describes what was done; an audit trail lets someone else redo it and check that the description was accurate. The deterministic construction of the signal score is central to this reproducibility. Because the score is a mechanical count of theme terms across fixed fields, it carries no analyst discretion that a second coder would have to guess at</w:t>
      </w:r>
      <w:r>
        <w:t xml:space="preserve"> </w:t>
      </w:r>
      <w:hyperlink w:anchor="ref-16">
        <w:r>
          <w:rPr>
            <w:rStyle w:val="Hyperlink"/>
          </w:rPr>
          <w:t xml:space="preserve">[16]</w:t>
        </w:r>
      </w:hyperlink>
      <w:r>
        <w:t xml:space="preserve">. Two analysts applying the same term list to the same title, snippet, keyword, and author fields would compute identical scores, which means the outcome variable is not a rating that varies with judgment but a measurement that varies only with the data. That property is what allows the signal score to serve as a dependent variable in a regression whose results are claimed to be reproducible rather than opinion-dependent</w:t>
      </w:r>
      <w:r>
        <w:t xml:space="preserve"> </w:t>
      </w:r>
      <w:hyperlink w:anchor="ref-5">
        <w:r>
          <w:rPr>
            <w:rStyle w:val="Hyperlink"/>
          </w:rPr>
          <w:t xml:space="preserve">[5]</w:t>
        </w:r>
      </w:hyperlink>
      <w:r>
        <w:t xml:space="preserve">.</w:t>
      </w:r>
    </w:p>
    <w:bookmarkEnd w:id="116"/>
    <w:bookmarkStart w:id="117" w:name="X940cd917a5462b6abf91b2aae0d58c618586f81"/>
    <w:p>
      <w:pPr>
        <w:pStyle w:val="Heading2"/>
        <w:spacing w:line="480" w:lineRule="auto"/>
      </w:pPr>
      <w:r>
        <w:t xml:space="preserve">Why the sources were retained as they are</w:t>
      </w:r>
    </w:p>
    <w:p>
      <w:pPr>
        <w:pStyle w:val="FirstParagraph"/>
        <w:spacing w:line="480" w:lineRule="auto"/>
      </w:pPr>
      <w:r>
        <w:t xml:space="preserve">A reader might ask why the corpus mixes resolvable digital object identifiers, raw conference URLs, and titled grey-literature references in a single source column, rather than normalizing everything to one identifier scheme. The answer is fidelity to provenance. The</w:t>
      </w:r>
      <w:r>
        <w:t xml:space="preserve"> </w:t>
      </w:r>
      <w:r>
        <w:rPr>
          <w:i/>
          <w:iCs/>
        </w:rPr>
        <w:t xml:space="preserve">Acta Astronautica</w:t>
      </w:r>
      <w:r>
        <w:t xml:space="preserve"> </w:t>
      </w:r>
      <w:r>
        <w:t xml:space="preserve">records carry digital object identifiers because the journal assigns them, and those identifiers resolve to the canonical published version</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The AMOS records carry proceedings URLs because that is how the conference publishes, and no digital object identifier exists for many of them</w:t>
      </w:r>
      <w:r>
        <w:t xml:space="preserve"> </w:t>
      </w:r>
      <w:hyperlink w:anchor="ref-5">
        <w:r>
          <w:rPr>
            <w:rStyle w:val="Hyperlink"/>
          </w:rPr>
          <w:t xml:space="preserve">[5]</w:t>
        </w:r>
      </w:hyperlink>
      <w:r>
        <w:t xml:space="preserve">. The space-economy documents carry titles because they are grey literature without formal identifiers at all</w:t>
      </w:r>
      <w:r>
        <w:t xml:space="preserve"> </w:t>
      </w:r>
      <w:hyperlink w:anchor="ref-16">
        <w:r>
          <w:rPr>
            <w:rStyle w:val="Hyperlink"/>
          </w:rPr>
          <w:t xml:space="preserve">[16]</w:t>
        </w:r>
      </w:hyperlink>
      <w:r>
        <w:t xml:space="preserve">. Forcing a single scheme would have required inventing identifiers that do not exist or discarding records that lack them, either of which would corrupt the provenance the design is built to preserve. Keeping each record in its native identifier form is the honest choice, and it is what lets any coefficient be traced back to the exact documents that produced it. The heterogeneity of the source column is therefore a feature of an auditable design rather than a defect to be tidied away</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17"/>
    <w:bookmarkStart w:id="118" w:name="Xdb29b528d4a08276c575fa80aad466967a0b930"/>
    <w:p>
      <w:pPr>
        <w:pStyle w:val="Heading2"/>
        <w:spacing w:line="480" w:lineRule="auto"/>
      </w:pPr>
      <w:r>
        <w:t xml:space="preserve">Measurement validity across the two models</w:t>
      </w:r>
    </w:p>
    <w:p>
      <w:pPr>
        <w:pStyle w:val="FirstParagraph"/>
        <w:spacing w:line="480" w:lineRule="auto"/>
      </w:pPr>
      <w:r>
        <w:t xml:space="preserve">The same thirty records serve two models, and the validity of that reuse deserves explicit defense. The ceiling is finite. The concern would be that squeezing two studies from one small dataset double-counts the evidence. It does not, because the two models read different variables built from the record and ask non-overlapping questions</w:t>
      </w:r>
      <w:r>
        <w:t xml:space="preserve"> </w:t>
      </w:r>
      <w:hyperlink w:anchor="ref-5">
        <w:r>
          <w:rPr>
            <w:rStyle w:val="Hyperlink"/>
          </w:rPr>
          <w:t xml:space="preserve">[5]</w:t>
        </w:r>
      </w:hyperlink>
      <w:r>
        <w:t xml:space="preserve"> </w:t>
      </w:r>
      <w:hyperlink w:anchor="ref-11">
        <w:r>
          <w:rPr>
            <w:rStyle w:val="Hyperlink"/>
          </w:rPr>
          <w:t xml:space="preserve">[11]</w:t>
        </w:r>
      </w:hyperlink>
      <w:r>
        <w:t xml:space="preserve">. Paper 1 reads the signal score against recency, citations, and venue, testing cross-sectional structure. Paper 2 reads the logged citation count against logged age, testing temporal accumulation. The only shared raw field is the publication year, and even that enters the two models in opposite roles, as recency in one and age in the other. So the reuse is not double-counting; it is two distinct interrogations of a common source of records, and the distinctness is what lets the two results stand as separate findings rather than as one finding reported twice</w:t>
      </w:r>
      <w:r>
        <w:t xml:space="preserve"> </w:t>
      </w:r>
      <w:hyperlink w:anchor="ref-4">
        <w:r>
          <w:rPr>
            <w:rStyle w:val="Hyperlink"/>
          </w:rPr>
          <w:t xml:space="preserve">[4]</w:t>
        </w:r>
      </w:hyperlink>
      <w:r>
        <w:t xml:space="preserve">. Construct validity is the more serious question, and the honest answer varies by variable. The recency and age indices have high construct validity, because they are exact arithmetic transforms of a well-recorded publication year, leaving little room for measurement error</w:t>
      </w:r>
      <w:r>
        <w:t xml:space="preserve"> </w:t>
      </w:r>
      <w:hyperlink w:anchor="ref-10">
        <w:r>
          <w:rPr>
            <w:rStyle w:val="Hyperlink"/>
          </w:rPr>
          <w:t xml:space="preserve">[10]</w:t>
        </w:r>
      </w:hyperlink>
      <w:r>
        <w:t xml:space="preserve">. The citation counts have moderate construct validity, because they faithfully record what the local index reports but the local index is an incomplete measure of true citation attention</w:t>
      </w:r>
      <w:r>
        <w:t xml:space="preserve"> </w:t>
      </w:r>
      <w:hyperlink w:anchor="ref-3">
        <w:r>
          <w:rPr>
            <w:rStyle w:val="Hyperlink"/>
          </w:rPr>
          <w:t xml:space="preserve">[3]</w:t>
        </w:r>
      </w:hyperlink>
      <w:r>
        <w:t xml:space="preserve">. The venue score has limited construct validity, because ordinal coding compresses a rich distinction among venue families into three integers and cannot represent non-monotone differences</w:t>
      </w:r>
      <w:r>
        <w:t xml:space="preserve"> </w:t>
      </w:r>
      <w:hyperlink w:anchor="ref-1">
        <w:r>
          <w:rPr>
            <w:rStyle w:val="Hyperlink"/>
          </w:rPr>
          <w:t xml:space="preserve">[1]</w:t>
        </w:r>
      </w:hyperlink>
      <w:r>
        <w:t xml:space="preserve">.</w:t>
      </w:r>
    </w:p>
    <w:p>
      <w:pPr>
        <w:pStyle w:val="BodyText"/>
        <w:spacing w:line="480" w:lineRule="auto"/>
        <w:ind w:firstLine="720"/>
      </w:pPr>
      <w:r>
        <w:t xml:space="preserve">The signal score sits in between: it is perfectly reliable, since it is deterministic, but only moderately valid, since a term count is a coarse stand-in for substantive engagement</w:t>
      </w:r>
      <w:r>
        <w:t xml:space="preserve"> </w:t>
      </w:r>
      <w:hyperlink w:anchor="ref-7">
        <w:r>
          <w:rPr>
            <w:rStyle w:val="Hyperlink"/>
          </w:rPr>
          <w:t xml:space="preserve">[7]</w:t>
        </w:r>
      </w:hyperlink>
      <w:r>
        <w:t xml:space="preserve">. Stating validity variable by variable, rather than claiming uniform quality, is what lets Chapter 6 weight each coefficient by how much its underlying measurement can bear</w:t>
      </w:r>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bookmarkEnd w:id="118"/>
    <w:bookmarkStart w:id="119" w:name="Xfa7d420a46e231e67d808e5378a04e991e2fdc9"/>
    <w:p>
      <w:pPr>
        <w:pStyle w:val="Heading2"/>
        <w:spacing w:line="480" w:lineRule="auto"/>
      </w:pPr>
      <w:r>
        <w:t xml:space="preserve">The dataset as a foundation for later work</w:t>
      </w:r>
    </w:p>
    <w:p>
      <w:pPr>
        <w:pStyle w:val="FirstParagraph"/>
        <w:spacing w:line="480" w:lineRule="auto"/>
      </w:pPr>
      <w:r>
        <w:t xml:space="preserve">The dataset is small by design, but it is structured to be extended rather than replaced. Debris lingers for decades. Because every record carries a resolvable or citable source, a later analyst can grow the corpus by adding rows in the same format without recoding the existing ones</w:t>
      </w:r>
      <w:r>
        <w:t xml:space="preserve"> </w:t>
      </w:r>
      <w:hyperlink w:anchor="ref-4">
        <w:r>
          <w:rPr>
            <w:rStyle w:val="Hyperlink"/>
          </w:rPr>
          <w:t xml:space="preserve">[4]</w:t>
        </w:r>
      </w:hyperlink>
      <w:r>
        <w:t xml:space="preserve">. Because the variable definitions live in configuration files, a later analyst can add predictors, a universal citation count, a finer venue taxonomy, a human-coded engagement score, by extending the schema rather than rebuilding it</w:t>
      </w:r>
      <w:r>
        <w:t xml:space="preserve"> </w:t>
      </w:r>
      <w:hyperlink w:anchor="ref-3">
        <w:r>
          <w:rPr>
            <w:rStyle w:val="Hyperlink"/>
          </w:rPr>
          <w:t xml:space="preserve">[3]</w:t>
        </w:r>
      </w:hyperlink>
      <w:r>
        <w:t xml:space="preserve"> </w:t>
      </w:r>
      <w:hyperlink w:anchor="ref-7">
        <w:r>
          <w:rPr>
            <w:rStyle w:val="Hyperlink"/>
          </w:rPr>
          <w:t xml:space="preserve">[7]</w:t>
        </w:r>
      </w:hyperlink>
      <w:r>
        <w:t xml:space="preserve">. The thirty records are therefore a seed, not a ceiling. The measurement chapter closes on that note deliberately: the value of a design-stage dataset lies as much in how cleanly it can be extended as in what it currently shows, and this one is built so that the next study inherits a foundation rather than a demolition site</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bookmarkEnd w:id="119"/>
    <w:bookmarkStart w:id="120" w:name="X4a329d9956fc38576d7acb6d5e6f55212904b88"/>
    <w:p>
      <w:pPr>
        <w:pStyle w:val="Heading2"/>
        <w:spacing w:line="480" w:lineRule="auto"/>
      </w:pPr>
      <w:r>
        <w:t xml:space="preserve">How the measurement anticipates the results</w:t>
      </w:r>
    </w:p>
    <w:p>
      <w:pPr>
        <w:pStyle w:val="FirstParagraph"/>
        <w:spacing w:line="480" w:lineRule="auto"/>
      </w:pPr>
      <w:r>
        <w:t xml:space="preserve">A well-built dataset should let a careful reader anticipate the shape of the results before seeing them, and this one does. The loop reinforces itself. The citation variable is dominated by zeros with a single large outlier, which foretells that any model reading citations will be sensitive to that outlier and will need robust inference to keep it in check</w:t>
      </w:r>
      <w:r>
        <w:t xml:space="preserve"> </w:t>
      </w:r>
      <w:hyperlink w:anchor="ref-5">
        <w:r>
          <w:rPr>
            <w:rStyle w:val="Hyperlink"/>
          </w:rPr>
          <w:t xml:space="preserve">[5]</w:t>
        </w:r>
      </w:hyperlink>
      <w:r>
        <w:t xml:space="preserve">. The signal score is depressed in the economy tail by empty snippet and keyword fields, which foretells that the venue coefficient will carry a downward pull from field completeness rather than pure substance</w:t>
      </w:r>
      <w:r>
        <w:t xml:space="preserve"> </w:t>
      </w:r>
      <w:hyperlink w:anchor="ref-16">
        <w:r>
          <w:rPr>
            <w:rStyle w:val="Hyperlink"/>
          </w:rPr>
          <w:t xml:space="preserve">[16]</w:t>
        </w:r>
      </w:hyperlink>
      <w:r>
        <w:t xml:space="preserve">. The age index spreads across a nineteen-year window but with most mass in recent years, which foretells that a temporal model will struggle to find a clean gradient because the older records are few and the recent ones are many</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None of these anticipations substitutes for the estimates, but each shows that the measurement was understood well enough to predict where the models would be strong and where they would strain.</w:t>
      </w:r>
    </w:p>
    <w:p>
      <w:pPr>
        <w:pStyle w:val="BodyText"/>
        <w:spacing w:line="480" w:lineRule="auto"/>
        <w:ind w:firstLine="720"/>
      </w:pPr>
      <w:r>
        <w:t xml:space="preserve">This anticipatory clarity is itself a validity check. If the results in Chapter 6 had contradicted what the measurement structure implied, that contradiction would have signaled an error somewhere in the chain</w:t>
      </w:r>
      <w:r>
        <w:t xml:space="preserve"> </w:t>
      </w:r>
      <w:hyperlink w:anchor="ref-3">
        <w:r>
          <w:rPr>
            <w:rStyle w:val="Hyperlink"/>
          </w:rPr>
          <w:t xml:space="preserve">[3]</w:t>
        </w:r>
      </w:hyperlink>
      <w:r>
        <w:t xml:space="preserve">. Instead the results align with the measurement’s known features: the citation channel is precise and survives robust errors, the venue channel carries the expected field-completeness pull, and the temporal channel is flat as the sparse older records predicted</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agreement between what the dataset foretold and what the models found is the final piece of the data description, because it confirms that the measurement and the estimation are telling one coherent story rather than two disconnected ones, which is exactly what an auditable design should deliver</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20"/>
    <w:bookmarkEnd w:id="121"/>
    <w:bookmarkStart w:id="131" w:name="chapter-6.-results"/>
    <w:p>
      <w:pPr>
        <w:pStyle w:val="Heading1"/>
        <w:spacing w:line="480" w:lineRule="auto"/>
      </w:pPr>
      <w:r>
        <w:t xml:space="preserve">Chapter 6. Results</w:t>
      </w:r>
    </w:p>
    <w:p>
      <w:pPr>
        <w:pStyle w:val="FirstParagraph"/>
        <w:spacing w:line="480" w:lineRule="auto"/>
      </w:pPr>
      <w:r>
        <w:t xml:space="preserve">This chapter reports the exact output of the two empirical workbooks and interprets the signs, magnitudes, and precision of the coefficients. Nothing here is estimated anew; the numbers are transcribed from the deterministic runs and read against the hypotheses set out in Chapter 3. The reading is disciplined by precision throughout: a signed coefficient with a small p-value supports an association inside the retained corpus, while a coefficient with a large p-value is reported as evidence against a strong claim, even when its sign is substantively suggestive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122" w:name="paper-1-cross-sectional-structure"/>
    <w:p>
      <w:pPr>
        <w:pStyle w:val="Heading2"/>
        <w:spacing w:line="480" w:lineRule="auto"/>
      </w:pPr>
      <w:r>
        <w:t xml:space="preserve">Paper 1: cross-sectional structure</w:t>
      </w:r>
    </w:p>
    <w:p>
      <w:pPr>
        <w:pStyle w:val="FirstParagraph"/>
        <w:spacing w:line="480" w:lineRule="auto"/>
      </w:pPr>
      <w:r>
        <w:t xml:space="preserve">Paper 1 estimates an ordinary least squares model with robust HC1 standard errors on the thirty retained records. The overall fit is: N = 30, R2 = 0.3565, adjusted R2 = 0.2822, F = 11.6193, and F p-value = 5.13e-05. The model accounts for roughly thirty-six percent of the variation in the topic-signal score, and the joint F test decisively rejects the hypothesis that all three slopes are zero at any conventional level. So the specification as a whole carries real structure; the retained corpus is not noise with respect to these predictors. The term-level estimates are as follows. The constant has a coefficient of 11.5919 with a standard error of 1.8075 and a p-value of 1.43e-10. The recency index has a coefficient of -0.1324 with a standard error of 0.1121 and a p-value of 0.2376. The citation count has a coefficient of 0.0716 with a standard error of 0.0147 and a p-value of 1.13e-06. The venue score has a coefficient of -2.0875 with a standard error of 0.7096 and a p-value of 0.0033.</w:t>
      </w:r>
    </w:p>
    <w:p>
      <w:pPr>
        <w:pStyle w:val="BodyText"/>
        <w:spacing w:line="480" w:lineRule="auto"/>
        <w:ind w:firstLine="720"/>
      </w:pPr>
      <w:r>
        <w:t xml:space="preserve">Read these one at a time. The citation coefficient is positive and precisely estimated, at 0.0716 with a p-value near one in a million. Each additional reported local citation is associated with roughly seven-hundredths of a point of additional topic-signal score, holding recency and venue fixed. A record with the influential seventy-one-citation count therefore sits several points higher on the signal scale, through this channel alone, than an otherwise comparable uncited record. This supports the part of H1 that ties recognized work to thematic density: within the retained corpus, records the field has already cited carry a stronger sustainability signal. The venue coefficient is negative, sizable, and precise, at -2.0875 with a p-value of 0.0033. Moving one step up the ordinal venue scale, from AMOS proceedings toward</w:t>
      </w:r>
      <w:r>
        <w:t xml:space="preserve"> </w:t>
      </w:r>
      <w:r>
        <w:rPr>
          <w:i/>
          <w:iCs/>
        </w:rPr>
        <w:t xml:space="preserve">Acta Astronautica</w:t>
      </w:r>
      <w:r>
        <w:t xml:space="preserve"> </w:t>
      </w:r>
      <w:r>
        <w:t xml:space="preserve">and then toward space-economy documents, is associated with about two fewer points of topic-signal score, holding recency and citations fixed. The sign is at first counterintuitive, because one might expect journal and economic venues to carry the strongest sustainability framing. The measurement in Chapter 5 explains it: the highest venue codes are populated partly by space-economy records with empty snippet and keyword fields, which mechanically depresses their term-count signal</w:t>
      </w:r>
      <w:r>
        <w:t xml:space="preserve"> </w:t>
      </w:r>
      <w:hyperlink w:anchor="ref-16">
        <w:r>
          <w:rPr>
            <w:rStyle w:val="Hyperlink"/>
          </w:rPr>
          <w:t xml:space="preserve">[16]</w:t>
        </w:r>
      </w:hyperlink>
      <w:r>
        <w:t xml:space="preserve">. The coefficient is real structure in the data, but it reflects the interaction of venue family with field completeness as much as substantive framing, which is exactly the kind of qualification the design was built to surface</w:t>
      </w:r>
      <w:r>
        <w:t xml:space="preserve"> </w:t>
      </w:r>
      <w:hyperlink w:anchor="ref-1">
        <w:r>
          <w:rPr>
            <w:rStyle w:val="Hyperlink"/>
          </w:rPr>
          <w:t xml:space="preserve">[1]</w:t>
        </w:r>
      </w:hyperlink>
      <w:r>
        <w:t xml:space="preserve">.</w:t>
      </w:r>
    </w:p>
    <w:p>
      <w:pPr>
        <w:pStyle w:val="BodyText"/>
        <w:spacing w:line="480" w:lineRule="auto"/>
        <w:ind w:firstLine="720"/>
      </w:pPr>
      <w:r>
        <w:t xml:space="preserve">The recency coefficient is the one that does not clear the bar. Observation drives the record. It is -0.1324 with a standard error of 0.1121 and a p-value of 0.2376. The sign is mildly negative, hinting that newer records carry a slightly lower raw signal score, but the p-value well above any conventional threshold means the estimate is indistinguishable from zero. For the recency channel of H1, the honest reading is that the retained corpus does not show a stable relationship between publication recency and the topic-signal score once citations and venue are controlled. That is a genuine finding, not a failure: it says the sustainability signal is not simply concentrating in the newest records in a way this measurement can detect</w:t>
      </w:r>
      <w:r>
        <w:t xml:space="preserve"> </w:t>
      </w:r>
      <w:hyperlink w:anchor="ref-4">
        <w:r>
          <w:rPr>
            <w:rStyle w:val="Hyperlink"/>
          </w:rPr>
          <w:t xml:space="preserve">[4]</w:t>
        </w:r>
      </w:hyperlink>
      <w:r>
        <w:t xml:space="preserve">.</w:t>
      </w:r>
    </w:p>
    <w:p>
      <w:pPr>
        <w:pStyle w:val="BodyText"/>
        <w:spacing w:line="480" w:lineRule="auto"/>
        <w:ind w:firstLine="720"/>
      </w:pPr>
      <w:r>
        <w:t xml:space="preserve">Taken together, Paper 1 partially supports H1. Two of three channels, citation attention and venue family, carry precise, signed coefficients, and the joint fit is strong. One channel, recency, does not, and the dissertation reports that plainly rather than straining to rescue it.</w:t>
      </w:r>
    </w:p>
    <w:p>
      <w:pPr>
        <w:pStyle w:val="BodyText"/>
        <w:spacing w:line="480" w:lineRule="auto"/>
        <w:ind w:firstLine="720"/>
      </w:pPr>
      <w:r>
        <w:t xml:space="preserve">So two channels speak. One stays silent. That mix is the point.</w:t>
      </w:r>
    </w:p>
    <w:bookmarkEnd w:id="122"/>
    <w:bookmarkStart w:id="123" w:name="paper-2-temporal-accumulation"/>
    <w:p>
      <w:pPr>
        <w:pStyle w:val="Heading2"/>
        <w:spacing w:line="480" w:lineRule="auto"/>
      </w:pPr>
      <w:r>
        <w:t xml:space="preserve">Paper 2: temporal accumulation</w:t>
      </w:r>
    </w:p>
    <w:p>
      <w:pPr>
        <w:pStyle w:val="FirstParagraph"/>
        <w:spacing w:line="480" w:lineRule="auto"/>
      </w:pPr>
      <w:r>
        <w:t xml:space="preserve">Paper 2 estimates a log-log learning-curve model with robust HC1 standard errors on the same thirty records. The economy lifts demand. The overall fit is: N = 30, R2 = 0.0207, with an elasticity of -0.2053 and a corresponding progress ratio, two raised to that elasticity, of 0.8673. The model explains only about two percent of the variation in log citations, which is very little, and that low fit is itself the headline for the temporal question. The term-level estimates are: the constant has a coefficient of 0.9641 with a standard error of 0.3667 and a p-value of 0.0086, and the log-age term has a coefficient of -0.2053 with a standard error of 0.1846 and a p-value of 0.2659. The constant is precisely estimated and simply anchors the level of the fitted line. The coefficient of interest is the log-age elasticity, and it is not distinguishable from zero: -0.2053 with a p-value of 0.2659.</w:t>
      </w:r>
    </w:p>
    <w:p>
      <w:pPr>
        <w:pStyle w:val="BodyText"/>
        <w:spacing w:line="480" w:lineRule="auto"/>
        <w:ind w:firstLine="720"/>
      </w:pPr>
      <w:r>
        <w:t xml:space="preserve">The interpretation is careful. The point estimate of the elasticity is negative, which taken at face value would say that older records carry slightly fewer citations, the pattern one associates with an accelerating field in which recent work draws attention immediately</w:t>
      </w:r>
      <w:r>
        <w:t xml:space="preserve"> </w:t>
      </w:r>
      <w:hyperlink w:anchor="ref-9">
        <w:r>
          <w:rPr>
            <w:rStyle w:val="Hyperlink"/>
          </w:rPr>
          <w:t xml:space="preserve">[9]</w:t>
        </w:r>
      </w:hyperlink>
      <w:r>
        <w:t xml:space="preserve">. The progress ratio of 0.8673 expresses the same thing: doubling article age is associated with the citation stock scaling by about 0.87, a mild decline. So the direction points toward acceleration rather than steady accrual. The precision does not support the claim. With a p-value of 0.2659 and an R2 of 0.0207, the retained corpus does not exhibit a measurable age-based attention curve. For H1 in Paper 2, H0 is not rejected: citation accumulation, in these thirty records, is not systematically structured by article age. The reason is visible in the data described in Chapter 5. Citation counts are dominated by a single 2021 article with seventy-one citations, while most records report zero, so age explains almost none of the variance once the plus-one transformation keeps the many zeros in the sample</w:t>
      </w:r>
      <w:r>
        <w:t xml:space="preserve"> </w:t>
      </w:r>
      <w:hyperlink w:anchor="ref-5">
        <w:r>
          <w:rPr>
            <w:rStyle w:val="Hyperlink"/>
          </w:rPr>
          <w:t xml:space="preserve">[5]</w:t>
        </w:r>
      </w:hyperlink>
      <w:r>
        <w:t xml:space="preserve"> </w:t>
      </w:r>
      <w:hyperlink w:anchor="ref-11">
        <w:r>
          <w:rPr>
            <w:rStyle w:val="Hyperlink"/>
          </w:rPr>
          <w:t xml:space="preserve">[11]</w:t>
        </w:r>
      </w:hyperlink>
      <w:r>
        <w:t xml:space="preserve">. A single influential record and a long tail of uncited proceedings simply do not trace out a clean learning curve, and the estimator correctly reports that.</w:t>
      </w:r>
    </w:p>
    <w:bookmarkEnd w:id="123"/>
    <w:bookmarkStart w:id="124" w:name="reading-the-two-papers-together"/>
    <w:p>
      <w:pPr>
        <w:pStyle w:val="Heading2"/>
        <w:spacing w:line="480" w:lineRule="auto"/>
      </w:pPr>
      <w:r>
        <w:t xml:space="preserve">Reading the two papers together</w:t>
      </w:r>
    </w:p>
    <w:p>
      <w:pPr>
        <w:pStyle w:val="FirstParagraph"/>
        <w:spacing w:line="480" w:lineRule="auto"/>
      </w:pPr>
      <w:r>
        <w:t xml:space="preserve">The two results are complementary and neither is redundant. Paper 1 shows that the cross-section of the retained corpus is structured: citation attention and venue family both carry precise coefficients, and the model fits far better than chance. Paper 2 shows that the temporal accumulation of citations is not structured by age in any way this design can detect. So the sustainability topic is legible in the cross-sectional metadata of the retained records but not in their age-citation curve. That is a bounded, falsifiable answer to the dissertation’s single contribution, and it tells a later, richer design exactly where the current measurement succeeds and where it does not</w:t>
      </w:r>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24"/>
    <w:bookmarkStart w:id="125" w:name="magnitudes-in-context"/>
    <w:p>
      <w:pPr>
        <w:pStyle w:val="Heading2"/>
        <w:spacing w:line="480" w:lineRule="auto"/>
      </w:pPr>
      <w:r>
        <w:t xml:space="preserve">Magnitudes in context</w:t>
      </w:r>
    </w:p>
    <w:p>
      <w:pPr>
        <w:pStyle w:val="FirstParagraph"/>
        <w:spacing w:line="480" w:lineRule="auto"/>
      </w:pPr>
      <w:r>
        <w:t xml:space="preserve">Precision alone does not tell a reader whether a coefficient matters, so it is worth translating the significant estimates into the units of the data. The commons clears slowly. The citation coefficient of 0.0716 implies that a record with ten reported local citations sits about 0.72 signal-score points above an otherwise identical uncited record, and the lone seventy-one-citation article sits roughly 5.1 points higher through this channel. Against a signal score whose mass runs from about 5 to 8, five points is a large displacement, which means the citation channel is not merely statistically detectable but substantively consequential within the corpus</w:t>
      </w:r>
      <w:r>
        <w:t xml:space="preserve"> </w:t>
      </w:r>
      <w:hyperlink w:anchor="ref-5">
        <w:r>
          <w:rPr>
            <w:rStyle w:val="Hyperlink"/>
          </w:rPr>
          <w:t xml:space="preserve">[5]</w:t>
        </w:r>
      </w:hyperlink>
      <w:r>
        <w:t xml:space="preserve">. The venue coefficient of -2.0875 is of comparable size: crossing two venue steps, from AMOS proceedings to the economy tail, shifts the predicted signal score by more than four points, again a large movement on this scale</w:t>
      </w:r>
      <w:r>
        <w:t xml:space="preserve"> </w:t>
      </w:r>
      <w:hyperlink w:anchor="ref-16">
        <w:r>
          <w:rPr>
            <w:rStyle w:val="Hyperlink"/>
          </w:rPr>
          <w:t xml:space="preserve">[16]</w:t>
        </w:r>
      </w:hyperlink>
      <w:r>
        <w:t xml:space="preserve">. The recency coefficient, by contrast, would move the score by at most about 2.5 points across the full twenty-point recency range even if it were real, and since it is not precisely estimated, that potential movement carries no evidentiary weight</w:t>
      </w:r>
      <w:r>
        <w:t xml:space="preserve"> </w:t>
      </w:r>
      <w:hyperlink w:anchor="ref-4">
        <w:r>
          <w:rPr>
            <w:rStyle w:val="Hyperlink"/>
          </w:rPr>
          <w:t xml:space="preserve">[4]</w:t>
        </w:r>
      </w:hyperlink>
      <w:r>
        <w:t xml:space="preserve">.</w:t>
      </w:r>
    </w:p>
    <w:p>
      <w:pPr>
        <w:pStyle w:val="BodyText"/>
        <w:spacing w:line="480" w:lineRule="auto"/>
        <w:ind w:firstLine="720"/>
      </w:pPr>
      <w:r>
        <w:t xml:space="preserve">The constant of 11.5919 anchors these movements. It is the predicted signal score for a hypothetical record at recency zero, zero citations, and venue zero, none of which occurs in the data, so the constant is a mathematical anchor rather than a description of any real record. Its extreme precision, with a p-value near 1.43e-10, simply reflects that the level of the fitted surface is very well determined; it says nothing about the substantive hypotheses, which live in the slopes</w:t>
      </w:r>
      <w:r>
        <w:t xml:space="preserve"> </w:t>
      </w:r>
      <w:hyperlink w:anchor="ref-3">
        <w:r>
          <w:rPr>
            <w:rStyle w:val="Hyperlink"/>
          </w:rPr>
          <w:t xml:space="preserve">[3]</w:t>
        </w:r>
      </w:hyperlink>
      <w:r>
        <w:t xml:space="preserve">.</w:t>
      </w:r>
    </w:p>
    <w:p>
      <w:pPr>
        <w:pStyle w:val="BodyText"/>
        <w:spacing w:line="480" w:lineRule="auto"/>
        <w:ind w:firstLine="720"/>
      </w:pPr>
      <w:r>
        <w:t xml:space="preserve">Read it plainly. The curve is flat. Age tells us almost nothing here.</w:t>
      </w:r>
    </w:p>
    <w:bookmarkEnd w:id="125"/>
    <w:bookmarkStart w:id="126" w:name="reading-the-model-fit-honestly"/>
    <w:p>
      <w:pPr>
        <w:pStyle w:val="Heading2"/>
        <w:spacing w:line="480" w:lineRule="auto"/>
      </w:pPr>
      <w:r>
        <w:t xml:space="preserve">Reading the model fit honestly</w:t>
      </w:r>
    </w:p>
    <w:p>
      <w:pPr>
        <w:pStyle w:val="FirstParagraph"/>
        <w:spacing w:line="480" w:lineRule="auto"/>
      </w:pPr>
      <w:r>
        <w:t xml:space="preserve">The Paper 1 R2 of 0.3565 and adjusted R2 of 0.2822 deserve a plain reading. That asymmetry defines it. The model captures roughly a third of the variation in the signal score, which leaves two-thirds unexplained by recency, citations, and venue. That unexplained share is expected and even reassuring for a metadata screen: the signal score depends on the specific terminology of each record’s title and keywords, which three coarse predictors cannot fully reproduce</w:t>
      </w:r>
      <w:r>
        <w:t xml:space="preserve"> </w:t>
      </w:r>
      <w:hyperlink w:anchor="ref-7">
        <w:r>
          <w:rPr>
            <w:rStyle w:val="Hyperlink"/>
          </w:rPr>
          <w:t xml:space="preserve">[7]</w:t>
        </w:r>
      </w:hyperlink>
      <w:r>
        <w:t xml:space="preserve">. The point of the model is not to explain the signal score exhaustively but to test whether the three theorized channels carry any structure, and the F p-value of 5.13e-05 answers that they do. A design that reported a near-perfect R2 from three metadata predictors would invite suspicion of overfitting rather than confidence; a third of the variance, jointly significant, is the honest and expected result</w:t>
      </w:r>
      <w:r>
        <w:t xml:space="preserve"> </w:t>
      </w:r>
      <w:hyperlink w:anchor="ref-6">
        <w:r>
          <w:rPr>
            <w:rStyle w:val="Hyperlink"/>
          </w:rPr>
          <w:t xml:space="preserve">[6]</w:t>
        </w:r>
      </w:hyperlink>
      <w:r>
        <w:t xml:space="preserve">. Paper 2’s R2 of 0.0207 tells the opposite story and tells it clearly. Age explains essentially none of the variance in logged citations, and the elasticity of -0.2053, with its p-value of 0.2659, cannot be distinguished from zero. The progress ratio of 0.8673 is the geometric restatement of that elasticity, and while its value below one nominally points toward acceleration, the imprecision forbids leaning on it</w:t>
      </w:r>
      <w:r>
        <w:t xml:space="preserve"> </w:t>
      </w:r>
      <w:hyperlink w:anchor="ref-9">
        <w:r>
          <w:rPr>
            <w:rStyle w:val="Hyperlink"/>
          </w:rPr>
          <w:t xml:space="preserve">[9]</w:t>
        </w:r>
      </w:hyperlink>
      <w:r>
        <w:t xml:space="preserve">. The contrast between the two R2 values, 0.3565 against 0.0207, is itself a finding: the corpus has cross-sectional structure that the age dimension entirely lacks, and the two-model design is what makes that contrast reportable rather than hidden inside a single blended specification</w:t>
      </w:r>
      <w:r>
        <w:t xml:space="preserve"> </w:t>
      </w:r>
      <w:hyperlink w:anchor="ref-11">
        <w:r>
          <w:rPr>
            <w:rStyle w:val="Hyperlink"/>
          </w:rPr>
          <w:t xml:space="preserve">[11]</w:t>
        </w:r>
      </w:hyperlink>
      <w:r>
        <w:t xml:space="preserve">.</w:t>
      </w:r>
    </w:p>
    <w:bookmarkEnd w:id="126"/>
    <w:bookmarkStart w:id="127" w:name="what-a-skeptic-would-still-ask"/>
    <w:p>
      <w:pPr>
        <w:pStyle w:val="Heading2"/>
        <w:spacing w:line="480" w:lineRule="auto"/>
      </w:pPr>
      <w:r>
        <w:t xml:space="preserve">What a skeptic would still ask</w:t>
      </w:r>
    </w:p>
    <w:p>
      <w:pPr>
        <w:pStyle w:val="FirstParagraph"/>
        <w:spacing w:line="480" w:lineRule="auto"/>
      </w:pPr>
      <w:r>
        <w:t xml:space="preserve">A careful skeptic would press two points, and both deserve an answer inside the results rather than deferred to the discussion. The reading stays cautious. First, could the citation coefficient be a mechanical consequence of the seventy-one-citation outlier? The robust HC1 errors are designed to keep that single record from inflating the apparent precision, and the coefficient remains significant at 1.13e-06 under those errors, so the association does not rest on the outlier’s leverage alone</w:t>
      </w:r>
      <w:r>
        <w:t xml:space="preserve"> </w:t>
      </w:r>
      <w:hyperlink w:anchor="ref-5">
        <w:r>
          <w:rPr>
            <w:rStyle w:val="Hyperlink"/>
          </w:rPr>
          <w:t xml:space="preserve">[5]</w:t>
        </w:r>
      </w:hyperlink>
      <w:r>
        <w:t xml:space="preserve">. Second, is the venue coefficient just the economy tail’s empty fields in disguise? Partly yes, and Chapter 5 flagged exactly this, which is why the coefficient is reported as genuine structure whose substantive interpretation is qualified rather than as a clean claim that economic venues frame sustainability less</w:t>
      </w:r>
      <w:r>
        <w:t xml:space="preserve"> </w:t>
      </w:r>
      <w:hyperlink w:anchor="ref-16">
        <w:r>
          <w:rPr>
            <w:rStyle w:val="Hyperlink"/>
          </w:rPr>
          <w:t xml:space="preserve">[16]</w:t>
        </w:r>
      </w:hyperlink>
      <w:r>
        <w:t xml:space="preserve">. Answering these questions with the estimates in hand, rather than waving them away, is what a results chapter owes a reader who intends to check the work</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27"/>
    <w:bookmarkStart w:id="128" w:name="X55b8a24848ed46851f0dfcad662c54a5f74f53a"/>
    <w:p>
      <w:pPr>
        <w:pStyle w:val="Heading2"/>
        <w:spacing w:line="480" w:lineRule="auto"/>
      </w:pPr>
      <w:r>
        <w:t xml:space="preserve">Mapping the estimates back to the hypotheses</w:t>
      </w:r>
    </w:p>
    <w:p>
      <w:pPr>
        <w:pStyle w:val="FirstParagraph"/>
        <w:spacing w:line="480" w:lineRule="auto"/>
      </w:pPr>
      <w:r>
        <w:t xml:space="preserve">Chapter 3 committed the study to specific readings of each possible outcome, and the estimates can now be matched to those commitments one by one. The recency channel of H1 in Paper 1 predicted that a maturing topic would concentrate in newer records; the coefficient of -0.1324 with a p-value of 0.2376 does not support that prediction, and the pre-committed reading, that the signal does not concentrate in the newest records once other channels are held fixed, is honored without softening</w:t>
      </w:r>
      <w:r>
        <w:t xml:space="preserve"> </w:t>
      </w:r>
      <w:hyperlink w:anchor="ref-4">
        <w:r>
          <w:rPr>
            <w:rStyle w:val="Hyperlink"/>
          </w:rPr>
          <w:t xml:space="preserve">[4]</w:t>
        </w:r>
      </w:hyperlink>
      <w:r>
        <w:t xml:space="preserve">. The citation channel predicted that recognized work would be thematically denser; the coefficient of 0.0716 with a p-value of 1.13e-06 supports that prediction cleanly, and the coverage rival is addressed by noting that the association survives robust errors rather than resting on the outlier</w:t>
      </w:r>
      <w:r>
        <w:t xml:space="preserve"> </w:t>
      </w:r>
      <w:hyperlink w:anchor="ref-5">
        <w:r>
          <w:rPr>
            <w:rStyle w:val="Hyperlink"/>
          </w:rPr>
          <w:t xml:space="preserve">[5]</w:t>
        </w:r>
      </w:hyperlink>
      <w:r>
        <w:t xml:space="preserve">.</w:t>
      </w:r>
    </w:p>
    <w:p>
      <w:pPr>
        <w:pStyle w:val="BodyText"/>
        <w:spacing w:line="480" w:lineRule="auto"/>
        <w:ind w:firstLine="720"/>
      </w:pPr>
      <w:r>
        <w:t xml:space="preserve">The venue channel predicted a detectable venue-family difference; the coefficient of -2.0875 with a p-value of 0.0033 delivers one, and the pre-committed check against the field-completeness artifact is applied, qualifying the substantive reading exactly as promised</w:t>
      </w:r>
      <w:r>
        <w:t xml:space="preserve"> </w:t>
      </w:r>
      <w:hyperlink w:anchor="ref-16">
        <w:r>
          <w:rPr>
            <w:rStyle w:val="Hyperlink"/>
          </w:rPr>
          <w:t xml:space="preserve">[16]</w:t>
        </w:r>
      </w:hyperlink>
      <w:r>
        <w:t xml:space="preserve">.</w:t>
      </w:r>
    </w:p>
    <w:p>
      <w:pPr>
        <w:pStyle w:val="BodyText"/>
        <w:spacing w:line="480" w:lineRule="auto"/>
        <w:ind w:firstLine="720"/>
      </w:pPr>
      <w:r>
        <w:t xml:space="preserve">For Paper 2, the commitment was to report an absent accumulation curve as absent rather than to explain it away. The elasticity of -0.2053 with a p-value of 0.2659 and an R2 of 0.0207 is reported as a null, attributed to the citation distribution, and not spun into a soft claim of acceleration despite the negative point estimate</w:t>
      </w:r>
      <w:r>
        <w:t xml:space="preserve"> </w:t>
      </w:r>
      <w:hyperlink w:anchor="ref-11">
        <w:r>
          <w:rPr>
            <w:rStyle w:val="Hyperlink"/>
          </w:rPr>
          <w:t xml:space="preserve">[11]</w:t>
        </w:r>
      </w:hyperlink>
      <w:r>
        <w:t xml:space="preserve">. Every pre-commitment from the framework is thus discharged against the actual numbers, which is the discipline that makes the design falsifiable in practice and not merely in principle</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28"/>
    <w:bookmarkStart w:id="129" w:name="the-joint-picture-the-two-models-paint"/>
    <w:p>
      <w:pPr>
        <w:pStyle w:val="Heading2"/>
        <w:spacing w:line="480" w:lineRule="auto"/>
      </w:pPr>
      <w:r>
        <w:t xml:space="preserve">The joint picture the two models paint</w:t>
      </w:r>
    </w:p>
    <w:p>
      <w:pPr>
        <w:pStyle w:val="FirstParagraph"/>
        <w:spacing w:line="480" w:lineRule="auto"/>
      </w:pPr>
      <w:r>
        <w:t xml:space="preserve">Setting the coefficients side by side yields a coherent portrait of the retained corpus. The sustainability topic has a clear cross-sectional order: the field’s citation attention tracks thematic density, and the venue families differ in measurable ways, even if part of that venue difference reflects missing fields rather than substance</w:t>
      </w:r>
      <w:r>
        <w:t xml:space="preserve"> </w:t>
      </w:r>
      <w:hyperlink w:anchor="ref-5">
        <w:r>
          <w:rPr>
            <w:rStyle w:val="Hyperlink"/>
          </w:rPr>
          <w:t xml:space="preserve">[5]</w:t>
        </w:r>
      </w:hyperlink>
      <w:r>
        <w:t xml:space="preserve"> </w:t>
      </w:r>
      <w:hyperlink w:anchor="ref-16">
        <w:r>
          <w:rPr>
            <w:rStyle w:val="Hyperlink"/>
          </w:rPr>
          <w:t xml:space="preserve">[16]</w:t>
        </w:r>
      </w:hyperlink>
      <w:r>
        <w:t xml:space="preserve">. At the same time, the topic has no legible temporal order in its citation stock: age explains almost none of the variation, and the accumulation curve is flat within the precision the data allow</w:t>
      </w:r>
      <w:r>
        <w:t xml:space="preserve"> </w:t>
      </w:r>
      <w:hyperlink w:anchor="ref-11">
        <w:r>
          <w:rPr>
            <w:rStyle w:val="Hyperlink"/>
          </w:rPr>
          <w:t xml:space="preserve">[11]</w:t>
        </w:r>
      </w:hyperlink>
      <w:r>
        <w:t xml:space="preserve">. A field can be structured in one dimension and unstructured in another, and this one is. The portrait is neither a triumphant confirmation of maturation nor a flat null; it is a mixed, precise, and defensible statement about where the topic’s legibility lives and where it does not</w:t>
      </w:r>
      <w:r>
        <w:t xml:space="preserve"> </w:t>
      </w:r>
      <w:hyperlink w:anchor="ref-4">
        <w:r>
          <w:rPr>
            <w:rStyle w:val="Hyperlink"/>
          </w:rPr>
          <w:t xml:space="preserve">[4]</w:t>
        </w:r>
      </w:hyperlink>
      <w:r>
        <w:t xml:space="preserve">. That mixed portrait is the dissertation’s empirical payload. It is more informative than a uniform result would have been, because it distinguishes the dimension in which the sustainability conversation is already organized from the dimension in which it is not yet resolvable on present data. A later design that wanted to strengthen the temporal claim now knows exactly which weakness to target: the local citation counts and the field’s youth, not the cross-sectional measurement, which already performs</w:t>
      </w:r>
      <w:r>
        <w:t xml:space="preserve"> </w:t>
      </w:r>
      <w:hyperlink w:anchor="ref-3">
        <w:r>
          <w:rPr>
            <w:rStyle w:val="Hyperlink"/>
          </w:rPr>
          <w:t xml:space="preserve">[3]</w:t>
        </w:r>
      </w:hyperlink>
      <w:r>
        <w:t xml:space="preserve"> </w:t>
      </w:r>
      <w:hyperlink w:anchor="ref-7">
        <w:r>
          <w:rPr>
            <w:rStyle w:val="Hyperlink"/>
          </w:rPr>
          <w:t xml:space="preserve">[7]</w:t>
        </w:r>
      </w:hyperlink>
      <w:r>
        <w:t xml:space="preserve">. Reporting the exact statistics and reading them to this level of specificity is the safeguard that keeps the analysis useful even where it is modest, and it is the reason a null on one axis and a signal on the other together constitute a genuine result rather than a disappointment</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One record dominates. Seventy-one citations. The rest sit near zero.</w:t>
      </w:r>
    </w:p>
    <w:bookmarkEnd w:id="129"/>
    <w:bookmarkStart w:id="130" w:name="a-tabular-summary-of-the-estimates"/>
    <w:p>
      <w:pPr>
        <w:pStyle w:val="Heading2"/>
        <w:spacing w:line="480" w:lineRule="auto"/>
      </w:pPr>
      <w:r>
        <w:t xml:space="preserve">A tabular summary of the estimates</w:t>
      </w:r>
    </w:p>
    <w:p>
      <w:pPr>
        <w:pStyle w:val="FirstParagraph"/>
        <w:spacing w:line="480" w:lineRule="auto"/>
      </w:pPr>
      <w:r>
        <w:t xml:space="preserve">For a reader who wants the numbers in one place, the two models report as follows. The estimate is signed. Paper 1, ordinary least squares with HC1 errors on N = 30: overall R2 = 0.3565, adjusted R2 = 0.2822, F = 11.6193, F p-value = 5.13e-05. Its terms are the constant at 11.5919 (standard error 1.8075, p = 1.43e-10), recency at -0.1324 (standard error 0.1121, p = 0.2376), citations at 0.0716 (standard error 0.0147, p = 1.13e-06), and venue at -2.0875 (standard error 0.7096, p = 0.0033). Paper 2, log-log learning curve with HC1 errors on N = 30: overall R2 = 0.0207, elasticity -0.2053, progress ratio 0.8673. Its terms are the constant at 0.9641 (standard error 0.3667, p = 0.0086) and the log-age slope at -0.2053 (standard error 0.1846, p = 0.2659). Two of the four Paper 1 slopes clear conventional significance, citations and venue, while recency does not, and Paper 2’s single slope of interest does not. So three of the study’s substantive coefficients are precise and two are not, and the pattern of which is which is the finding: precision concentrates in the cross-sectional attention and venue channels and is absent from both time-based channels</w:t>
      </w:r>
      <w:r>
        <w:t xml:space="preserve"> </w:t>
      </w:r>
      <w:hyperlink w:anchor="ref-4">
        <w:r>
          <w:rPr>
            <w:rStyle w:val="Hyperlink"/>
          </w:rPr>
          <w:t xml:space="preserve">[4]</w:t>
        </w:r>
      </w:hyperlink>
      <w:r>
        <w:t xml:space="preserve"> </w:t>
      </w:r>
      <w:hyperlink w:anchor="ref-11">
        <w:r>
          <w:rPr>
            <w:rStyle w:val="Hyperlink"/>
          </w:rPr>
          <w:t xml:space="preserve">[11]</w:t>
        </w:r>
      </w:hyperlink>
      <w:r>
        <w:t xml:space="preserve">. Every figure here is transcribed from the deterministic runs, and every figure is read in the chapter above against its pre-committed hypothesis, so the summary adds convenience without adding any claim the estimates do not already support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30"/>
    <w:bookmarkEnd w:id="131"/>
    <w:bookmarkStart w:id="144" w:name="chapter-7.-discussion-and-limitations"/>
    <w:p>
      <w:pPr>
        <w:pStyle w:val="Heading1"/>
        <w:spacing w:line="480" w:lineRule="auto"/>
      </w:pPr>
      <w:r>
        <w:t xml:space="preserve">Chapter 7. Discussion and Limitations</w:t>
      </w:r>
    </w:p>
    <w:p>
      <w:pPr>
        <w:pStyle w:val="FirstParagraph"/>
        <w:spacing w:line="480" w:lineRule="auto"/>
      </w:pPr>
      <w:r>
        <w:t xml:space="preserve">The findings support a specific and bounded reading. Within the thirty retained records, the sustainability topic is structured in the cross-section but not in the age-citation curve; citation attention and venue family carry precise coefficients in Paper 1; article age carries none in Paper 2. This chapter works out what that pattern means, where it is fragile, and what the data simply cannot show</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132" w:name="what-the-pattern-means"/>
    <w:p>
      <w:pPr>
        <w:pStyle w:val="Heading2"/>
        <w:spacing w:line="480" w:lineRule="auto"/>
      </w:pPr>
      <w:r>
        <w:t xml:space="preserve">What the pattern means</w:t>
      </w:r>
    </w:p>
    <w:p>
      <w:pPr>
        <w:pStyle w:val="FirstParagraph"/>
        <w:spacing w:line="480" w:lineRule="auto"/>
      </w:pPr>
      <w:r>
        <w:t xml:space="preserve">The most defensible substantive claim is the citation result. The positive, precise coefficient of 0.0716 on reported citations says that, inside this corpus, records the field has already noticed carry a denser sustainability signal</w:t>
      </w:r>
      <w:r>
        <w:t xml:space="preserve"> </w:t>
      </w:r>
      <w:hyperlink w:anchor="ref-5">
        <w:r>
          <w:rPr>
            <w:rStyle w:val="Hyperlink"/>
          </w:rPr>
          <w:t xml:space="preserve">[5]</w:t>
        </w:r>
      </w:hyperlink>
      <w:r>
        <w:t xml:space="preserve">. Read cautiously, this is consistent with a field whose recognized contributions are also its most thematically committed to the sustainability frame, rather than one where attention scatters independently of theme. It is a statement about the retained corpus, not a claim that citation causes thematic density or the reverse; the cross-sectional design cannot separate those directions, and the chapter does not pretend it can</w:t>
      </w:r>
      <w:r>
        <w:t xml:space="preserve"> </w:t>
      </w:r>
      <w:hyperlink w:anchor="ref-3">
        <w:r>
          <w:rPr>
            <w:rStyle w:val="Hyperlink"/>
          </w:rPr>
          <w:t xml:space="preserve">[3]</w:t>
        </w:r>
      </w:hyperlink>
      <w:r>
        <w:t xml:space="preserve">. The venue result is more interesting for what it reveals about measurement than about substance. The negative coefficient of -2.0875 is genuine structure, but Chapter 6 traced much of it to space-economy records with empty snippet and keyword fields, whose term-count signal is mechanically depressed</w:t>
      </w:r>
      <w:r>
        <w:t xml:space="preserve"> </w:t>
      </w:r>
      <w:hyperlink w:anchor="ref-16">
        <w:r>
          <w:rPr>
            <w:rStyle w:val="Hyperlink"/>
          </w:rPr>
          <w:t xml:space="preserve">[16]</w:t>
        </w:r>
      </w:hyperlink>
      <w:r>
        <w:t xml:space="preserve">. So the venue coefficient is partly a fingerprint of field completeness across venue families rather than a clean statement that economic venues discuss sustainability less. This is precisely the sort of finding that a source-traced design is meant to catch. A less disciplined study might have reported a surprising venue effect and built a narrative on it; here the audit trail forces the more accurate, more modest reading</w:t>
      </w:r>
      <w:r>
        <w:t xml:space="preserve"> </w:t>
      </w:r>
      <w:hyperlink w:anchor="ref-1">
        <w:r>
          <w:rPr>
            <w:rStyle w:val="Hyperlink"/>
          </w:rPr>
          <w:t xml:space="preserve">[1]</w:t>
        </w:r>
      </w:hyperlink>
      <w:r>
        <w:t xml:space="preserve">.</w:t>
      </w:r>
    </w:p>
    <w:p>
      <w:pPr>
        <w:pStyle w:val="BodyText"/>
        <w:spacing w:line="480" w:lineRule="auto"/>
        <w:ind w:firstLine="720"/>
      </w:pPr>
      <w:r>
        <w:t xml:space="preserve">The two null results, recency in Paper 1 and article age in Paper 2, are not empty. The channel carries weight. The recency null says the sustainability signal does not simply pile into the newest records once citations and venue are held fixed</w:t>
      </w:r>
      <w:r>
        <w:t xml:space="preserve"> </w:t>
      </w:r>
      <w:hyperlink w:anchor="ref-4">
        <w:r>
          <w:rPr>
            <w:rStyle w:val="Hyperlink"/>
          </w:rPr>
          <w:t xml:space="preserve">[4]</w:t>
        </w:r>
      </w:hyperlink>
      <w:r>
        <w:t xml:space="preserve">. The age-accumulation null says the retained citation counts do not trace a measurable learning curve, driven as they are by one influential 2021 article amid a long tail of uncited proceedings</w:t>
      </w:r>
      <w:r>
        <w:t xml:space="preserve"> </w:t>
      </w:r>
      <w:hyperlink w:anchor="ref-5">
        <w:r>
          <w:rPr>
            <w:rStyle w:val="Hyperlink"/>
          </w:rPr>
          <w:t xml:space="preserve">[5]</w:t>
        </w:r>
      </w:hyperlink>
      <w:r>
        <w:t xml:space="preserve"> </w:t>
      </w:r>
      <w:hyperlink w:anchor="ref-11">
        <w:r>
          <w:rPr>
            <w:rStyle w:val="Hyperlink"/>
          </w:rPr>
          <w:t xml:space="preserve">[11]</w:t>
        </w:r>
      </w:hyperlink>
      <w:r>
        <w:t xml:space="preserve">. Both nulls sharpen the picture: the topic’s legibility lives in cross-sectional attention and venue structure, not in a time-shaped accumulation of citations.</w:t>
      </w:r>
    </w:p>
    <w:p>
      <w:pPr>
        <w:pStyle w:val="BodyText"/>
        <w:spacing w:line="480" w:lineRule="auto"/>
        <w:ind w:firstLine="720"/>
      </w:pPr>
      <w:r>
        <w:t xml:space="preserve">The nulls are not empty. They map the flat ground. That map has value.</w:t>
      </w:r>
    </w:p>
    <w:bookmarkEnd w:id="132"/>
    <w:bookmarkStart w:id="133" w:name="threats-to-validity"/>
    <w:p>
      <w:pPr>
        <w:pStyle w:val="Heading2"/>
        <w:spacing w:line="480" w:lineRule="auto"/>
      </w:pPr>
      <w:r>
        <w:t xml:space="preserve">Threats to validity</w:t>
      </w:r>
    </w:p>
    <w:p>
      <w:pPr>
        <w:pStyle w:val="FirstParagraph"/>
        <w:spacing w:line="480" w:lineRule="auto"/>
      </w:pPr>
      <w:r>
        <w:t xml:space="preserve">Source selection is the first and largest threat. The thirty records are a retrieved sample, not the full orbital-sustainability literature, so every coefficient is a statement about the retained corpus first and the wider field only by cautious extension</w:t>
      </w:r>
      <w:r>
        <w:t xml:space="preserve"> </w:t>
      </w:r>
      <w:hyperlink w:anchor="ref-5">
        <w:r>
          <w:rPr>
            <w:rStyle w:val="Hyperlink"/>
          </w:rPr>
          <w:t xml:space="preserve">[5]</w:t>
        </w:r>
      </w:hyperlink>
      <w:r>
        <w:t xml:space="preserve">. A different retrieval, with more journal breadth or more governance documents, could shift the venue and citation coefficients. The design cannot rule this out, and the appropriate response is to bound the claims to the corpus rather than to overreach. Proxy measurement is the second threat. The topic-signal score is a term count, and a record could engage sustainability substantively while using vocabulary the term list misses</w:t>
      </w:r>
      <w:r>
        <w:t xml:space="preserve"> </w:t>
      </w:r>
      <w:hyperlink w:anchor="ref-7">
        <w:r>
          <w:rPr>
            <w:rStyle w:val="Hyperlink"/>
          </w:rPr>
          <w:t xml:space="preserve">[7]</w:t>
        </w:r>
      </w:hyperlink>
      <w:r>
        <w:t xml:space="preserve">. Citation counts are local index measures, so a widely cited record that the index does not track reads here as uncited, which biases both models toward finding no accumulation</w:t>
      </w:r>
      <w:r>
        <w:t xml:space="preserve"> </w:t>
      </w:r>
      <w:hyperlink w:anchor="ref-3">
        <w:r>
          <w:rPr>
            <w:rStyle w:val="Hyperlink"/>
          </w:rPr>
          <w:t xml:space="preserve">[3]</w:t>
        </w:r>
      </w:hyperlink>
      <w:r>
        <w:t xml:space="preserve">. Venue coding is ordinal and can capture only a monotone family effect. Each proxy is defensible as a first-pass instrument, and each is too coarse to carry a strong causal claim.</w:t>
      </w:r>
    </w:p>
    <w:p>
      <w:pPr>
        <w:pStyle w:val="BodyText"/>
        <w:spacing w:line="480" w:lineRule="auto"/>
        <w:ind w:firstLine="720"/>
      </w:pPr>
      <w:r>
        <w:t xml:space="preserve">Omitted variables are the third threat. A metadata model cannot include the technical, institutional, and market drivers that actually shape how a topic is written about, from sensing advances that produce more papers to constellation economics that pull attention toward launch forecasting</w:t>
      </w:r>
      <w:r>
        <w:t xml:space="preserve"> </w:t>
      </w:r>
      <w:hyperlink w:anchor="ref-16">
        <w:r>
          <w:rPr>
            <w:rStyle w:val="Hyperlink"/>
          </w:rPr>
          <w:t xml:space="preserve">[16]</w:t>
        </w:r>
      </w:hyperlink>
      <w:r>
        <w:t xml:space="preserve">. Any such driver that correlates with a regressor biases that regressor’s coefficient, and the cross-sectional design has no instrument to remove the bias. The robust standard errors address heteroskedasticity, not omission, and the chapter keeps that distinction explicit. Overinterpretation is the fourth threat, and it is a threat of writing rather than estimation. The remedy is procedural and has been applied throughout: report the numbers first, interpret second, and let a weak coefficient stand as weak. The recency and age nulls are reported as nulls, not spun into soft positives</w:t>
      </w:r>
      <w:r>
        <w:t xml:space="preserve"> </w:t>
      </w:r>
      <w:hyperlink w:anchor="ref-2">
        <w:r>
          <w:rPr>
            <w:rStyle w:val="Hyperlink"/>
          </w:rPr>
          <w:t xml:space="preserve">[2]</w:t>
        </w:r>
      </w:hyperlink>
      <w:r>
        <w:t xml:space="preserve">.</w:t>
      </w:r>
    </w:p>
    <w:bookmarkEnd w:id="133"/>
    <w:bookmarkStart w:id="134" w:name="what-the-data-cannot-show"/>
    <w:p>
      <w:pPr>
        <w:pStyle w:val="Heading2"/>
        <w:spacing w:line="480" w:lineRule="auto"/>
      </w:pPr>
      <w:r>
        <w:t xml:space="preserve">What the data cannot show</w:t>
      </w:r>
    </w:p>
    <w:p>
      <w:pPr>
        <w:pStyle w:val="FirstParagraph"/>
        <w:spacing w:line="480" w:lineRule="auto"/>
      </w:pPr>
      <w:r>
        <w:t xml:space="preserve">Several questions sit outside this design entirely. The models cannot show whether orbital crowding has caused any institutional response; they measure documentary structure, not governance behavior, and the transmission from physical salience to policy action is assumed, not estimated</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They cannot show the true carrying capacity of any orbital shell, which is a question for physical population modeling of the kind the surrounding literature pursues but this study does not</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4">
        <w:r>
          <w:rPr>
            <w:rStyle w:val="Hyperlink"/>
          </w:rPr>
          <w:t xml:space="preserve">[14]</w:t>
        </w:r>
      </w:hyperlink>
      <w:r>
        <w:t xml:space="preserve">. They cannot establish causal direction between citation and theme, and they cannot generalize confidently beyond the retained corpus. Naming these limits is not a retreat. It marks the frontier at which the next design would have to take over.</w:t>
      </w:r>
    </w:p>
    <w:bookmarkEnd w:id="134"/>
    <w:bookmarkStart w:id="135" w:name="toward-a-stronger-design"/>
    <w:p>
      <w:pPr>
        <w:pStyle w:val="Heading2"/>
        <w:spacing w:line="480" w:lineRule="auto"/>
      </w:pPr>
      <w:r>
        <w:t xml:space="preserve">Toward a stronger design</w:t>
      </w:r>
    </w:p>
    <w:p>
      <w:pPr>
        <w:pStyle w:val="FirstParagraph"/>
        <w:spacing w:line="480" w:lineRule="auto"/>
      </w:pPr>
      <w:r>
        <w:t xml:space="preserve">The results point to specific improvements rather than vague calls for more data. The gap is measurable. A richer citation source, drawing counts from a universal index rather than a local one, would let Paper 2’s learning-curve question be re-asked with counts that are comparable across records of different ages</w:t>
      </w:r>
      <w:r>
        <w:t xml:space="preserve"> </w:t>
      </w:r>
      <w:hyperlink w:anchor="ref-3">
        <w:r>
          <w:rPr>
            <w:rStyle w:val="Hyperlink"/>
          </w:rPr>
          <w:t xml:space="preserve">[3]</w:t>
        </w:r>
      </w:hyperlink>
      <w:r>
        <w:t xml:space="preserve">. Direct document coding, replacing the term-count signal with human-validated judgments of sustainability engagement, would test whether the citation and venue associations survive a better outcome measure</w:t>
      </w:r>
      <w:r>
        <w:t xml:space="preserve"> </w:t>
      </w:r>
      <w:hyperlink w:anchor="ref-7">
        <w:r>
          <w:rPr>
            <w:rStyle w:val="Hyperlink"/>
          </w:rPr>
          <w:t xml:space="preserve">[7]</w:t>
        </w:r>
      </w:hyperlink>
      <w:r>
        <w:t xml:space="preserve">. A larger and more balanced retrieval, with fuller snippet and keyword coverage across venue families, would separate the venue coefficient from the field-completeness artifact that currently contaminates it</w:t>
      </w:r>
      <w:r>
        <w:t xml:space="preserve"> </w:t>
      </w:r>
      <w:hyperlink w:anchor="ref-16">
        <w:r>
          <w:rPr>
            <w:rStyle w:val="Hyperlink"/>
          </w:rPr>
          <w:t xml:space="preserve">[16]</w:t>
        </w:r>
      </w:hyperlink>
      <w:r>
        <w:t xml:space="preserve">.</w:t>
      </w:r>
    </w:p>
    <w:p>
      <w:pPr>
        <w:pStyle w:val="BodyText"/>
        <w:spacing w:line="480" w:lineRule="auto"/>
        <w:ind w:firstLine="720"/>
      </w:pPr>
      <w:r>
        <w:t xml:space="preserve">Each improvement is concrete, and each follows directly from a limitation the present design was honest enough to expose. That is the practical yield of a bounded study: it does not settle the governance question, but it tells the next study exactly where to dig</w:t>
      </w:r>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35"/>
    <w:bookmarkStart w:id="136" w:name="X341d1ac6c5d0f315aecd264b715f222bcccc3e1"/>
    <w:p>
      <w:pPr>
        <w:pStyle w:val="Heading2"/>
        <w:spacing w:line="480" w:lineRule="auto"/>
      </w:pPr>
      <w:r>
        <w:t xml:space="preserve">Situating the findings against the physical literature</w:t>
      </w:r>
    </w:p>
    <w:p>
      <w:pPr>
        <w:pStyle w:val="FirstParagraph"/>
        <w:spacing w:line="480" w:lineRule="auto"/>
      </w:pPr>
      <w:r>
        <w:t xml:space="preserve">It is worth asking how the documentary findings sit alongside the physical picture the retained literature paints, because the two should be broadly consistent even though the study measures only the documentary layer. The physical literature is unambiguous that crowding is a serious, slow-clearing problem: decay times are long at constellation altitudes, disposal orbits linger, breakup events multiply the tracked population, and launch demand rises with the economy</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4">
        <w:r>
          <w:rPr>
            <w:rStyle w:val="Hyperlink"/>
          </w:rPr>
          <w:t xml:space="preserve">[14]</w:t>
        </w:r>
      </w:hyperlink>
      <w:r>
        <w:t xml:space="preserve"> </w:t>
      </w:r>
      <w:hyperlink w:anchor="ref-16">
        <w:r>
          <w:rPr>
            <w:rStyle w:val="Hyperlink"/>
          </w:rPr>
          <w:t xml:space="preserve">[16]</w:t>
        </w:r>
      </w:hyperlink>
      <w:r>
        <w:t xml:space="preserve">. Against that backdrop, the cross-sectional legibility found in Paper 1 is the expected shadow of a maturing risk: the records the field has cited most carry the densest sustainability framing, which is what one would predict if attention is flowing toward the work that best characterizes a recognized harm</w:t>
      </w:r>
      <w:r>
        <w:t xml:space="preserve"> </w:t>
      </w:r>
      <w:hyperlink w:anchor="ref-5">
        <w:r>
          <w:rPr>
            <w:rStyle w:val="Hyperlink"/>
          </w:rPr>
          <w:t xml:space="preserve">[5]</w:t>
        </w:r>
      </w:hyperlink>
      <w:r>
        <w:t xml:space="preserve">. The temporal null is more interesting to reconcile. If the physical problem is intensifying, why does citation accumulation show no age structure? The answer lies in the youth and concentration of the field rather than in any contradiction. Much of the sustainability-specific journal work is recent, so there has not been enough elapsed time for a clean age-citation gradient to form, and the counts are dominated by a single early-cited article</w:t>
      </w:r>
      <w:r>
        <w:t xml:space="preserve"> </w:t>
      </w:r>
      <w:hyperlink w:anchor="ref-5">
        <w:r>
          <w:rPr>
            <w:rStyle w:val="Hyperlink"/>
          </w:rPr>
          <w:t xml:space="preserve">[5]</w:t>
        </w:r>
      </w:hyperlink>
      <w:r>
        <w:t xml:space="preserve"> </w:t>
      </w:r>
      <w:hyperlink w:anchor="ref-11">
        <w:r>
          <w:rPr>
            <w:rStyle w:val="Hyperlink"/>
          </w:rPr>
          <w:t xml:space="preserve">[11]</w:t>
        </w:r>
      </w:hyperlink>
      <w:r>
        <w:t xml:space="preserve">. A field that is young and top-heavy in citations will look flat on an age curve even while its physical subject grows more urgent. The documentary null and the physical urgency are therefore compatible: they describe different layers moving on different clocks.</w:t>
      </w:r>
    </w:p>
    <w:bookmarkEnd w:id="136"/>
    <w:bookmarkStart w:id="137" w:name="the-governance-value-of-a-reported-null"/>
    <w:p>
      <w:pPr>
        <w:pStyle w:val="Heading2"/>
        <w:spacing w:line="480" w:lineRule="auto"/>
      </w:pPr>
      <w:r>
        <w:t xml:space="preserve">The governance value of a reported null</w:t>
      </w:r>
    </w:p>
    <w:p>
      <w:pPr>
        <w:pStyle w:val="FirstParagraph"/>
        <w:spacing w:line="480" w:lineRule="auto"/>
      </w:pPr>
      <w:r>
        <w:t xml:space="preserve">Practitioners often undervalue null results, and this dissertation argues the opposite case. A governance body that reads the citation and venue structure of Paper 1 learns that the sustainability literature has a recognizable internal order, which supports treating it as a maturing evidence base worth citing in rulemaking</w:t>
      </w:r>
      <w:r>
        <w:t xml:space="preserve"> </w:t>
      </w:r>
      <w:hyperlink w:anchor="ref-1">
        <w:r>
          <w:rPr>
            <w:rStyle w:val="Hyperlink"/>
          </w:rPr>
          <w:t xml:space="preserve">[1]</w:t>
        </w:r>
      </w:hyperlink>
      <w:r>
        <w:t xml:space="preserve">. A body that reads the age null of Paper 2 learns something equally useful: the field is not yet old enough, or deep enough in comparable citation data, to support claims about how attention accumulates over time, so any argument that rests on citation-growth trends is premature on present evidence</w:t>
      </w:r>
      <w:r>
        <w:t xml:space="preserve"> </w:t>
      </w:r>
      <w:hyperlink w:anchor="ref-3">
        <w:r>
          <w:rPr>
            <w:rStyle w:val="Hyperlink"/>
          </w:rPr>
          <w:t xml:space="preserve">[3]</w:t>
        </w:r>
      </w:hyperlink>
      <w:r>
        <w:t xml:space="preserve">. Both lessons steer decision-makers away from overclaiming. In a domain where premature confidence can lock in a rule that later evidence contradicts, a method that flags where the evidence thins is protective rather than merely cautious</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37"/>
    <w:bookmarkStart w:id="138" w:name="the-limits-of-the-commons-analogy-itself"/>
    <w:p>
      <w:pPr>
        <w:pStyle w:val="Heading2"/>
        <w:spacing w:line="480" w:lineRule="auto"/>
      </w:pPr>
      <w:r>
        <w:t xml:space="preserve">The limits of the commons analogy itself</w:t>
      </w:r>
    </w:p>
    <w:p>
      <w:pPr>
        <w:pStyle w:val="FirstParagraph"/>
        <w:spacing w:line="480" w:lineRule="auto"/>
      </w:pPr>
      <w:r>
        <w:t xml:space="preserve">One further caution belongs in a chapter on what the data cannot show. The screen is cheap. The commons framing that motivates the whole study is an analogy, and analogies can mislead if pressed too hard. Orbit differs from a pasture or a fishery in ways that matter for governance: there is no single boundary to fence, the resource is three-dimensional and stratified by altitude, and the actors are sovereign states and firms rather than neighboring herders</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The documentary evidence here says nothing about which governance instruments would actually solve the commons problem; it speaks only to whether the field that studies the problem is legibly structured. A reader tempted to leap from the citation coefficient to a specific policy prescription should be stopped by this boundary. The study measures the shadow of the problem in the literature, not the machinery that would resolve it, and honesty about that gap is the final limitation worth naming</w:t>
      </w:r>
      <w:r>
        <w:t xml:space="preserve"> </w:t>
      </w:r>
      <w:hyperlink w:anchor="ref-2">
        <w:r>
          <w:rPr>
            <w:rStyle w:val="Hyperlink"/>
          </w:rPr>
          <w:t xml:space="preserve">[2]</w:t>
        </w:r>
      </w:hyperlink>
      <w:r>
        <w:t xml:space="preserve"> </w:t>
      </w:r>
      <w:hyperlink w:anchor="ref-16">
        <w:r>
          <w:rPr>
            <w:rStyle w:val="Hyperlink"/>
          </w:rPr>
          <w:t xml:space="preserve">[16]</w:t>
        </w:r>
      </w:hyperlink>
      <w:r>
        <w:t xml:space="preserve">.</w:t>
      </w:r>
    </w:p>
    <w:bookmarkEnd w:id="138"/>
    <w:bookmarkStart w:id="139" w:name="X49b0b98212e3d447820b4357894a397afa6cb7e"/>
    <w:p>
      <w:pPr>
        <w:pStyle w:val="Heading2"/>
        <w:spacing w:line="480" w:lineRule="auto"/>
      </w:pPr>
      <w:r>
        <w:t xml:space="preserve">Implications for how emerging space topics are assessed</w:t>
      </w:r>
    </w:p>
    <w:p>
      <w:pPr>
        <w:pStyle w:val="FirstParagraph"/>
        <w:spacing w:line="480" w:lineRule="auto"/>
      </w:pPr>
      <w:r>
        <w:t xml:space="preserve">The discussion so far has stayed close to orbital sustainability, but the method carries a wider implication for how any emerging space topic should be assessed before it is treated as settled. The foundation is extensible. Decision-makers routinely face new domains, on-orbit servicing, cislunar traffic, large-constellation coordination, where the literature is young and the temptation to declare a consensus is strong</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two-model screen used here offers a cheap first check: run a cross-sectional model to see whether the topic is internally structured, and a temporal model to see whether its evidence base has accumulated, then read the pair honestly. A topic that is structured cross-sectionally but flat temporally, as orbital sustainability turns out to be here, is one whose consensus is forming but not yet historically deep, and that is useful to know before staking a rule on it</w:t>
      </w:r>
      <w:r>
        <w:t xml:space="preserve"> </w:t>
      </w:r>
      <w:hyperlink w:anchor="ref-3">
        <w:r>
          <w:rPr>
            <w:rStyle w:val="Hyperlink"/>
          </w:rPr>
          <w:t xml:space="preserve">[3]</w:t>
        </w:r>
      </w:hyperlink>
      <w:r>
        <w:t xml:space="preserve"> </w:t>
      </w:r>
      <w:hyperlink w:anchor="ref-9">
        <w:r>
          <w:rPr>
            <w:rStyle w:val="Hyperlink"/>
          </w:rPr>
          <w:t xml:space="preserve">[9]</w:t>
        </w:r>
      </w:hyperlink>
      <w:r>
        <w:t xml:space="preserve">. This generalization comes with the same caution the study applies to itself. The screen measures documentary structure, not physical truth, so a topic could be documentarily structured for reasons of funding fashion rather than genuine importance</w:t>
      </w:r>
      <w:r>
        <w:t xml:space="preserve"> </w:t>
      </w:r>
      <w:hyperlink w:anchor="ref-16">
        <w:r>
          <w:rPr>
            <w:rStyle w:val="Hyperlink"/>
          </w:rPr>
          <w:t xml:space="preserve">[16]</w:t>
        </w:r>
      </w:hyperlink>
      <w:r>
        <w:t xml:space="preserve">. The citation channel guards against the crudest version of that failure, but no metadata screen can fully separate a real consensus from a well-funded one. The honest claim is that the method quickly identifies where a topic’s literature is organized and where it is thin, which narrows the space of questions a more expensive study must then investigate. That is a real service to a decision-maker, precisely because it is bounded and does not pretend to substitute for domain expertise</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39"/>
    <w:bookmarkStart w:id="140" w:name="what-would-change-the-verdict"/>
    <w:p>
      <w:pPr>
        <w:pStyle w:val="Heading2"/>
        <w:spacing w:line="480" w:lineRule="auto"/>
      </w:pPr>
      <w:r>
        <w:t xml:space="preserve">What would change the verdict</w:t>
      </w:r>
    </w:p>
    <w:p>
      <w:pPr>
        <w:pStyle w:val="FirstParagraph"/>
        <w:spacing w:line="480" w:lineRule="auto"/>
      </w:pPr>
      <w:r>
        <w:t xml:space="preserve">A rigorous discussion should state what evidence would overturn its conclusions, because a conclusion that nothing could falsify is not a scientific claim. The cross-sectional finding would weaken if a larger, more balanced retrieval showed that the citation and venue coefficients were artifacts of the particular thirty records rather than stable features of the field</w:t>
      </w:r>
      <w:r>
        <w:t xml:space="preserve"> </w:t>
      </w:r>
      <w:hyperlink w:anchor="ref-5">
        <w:r>
          <w:rPr>
            <w:rStyle w:val="Hyperlink"/>
          </w:rPr>
          <w:t xml:space="preserve">[5]</w:t>
        </w:r>
      </w:hyperlink>
      <w:r>
        <w:t xml:space="preserve">. The temporal null would be overturned if a universal citation index, replacing the sparse local counts, revealed a clean age-citation gradient that the local data hid</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venue result would be reinterpreted if fuller metadata on the economy tail removed the field-completeness artifact and either preserved or erased the coefficient</w:t>
      </w:r>
      <w:r>
        <w:t xml:space="preserve"> </w:t>
      </w:r>
      <w:hyperlink w:anchor="ref-16">
        <w:r>
          <w:rPr>
            <w:rStyle w:val="Hyperlink"/>
          </w:rPr>
          <w:t xml:space="preserve">[16]</w:t>
        </w:r>
      </w:hyperlink>
      <w:r>
        <w:t xml:space="preserve">. Naming these falsifiers is not hedging. It is the mark of a design that knows the difference between what it has shown and what it has assumed, and that invites the next study to test rather than merely to extend it</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40"/>
    <w:bookmarkStart w:id="141" w:name="X04c34767b70cd61bffc3daf4782c9a681258673"/>
    <w:p>
      <w:pPr>
        <w:pStyle w:val="Heading2"/>
        <w:spacing w:line="480" w:lineRule="auto"/>
      </w:pPr>
      <w:r>
        <w:t xml:space="preserve">What the citation result does and does not imply for policy</w:t>
      </w:r>
    </w:p>
    <w:p>
      <w:pPr>
        <w:pStyle w:val="FirstParagraph"/>
        <w:spacing w:line="480" w:lineRule="auto"/>
      </w:pPr>
      <w:r>
        <w:t xml:space="preserve">The one robust positive finding, that recognized work carries a denser sustainability signal, is the finding most likely to be misused, so its policy implications deserve careful bounding. A tempting but wrong reading is that the field has reached consensus and regulators can now act as if the science is settled</w:t>
      </w:r>
      <w:r>
        <w:t xml:space="preserve"> </w:t>
      </w:r>
      <w:hyperlink w:anchor="ref-1">
        <w:r>
          <w:rPr>
            <w:rStyle w:val="Hyperlink"/>
          </w:rPr>
          <w:t xml:space="preserve">[1]</w:t>
        </w:r>
      </w:hyperlink>
      <w:r>
        <w:t xml:space="preserve">. The estimate does not support that leap. It says that within the retained corpus, citation attention and thematic density move together, which is consistent with a field organizing itself around recognized work but says nothing about whether that recognized work has converged on shared conclusions</w:t>
      </w:r>
      <w:r>
        <w:t xml:space="preserve"> </w:t>
      </w:r>
      <w:hyperlink w:anchor="ref-5">
        <w:r>
          <w:rPr>
            <w:rStyle w:val="Hyperlink"/>
          </w:rPr>
          <w:t xml:space="preserve">[5]</w:t>
        </w:r>
      </w:hyperlink>
      <w:r>
        <w:t xml:space="preserve">. Attention can concentrate on contested findings as readily as on settled ones. So the correct policy reading is narrow: the sustainability literature is internally structured enough to be treated as a coherent evidence base worth consulting, not settled enough to be treated as a closed question. A second wrong reading would treat the venue coefficient as evidence that economic venues undervalue sustainability and should be discounted</w:t>
      </w:r>
      <w:r>
        <w:t xml:space="preserve"> </w:t>
      </w:r>
      <w:hyperlink w:anchor="ref-16">
        <w:r>
          <w:rPr>
            <w:rStyle w:val="Hyperlink"/>
          </w:rPr>
          <w:t xml:space="preserve">[16]</w:t>
        </w:r>
      </w:hyperlink>
      <w:r>
        <w:t xml:space="preserve">. Chapter 6 already showed that much of the venue effect traces to missing metadata fields in the economy tail rather than to substantive neglect, so a regulator who down-weighted economic analysis on the strength of the coefficient would be acting on an artifact</w:t>
      </w:r>
      <w:r>
        <w:t xml:space="preserve"> </w:t>
      </w:r>
      <w:hyperlink w:anchor="ref-1">
        <w:r>
          <w:rPr>
            <w:rStyle w:val="Hyperlink"/>
          </w:rPr>
          <w:t xml:space="preserve">[1]</w:t>
        </w:r>
      </w:hyperlink>
      <w:r>
        <w:t xml:space="preserve">. The disciplined implication is the opposite: because the venue effect is partly artifactual, the economic literature on launch-demand forecasting and capacity modeling should be read on its merits rather than filtered out by a coefficient that reflects field completeness</w:t>
      </w:r>
      <w:r>
        <w:t xml:space="preserve"> </w:t>
      </w:r>
      <w:hyperlink w:anchor="ref-16">
        <w:r>
          <w:rPr>
            <w:rStyle w:val="Hyperlink"/>
          </w:rPr>
          <w:t xml:space="preserve">[16]</w:t>
        </w:r>
      </w:hyperlink>
      <w:r>
        <w:t xml:space="preserve">. Correctly bounding these two implications is where the discussion earns its keep, because the gap between what the estimates show and what a hasty reader might infer is exactly where policy analysis goes wrong.</w:t>
      </w:r>
    </w:p>
    <w:p>
      <w:pPr>
        <w:pStyle w:val="BodyText"/>
        <w:spacing w:line="480" w:lineRule="auto"/>
        <w:ind w:firstLine="720"/>
      </w:pPr>
      <w:r>
        <w:t xml:space="preserve">Read it narrowly. Structure is not consensus. The distinction matters for policy.</w:t>
      </w:r>
    </w:p>
    <w:bookmarkEnd w:id="141"/>
    <w:bookmarkStart w:id="142" w:name="the-value-of-a-design-that-can-be-wrong"/>
    <w:p>
      <w:pPr>
        <w:pStyle w:val="Heading2"/>
        <w:spacing w:line="480" w:lineRule="auto"/>
      </w:pPr>
      <w:r>
        <w:t xml:space="preserve">The value of a design that can be wrong</w:t>
      </w:r>
    </w:p>
    <w:p>
      <w:pPr>
        <w:pStyle w:val="FirstParagraph"/>
        <w:spacing w:line="480" w:lineRule="auto"/>
      </w:pPr>
      <w:r>
        <w:t xml:space="preserve">A closing reflection ties the limitations together. The strength of this design is not that it reaches a confident conclusion but that it is structured to be wrong in identifiable ways. Every coefficient has a named rival explanation, every proxy has a stated validity limit, and every null has a specified condition under which it would be overturned</w:t>
      </w:r>
      <w:r>
        <w:t xml:space="preserve"> </w:t>
      </w:r>
      <w:hyperlink w:anchor="ref-4">
        <w:r>
          <w:rPr>
            <w:rStyle w:val="Hyperlink"/>
          </w:rPr>
          <w:t xml:space="preserve">[4]</w:t>
        </w:r>
      </w:hyperlink>
      <w:r>
        <w:t xml:space="preserve"> </w:t>
      </w:r>
      <w:hyperlink w:anchor="ref-6">
        <w:r>
          <w:rPr>
            <w:rStyle w:val="Hyperlink"/>
          </w:rPr>
          <w:t xml:space="preserve">[6]</w:t>
        </w:r>
      </w:hyperlink>
      <w:r>
        <w:t xml:space="preserve">. A design with those properties is more useful to a decision-maker than a confident one without them, because the decision-maker can see precisely how much weight the evidence bears and where it would break. In a governance domain where overconfidence can lock in an irreversible rule against a slow-clearing commons, a study that maps its own fragility is doing the responsible thing</w:t>
      </w:r>
      <w:r>
        <w:t xml:space="preserve"> </w:t>
      </w:r>
      <w:hyperlink w:anchor="ref-2">
        <w:r>
          <w:rPr>
            <w:rStyle w:val="Hyperlink"/>
          </w:rPr>
          <w:t xml:space="preserve">[2]</w:t>
        </w:r>
      </w:hyperlink>
      <w:r>
        <w:t xml:space="preserve"> </w:t>
      </w:r>
      <w:hyperlink w:anchor="ref-9">
        <w:r>
          <w:rPr>
            <w:rStyle w:val="Hyperlink"/>
          </w:rPr>
          <w:t xml:space="preserve">[9]</w:t>
        </w:r>
      </w:hyperlink>
      <w:r>
        <w:t xml:space="preserve">. The limitations chapter, read this way, is not a list of weaknesses but a map of exactly where the next increment of evidence should be spent, and that map is part of what the dissertation contributes</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42"/>
    <w:bookmarkStart w:id="143" w:name="X7eff989ded3305f1d1351895f9c7a42e5e05026"/>
    <w:p>
      <w:pPr>
        <w:pStyle w:val="Heading2"/>
        <w:spacing w:line="480" w:lineRule="auto"/>
      </w:pPr>
      <w:r>
        <w:t xml:space="preserve">Comparing the two findings for decision weight</w:t>
      </w:r>
    </w:p>
    <w:p>
      <w:pPr>
        <w:pStyle w:val="FirstParagraph"/>
        <w:spacing w:line="480" w:lineRule="auto"/>
      </w:pPr>
      <w:r>
        <w:t xml:space="preserve">Decision-makers who consult this study will want to know which of its two findings deserves more weight, and the honest ranking follows the precision. The cross-sectional citation and venue results, precise and surviving robust inference, warrant more decision weight than the temporal null, whose imprecision leaves it compatible with several underlying truths</w:t>
      </w:r>
      <w:r>
        <w:t xml:space="preserve"> </w:t>
      </w:r>
      <w:hyperlink w:anchor="ref-5">
        <w:r>
          <w:rPr>
            <w:rStyle w:val="Hyperlink"/>
          </w:rPr>
          <w:t xml:space="preserve">[5]</w:t>
        </w:r>
      </w:hyperlink>
      <w:r>
        <w:t xml:space="preserve"> </w:t>
      </w:r>
      <w:hyperlink w:anchor="ref-11">
        <w:r>
          <w:rPr>
            <w:rStyle w:val="Hyperlink"/>
          </w:rPr>
          <w:t xml:space="preserve">[11]</w:t>
        </w:r>
      </w:hyperlink>
      <w:r>
        <w:t xml:space="preserve">. A body building a rule should therefore lean on the finding that the sustainability literature is internally structured, and treat the absence of a citation-accumulation curve as a caution against time-trend arguments rather than as a positive claim about the field’s trajectory</w:t>
      </w:r>
      <w:r>
        <w:t xml:space="preserve"> </w:t>
      </w:r>
      <w:hyperlink w:anchor="ref-3">
        <w:r>
          <w:rPr>
            <w:rStyle w:val="Hyperlink"/>
          </w:rPr>
          <w:t xml:space="preserve">[3]</w:t>
        </w:r>
      </w:hyperlink>
      <w:r>
        <w:t xml:space="preserve">. Ranking the findings by precision, rather than by which is more convenient for a preferred narrative, is the discipline that keeps the study useful to a decision-maker who must allocate trust across uneven evidence</w:t>
      </w:r>
      <w:r>
        <w:t xml:space="preserve"> </w:t>
      </w:r>
      <w:hyperlink w:anchor="ref-6">
        <w:r>
          <w:rPr>
            <w:rStyle w:val="Hyperlink"/>
          </w:rPr>
          <w:t xml:space="preserve">[6]</w:t>
        </w:r>
      </w:hyperlink>
      <w:r>
        <w:t xml:space="preserve">. The ranking also clarifies where the study is silent. It has nothing to say about the physical carrying capacity of any shell, about which governance instrument would work, or about the causal effect of any past rule, and a decision-maker who needs those answers must look to the physical and institutional literatures the study reviewed rather than to the study itself</w:t>
      </w:r>
      <w:r>
        <w:t xml:space="preserve"> </w:t>
      </w:r>
      <w:hyperlink w:anchor="ref-1">
        <w:r>
          <w:rPr>
            <w:rStyle w:val="Hyperlink"/>
          </w:rPr>
          <w:t xml:space="preserve">[1]</w:t>
        </w:r>
      </w:hyperlink>
      <w:r>
        <w:t xml:space="preserve"> </w:t>
      </w:r>
      <w:hyperlink w:anchor="ref-10">
        <w:r>
          <w:rPr>
            <w:rStyle w:val="Hyperlink"/>
          </w:rPr>
          <w:t xml:space="preserve">[10]</w:t>
        </w:r>
      </w:hyperlink>
      <w:r>
        <w:t xml:space="preserve"> </w:t>
      </w:r>
      <w:hyperlink w:anchor="ref-16">
        <w:r>
          <w:rPr>
            <w:rStyle w:val="Hyperlink"/>
          </w:rPr>
          <w:t xml:space="preserve">[16]</w:t>
        </w:r>
      </w:hyperlink>
      <w:r>
        <w:t xml:space="preserve">. Being explicit about the boundary of decision-relevance, naming what the findings can inform and what they cannot, is the last service the discussion performs, because a bounded finding used within its bounds strengthens a decision while the same finding used beyond them corrupts it</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bookmarkEnd w:id="143"/>
    <w:bookmarkEnd w:id="144"/>
    <w:bookmarkStart w:id="187"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convert a broad intuition about orbital crowding into a single falsifiable test that a reader could reproduce from retained records. It has done that. The topic-signal structure of the low-orbit sustainability literature is measurable in the cross-section and not measurable in the age-citation curve, and both halves of that answer are reported with their exact statistics rather than asserted</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contribution is narrow by intent and durable because of it.</w:t>
      </w:r>
    </w:p>
    <w:bookmarkStart w:id="145" w:name="the-contribution-stated-precisely"/>
    <w:p>
      <w:pPr>
        <w:pStyle w:val="Heading2"/>
        <w:spacing w:line="480" w:lineRule="auto"/>
      </w:pPr>
      <w:r>
        <w:t xml:space="preserve">The contribution, stated precisely</w:t>
      </w:r>
    </w:p>
    <w:p>
      <w:pPr>
        <w:pStyle w:val="FirstParagraph"/>
        <w:spacing w:line="480" w:lineRule="auto"/>
      </w:pPr>
      <w:r>
        <w:t xml:space="preserve">Two results anchor the claim. Paper 1 estimates an ordinary least squares model with robust HC1 standard errors: N = 30, R2 = 0.3565, adjusted R2 = 0.2822, F = 11.6193, F p-value = 5.13e-05. Its terms are a constant of 11.5919 (standard error 1.8075, p = 1.43e-10), a recency coefficient of -0.1324 (standard error 0.1121, p = 0.2376), a citation coefficient of 0.0716 (standard error 0.0147, p = 1.13e-06), and a venue coefficient of -2.0875 (standard error 0.7096, p = 0.0033). Paper 2 estimates a log-log learning-curve model with robust HC1 standard errors: N = 30, R2 = 0.0207, elasticity -0.2053, progress ratio 0.8673. Its terms are a constant of 0.9641 (standard error 0.3667, p = 0.0086) and a log-age coefficient of -0.2053 (standard error 0.1846, p = 0.2659). Read together, these establish that citation attention and venue family carry precise, signed structure in the retained corpus, while publication recency and article age do not. The two papers are not interchangeable. One measures structure across records; the other measures structure over time. Their value is cumulative, and the honest verdict, cross-sectional legibility without a detectable accumulation curve, could only have come from running both</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Two papers. One mixed verdict. Legible across records, flat across time.</w:t>
      </w:r>
    </w:p>
    <w:bookmarkEnd w:id="145"/>
    <w:bookmarkStart w:id="146" w:name="why-the-method-matters-beyond-this-topic"/>
    <w:p>
      <w:pPr>
        <w:pStyle w:val="Heading2"/>
        <w:spacing w:line="480" w:lineRule="auto"/>
      </w:pPr>
      <w:r>
        <w:t xml:space="preserve">Why the method matters beyond this topic</w:t>
      </w:r>
    </w:p>
    <w:p>
      <w:pPr>
        <w:pStyle w:val="FirstParagraph"/>
        <w:spacing w:line="480" w:lineRule="auto"/>
      </w:pPr>
      <w:r>
        <w:t xml:space="preserve">The knowledge contribution is as much methodological as substantive. Substantively, the dissertation clarifies what the orbital-sustainability topic looks like in an auditable slice of its literature. Methodologically, it demonstrates a repeatable way to turn a space-domain claim into variables, estimator output, and a documented data trail, with every number tethered to a source column</w:t>
      </w:r>
      <w:r>
        <w:t xml:space="preserve"> </w:t>
      </w:r>
      <w:hyperlink w:anchor="ref-7">
        <w:r>
          <w:rPr>
            <w:rStyle w:val="Hyperlink"/>
          </w:rPr>
          <w:t xml:space="preserve">[7]</w:t>
        </w:r>
      </w:hyperlink>
      <w:r>
        <w:t xml:space="preserve">. Many space governance and program questions begin exactly where this one did, with partial records rather than finished datasets, and a cheap, reproducible screen that can tell a structured evidence base from a scatter of urgent claims is worth having as a first move</w:t>
      </w:r>
      <w:r>
        <w:t xml:space="preserve"> </w:t>
      </w:r>
      <w:hyperlink w:anchor="ref-16">
        <w:r>
          <w:rPr>
            <w:rStyle w:val="Hyperlink"/>
          </w:rPr>
          <w:t xml:space="preserve">[16]</w:t>
        </w:r>
      </w:hyperlink>
      <w:r>
        <w:t xml:space="preserve">. The discipline also protects against a characteristic failure of emerging-field analysis. It is easy to look at a growing literature, feel the momentum, and declare that a field has matured. The venue coefficient in this study shows the trap: a surprising negative sign that turned out to be partly an artifact of missing metadata fields, not a substantive statement about how economic venues frame sustainability</w:t>
      </w:r>
      <w:r>
        <w:t xml:space="preserve"> </w:t>
      </w:r>
      <w:hyperlink w:anchor="ref-1">
        <w:r>
          <w:rPr>
            <w:rStyle w:val="Hyperlink"/>
          </w:rPr>
          <w:t xml:space="preserve">[1]</w:t>
        </w:r>
      </w:hyperlink>
      <w:r>
        <w:t xml:space="preserve"> </w:t>
      </w:r>
      <w:hyperlink w:anchor="ref-16">
        <w:r>
          <w:rPr>
            <w:rStyle w:val="Hyperlink"/>
          </w:rPr>
          <w:t xml:space="preserve">[16]</w:t>
        </w:r>
      </w:hyperlink>
      <w:r>
        <w:t xml:space="preserve">. A design that traces every coefficient back to its records catches that kind of error before it becomes a narrative. That is a transferable safeguard.</w:t>
      </w:r>
    </w:p>
    <w:bookmarkEnd w:id="146"/>
    <w:bookmarkStart w:id="147" w:name="Xcdfbd2c941e3d9b85b23785e8f366c044649f5e"/>
    <w:p>
      <w:pPr>
        <w:pStyle w:val="Heading2"/>
        <w:spacing w:line="480" w:lineRule="auto"/>
      </w:pPr>
      <w:r>
        <w:t xml:space="preserve">Relevance to governance and program evidence</w:t>
      </w:r>
    </w:p>
    <w:p>
      <w:pPr>
        <w:pStyle w:val="FirstParagraph"/>
        <w:spacing w:line="480" w:lineRule="auto"/>
      </w:pPr>
      <w:r>
        <w:t xml:space="preserve">The governance implication is a posture rather than a policy prescription. Agencies writing disposal rules, operators planning constellation growth, insurers pricing conjunction risk, and international forums coordinating spectrum all reason before perfect data exist</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useful move is not to wait for perfect data and not to overstate weak evidence, but to mark the boundary between what the record shows and what decision makers still need to learn. This dissertation models that boundary explicitly for one topic: the sustainability signal is cross-sectionally legible, its citation and venue structure is real, and its temporal accumulation curve is not yet measurable from the retained counts. A governance conversation built on that qualified footing is stronger than one built on impression. The relevance extends to how program evidence is assembled. The layered logic here, a first pass on public metadata, a second pass adding operator and mission data, a third pass testing whether associations survive stronger controls, is a template for institutional learning under uncertainty</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present work occupies the first layer and names the later ones rather than claiming to have completed them, which is the appropriate scope for a design-stage study.</w:t>
      </w:r>
    </w:p>
    <w:bookmarkEnd w:id="147"/>
    <w:bookmarkStart w:id="148" w:name="future-work"/>
    <w:p>
      <w:pPr>
        <w:pStyle w:val="Heading2"/>
        <w:spacing w:line="480" w:lineRule="auto"/>
      </w:pPr>
      <w:r>
        <w:t xml:space="preserve">Future work</w:t>
      </w:r>
    </w:p>
    <w:p>
      <w:pPr>
        <w:pStyle w:val="FirstParagraph"/>
        <w:spacing w:line="480" w:lineRule="auto"/>
      </w:pPr>
      <w:r>
        <w:t xml:space="preserve">The path forward is concrete because the limitations are concrete. The findings are cumulative. Replacing the local citation counts with a universal index would let the learning-curve question be re-asked with age-comparable counts, potentially turning the current null into a signal or confirming it as a true absence</w:t>
      </w:r>
      <w:r>
        <w:t xml:space="preserve"> </w:t>
      </w:r>
      <w:hyperlink w:anchor="ref-3">
        <w:r>
          <w:rPr>
            <w:rStyle w:val="Hyperlink"/>
          </w:rPr>
          <w:t xml:space="preserve">[3]</w:t>
        </w:r>
      </w:hyperlink>
      <w:r>
        <w:t xml:space="preserve"> </w:t>
      </w:r>
      <w:hyperlink w:anchor="ref-11">
        <w:r>
          <w:rPr>
            <w:rStyle w:val="Hyperlink"/>
          </w:rPr>
          <w:t xml:space="preserve">[11]</w:t>
        </w:r>
      </w:hyperlink>
      <w:r>
        <w:t xml:space="preserve">. Substituting human-validated document coding for the term-count signal would test whether the citation and venue associations hold under a better outcome measure</w:t>
      </w:r>
      <w:r>
        <w:t xml:space="preserve"> </w:t>
      </w:r>
      <w:hyperlink w:anchor="ref-7">
        <w:r>
          <w:rPr>
            <w:rStyle w:val="Hyperlink"/>
          </w:rPr>
          <w:t xml:space="preserve">[7]</w:t>
        </w:r>
      </w:hyperlink>
      <w:r>
        <w:t xml:space="preserve">. Broadening and balancing the retrieval, with fuller snippet and keyword coverage across venue families, would separate the venue coefficient from the field-completeness artifact that currently muddies it</w:t>
      </w:r>
      <w:r>
        <w:t xml:space="preserve"> </w:t>
      </w:r>
      <w:hyperlink w:anchor="ref-16">
        <w:r>
          <w:rPr>
            <w:rStyle w:val="Hyperlink"/>
          </w:rPr>
          <w:t xml:space="preserve">[16]</w:t>
        </w:r>
      </w:hyperlink>
      <w:r>
        <w:t xml:space="preserve">. Extending the source window and adding governance documents directly, rather than inferring institutional response from technical metadata, would begin to bridge the transmission that this design assumes</w:t>
      </w:r>
      <w:r>
        <w:t xml:space="preserve"> </w:t>
      </w:r>
      <w:hyperlink w:anchor="ref-1">
        <w:r>
          <w:rPr>
            <w:rStyle w:val="Hyperlink"/>
          </w:rPr>
          <w:t xml:space="preserve">[1]</w:t>
        </w:r>
      </w:hyperlink>
      <w:r>
        <w:t xml:space="preserve"> </w:t>
      </w:r>
      <w:hyperlink w:anchor="ref-9">
        <w:r>
          <w:rPr>
            <w:rStyle w:val="Hyperlink"/>
          </w:rPr>
          <w:t xml:space="preserve">[9]</w:t>
        </w:r>
      </w:hyperlink>
      <w:r>
        <w:t xml:space="preserve">. For Yara Delgado, the dissertation also establishes a research program with a clear next step rather than a finished monument. It replaces an intuition about orbital crowding with an auditable empirical pathway, reports exactly what that pathway can and cannot support, and hands a later project the map it would need to go further. That is a legitimate doctoral contribution: bounded, reproducible, and honest about its own edges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48"/>
    <w:bookmarkStart w:id="149" w:name="what-the-two-nulls-contribute"/>
    <w:p>
      <w:pPr>
        <w:pStyle w:val="Heading2"/>
        <w:spacing w:line="480" w:lineRule="auto"/>
      </w:pPr>
      <w:r>
        <w:t xml:space="preserve">What the two nulls contribute</w:t>
      </w:r>
    </w:p>
    <w:p>
      <w:pPr>
        <w:pStyle w:val="FirstParagraph"/>
        <w:spacing w:line="480" w:lineRule="auto"/>
      </w:pPr>
      <w:r>
        <w:t xml:space="preserve">It is tempting to treat a dissertation’s contribution as the sum of its significant coefficients, but here the two null results carry weight of their own. The next step is clear. The recency null in Paper 1 says that, controlling for citations and venue, the sustainability signal does not simply pile into the newest records, which cautions against the common assumption that a topic’s recency alone marks its rise</w:t>
      </w:r>
      <w:r>
        <w:t xml:space="preserve"> </w:t>
      </w:r>
      <w:hyperlink w:anchor="ref-4">
        <w:r>
          <w:rPr>
            <w:rStyle w:val="Hyperlink"/>
          </w:rPr>
          <w:t xml:space="preserve">[4]</w:t>
        </w:r>
      </w:hyperlink>
      <w:r>
        <w:t xml:space="preserve">. The age null in Paper 2 says that the field’s citation stock does not yet trace a measurable accumulation curve, which cautions against reading citation growth as evidence of maturation on present data</w:t>
      </w:r>
      <w:r>
        <w:t xml:space="preserve"> </w:t>
      </w:r>
      <w:hyperlink w:anchor="ref-11">
        <w:r>
          <w:rPr>
            <w:rStyle w:val="Hyperlink"/>
          </w:rPr>
          <w:t xml:space="preserve">[11]</w:t>
        </w:r>
      </w:hyperlink>
      <w:r>
        <w:t xml:space="preserve">. Reporting these nulls, rather than burying them, is part of what makes the dissertation trustworthy. A study that returned only significant findings from a thirty-record metadata screen would deserve suspicion; a study that returns a mixed verdict, precise where the data allow and null where they do not, earns the reader’s confidence in the precise results by demonstrating that it was willing to report the imprecise ones</w:t>
      </w:r>
      <w:r>
        <w:t xml:space="preserve"> </w:t>
      </w:r>
      <w:hyperlink w:anchor="ref-6">
        <w:r>
          <w:rPr>
            <w:rStyle w:val="Hyperlink"/>
          </w:rPr>
          <w:t xml:space="preserve">[6]</w:t>
        </w:r>
      </w:hyperlink>
      <w:r>
        <w:t xml:space="preserve">.</w:t>
      </w:r>
    </w:p>
    <w:bookmarkEnd w:id="149"/>
    <w:bookmarkStart w:id="150" w:name="X52f6ae85c9b7e73c2a177697fd9324b67cd23f2"/>
    <w:p>
      <w:pPr>
        <w:pStyle w:val="Heading2"/>
        <w:spacing w:line="480" w:lineRule="auto"/>
      </w:pPr>
      <w:r>
        <w:t xml:space="preserve">Placement within the sustainability governance conversation</w:t>
      </w:r>
    </w:p>
    <w:p>
      <w:pPr>
        <w:pStyle w:val="FirstParagraph"/>
        <w:spacing w:line="480" w:lineRule="auto"/>
      </w:pPr>
      <w:r>
        <w:t xml:space="preserve">The broader conversation about orbital sustainability is crowded with strong claims and thin measurement, and this dissertation stakes a modest but defensible position within it. The instrument endures. It does not add another projection of the debris population, nor another proposal for a disposal rule, nor another forecast of launch demand; those contributions already exist and are made by specialists better placed to make them</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6">
        <w:r>
          <w:rPr>
            <w:rStyle w:val="Hyperlink"/>
          </w:rPr>
          <w:t xml:space="preserve">[16]</w:t>
        </w:r>
      </w:hyperlink>
      <w:r>
        <w:t xml:space="preserve">. What it adds is a measurement habit: the practice of asking, before advancing a claim about the field’s maturity, whether the field’s own documentary record supports the claim under an auditable test. If that habit spreads, the sustainability conversation gains a cheap check against premature confidence, applicable not only to orbital crowding but to any emerging space-governance topic whose literature can be retrieved and coded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50"/>
    <w:bookmarkStart w:id="151" w:name="a-closing-on-method-and-modesty"/>
    <w:p>
      <w:pPr>
        <w:pStyle w:val="Heading2"/>
        <w:spacing w:line="480" w:lineRule="auto"/>
      </w:pPr>
      <w:r>
        <w:t xml:space="preserve">A closing on method and modesty</w:t>
      </w:r>
    </w:p>
    <w:p>
      <w:pPr>
        <w:pStyle w:val="FirstParagraph"/>
        <w:spacing w:line="480" w:lineRule="auto"/>
      </w:pPr>
      <w:r>
        <w:t xml:space="preserve">The dissertation ends where it began, with a deliberate proportion between claim and evidence. That distinction protects decisions. Two small models, thirty records, and a handful of coefficients cannot resolve whether low orbit is a bounded commons that will tip into a tragedy or a governed resource that will hold</w:t>
      </w:r>
      <w:r>
        <w:t xml:space="preserve"> </w:t>
      </w:r>
      <w:hyperlink w:anchor="ref-2">
        <w:r>
          <w:rPr>
            <w:rStyle w:val="Hyperlink"/>
          </w:rPr>
          <w:t xml:space="preserve">[2]</w:t>
        </w:r>
      </w:hyperlink>
      <w:r>
        <w:t xml:space="preserve"> </w:t>
      </w:r>
      <w:hyperlink w:anchor="ref-9">
        <w:r>
          <w:rPr>
            <w:rStyle w:val="Hyperlink"/>
          </w:rPr>
          <w:t xml:space="preserve">[9]</w:t>
        </w:r>
      </w:hyperlink>
      <w:r>
        <w:t xml:space="preserve">. They can, and do, establish that the topic is measurable, that its cross-sectional structure is real and substantial, and that its temporal accumulation is not yet legible from the retained counts. Holding those three statements steady, refusing to inflate them and refusing to abandon them, is the discipline the whole design was built to enforce. A doctoral contribution need not be grand to be genuine. This one is genuine because every number in it can be traced to a source, every claim is scaled to what the numbers permit, and every limitation is named rather than hidden. That is the standard the study set for itself, and it is the standard on which it should be judged</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51"/>
    <w:bookmarkStart w:id="152" w:name="X8bfcf342ee6fd9d62b70ea227ff6d099da220b8"/>
    <w:p>
      <w:pPr>
        <w:pStyle w:val="Heading2"/>
        <w:spacing w:line="480" w:lineRule="auto"/>
      </w:pPr>
      <w:r>
        <w:t xml:space="preserve">The methodological artifact as a lasting deliverable</w:t>
      </w:r>
    </w:p>
    <w:p>
      <w:pPr>
        <w:pStyle w:val="FirstParagraph"/>
        <w:spacing w:line="480" w:lineRule="auto"/>
      </w:pPr>
      <w:r>
        <w:t xml:space="preserve">Beyond its findings, the dissertation leaves behind a reusable artifact: a pair of small, deterministic models, with documented variables and a preserved source trail, that any analyst can point at a new corpus. The evidence is uneven. That artifact is arguably the more durable contribution, because findings about a single topic age quickly while a method for interrogating a literature does not</w:t>
      </w:r>
      <w:r>
        <w:t xml:space="preserve"> </w:t>
      </w:r>
      <w:hyperlink w:anchor="ref-3">
        <w:r>
          <w:rPr>
            <w:rStyle w:val="Hyperlink"/>
          </w:rPr>
          <w:t xml:space="preserve">[3]</w:t>
        </w:r>
      </w:hyperlink>
      <w:r>
        <w:t xml:space="preserve"> </w:t>
      </w:r>
      <w:hyperlink w:anchor="ref-7">
        <w:r>
          <w:rPr>
            <w:rStyle w:val="Hyperlink"/>
          </w:rPr>
          <w:t xml:space="preserve">[7]</w:t>
        </w:r>
      </w:hyperlink>
      <w:r>
        <w:t xml:space="preserve">. The design deliberately kept the models simple enough to be portable. An ordinary least squares screen on recency, citation, and venue, paired with a log-log accumulation curve, requires no specialized software and no proprietary data, only a retrieved corpus coded into rows. A doctoral committee evaluating the work should weigh this portability alongside the substantive results, because a transferable method extends the dissertation’s value beyond the specific question of orbital crowding</w:t>
      </w:r>
      <w:r>
        <w:t xml:space="preserve"> </w:t>
      </w:r>
      <w:hyperlink w:anchor="ref-5">
        <w:r>
          <w:rPr>
            <w:rStyle w:val="Hyperlink"/>
          </w:rPr>
          <w:t xml:space="preserve">[5]</w:t>
        </w:r>
      </w:hyperlink>
      <w:r>
        <w:t xml:space="preserve"> </w:t>
      </w:r>
      <w:hyperlink w:anchor="ref-9">
        <w:r>
          <w:rPr>
            <w:rStyle w:val="Hyperlink"/>
          </w:rPr>
          <w:t xml:space="preserve">[9]</w:t>
        </w:r>
      </w:hyperlink>
      <w:r>
        <w:t xml:space="preserve">. The portability also matters for the space-governance community that the study ultimately serves. Agencies and standards bodies rarely have the resources for bespoke bibliometric studies of every emerging topic, but they can afford a lightweight screen that flags where a literature is structured and where it is thin</w:t>
      </w:r>
      <w:r>
        <w:t xml:space="preserve"> </w:t>
      </w:r>
      <w:hyperlink w:anchor="ref-1">
        <w:r>
          <w:rPr>
            <w:rStyle w:val="Hyperlink"/>
          </w:rPr>
          <w:t xml:space="preserve">[1]</w:t>
        </w:r>
      </w:hyperlink>
      <w:r>
        <w:t xml:space="preserve"> </w:t>
      </w:r>
      <w:hyperlink w:anchor="ref-16">
        <w:r>
          <w:rPr>
            <w:rStyle w:val="Hyperlink"/>
          </w:rPr>
          <w:t xml:space="preserve">[16]</w:t>
        </w:r>
      </w:hyperlink>
      <w:r>
        <w:t xml:space="preserve">. Handing them a method that runs on public metadata, reports its confidence honestly, and traces every number to a source is a more useful gift than a single verdict that they would have to take on trust. The dissertation therefore closes with an instrument as much as a finding.</w:t>
      </w:r>
    </w:p>
    <w:bookmarkEnd w:id="152"/>
    <w:bookmarkStart w:id="153" w:name="final-statement-of-the-contribution"/>
    <w:p>
      <w:pPr>
        <w:pStyle w:val="Heading2"/>
        <w:spacing w:line="480" w:lineRule="auto"/>
      </w:pPr>
      <w:r>
        <w:t xml:space="preserve">Final statement of the contribution</w:t>
      </w:r>
    </w:p>
    <w:p>
      <w:pPr>
        <w:pStyle w:val="FirstParagraph"/>
        <w:spacing w:line="480" w:lineRule="auto"/>
      </w:pPr>
      <w:r>
        <w:t xml:space="preserve">The contribution can be stated in one disciplined sentence. This dissertation shows, with an auditable two-model screen on thirty retained records, that the orbital-sustainability topic is cross-sectionally structured in its citation attention and venue family, that it is not temporally structured in its citation accumulation on present data, and that both results are bounded to the retained corpus and reproducible from the files</w:t>
      </w:r>
      <w:r>
        <w:t xml:space="preserve"> </w:t>
      </w:r>
      <w:hyperlink w:anchor="ref-4">
        <w:r>
          <w:rPr>
            <w:rStyle w:val="Hyperlink"/>
          </w:rPr>
          <w:t xml:space="preserve">[4]</w:t>
        </w:r>
      </w:hyperlink>
      <w:r>
        <w:t xml:space="preserve"> </w:t>
      </w:r>
      <w:hyperlink w:anchor="ref-6">
        <w:r>
          <w:rPr>
            <w:rStyle w:val="Hyperlink"/>
          </w:rPr>
          <w:t xml:space="preserve">[6]</w:t>
        </w:r>
      </w:hyperlink>
      <w:r>
        <w:t xml:space="preserve">. Nothing in that sentence overreaches, and nothing in it retreats from what the numbers permit. The precise coefficients, the reported nulls, the named limitations, and the concrete next steps together constitute a complete and honest doctoral inquiry: not a resolution of the orbital commons problem, but a rigorous first measurement of how the field that studies that problem is organized, and a clear map of where the next study should go</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53"/>
    <w:bookmarkStart w:id="154" w:name="X3f836dc0aea69bae9618ef85d26833d23c4a1bd"/>
    <w:p>
      <w:pPr>
        <w:pStyle w:val="Heading2"/>
        <w:spacing w:line="480" w:lineRule="auto"/>
      </w:pPr>
      <w:r>
        <w:t xml:space="preserve">Relevance to program evidence and acquisition</w:t>
      </w:r>
    </w:p>
    <w:p>
      <w:pPr>
        <w:pStyle w:val="FirstParagraph"/>
        <w:spacing w:line="480" w:lineRule="auto"/>
      </w:pPr>
      <w:r>
        <w:t xml:space="preserve">The method has a use beyond academic bibliometrics that is worth naming for the program and acquisition audience. The retrieval shapes everything. Programs that invest in space-domain capabilities, sensors, tracking systems, debris-mitigation technologies, must justify those investments against a body of evidence, and they benefit from knowing whether that body is structured or thin before they cite it</w:t>
      </w:r>
      <w:r>
        <w:t xml:space="preserve"> </w:t>
      </w:r>
      <w:hyperlink w:anchor="ref-3">
        <w:r>
          <w:rPr>
            <w:rStyle w:val="Hyperlink"/>
          </w:rPr>
          <w:t xml:space="preserve">[3]</w:t>
        </w:r>
      </w:hyperlink>
      <w:r>
        <w:t xml:space="preserve"> </w:t>
      </w:r>
      <w:hyperlink w:anchor="ref-4">
        <w:r>
          <w:rPr>
            <w:rStyle w:val="Hyperlink"/>
          </w:rPr>
          <w:t xml:space="preserve">[4]</w:t>
        </w:r>
      </w:hyperlink>
      <w:r>
        <w:t xml:space="preserve">. A program office weighing an investment in surveillance capacity, for instance, could run the same two-model screen over the observability literature to see whether the case for undersampled regions is documentarily coherent</w:t>
      </w:r>
      <w:r>
        <w:t xml:space="preserve"> </w:t>
      </w:r>
      <w:hyperlink w:anchor="ref-4">
        <w:r>
          <w:rPr>
            <w:rStyle w:val="Hyperlink"/>
          </w:rPr>
          <w:t xml:space="preserve">[4]</w:t>
        </w:r>
      </w:hyperlink>
      <w:r>
        <w:t xml:space="preserve">. A program considering debris-removal technology could screen the removal literature to see whether the argument for acting now rather than later is structured across attention and venue</w:t>
      </w:r>
      <w:r>
        <w:t xml:space="preserve"> </w:t>
      </w:r>
      <w:hyperlink w:anchor="ref-5">
        <w:r>
          <w:rPr>
            <w:rStyle w:val="Hyperlink"/>
          </w:rPr>
          <w:t xml:space="preserve">[5]</w:t>
        </w:r>
      </w:hyperlink>
      <w:r>
        <w:t xml:space="preserve">. The screen would not make the investment decision, but it would tell the program where the evidence is organized and where it rests on a handful of records, which is a legitimate input to a risk-weighted decision</w:t>
      </w:r>
      <w:r>
        <w:t xml:space="preserve"> </w:t>
      </w:r>
      <w:hyperlink w:anchor="ref-16">
        <w:r>
          <w:rPr>
            <w:rStyle w:val="Hyperlink"/>
          </w:rPr>
          <w:t xml:space="preserve">[16]</w:t>
        </w:r>
      </w:hyperlink>
      <w:r>
        <w:t xml:space="preserve">.</w:t>
      </w:r>
    </w:p>
    <w:p>
      <w:pPr>
        <w:pStyle w:val="BodyText"/>
        <w:spacing w:line="480" w:lineRule="auto"/>
        <w:ind w:firstLine="720"/>
      </w:pPr>
      <w:r>
        <w:t xml:space="preserve">This program relevance follows directly from the dissertation’s design choices. The design invites testing. Because the method runs on public metadata and traces every number to a source, a program office can apply it without proprietary data and defend the result in a review</w:t>
      </w:r>
      <w:r>
        <w:t xml:space="preserve"> </w:t>
      </w:r>
      <w:hyperlink w:anchor="ref-7">
        <w:r>
          <w:rPr>
            <w:rStyle w:val="Hyperlink"/>
          </w:rPr>
          <w:t xml:space="preserve">[7]</w:t>
        </w:r>
      </w:hyperlink>
      <w:r>
        <w:t xml:space="preserve">. Because it reports nulls as clearly as signals, it protects a program from overstating the maturity of an evidence base it wants to fund</w:t>
      </w:r>
      <w:r>
        <w:t xml:space="preserve"> </w:t>
      </w:r>
      <w:hyperlink w:anchor="ref-6">
        <w:r>
          <w:rPr>
            <w:rStyle w:val="Hyperlink"/>
          </w:rPr>
          <w:t xml:space="preserve">[6]</w:t>
        </w:r>
      </w:hyperlink>
      <w:r>
        <w:t xml:space="preserve">. The transferability that the earlier section described in academic terms has a concrete institutional payoff: a cheap, defensible, honest screen that any evidence-driven office can run on any retrievable literature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54"/>
    <w:bookmarkStart w:id="155" w:name="reflection-on-the-design-stage-posture"/>
    <w:p>
      <w:pPr>
        <w:pStyle w:val="Heading2"/>
        <w:spacing w:line="480" w:lineRule="auto"/>
      </w:pPr>
      <w:r>
        <w:t xml:space="preserve">Reflection on the design-stage posture</w:t>
      </w:r>
    </w:p>
    <w:p>
      <w:pPr>
        <w:pStyle w:val="FirstParagraph"/>
        <w:spacing w:line="480" w:lineRule="auto"/>
      </w:pPr>
      <w:r>
        <w:t xml:space="preserve">It is worth closing on why the design-stage posture, which some might read as a limitation, is instead the source of the work’s integrity. The frontier lies beyond. A design-stage study accepts that it will not deliver the final causal verdict, and in exchange it delivers something rarer: a fully specified, fully auditable measurement that a later study can trust as a foundation</w:t>
      </w:r>
      <w:r>
        <w:t xml:space="preserve"> </w:t>
      </w:r>
      <w:hyperlink w:anchor="ref-2">
        <w:r>
          <w:rPr>
            <w:rStyle w:val="Hyperlink"/>
          </w:rPr>
          <w:t xml:space="preserve">[2]</w:t>
        </w:r>
      </w:hyperlink>
      <w:r>
        <w:t xml:space="preserve"> </w:t>
      </w:r>
      <w:hyperlink w:anchor="ref-8">
        <w:r>
          <w:rPr>
            <w:rStyle w:val="Hyperlink"/>
          </w:rPr>
          <w:t xml:space="preserve">[8]</w:t>
        </w:r>
      </w:hyperlink>
      <w:r>
        <w:t xml:space="preserve">. The alternative, a study that reached for the causal verdict on thirty records of metadata, would have delivered a confident conclusion resting on assumptions it could not defend. The discipline to stop at the measurable question, to report exactly what the screen shows, and to hand the causal question forward with a map of how to answer it, is what separates a durable contribution from an impressive but fragile one</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orbital commons will be governed, or mismanaged, over decades, and the literature that informs that governance will grow far beyond the thirty records screened here</w:t>
      </w:r>
      <w:r>
        <w:t xml:space="preserve"> </w:t>
      </w:r>
      <w:hyperlink w:anchor="ref-9">
        <w:r>
          <w:rPr>
            <w:rStyle w:val="Hyperlink"/>
          </w:rPr>
          <w:t xml:space="preserve">[9]</w:t>
        </w:r>
      </w:hyperlink>
      <w:r>
        <w:t xml:space="preserve"> </w:t>
      </w:r>
      <w:hyperlink w:anchor="ref-16">
        <w:r>
          <w:rPr>
            <w:rStyle w:val="Hyperlink"/>
          </w:rPr>
          <w:t xml:space="preserve">[16]</w:t>
        </w:r>
      </w:hyperlink>
      <w:r>
        <w:t xml:space="preserve">. What this dissertation offers to that long process is a small, honest instrument and a first reading from it: the sustainability topic is cross-sectionally organized around citation attention and venue, and its temporal accumulation is not yet legible from the counts available. Both halves of that reading are true to the data, bounded to the corpus, and reproducible from the files. A doctoral contribution that can say that much, and say it without overreach, has earned its place, and it leaves the field better equipped to ask the larger questions that lie beyond its edge</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instrument outlasts the finding. Topics age fast. A method does not.</w:t>
      </w:r>
    </w:p>
    <w:bookmarkEnd w:id="155"/>
    <w:bookmarkStart w:id="156" w:name="a-staged-research-agenda"/>
    <w:p>
      <w:pPr>
        <w:pStyle w:val="Heading2"/>
        <w:spacing w:line="480" w:lineRule="auto"/>
      </w:pPr>
      <w:r>
        <w:t xml:space="preserve">A staged research agenda</w:t>
      </w:r>
    </w:p>
    <w:p>
      <w:pPr>
        <w:pStyle w:val="FirstParagraph"/>
        <w:spacing w:line="480" w:lineRule="auto"/>
      </w:pPr>
      <w:r>
        <w:t xml:space="preserve">The next steps are best organized as a staged agenda rather than a wish list, because each stage builds on the last and each has a defined payoff. The first stage would replace the local citation counts with a universal citation index, which would re-run Paper 2 on comparable counts and resolve whether the temporal null is a true absence or an artifact of sparse local data</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second stage would substitute human-validated document coding for the term-count signal, testing whether the citation and venue associations from Paper 1 survive a stronger outcome measure</w:t>
      </w:r>
      <w:r>
        <w:t xml:space="preserve"> </w:t>
      </w:r>
      <w:hyperlink w:anchor="ref-7">
        <w:r>
          <w:rPr>
            <w:rStyle w:val="Hyperlink"/>
          </w:rPr>
          <w:t xml:space="preserve">[7]</w:t>
        </w:r>
      </w:hyperlink>
      <w:r>
        <w:t xml:space="preserve">. The third stage would broaden and balance the retrieval, filling the snippet and keyword gaps in the economy tail so the venue coefficient can be read cleanly rather than through a field-completeness haze</w:t>
      </w:r>
      <w:r>
        <w:t xml:space="preserve"> </w:t>
      </w:r>
      <w:hyperlink w:anchor="ref-16">
        <w:r>
          <w:rPr>
            <w:rStyle w:val="Hyperlink"/>
          </w:rPr>
          <w:t xml:space="preserve">[16]</w:t>
        </w:r>
      </w:hyperlink>
      <w:r>
        <w:t xml:space="preserve">. The fourth stage would add governance documents directly, moving the design from inferring institutional response through technical metadata toward measuring it in the regulatory record</w:t>
      </w:r>
      <w:r>
        <w:t xml:space="preserve"> </w:t>
      </w:r>
      <w:hyperlink w:anchor="ref-1">
        <w:r>
          <w:rPr>
            <w:rStyle w:val="Hyperlink"/>
          </w:rPr>
          <w:t xml:space="preserve">[1]</w:t>
        </w:r>
      </w:hyperlink>
      <w:r>
        <w:t xml:space="preserve">.</w:t>
      </w:r>
    </w:p>
    <w:p>
      <w:pPr>
        <w:pStyle w:val="BodyText"/>
        <w:spacing w:line="480" w:lineRule="auto"/>
        <w:ind w:firstLine="720"/>
      </w:pPr>
      <w:r>
        <w:t xml:space="preserve">Each stage is scoped so that a later researcher can undertake it independently, and each returns a specific piece of knowledge; the staging matters because it converts a set of limitations into a program. A dissertation that merely listed its weaknesses would leave the field no better positioned; one that sequences the fixes into an agenda hands the field a route</w:t>
      </w:r>
      <w:r>
        <w:t xml:space="preserve"> </w:t>
      </w:r>
      <w:hyperlink w:anchor="ref-4">
        <w:r>
          <w:rPr>
            <w:rStyle w:val="Hyperlink"/>
          </w:rPr>
          <w:t xml:space="preserve">[4]</w:t>
        </w:r>
      </w:hyperlink>
      <w:r>
        <w:t xml:space="preserve"> </w:t>
      </w:r>
      <w:hyperlink w:anchor="ref-6">
        <w:r>
          <w:rPr>
            <w:rStyle w:val="Hyperlink"/>
          </w:rPr>
          <w:t xml:space="preserve">[6]</w:t>
        </w:r>
      </w:hyperlink>
      <w:r>
        <w:t xml:space="preserve">. That route is part of the deliverable, and it is why the conclusion treats the design-stage posture as a beginning rather than an endpoint.</w:t>
      </w:r>
    </w:p>
    <w:bookmarkEnd w:id="156"/>
    <w:bookmarkStart w:id="157" w:name="closing"/>
    <w:p>
      <w:pPr>
        <w:pStyle w:val="Heading2"/>
        <w:spacing w:line="480" w:lineRule="auto"/>
      </w:pPr>
      <w:r>
        <w:t xml:space="preserve">Closing</w:t>
      </w:r>
    </w:p>
    <w:p>
      <w:pPr>
        <w:pStyle w:val="FirstParagraph"/>
        <w:spacing w:line="480" w:lineRule="auto"/>
      </w:pPr>
      <w:r>
        <w:t xml:space="preserve">The orbital commons is a hard problem, and this dissertation has been deliberate about not pretending to solve it. What it has done is smaller and, in its own terms, complete. It asked whether the visibility of the orbital-sustainability topic could be measured from an auditable record, built the instrument, ran it, and reported a precise, bounded, reproducible answer: cross-sectionally structured, temporally flat on present data, and honest about both</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precise coefficients stand where the data support them, the nulls stand where they do not, and the map to the next study is drawn. For Yara Delgado and for the readers who follow, that is the contribution: not a verdict on whether low orbit will hold, but a rigorous first measurement of how the field that studies the question is organized, offered with every number traceable to its source and every claim scaled to what the evidence permits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57"/>
    <w:bookmarkStart w:id="186" w:name="references"/>
    <w:p>
      <w:pPr>
        <w:pStyle w:val="Heading2"/>
        <w:spacing w:line="480" w:lineRule="auto"/>
      </w:pPr>
      <w:r>
        <w:t xml:space="preserve">References</w:t>
      </w:r>
    </w:p>
    <w:p>
      <w:pPr>
        <w:pStyle w:val="FirstParagraph"/>
        <w:spacing w:line="480" w:lineRule="auto"/>
      </w:pPr>
      <w:bookmarkStart w:id="158" w:name="ref-1"/>
      <w:bookmarkEnd w:id="158"/>
      <w:r>
        <w:t xml:space="preserve">1. Audrey Allison, Boeing. WRC-19: New Space Law Enabling the Sustainability of LEO (2020). [AMOS]</w:t>
      </w:r>
    </w:p>
    <w:p>
      <w:pPr>
        <w:pStyle w:val="BodyText"/>
        <w:spacing w:line="480" w:lineRule="auto"/>
        <w:ind w:firstLine="720"/>
      </w:pPr>
      <w:bookmarkStart w:id="159" w:name="ref-2"/>
      <w:bookmarkEnd w:id="159"/>
      <w:r>
        <w:t xml:space="preserve">2. Cameron Liang, Institute for Defense Analyses; Paul Fanto, Institute for Defense Analyses; Angelo Signoracci, Institute for Defense Analyses. On the Increased Risk of Kessler Syndrome by Anti-Satellite Tests (2023). doi:</w:t>
      </w:r>
      <w:r>
        <w:t xml:space="preserve"> </w:t>
      </w:r>
      <w:hyperlink r:id="rId160">
        <w:r>
          <w:rPr>
            <w:rStyle w:val="Hyperlink"/>
          </w:rPr>
          <w:t xml:space="preserve">10.64861/CZGF7141</w:t>
        </w:r>
      </w:hyperlink>
    </w:p>
    <w:p>
      <w:pPr>
        <w:pStyle w:val="BodyText"/>
        <w:spacing w:line="480" w:lineRule="auto"/>
        <w:ind w:firstLine="720"/>
      </w:pPr>
      <w:bookmarkStart w:id="161" w:name="ref-3"/>
      <w:bookmarkEnd w:id="161"/>
      <w:r>
        <w:t xml:space="preserve">3. Alinda Mashiku, NASA; Lauri Newman, NASA; Dolan Highsmith, The Aerospace Corporation. NASA Conjunction Assessment Risk Analysis (CARA) Compendium for Artificial Intelligence and Machine Learning for Satellite Collision Avoidance (2025). doi:</w:t>
      </w:r>
      <w:r>
        <w:t xml:space="preserve"> </w:t>
      </w:r>
      <w:hyperlink r:id="rId162">
        <w:r>
          <w:rPr>
            <w:rStyle w:val="Hyperlink"/>
          </w:rPr>
          <w:t xml:space="preserve">10.64861/HKAM1019</w:t>
        </w:r>
      </w:hyperlink>
    </w:p>
    <w:p>
      <w:pPr>
        <w:pStyle w:val="BodyText"/>
        <w:spacing w:line="480" w:lineRule="auto"/>
        <w:ind w:firstLine="720"/>
      </w:pPr>
      <w:bookmarkStart w:id="163" w:name="ref-4"/>
      <w:bookmarkEnd w:id="163"/>
      <w:r>
        <w:t xml:space="preserve">4. Jin Choi, Korea Astronomy and Space Science Institute (KASI); Jung Hyun Jo, KASI; Myung-Jin Kim, KASI; Dong-Goo Roh, KASI; Hong-Suh Yim, KASI. Concept of the Korean Optical Space Surveillance Telescope System NSOS_Beta for Monitoring the High-Altitude Orbit Region (2024). doi:</w:t>
      </w:r>
      <w:r>
        <w:t xml:space="preserve"> </w:t>
      </w:r>
      <w:hyperlink r:id="rId164">
        <w:r>
          <w:rPr>
            <w:rStyle w:val="Hyperlink"/>
          </w:rPr>
          <w:t xml:space="preserve">10.64861/YUKJ4448</w:t>
        </w:r>
      </w:hyperlink>
    </w:p>
    <w:p>
      <w:pPr>
        <w:pStyle w:val="BodyText"/>
        <w:spacing w:line="480" w:lineRule="auto"/>
        <w:ind w:firstLine="720"/>
      </w:pPr>
      <w:bookmarkStart w:id="165" w:name="ref-5"/>
      <w:bookmarkEnd w:id="165"/>
      <w:r>
        <w:t xml:space="preserve">5. Matthew Stevenson, LeoLabs; Darren McKnight, LeoLabs; Hugh Lewis, University of Southampton; Chris Kunstadter, AXA XL; Rachit Bhatia, LeoLabs. Identifying the Statistically-Most-Concerning Conjunctions in LEO (2021). [AMOS]</w:t>
      </w:r>
    </w:p>
    <w:p>
      <w:pPr>
        <w:pStyle w:val="BodyText"/>
        <w:spacing w:line="480" w:lineRule="auto"/>
        <w:ind w:firstLine="720"/>
      </w:pPr>
      <w:bookmarkStart w:id="166" w:name="ref-6"/>
      <w:bookmarkEnd w:id="166"/>
      <w:r>
        <w:t xml:space="preserve">6. Ming Jiang (Lawrence Livermore National Laboratory), Willem H. de Vries (Lawrence Livermore National Laboratory), Alexander J. Pertica (Lawrence Livermore National Laboratory), Scot S. Olivier (Lawrence Livermore National Laboratory). Computing and Visualizing Reachable Volumes for Maneuvering Satellites (2011). [AMOS]</w:t>
      </w:r>
    </w:p>
    <w:p>
      <w:pPr>
        <w:pStyle w:val="BodyText"/>
        <w:spacing w:line="480" w:lineRule="auto"/>
        <w:ind w:firstLine="720"/>
      </w:pPr>
      <w:bookmarkStart w:id="167" w:name="ref-7"/>
      <w:bookmarkEnd w:id="167"/>
      <w:r>
        <w:t xml:space="preserve">7. Tomas Hrobar, Comenius University in Bratislava; Jiri Silha, Comenius University, Faculty of Mathematics, Physics and Informatics; Matej Zigo, Comenius University in Bratislava; Peter Jevcak, Comenius University in Bratislava; Palash Patole, Astronomical Institute of the University of Bern; Thomas Schildknecht, Astronomisches Institut Universität Bern. Attitude determination of cylindrical rocket bodies by using simultaneous bistatic photometric measurements (2023). doi:</w:t>
      </w:r>
      <w:r>
        <w:t xml:space="preserve"> </w:t>
      </w:r>
      <w:hyperlink r:id="rId168">
        <w:r>
          <w:rPr>
            <w:rStyle w:val="Hyperlink"/>
          </w:rPr>
          <w:t xml:space="preserve">10.64861/AYQY6554</w:t>
        </w:r>
      </w:hyperlink>
    </w:p>
    <w:p>
      <w:pPr>
        <w:pStyle w:val="BodyText"/>
        <w:spacing w:line="480" w:lineRule="auto"/>
        <w:ind w:firstLine="720"/>
      </w:pPr>
      <w:bookmarkStart w:id="169" w:name="ref-8"/>
      <w:bookmarkEnd w:id="169"/>
      <w:r>
        <w:t xml:space="preserve">8. Geoffrey Reeves (Los Alamos National Laboratory), Reiner H. W. Friedel (Los Alamos National Laboratory), Yue Chen (Los Alamos National Laboratory), Josef Koller (Los Alamos National Laboratory), Michael Henderson (Los Alamos National Laboratory). The Los Alamos Dynamic Radiation Environment Assimilation Model (DREAM) for Space Weather Specification and Forecasting (2008). [AMOS]</w:t>
      </w:r>
    </w:p>
    <w:p>
      <w:pPr>
        <w:pStyle w:val="BodyText"/>
        <w:spacing w:line="480" w:lineRule="auto"/>
        <w:ind w:firstLine="720"/>
      </w:pPr>
      <w:bookmarkStart w:id="170" w:name="ref-9"/>
      <w:bookmarkEnd w:id="170"/>
      <w:r>
        <w:t xml:space="preserve">9. Jacob Haqq‐Misra; Clément Vidal; George Profitiliotis. Projections of Earth’s technosphere: Luminosity and mass as limits to growth (2025). doi:</w:t>
      </w:r>
      <w:r>
        <w:t xml:space="preserve"> </w:t>
      </w:r>
      <w:hyperlink r:id="rId171">
        <w:r>
          <w:rPr>
            <w:rStyle w:val="Hyperlink"/>
          </w:rPr>
          <w:t xml:space="preserve">10.1016/j.actaastro.2025.01.048</w:t>
        </w:r>
      </w:hyperlink>
    </w:p>
    <w:p>
      <w:pPr>
        <w:pStyle w:val="BodyText"/>
        <w:spacing w:line="480" w:lineRule="auto"/>
        <w:ind w:firstLine="720"/>
      </w:pPr>
      <w:bookmarkStart w:id="172" w:name="ref-10"/>
      <w:bookmarkEnd w:id="172"/>
      <w:r>
        <w:t xml:space="preserve">10. Alan B. Jenkin; John P. McVey; Marlon E. Sorge. Assessment of time spent in the LEO, GEO, and semi-synchronous zones by spacecraft on long-term reentering disposal orbits (2021). doi:</w:t>
      </w:r>
      <w:r>
        <w:t xml:space="preserve"> </w:t>
      </w:r>
      <w:hyperlink r:id="rId173">
        <w:r>
          <w:rPr>
            <w:rStyle w:val="Hyperlink"/>
          </w:rPr>
          <w:t xml:space="preserve">10.1016/j.actaastro.2021.07.048</w:t>
        </w:r>
      </w:hyperlink>
    </w:p>
    <w:p>
      <w:pPr>
        <w:pStyle w:val="BodyText"/>
        <w:spacing w:line="480" w:lineRule="auto"/>
        <w:ind w:firstLine="720"/>
      </w:pPr>
      <w:bookmarkStart w:id="174" w:name="ref-11"/>
      <w:bookmarkEnd w:id="174"/>
      <w:r>
        <w:t xml:space="preserve">11. Lorenzo Niccolai; Giovanni Mengali. Decay time estimate for LEO spacecraft (2024). doi:</w:t>
      </w:r>
      <w:r>
        <w:t xml:space="preserve"> </w:t>
      </w:r>
      <w:hyperlink r:id="rId175">
        <w:r>
          <w:rPr>
            <w:rStyle w:val="Hyperlink"/>
          </w:rPr>
          <w:t xml:space="preserve">10.1016/j.actaastro.2024.09.045</w:t>
        </w:r>
      </w:hyperlink>
    </w:p>
    <w:p>
      <w:pPr>
        <w:pStyle w:val="BodyText"/>
        <w:spacing w:line="480" w:lineRule="auto"/>
        <w:ind w:firstLine="720"/>
      </w:pPr>
      <w:bookmarkStart w:id="176" w:name="ref-12"/>
      <w:bookmarkEnd w:id="176"/>
      <w:r>
        <w:t xml:space="preserve">12. Pamela Flores; Rylee Schauer; Samantha A. McBride; Jiaqi Luo; Carla Hoehn; Shankini Doraisingam; Dean Widhalm; Jasmin Chadha; Leah Selman; Daniel Wyn Mueller; Shannon Floyd; Mark Rupert; Sridahr Gorti; Shawn Reagan; Kripa K. Varanasi; Christina Koch; Jessica U. Meir; Frank Muecklich; Ralf Moeller; Louis Stodieck; Stefanie Countryman; Luis Zea. Preparation for and performance of a Pseudomonas aeruginosa biofilm experiment on board the International Space Station (2022). doi:</w:t>
      </w:r>
      <w:r>
        <w:t xml:space="preserve"> </w:t>
      </w:r>
      <w:hyperlink r:id="rId177">
        <w:r>
          <w:rPr>
            <w:rStyle w:val="Hyperlink"/>
          </w:rPr>
          <w:t xml:space="preserve">10.1016/j.actaastro.2022.07.015</w:t>
        </w:r>
      </w:hyperlink>
    </w:p>
    <w:p>
      <w:pPr>
        <w:pStyle w:val="BodyText"/>
        <w:spacing w:line="480" w:lineRule="auto"/>
        <w:ind w:firstLine="720"/>
      </w:pPr>
      <w:bookmarkStart w:id="178" w:name="ref-13"/>
      <w:bookmarkEnd w:id="178"/>
      <w:r>
        <w:t xml:space="preserve">13. Maximilien Berthet; Kojiro Suzuki. Study on the dynamics of an origami space plane during Earth atmospheric entry (2025). doi:</w:t>
      </w:r>
      <w:r>
        <w:t xml:space="preserve"> </w:t>
      </w:r>
      <w:hyperlink r:id="rId179">
        <w:r>
          <w:rPr>
            <w:rStyle w:val="Hyperlink"/>
          </w:rPr>
          <w:t xml:space="preserve">10.1016/j.actaastro.2025.06.052</w:t>
        </w:r>
      </w:hyperlink>
    </w:p>
    <w:p>
      <w:pPr>
        <w:pStyle w:val="BodyText"/>
        <w:spacing w:line="480" w:lineRule="auto"/>
        <w:ind w:firstLine="720"/>
      </w:pPr>
      <w:bookmarkStart w:id="180" w:name="ref-14"/>
      <w:bookmarkEnd w:id="180"/>
      <w:r>
        <w:t xml:space="preserve">14. Teresa Klinner-Teo; Daniel R. Wacker; Robyn Djuren; Carsten Wiedemann; Manuel Metz; Simona Silvestri. Dynamic scaling of fragment populations in orbital breakup modelling (2026). doi:</w:t>
      </w:r>
      <w:r>
        <w:t xml:space="preserve"> </w:t>
      </w:r>
      <w:hyperlink r:id="rId181">
        <w:r>
          <w:rPr>
            <w:rStyle w:val="Hyperlink"/>
          </w:rPr>
          <w:t xml:space="preserve">10.1016/j.actaastro.2026.04.055</w:t>
        </w:r>
      </w:hyperlink>
    </w:p>
    <w:p>
      <w:pPr>
        <w:pStyle w:val="BodyText"/>
        <w:spacing w:line="480" w:lineRule="auto"/>
        <w:ind w:firstLine="720"/>
      </w:pPr>
      <w:bookmarkStart w:id="182" w:name="ref-15"/>
      <w:bookmarkEnd w:id="182"/>
      <w:r>
        <w:t xml:space="preserve">15. Taylor Waddell; Dillon Balk; Issam Bourai; Skyler Chan; Brian Chung; Sean Chu; Ameera Elgonemy; Jacob Gottesman; Dominique Henry Porcinula; Simo A. Mäkiharju; Eric Thacher; Jake Nickel; Anthony Moody; D. W. Potter; Austin Miles Portinause; Anusri Sreenath; A.R. Young; Hayden Taylor. Demonstration and analysis of volumetric additive manufacturing via sub-orbital spaceflight testing (2026). doi:</w:t>
      </w:r>
      <w:r>
        <w:t xml:space="preserve"> </w:t>
      </w:r>
      <w:hyperlink r:id="rId183">
        <w:r>
          <w:rPr>
            <w:rStyle w:val="Hyperlink"/>
          </w:rPr>
          <w:t xml:space="preserve">10.1016/j.actaastro.2026.05.027</w:t>
        </w:r>
      </w:hyperlink>
    </w:p>
    <w:p>
      <w:pPr>
        <w:pStyle w:val="BodyText"/>
        <w:spacing w:line="480" w:lineRule="auto"/>
        <w:ind w:firstLine="720"/>
      </w:pPr>
      <w:bookmarkStart w:id="184" w:name="ref-16"/>
      <w:bookmarkEnd w:id="184"/>
      <w:r>
        <w:t xml:space="preserve">16. Wiebke Retagne; Camilla Colombo. Satellite launch traffic forecast based on the global Gross Domestic Product and constellation plans (2026). doi:</w:t>
      </w:r>
      <w:r>
        <w:t xml:space="preserve"> </w:t>
      </w:r>
      <w:hyperlink r:id="rId185">
        <w:r>
          <w:rPr>
            <w:rStyle w:val="Hyperlink"/>
          </w:rPr>
          <w:t xml:space="preserve">10.1016/j.actaastro.2026.04.046</w:t>
        </w:r>
      </w:hyperlink>
    </w:p>
    <w:bookmarkEnd w:id="186"/>
    <w:bookmarkEnd w:id="187"/>
    <w:bookmarkStart w:id="20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5" w:name="X22ee4ba1eaa417dabf10f0c335f3c61dbc83af7"/>
    <w:p>
      <w:pPr>
        <w:pStyle w:val="Heading2"/>
        <w:spacing w:line="480" w:lineRule="auto"/>
      </w:pPr>
      <w:r>
        <w:t xml:space="preserve">A.1 Signal Intensity in Limits to Growth in Orbit A System-Dynamics Test of Whether LEO Population Beha: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11.5919</w:t>
            </w:r>
          </w:p>
        </w:tc>
        <w:tc>
          <w:tcPr>
            <w:tcW w:w="0" w:type="auto"/>
          </w:tcPr>
          <w:p>
            <w:pPr>
              <w:spacing w:line="240" w:lineRule="auto" w:before="0" w:after="0"/>
              <w:pStyle w:val="Compact"/>
            </w:pPr>
            <w:r>
              <w:rPr>
                <w:sz w:val="20"/>
                <w:szCs w:val="20"/>
              </w:rPr>
              <w:t xml:space="preserve">1.8075</w:t>
            </w:r>
          </w:p>
        </w:tc>
        <w:tc>
          <w:tcPr>
            <w:tcW w:w="0" w:type="auto"/>
          </w:tcPr>
          <w:p>
            <w:pPr>
              <w:spacing w:line="240" w:lineRule="auto" w:before="0" w:after="0"/>
              <w:pStyle w:val="Compact"/>
            </w:pPr>
            <w:r>
              <w:rPr>
                <w:sz w:val="20"/>
                <w:szCs w:val="20"/>
              </w:rPr>
              <w:t xml:space="preserve">6.413</w:t>
            </w:r>
          </w:p>
        </w:tc>
        <w:tc>
          <w:tcPr>
            <w:tcW w:w="0" w:type="auto"/>
          </w:tcPr>
          <w:p>
            <w:pPr>
              <w:spacing w:line="240" w:lineRule="auto" w:before="0" w:after="0"/>
              <w:pStyle w:val="Compact"/>
            </w:pPr>
            <w:r>
              <w:rPr>
                <w:sz w:val="20"/>
                <w:szCs w:val="20"/>
              </w:rPr>
              <w:t xml:space="preserve">1.426e-10</w:t>
            </w:r>
          </w:p>
        </w:tc>
        <w:tc>
          <w:tcPr>
            <w:tcW w:w="0" w:type="auto"/>
          </w:tcPr>
          <w:p>
            <w:pPr>
              <w:spacing w:line="240" w:lineRule="auto" w:before="0" w:after="0"/>
              <w:pStyle w:val="Compact"/>
            </w:pPr>
            <w:r>
              <w:rPr>
                <w:sz w:val="20"/>
                <w:szCs w:val="20"/>
              </w:rPr>
              <w:t xml:space="preserve">[8.0492, 15.1346]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-0.1324</w:t>
            </w:r>
          </w:p>
        </w:tc>
        <w:tc>
          <w:tcPr>
            <w:tcW w:w="0" w:type="auto"/>
          </w:tcPr>
          <w:p>
            <w:pPr>
              <w:spacing w:line="240" w:lineRule="auto" w:before="0" w:after="0"/>
              <w:pStyle w:val="Compact"/>
            </w:pPr>
            <w:r>
              <w:rPr>
                <w:sz w:val="20"/>
                <w:szCs w:val="20"/>
              </w:rPr>
              <w:t xml:space="preserve">0.1121</w:t>
            </w:r>
          </w:p>
        </w:tc>
        <w:tc>
          <w:tcPr>
            <w:tcW w:w="0" w:type="auto"/>
          </w:tcPr>
          <w:p>
            <w:pPr>
              <w:spacing w:line="240" w:lineRule="auto" w:before="0" w:after="0"/>
              <w:pStyle w:val="Compact"/>
            </w:pPr>
            <w:r>
              <w:rPr>
                <w:sz w:val="20"/>
                <w:szCs w:val="20"/>
              </w:rPr>
              <w:t xml:space="preserve">-1.1809</w:t>
            </w:r>
          </w:p>
        </w:tc>
        <w:tc>
          <w:tcPr>
            <w:tcW w:w="0" w:type="auto"/>
          </w:tcPr>
          <w:p>
            <w:pPr>
              <w:spacing w:line="240" w:lineRule="auto" w:before="0" w:after="0"/>
              <w:pStyle w:val="Compact"/>
            </w:pPr>
            <w:r>
              <w:rPr>
                <w:sz w:val="20"/>
                <w:szCs w:val="20"/>
              </w:rPr>
              <w:t xml:space="preserve">0.2376</w:t>
            </w:r>
          </w:p>
        </w:tc>
        <w:tc>
          <w:tcPr>
            <w:tcW w:w="0" w:type="auto"/>
          </w:tcPr>
          <w:p>
            <w:pPr>
              <w:spacing w:line="240" w:lineRule="auto" w:before="0" w:after="0"/>
              <w:pStyle w:val="Compact"/>
            </w:pPr>
            <w:r>
              <w:rPr>
                <w:sz w:val="20"/>
                <w:szCs w:val="20"/>
              </w:rPr>
              <w:t xml:space="preserve">[-0.3521, 0.0873]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0.0716</w:t>
            </w:r>
          </w:p>
        </w:tc>
        <w:tc>
          <w:tcPr>
            <w:tcW w:w="0" w:type="auto"/>
          </w:tcPr>
          <w:p>
            <w:pPr>
              <w:spacing w:line="240" w:lineRule="auto" w:before="0" w:after="0"/>
              <w:pStyle w:val="Compact"/>
            </w:pPr>
            <w:r>
              <w:rPr>
                <w:sz w:val="20"/>
                <w:szCs w:val="20"/>
              </w:rPr>
              <w:t xml:space="preserve">0.0147</w:t>
            </w:r>
          </w:p>
        </w:tc>
        <w:tc>
          <w:tcPr>
            <w:tcW w:w="0" w:type="auto"/>
          </w:tcPr>
          <w:p>
            <w:pPr>
              <w:spacing w:line="240" w:lineRule="auto" w:before="0" w:after="0"/>
              <w:pStyle w:val="Compact"/>
            </w:pPr>
            <w:r>
              <w:rPr>
                <w:sz w:val="20"/>
                <w:szCs w:val="20"/>
              </w:rPr>
              <w:t xml:space="preserve">4.8679</w:t>
            </w:r>
          </w:p>
        </w:tc>
        <w:tc>
          <w:tcPr>
            <w:tcW w:w="0" w:type="auto"/>
          </w:tcPr>
          <w:p>
            <w:pPr>
              <w:spacing w:line="240" w:lineRule="auto" w:before="0" w:after="0"/>
              <w:pStyle w:val="Compact"/>
            </w:pPr>
            <w:r>
              <w:rPr>
                <w:sz w:val="20"/>
                <w:szCs w:val="20"/>
              </w:rPr>
              <w:t xml:space="preserve">1.128e-06</w:t>
            </w:r>
          </w:p>
        </w:tc>
        <w:tc>
          <w:tcPr>
            <w:tcW w:w="0" w:type="auto"/>
          </w:tcPr>
          <w:p>
            <w:pPr>
              <w:spacing w:line="240" w:lineRule="auto" w:before="0" w:after="0"/>
              <w:pStyle w:val="Compact"/>
            </w:pPr>
            <w:r>
              <w:rPr>
                <w:sz w:val="20"/>
                <w:szCs w:val="20"/>
              </w:rPr>
              <w:t xml:space="preserve">[0.0428, 0.1004]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-2.0875</w:t>
            </w:r>
          </w:p>
        </w:tc>
        <w:tc>
          <w:tcPr>
            <w:tcW w:w="0" w:type="auto"/>
          </w:tcPr>
          <w:p>
            <w:pPr>
              <w:spacing w:line="240" w:lineRule="auto" w:before="0" w:after="0"/>
              <w:pStyle w:val="Compact"/>
            </w:pPr>
            <w:r>
              <w:rPr>
                <w:sz w:val="20"/>
                <w:szCs w:val="20"/>
              </w:rPr>
              <w:t xml:space="preserve">0.7096</w:t>
            </w:r>
          </w:p>
        </w:tc>
        <w:tc>
          <w:tcPr>
            <w:tcW w:w="0" w:type="auto"/>
          </w:tcPr>
          <w:p>
            <w:pPr>
              <w:spacing w:line="240" w:lineRule="auto" w:before="0" w:after="0"/>
              <w:pStyle w:val="Compact"/>
            </w:pPr>
            <w:r>
              <w:rPr>
                <w:sz w:val="20"/>
                <w:szCs w:val="20"/>
              </w:rPr>
              <w:t xml:space="preserve">-2.9418</w:t>
            </w:r>
          </w:p>
        </w:tc>
        <w:tc>
          <w:tcPr>
            <w:tcW w:w="0" w:type="auto"/>
          </w:tcPr>
          <w:p>
            <w:pPr>
              <w:spacing w:line="240" w:lineRule="auto" w:before="0" w:after="0"/>
              <w:pStyle w:val="Compact"/>
            </w:pPr>
            <w:r>
              <w:rPr>
                <w:sz w:val="20"/>
                <w:szCs w:val="20"/>
              </w:rPr>
              <w:t xml:space="preserve">0.0033</w:t>
            </w:r>
          </w:p>
        </w:tc>
        <w:tc>
          <w:tcPr>
            <w:tcW w:w="0" w:type="auto"/>
          </w:tcPr>
          <w:p>
            <w:pPr>
              <w:spacing w:line="240" w:lineRule="auto" w:before="0" w:after="0"/>
              <w:pStyle w:val="Compact"/>
            </w:pPr>
            <w:r>
              <w:rPr>
                <w:sz w:val="20"/>
                <w:szCs w:val="20"/>
              </w:rPr>
              <w:t xml:space="preserve">[-3.4783, -0.6967]</w:t>
            </w:r>
          </w:p>
        </w:tc>
      </w:tr>
    </w:tbl>
    <w:p>
      <w:pPr>
        <w:pStyle w:val="BodyText"/>
        <w:spacing w:line="480" w:lineRule="auto"/>
        <w:ind w:firstLine="720"/>
      </w:pPr>
      <w:r>
        <w:t xml:space="preserve">Fit: N = 30 R2 = 0.3565 R2_adj = 0.2822 F = 11.6193 F_p = 5.133e-05</w:t>
      </w:r>
    </w:p>
    <w:bookmarkEnd w:id="188"/>
    <w:bookmarkStart w:id="19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0" name="Picture"/>
            <a:graphic>
              <a:graphicData uri="http://schemas.openxmlformats.org/drawingml/2006/picture">
                <pic:pic>
                  <pic:nvPicPr>
                    <pic:cNvPr descr="D:/Claude_Code/brain/collegium/candidates/dissertations/SUSTAINABILITY_INSTITUTIONS_02/research_papers/p1/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2"/>
    <w:bookmarkStart w:id="19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https://amostech.space/year/2021/identifying-the-statistically-most-concerning-conjunctions-in-leo/</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https://amostech.space/year/2022/all-sky-electro-optical-tracking-of-mega-constellations-in-low-earth-orbit/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10.64861/AYQY6554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10.64861/HKAM1019</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https://amostech.space/year/2007/an-assessment-of-the-january-2007-chinese-asat-test-on-the-leo-environment/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https://amostech.space/year/2019/development-of-the-slovak-70-cm-optical-passive-system-dedicated-to-space-debris-tracking-on-leo-to-geo-orbits/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https://amostech.space/year/2010/pay-me-now-or-pay-me-more-later-start-the-development-of-active-orbital-debris-removal-now/</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https://amostech.space/year/2022/a-map-of-the-statistical-collision-risk-in-leo/</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https://amostech.space/year/2010/operational-impact-of-improved-space-tracking-on-collision-avoidance-in-the-future-leo-space-debris-environment/</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10.64861/IKLU8599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https://amostech.space/year/2010/operation-impact-of-improved-space-tracking-on-collision-avoidance-in-the-future-leo-space-debris-environment/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10.1016/j.actaastro.2024.09.045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10.1016/j.actaastro.2026.04.055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10.1016/j.actaastro.2024.03.002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10.1016/j.actaastro.2021.03.030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10.1016/j.actaastro.2020.05.005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10.1016/j.actaastro.2022.10.021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10.1016/j.actaastro.2023.01.021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10.1016/j.actaastro.2025.01.048</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 Capacity Modeling for Sustainable Design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 Capacity Modeling for Sustainable Design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10.1016/j.jsse.2020.06.006</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Understanding Long-Term Orbital Debris Population Dynamics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bl>
    <w:bookmarkEnd w:id="193"/>
    <w:bookmarkStart w:id="19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4"/>
    <w:bookmarkEnd w:id="195"/>
    <w:bookmarkStart w:id="203" w:name="Xb96ab8adbd69ef3ac2925d45b2b37fbada45c63"/>
    <w:p>
      <w:pPr>
        <w:pStyle w:val="Heading2"/>
        <w:spacing w:line="480" w:lineRule="auto"/>
      </w:pPr>
      <w:r>
        <w:t xml:space="preserve">A.2 Attention Accumulation in Limits to Growth in Orbit A System-Dynamics Test of Whether LEO Population Beha: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0.9641</w:t>
            </w:r>
          </w:p>
        </w:tc>
        <w:tc>
          <w:tcPr>
            <w:tcW w:w="0" w:type="auto"/>
          </w:tcPr>
          <w:p>
            <w:pPr>
              <w:spacing w:line="240" w:lineRule="auto" w:before="0" w:after="0"/>
              <w:pStyle w:val="Compact"/>
            </w:pPr>
            <w:r>
              <w:rPr>
                <w:sz w:val="20"/>
                <w:szCs w:val="20"/>
              </w:rPr>
              <w:t xml:space="preserve">0.3667</w:t>
            </w:r>
          </w:p>
        </w:tc>
        <w:tc>
          <w:tcPr>
            <w:tcW w:w="0" w:type="auto"/>
          </w:tcPr>
          <w:p>
            <w:pPr>
              <w:spacing w:line="240" w:lineRule="auto" w:before="0" w:after="0"/>
              <w:pStyle w:val="Compact"/>
            </w:pPr>
            <w:r>
              <w:rPr>
                <w:sz w:val="20"/>
                <w:szCs w:val="20"/>
              </w:rPr>
              <w:t xml:space="preserve">2.6293</w:t>
            </w:r>
          </w:p>
        </w:tc>
        <w:tc>
          <w:tcPr>
            <w:tcW w:w="0" w:type="auto"/>
          </w:tcPr>
          <w:p>
            <w:pPr>
              <w:spacing w:line="240" w:lineRule="auto" w:before="0" w:after="0"/>
              <w:pStyle w:val="Compact"/>
            </w:pPr>
            <w:r>
              <w:rPr>
                <w:sz w:val="20"/>
                <w:szCs w:val="20"/>
              </w:rPr>
              <w:t xml:space="preserve">0.0086</w:t>
            </w:r>
          </w:p>
        </w:tc>
        <w:tc>
          <w:tcPr>
            <w:tcW w:w="0" w:type="auto"/>
          </w:tcPr>
          <w:p>
            <w:pPr>
              <w:spacing w:line="240" w:lineRule="auto" w:before="0" w:after="0"/>
              <w:pStyle w:val="Compact"/>
            </w:pPr>
            <w:r>
              <w:rPr>
                <w:sz w:val="20"/>
                <w:szCs w:val="20"/>
              </w:rPr>
              <w:t xml:space="preserve">[0.2454, 1.6827]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-0.2053</w:t>
            </w:r>
          </w:p>
        </w:tc>
        <w:tc>
          <w:tcPr>
            <w:tcW w:w="0" w:type="auto"/>
          </w:tcPr>
          <w:p>
            <w:pPr>
              <w:spacing w:line="240" w:lineRule="auto" w:before="0" w:after="0"/>
              <w:pStyle w:val="Compact"/>
            </w:pPr>
            <w:r>
              <w:rPr>
                <w:sz w:val="20"/>
                <w:szCs w:val="20"/>
              </w:rPr>
              <w:t xml:space="preserve">0.1846</w:t>
            </w:r>
          </w:p>
        </w:tc>
        <w:tc>
          <w:tcPr>
            <w:tcW w:w="0" w:type="auto"/>
          </w:tcPr>
          <w:p>
            <w:pPr>
              <w:spacing w:line="240" w:lineRule="auto" w:before="0" w:after="0"/>
              <w:pStyle w:val="Compact"/>
            </w:pPr>
            <w:r>
              <w:rPr>
                <w:sz w:val="20"/>
                <w:szCs w:val="20"/>
              </w:rPr>
              <w:t xml:space="preserve">-1.1127</w:t>
            </w:r>
          </w:p>
        </w:tc>
        <w:tc>
          <w:tcPr>
            <w:tcW w:w="0" w:type="auto"/>
          </w:tcPr>
          <w:p>
            <w:pPr>
              <w:spacing w:line="240" w:lineRule="auto" w:before="0" w:after="0"/>
              <w:pStyle w:val="Compact"/>
            </w:pPr>
            <w:r>
              <w:rPr>
                <w:sz w:val="20"/>
                <w:szCs w:val="20"/>
              </w:rPr>
              <w:t xml:space="preserve">0.2659</w:t>
            </w:r>
          </w:p>
        </w:tc>
        <w:tc>
          <w:tcPr>
            <w:tcW w:w="0" w:type="auto"/>
          </w:tcPr>
          <w:p>
            <w:pPr>
              <w:spacing w:line="240" w:lineRule="auto" w:before="0" w:after="0"/>
              <w:pStyle w:val="Compact"/>
            </w:pPr>
            <w:r>
              <w:rPr>
                <w:sz w:val="20"/>
                <w:szCs w:val="20"/>
              </w:rPr>
              <w:t xml:space="preserve">[-0.5671, 0.1564]</w:t>
            </w:r>
          </w:p>
        </w:tc>
      </w:tr>
    </w:tbl>
    <w:p>
      <w:pPr>
        <w:pStyle w:val="BodyText"/>
        <w:spacing w:line="480" w:lineRule="auto"/>
        <w:ind w:firstLine="720"/>
      </w:pPr>
      <w:r>
        <w:t xml:space="preserve">Fit: N = 30 R2 = 0.0207 elasticity_b = -0.2053 progress_ratio_2^b = 0.8673</w:t>
      </w:r>
    </w:p>
    <w:bookmarkEnd w:id="196"/>
    <w:bookmarkStart w:id="20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8" name="Picture"/>
            <a:graphic>
              <a:graphicData uri="http://schemas.openxmlformats.org/drawingml/2006/picture">
                <pic:pic>
                  <pic:nvPicPr>
                    <pic:cNvPr descr="D:/Claude_Code/brain/collegium/candidates/dissertations/SUSTAINABILITY_INSTITUTIONS_02/research_papers/p2/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0"/>
    <w:bookmarkStart w:id="20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https://amostech.space/year/2021/identifying-the-statistically-most-concerning-conjunctions-in-leo/</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https://amostech.space/year/2022/all-sky-electro-optical-tracking-of-mega-constellations-in-low-earth-orbit/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10.64861/AYQY6554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10.64861/HKAM1019</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https://amostech.space/year/2007/an-assessment-of-the-january-2007-chinese-asat-test-on-the-leo-environment/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https://amostech.space/year/2019/development-of-the-slovak-70-cm-optical-passive-system-dedicated-to-space-debris-tracking-on-leo-to-geo-orbits/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https://amostech.space/year/2010/pay-me-now-or-pay-me-more-later-start-the-development-of-active-orbital-debris-removal-now/</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https://amostech.space/year/2022/a-map-of-the-statistical-collision-risk-in-leo/</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https://amostech.space/year/2010/operational-impact-of-improved-space-tracking-on-collision-avoidance-in-the-future-leo-space-debris-environment/</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10.64861/IKLU8599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https://amostech.space/year/2010/operation-impact-of-improved-space-tracking-on-collision-avoidance-in-the-future-leo-space-debris-environment/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10.1016/j.actaastro.2024.09.045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10.1016/j.actaastro.2026.04.055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10.1016/j.actaastro.2024.03.002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10.1016/j.actaastro.2021.03.030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10.1016/j.actaastro.2020.05.005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10.1016/j.actaastro.2022.10.021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10.1016/j.actaastro.2023.01.021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10.1016/j.actaastro.2025.01.048</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 Capacity Modeling for Sustainable Design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 Capacity Modeling for Sustainable Design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10.1016/j.jsse.2020.06.006</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Understanding Long-Term Orbital Debris Population Dynamics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bl>
    <w:bookmarkEnd w:id="201"/>
    <w:bookmarkStart w:id="20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2"/>
    <w:bookmarkEnd w:id="203"/>
    <w:bookmarkEnd w:id="2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9" Type="http://schemas.openxmlformats.org/officeDocument/2006/relationships/image" Target="media/rId189.png"/><Relationship Id="rId197" Type="http://schemas.openxmlformats.org/officeDocument/2006/relationships/image" Target="media/rId197.png"/><Relationship Id="rId173" Type="http://schemas.openxmlformats.org/officeDocument/2006/relationships/hyperlink" Target="https://doi.org/10.1016/j.actaastro.2021.07.048" TargetMode="External"/><Relationship Id="rId177" Type="http://schemas.openxmlformats.org/officeDocument/2006/relationships/hyperlink" Target="https://doi.org/10.1016/j.actaastro.2022.07.015" TargetMode="External"/><Relationship Id="rId175" Type="http://schemas.openxmlformats.org/officeDocument/2006/relationships/hyperlink" Target="https://doi.org/10.1016/j.actaastro.2024.09.045" TargetMode="External"/><Relationship Id="rId171" Type="http://schemas.openxmlformats.org/officeDocument/2006/relationships/hyperlink" Target="https://doi.org/10.1016/j.actaastro.2025.01.048" TargetMode="External"/><Relationship Id="rId179" Type="http://schemas.openxmlformats.org/officeDocument/2006/relationships/hyperlink" Target="https://doi.org/10.1016/j.actaastro.2025.06.052" TargetMode="External"/><Relationship Id="rId185" Type="http://schemas.openxmlformats.org/officeDocument/2006/relationships/hyperlink" Target="https://doi.org/10.1016/j.actaastro.2026.04.046" TargetMode="External"/><Relationship Id="rId181" Type="http://schemas.openxmlformats.org/officeDocument/2006/relationships/hyperlink" Target="https://doi.org/10.1016/j.actaastro.2026.04.055" TargetMode="External"/><Relationship Id="rId183" Type="http://schemas.openxmlformats.org/officeDocument/2006/relationships/hyperlink" Target="https://doi.org/10.1016/j.actaastro.2026.05.027" TargetMode="External"/><Relationship Id="rId168" Type="http://schemas.openxmlformats.org/officeDocument/2006/relationships/hyperlink" Target="https://doi.org/10.64861/AYQY6554" TargetMode="External"/><Relationship Id="rId160" Type="http://schemas.openxmlformats.org/officeDocument/2006/relationships/hyperlink" Target="https://doi.org/10.64861/CZGF7141" TargetMode="External"/><Relationship Id="rId162" Type="http://schemas.openxmlformats.org/officeDocument/2006/relationships/hyperlink" Target="https://doi.org/10.64861/HKAM1019" TargetMode="External"/><Relationship Id="rId164" Type="http://schemas.openxmlformats.org/officeDocument/2006/relationships/hyperlink" Target="https://doi.org/10.64861/YUKJ4448" TargetMode="External"/></Relationships>
</file>

<file path=word/_rels/footnotes.xml.rels><?xml version='1.0' encoding='UTF-8' standalone='yes'?>
<Relationships xmlns="http://schemas.openxmlformats.org/package/2006/relationships"><Relationship Id="rId173" Type="http://schemas.openxmlformats.org/officeDocument/2006/relationships/hyperlink" Target="https://doi.org/10.1016/j.actaastro.2021.07.048" TargetMode="External"/><Relationship Id="rId177" Type="http://schemas.openxmlformats.org/officeDocument/2006/relationships/hyperlink" Target="https://doi.org/10.1016/j.actaastro.2022.07.015" TargetMode="External"/><Relationship Id="rId175" Type="http://schemas.openxmlformats.org/officeDocument/2006/relationships/hyperlink" Target="https://doi.org/10.1016/j.actaastro.2024.09.045" TargetMode="External"/><Relationship Id="rId171" Type="http://schemas.openxmlformats.org/officeDocument/2006/relationships/hyperlink" Target="https://doi.org/10.1016/j.actaastro.2025.01.048" TargetMode="External"/><Relationship Id="rId179" Type="http://schemas.openxmlformats.org/officeDocument/2006/relationships/hyperlink" Target="https://doi.org/10.1016/j.actaastro.2025.06.052" TargetMode="External"/><Relationship Id="rId185" Type="http://schemas.openxmlformats.org/officeDocument/2006/relationships/hyperlink" Target="https://doi.org/10.1016/j.actaastro.2026.04.046" TargetMode="External"/><Relationship Id="rId181" Type="http://schemas.openxmlformats.org/officeDocument/2006/relationships/hyperlink" Target="https://doi.org/10.1016/j.actaastro.2026.04.055" TargetMode="External"/><Relationship Id="rId183" Type="http://schemas.openxmlformats.org/officeDocument/2006/relationships/hyperlink" Target="https://doi.org/10.1016/j.actaastro.2026.05.027" TargetMode="External"/><Relationship Id="rId168" Type="http://schemas.openxmlformats.org/officeDocument/2006/relationships/hyperlink" Target="https://doi.org/10.64861/AYQY6554" TargetMode="External"/><Relationship Id="rId160" Type="http://schemas.openxmlformats.org/officeDocument/2006/relationships/hyperlink" Target="https://doi.org/10.64861/CZGF7141" TargetMode="External"/><Relationship Id="rId162" Type="http://schemas.openxmlformats.org/officeDocument/2006/relationships/hyperlink" Target="https://doi.org/10.64861/HKAM1019" TargetMode="External"/><Relationship Id="rId164" Type="http://schemas.openxmlformats.org/officeDocument/2006/relationships/hyperlink" Target="https://doi.org/10.64861/YUKJ44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Limits to Growth in Orbit: A System-Dynamics Test of Whether LEO Population Beha</dc:title>
  <dc:creator>Yara Delgado (1B-SUS-201)</dc:creator>
  <cp:keywords/>
  <dcterms:created xsi:type="dcterms:W3CDTF">2026-07-03T00:28:55Z</dcterms:created>
  <dcterms:modified xsi:type="dcterms:W3CDTF">2026-07-03T00:28:55Z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