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DESIGNING THE ORBITAL COMMONS: AN OSTROM DESIGN-PRINCIPLES AUDIT OF VOLUNTARY LE</w:t>
      </w:r>
    </w:p>
    <w:p>
      <w:pPr>
        <w:jc w:val="center"/>
      </w:pPr>
    </w:p>
    <w:p>
      <w:pPr>
        <w:jc w:val="center"/>
      </w:pPr>
      <w:r>
        <w:rPr>
          <w:rFonts w:ascii="Times New Roman" w:hAnsi="Times New Roman"/>
          <w:sz w:val="24"/>
        </w:rPr>
        <w:t>by</w:t>
      </w:r>
    </w:p>
    <w:p>
      <w:pPr>
        <w:jc w:val="center"/>
      </w:pPr>
      <w:r>
        <w:rPr>
          <w:rFonts w:ascii="Times New Roman" w:hAnsi="Times New Roman"/>
          <w:b/>
          <w:sz w:val="28"/>
        </w:rPr>
        <w:t>Felix Moreno</w:t>
      </w:r>
    </w:p>
    <w:p>
      <w:pPr>
        <w:jc w:val="center"/>
      </w:pPr>
      <w:r>
        <w:rPr>
          <w:rFonts w:ascii="Times New Roman" w:hAnsi="Times New Roman"/>
          <w:sz w:val="24"/>
        </w:rPr>
        <w:t>1B-SUS-157</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1" w:name="Xda034bc418afcadbe2db256b910cefb39fc5a01"/>
    <w:p>
      <w:pPr>
        <w:pStyle w:val="Heading1"/>
        <w:spacing w:line="480" w:lineRule="auto"/>
      </w:pPr>
      <w:r>
        <w:t xml:space="preserve">Introduction: The Voluntary Governance of a Congested Orbit</w:t>
      </w:r>
    </w:p>
    <w:p>
      <w:pPr>
        <w:pStyle w:val="FirstParagraph"/>
        <w:spacing w:line="480" w:lineRule="auto"/>
      </w:pPr>
      <w:r>
        <w:t xml:space="preserve">Low-Earth orbit has become a working environment before it became a governed one. Thousands of active spacecraft now share a set of orbital shells that no single authority licenses, monitors, or polices in full. The rules that do exist arrive in fragments: national licensing conditions, technical coordination among operators, disclosure practices, and a growing layer of voluntary sustainability commitments that operators make before they launch. This dissertation takes that voluntary layer seriously as an object of institutional analysis. It asks a narrow, testable question. When operators promise to behave well in orbit, and when those promises carry more of the design features that sustain durable common-pool-resource governance, does the promise show up in the physical record as fewer cataloged debris objects per active spacecraft-year?</w:t>
      </w:r>
    </w:p>
    <w:p>
      <w:pPr>
        <w:pStyle w:val="BodyText"/>
        <w:spacing w:line="480" w:lineRule="auto"/>
        <w:ind w:firstLine="720"/>
      </w:pPr>
      <w:r>
        <w:t xml:space="preserve">The question matters. Orbital debris is not a housekeeping problem. It is a stock-and-flow environmental problem with a long memory. Source-sink modeling frames debris as an accumulating environmental stock whose future state depends on present operational choices, collision risk, disposal behavior, and slow atmospheric removal</w:t>
      </w:r>
      <w:r>
        <w:t xml:space="preserve"> </w:t>
      </w:r>
      <w:hyperlink w:anchor="ref-4">
        <w:r>
          <w:rPr>
            <w:rStyle w:val="Hyperlink"/>
          </w:rPr>
          <w:t xml:space="preserve">[4]</w:t>
        </w:r>
      </w:hyperlink>
      <w:r>
        <w:t xml:space="preserve">. Each fragment that survives in orbit raises the collision hazard for every operator that follows. The costs of a careless mission are socialized across time and across the whole community of users, while the benefits of cutting corners on mitigation stay private. That structure is the signature of a commons. It is exactly the structure that Elinor Ostrom spent a career studying in fisheries, forests, irrigation systems, and groundwater basins</w:t>
      </w:r>
      <w:r>
        <w:t xml:space="preserve"> </w:t>
      </w:r>
      <w:hyperlink w:anchor="ref-12">
        <w:r>
          <w:rPr>
            <w:rStyle w:val="Hyperlink"/>
          </w:rPr>
          <w:t xml:space="preserve">[12]</w:t>
        </w:r>
      </w:hyperlink>
      <w:r>
        <w:t xml:space="preserve">.</w:t>
      </w:r>
    </w:p>
    <w:p>
      <w:pPr>
        <w:pStyle w:val="BodyText"/>
        <w:spacing w:line="480" w:lineRule="auto"/>
        <w:ind w:firstLine="720"/>
      </w:pPr>
      <w:r>
        <w:t xml:space="preserve">Ostrom’s central finding cut two ways. It was liberating and inconvenient at once. Communities can govern shared resources without a central sovereign, but only when their institutions carry specific design features: clear boundaries around who may use the resource, proportionality between what a user takes and what a user contributes, participation in the rules by those the rules bind, monitoring, graduated accountability, accessible conflict resolution, recognition of the community’s right to organize, and nesting within larger governance arrangements</w:t>
      </w:r>
      <w:r>
        <w:t xml:space="preserve"> </w:t>
      </w:r>
      <w:hyperlink w:anchor="ref-12">
        <w:r>
          <w:rPr>
            <w:rStyle w:val="Hyperlink"/>
          </w:rPr>
          <w:t xml:space="preserve">[12]</w:t>
        </w:r>
      </w:hyperlink>
      <w:r>
        <w:t xml:space="preserve">. The absence of these features predicts failure. Their presence predicts durability. The orbital debris literature has borrowed heavily from environmental governance, drawing lessons from ozone diplomacy and the Montreal Protocol about how cooperation can grow through monitoring and incentives</w:t>
      </w:r>
      <w:r>
        <w:t xml:space="preserve"> </w:t>
      </w:r>
      <w:hyperlink w:anchor="ref-1">
        <w:r>
          <w:rPr>
            <w:rStyle w:val="Hyperlink"/>
          </w:rPr>
          <w:t xml:space="preserve">[1]</w:t>
        </w:r>
      </w:hyperlink>
      <w:r>
        <w:t xml:space="preserve">. It has not yet asked whether the voluntary instruments now shaping operator behavior actually contain Ostrom’s features, and whether the ones that do leave a cleaner physical trace.</w:t>
      </w:r>
    </w:p>
    <w:bookmarkStart w:id="61" w:name="the-problem-in-concrete-terms"/>
    <w:p>
      <w:pPr>
        <w:pStyle w:val="Heading2"/>
        <w:spacing w:line="480" w:lineRule="auto"/>
      </w:pPr>
      <w:r>
        <w:t xml:space="preserve">The problem in concrete terms</w:t>
      </w:r>
    </w:p>
    <w:p>
      <w:pPr>
        <w:pStyle w:val="FirstParagraph"/>
        <w:spacing w:line="480" w:lineRule="auto"/>
      </w:pPr>
      <w:r>
        <w:t xml:space="preserve">Consider two operators launching similar constellations into the same congested shell in the same year. One publishes a detailed pre-launch commitment: defined disposal timelines, a monitoring arrangement, a stated accountability path, and participation in a broader coordination scheme. The other publishes a glossy sustainability statement that praises the goal of a clean orbit and commits to nothing verifiable. Both use the word sustainability. Both may pass a licensing review. The governance question is whether the difference between them is merely rhetorical or whether it predicts a difference in what those missions leave behind.</w:t>
      </w:r>
    </w:p>
    <w:p>
      <w:pPr>
        <w:pStyle w:val="BodyText"/>
        <w:spacing w:line="480" w:lineRule="auto"/>
        <w:ind w:firstLine="720"/>
      </w:pPr>
      <w:r>
        <w:t xml:space="preserve">The stakes are physical. That difference is not academic. Uncontrolled reentries, on-orbit breakups, and abandoned hardware impose risks that spill well past the operator that created them, and the reentry-risk literature has argued forcefully that these hazards need assessment and mitigation as space activity intensifies</w:t>
      </w:r>
      <w:r>
        <w:t xml:space="preserve"> </w:t>
      </w:r>
      <w:hyperlink w:anchor="ref-7">
        <w:r>
          <w:rPr>
            <w:rStyle w:val="Hyperlink"/>
          </w:rPr>
          <w:t xml:space="preserve">[7]</w:t>
        </w:r>
      </w:hyperlink>
      <w:r>
        <w:t xml:space="preserve">. Space situational awareness remains fragmented enough that even attributing a debris object to its source can be hard, which is why proposals for decentralized data sharing and cheap optical identifiers keep appearing</w:t>
      </w:r>
      <w:r>
        <w:t xml:space="preserve"> </w:t>
      </w:r>
      <w:hyperlink w:anchor="ref-2">
        <w:r>
          <w:rPr>
            <w:rStyle w:val="Hyperlink"/>
          </w:rPr>
          <w:t xml:space="preserve">[2]</w:t>
        </w:r>
      </w:hyperlink>
      <w:r>
        <w:t xml:space="preserve"> </w:t>
      </w:r>
      <w:hyperlink w:anchor="ref-3">
        <w:r>
          <w:rPr>
            <w:rStyle w:val="Hyperlink"/>
          </w:rPr>
          <w:t xml:space="preserve">[3]</w:t>
        </w:r>
      </w:hyperlink>
      <w:r>
        <w:t xml:space="preserve">. If governance design cannot be linked to outcomes, then the voluntary layer is untestable, and untestable governance is indistinguishable from public relations.</w:t>
      </w:r>
    </w:p>
    <w:bookmarkEnd w:id="61"/>
    <w:bookmarkStart w:id="62" w:name="the-tragedy-that-is-not-inevitable"/>
    <w:p>
      <w:pPr>
        <w:pStyle w:val="Heading2"/>
        <w:spacing w:line="480" w:lineRule="auto"/>
      </w:pPr>
      <w:r>
        <w:t xml:space="preserve">The tragedy that is not inevitable</w:t>
      </w:r>
    </w:p>
    <w:p>
      <w:pPr>
        <w:pStyle w:val="FirstParagraph"/>
        <w:spacing w:line="480" w:lineRule="auto"/>
      </w:pPr>
      <w:r>
        <w:t xml:space="preserve">The reflex when a shared resource degrades is to reach for one of two remedies: privatize it or place it under a central authority. Orbit resists both. No property regime can fence a shell, because the physics of orbital mechanics carries objects through volumes no deed can enclose, and no single authority licenses the whole environment, because sovereignty over space is deliberately diffuse under international law. The reflex therefore fails on arrival, and the failure is not a temporary gap awaiting the right treaty. It is structural. This is precisely the situation Ostrom found most interesting, because it is the situation in which self-organized institutions either arise and endure or fail to arise and the resource collapses</w:t>
      </w:r>
      <w:r>
        <w:t xml:space="preserve"> </w:t>
      </w:r>
      <w:hyperlink w:anchor="ref-12">
        <w:r>
          <w:rPr>
            <w:rStyle w:val="Hyperlink"/>
          </w:rPr>
          <w:t xml:space="preserve">[12]</w:t>
        </w:r>
      </w:hyperlink>
      <w:r>
        <w:t xml:space="preserve">.</w:t>
      </w:r>
    </w:p>
    <w:p>
      <w:pPr>
        <w:pStyle w:val="BodyText"/>
        <w:spacing w:line="480" w:lineRule="auto"/>
        <w:ind w:firstLine="720"/>
      </w:pPr>
      <w:r>
        <w:t xml:space="preserve">Orbit’s version of the tragedy has a particular cruelty. A fragmentation event does not merely subtract capacity in proportion to its size; it can seed further collisions that generate further fragments, a cascade that source-sink models represent as a feedback in which the environment can flip from self-clearing to self-fouling</w:t>
      </w:r>
      <w:r>
        <w:t xml:space="preserve"> </w:t>
      </w:r>
      <w:hyperlink w:anchor="ref-4">
        <w:r>
          <w:rPr>
            <w:rStyle w:val="Hyperlink"/>
          </w:rPr>
          <w:t xml:space="preserve">[4]</w:t>
        </w:r>
      </w:hyperlink>
      <w:r>
        <w:t xml:space="preserve">. Near that flip, the cost of a careless mission is not linear in the debris it releases. It is amplified by every downstream collision the debris makes more likely. A governance question that would be merely important in a linear environment becomes acute in one with feedback, because the marginal commitment is levered by the physics into an outsized effect on the trajectory of the whole shell.</w:t>
      </w:r>
    </w:p>
    <w:p>
      <w:pPr>
        <w:pStyle w:val="BodyText"/>
        <w:spacing w:line="480" w:lineRule="auto"/>
        <w:ind w:firstLine="720"/>
      </w:pPr>
      <w:r>
        <w:t xml:space="preserve">The optimistic reading of Ostrom’s work is that acute does not mean hopeless. Communities have governed resources with feedback and cascade risk, from fisheries that can crash to groundwater basins that can salinize, by building institutions with the design features that detect deviation early and attach consequence to it</w:t>
      </w:r>
      <w:r>
        <w:t xml:space="preserve"> </w:t>
      </w:r>
      <w:hyperlink w:anchor="ref-12">
        <w:r>
          <w:rPr>
            <w:rStyle w:val="Hyperlink"/>
          </w:rPr>
          <w:t xml:space="preserve">[12]</w:t>
        </w:r>
      </w:hyperlink>
      <w:r>
        <w:t xml:space="preserve">. The pessimistic reading is that those communities usually shared repeated, face-to-face interaction that orbit’s operators may lack. The dissertation lives between these readings, treating the question of whether orbital operators can build durable voluntary institutions as open, empirical, and answerable rather than as settled in either direction.</w:t>
      </w:r>
    </w:p>
    <w:bookmarkEnd w:id="62"/>
    <w:bookmarkStart w:id="63" w:name="the-single-falsifiable-contribution"/>
    <w:p>
      <w:pPr>
        <w:pStyle w:val="Heading2"/>
        <w:spacing w:line="480" w:lineRule="auto"/>
      </w:pPr>
      <w:r>
        <w:t xml:space="preserve">The single falsifiable contribution</w:t>
      </w:r>
    </w:p>
    <w:p>
      <w:pPr>
        <w:pStyle w:val="FirstParagraph"/>
        <w:spacing w:line="480" w:lineRule="auto"/>
      </w:pPr>
      <w:r>
        <w:t xml:space="preserve">One claim carries the weight. This dissertation makes a single assertion that can be proven wrong. Holding constant the operator, the orbital shell, the launch year, spacecraft count, mass class, planned altitude and inclination, propulsion status, mission type, and launch vehicle family, a higher pre-launch Ostrom design-principles score is associated with fewer cataloged debris objects generated per active spacecraft-year within thirty-six months of launch. The null hypothesis is that the design score’s coefficient is zero or positive. The alternative is that it is negative. Everything else in the project serves that test.</w:t>
      </w:r>
    </w:p>
    <w:p>
      <w:pPr>
        <w:pStyle w:val="BodyText"/>
        <w:spacing w:line="480" w:lineRule="auto"/>
        <w:ind w:firstLine="720"/>
      </w:pPr>
      <w:r>
        <w:t xml:space="preserve">The contribution is deliberately modest in what it asserts and demanding in how it can be checked. It does not claim that voluntary governance solves the debris problem. It does not claim that good design causes clean orbits in the strong sense a randomized experiment would license. It claims something falsifiable and useful: that the internal design quality of a voluntary commitment, coded from documents that predate the launch, carries measurable information about the physical outcome. If the coefficient is indistinguishable from zero after honest controls and diagnostics, the field should stop treating voluntary commitments as behavior-shaping and start treating them as expressive. If the coefficient is negative and robust, then design quality is a lever, and the policy conversation can move from whether to regulate voluntary schemes toward which design features to require.</w:t>
      </w:r>
    </w:p>
    <w:bookmarkEnd w:id="63"/>
    <w:bookmarkStart w:id="64" w:name="what-the-two-empirical-papers-establish"/>
    <w:p>
      <w:pPr>
        <w:pStyle w:val="Heading2"/>
        <w:spacing w:line="480" w:lineRule="auto"/>
      </w:pPr>
      <w:r>
        <w:t xml:space="preserve">What the two empirical papers establish</w:t>
      </w:r>
    </w:p>
    <w:p>
      <w:pPr>
        <w:pStyle w:val="FirstParagraph"/>
        <w:spacing w:line="480" w:lineRule="auto"/>
      </w:pPr>
      <w:r>
        <w:t xml:space="preserve">Two completed studies anchor the argument and set its epistemic limits honestly. The first treats the Space Sustainability Rating as an institutional artifact and asks how its scoring architecture distributes formal weight. Coding the published module table and the lifecycle topic map into a six-row dataset, it estimates whether a module’s tier weight tracks the number of sustainability topics it carries, and it finds that each additional mapped topic is associated with about 9.45 additional tier-weight percentage points, explaining most of the variation in the published design</w:t>
      </w:r>
      <w:r>
        <w:t xml:space="preserve"> </w:t>
      </w:r>
      <w:hyperlink w:anchor="ref-5">
        <w:r>
          <w:rPr>
            <w:rStyle w:val="Hyperlink"/>
          </w:rPr>
          <w:t xml:space="preserve">[5]</w:t>
        </w:r>
      </w:hyperlink>
      <w:r>
        <w:t xml:space="preserve">. That is a design claim, not a debris claim, and the paper says so plainly. It locates a concrete Ostrom-like feature, a rule that ties an operator’s standing to observable lifecycle burdens, inside a real voluntary tool.</w:t>
      </w:r>
    </w:p>
    <w:p>
      <w:pPr>
        <w:pStyle w:val="BodyText"/>
        <w:spacing w:line="480" w:lineRule="auto"/>
        <w:ind w:firstLine="720"/>
      </w:pPr>
      <w:r>
        <w:t xml:space="preserve">The second study asks whether the field’s governance instruments are becoming more complete over time. Coding nine governance sources for eight Ostrom proxies and fitting a learning curve against publication order, it finds an elasticity that is small and statistically indistinguishable from zero</w:t>
      </w:r>
      <w:r>
        <w:t xml:space="preserve"> </w:t>
      </w:r>
      <w:hyperlink w:anchor="ref-12">
        <w:r>
          <w:rPr>
            <w:rStyle w:val="Hyperlink"/>
          </w:rPr>
          <w:t xml:space="preserve">[12]</w:t>
        </w:r>
      </w:hyperlink>
      <w:r>
        <w:t xml:space="preserve">. Later instruments are not more complete. They are more specialized. Identification, decentralized monitoring, adaptive modeling, rating incentives, and stakeholder nesting live in different tools built by different communities</w:t>
      </w:r>
      <w:r>
        <w:t xml:space="preserve"> </w:t>
      </w:r>
      <w:hyperlink w:anchor="ref-3">
        <w:r>
          <w:rPr>
            <w:rStyle w:val="Hyperlink"/>
          </w:rPr>
          <w:t xml:space="preserve">[3]</w:t>
        </w:r>
      </w:hyperlink>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That result reframes the whole inquiry. Voluntary orbital governance is not a ladder anyone is climbing. It is a toolkit whose pieces have to be made to reinforce one another, and the design-principles score is a way of measuring how much of that toolkit any single commitment actually assembles.</w:t>
      </w:r>
    </w:p>
    <w:bookmarkEnd w:id="64"/>
    <w:bookmarkStart w:id="65" w:name="roadmap"/>
    <w:p>
      <w:pPr>
        <w:pStyle w:val="Heading2"/>
        <w:spacing w:line="480" w:lineRule="auto"/>
      </w:pPr>
      <w:r>
        <w:t xml:space="preserve">Roadmap</w:t>
      </w:r>
    </w:p>
    <w:bookmarkEnd w:id="65"/>
    <w:bookmarkStart w:id="66" w:name="stakes-across-three-constituencies"/>
    <w:p>
      <w:pPr>
        <w:pStyle w:val="Heading2"/>
        <w:spacing w:line="480" w:lineRule="auto"/>
      </w:pPr>
      <w:r>
        <w:t xml:space="preserve">Stakes across three constituencies</w:t>
      </w:r>
    </w:p>
    <w:p>
      <w:pPr>
        <w:pStyle w:val="FirstParagraph"/>
        <w:spacing w:line="480" w:lineRule="auto"/>
      </w:pPr>
      <w:r>
        <w:t xml:space="preserve">The debris problem imposes distinct costs on three constituencies, and naming them clarifies why an operator-level test earns its effort. Present operators bear collision risk to active assets, insurance premiums that rise with the congestion of a shell, and the operational tax of collision-avoidance maneuvers that consume propellant and shorten mission life. Future operators bear a degraded environment they did nothing to create, an intergenerational transfer that source-sink modeling makes quantitative by tracing how present sources set future capacity</w:t>
      </w:r>
      <w:r>
        <w:t xml:space="preserve"> </w:t>
      </w:r>
      <w:hyperlink w:anchor="ref-4">
        <w:r>
          <w:rPr>
            <w:rStyle w:val="Hyperlink"/>
          </w:rPr>
          <w:t xml:space="preserve">[4]</w:t>
        </w:r>
      </w:hyperlink>
      <w:r>
        <w:t xml:space="preserve">. Public institutions bear the residual: the coordination burden, the reentry-casualty risk that the reentry-risk literature warns will grow with activity, and the diplomatic cost of managing an environment no single state controls</w:t>
      </w:r>
      <w:r>
        <w:t xml:space="preserve"> </w:t>
      </w:r>
      <w:hyperlink w:anchor="ref-7">
        <w:r>
          <w:rPr>
            <w:rStyle w:val="Hyperlink"/>
          </w:rPr>
          <w:t xml:space="preserve">[7]</w:t>
        </w:r>
      </w:hyperlink>
      <w:r>
        <w:t xml:space="preserve">. A test that links commitment design to debris outcomes speaks to all three, because a cleaner marginal mission relieves the present operator’s maneuver burden, the future operator’s inheritance, and the public institution’s residual at once.</w:t>
      </w:r>
    </w:p>
    <w:p>
      <w:pPr>
        <w:pStyle w:val="BodyText"/>
        <w:spacing w:line="480" w:lineRule="auto"/>
        <w:ind w:firstLine="720"/>
      </w:pPr>
      <w:r>
        <w:t xml:space="preserve">The three constituencies also explain why voluntary instruments arose in the specific form they did. An instrument that only served present operators would emphasize collision avoidance and say nothing about disposal. One that only served future operators would emphasize end-of-life behavior and ignore near-term coordination. The instruments the field has actually built, composite ratings, decentralized data-sharing arrangements, and stakeholder-outreach architectures, try to serve all three, which is why they carry a mix of monitoring, incentive, and nesting features that an Ostrom audit can detect</w:t>
      </w:r>
      <w:r>
        <w:t xml:space="preserve"> </w:t>
      </w:r>
      <w:hyperlink w:anchor="ref-5">
        <w:r>
          <w:rPr>
            <w:rStyle w:val="Hyperlink"/>
          </w:rPr>
          <w:t xml:space="preserve">[5]</w:t>
        </w:r>
      </w:hyperlink>
      <w:r>
        <w:t xml:space="preserve"> </w:t>
      </w:r>
      <w:hyperlink w:anchor="ref-2">
        <w:r>
          <w:rPr>
            <w:rStyle w:val="Hyperlink"/>
          </w:rPr>
          <w:t xml:space="preserve">[2]</w:t>
        </w:r>
      </w:hyperlink>
      <w:r>
        <w:t xml:space="preserve"> </w:t>
      </w:r>
      <w:hyperlink w:anchor="ref-6">
        <w:r>
          <w:rPr>
            <w:rStyle w:val="Hyperlink"/>
          </w:rPr>
          <w:t xml:space="preserve">[6]</w:t>
        </w:r>
      </w:hyperlink>
      <w:r>
        <w:t xml:space="preserve">. The mix is uneven, and its unevenness is part of what the design-principles score measures.</w:t>
      </w:r>
    </w:p>
    <w:bookmarkEnd w:id="66"/>
    <w:bookmarkStart w:id="67" w:name="why-the-voluntary-layer-and-why-now"/>
    <w:p>
      <w:pPr>
        <w:pStyle w:val="Heading2"/>
        <w:spacing w:line="480" w:lineRule="auto"/>
      </w:pPr>
      <w:r>
        <w:t xml:space="preserve">Why the voluntary layer, and why now</w:t>
      </w:r>
    </w:p>
    <w:p>
      <w:pPr>
        <w:pStyle w:val="FirstParagraph"/>
        <w:spacing w:line="480" w:lineRule="auto"/>
      </w:pPr>
      <w:r>
        <w:t xml:space="preserve">A skeptic might ask why the voluntary layer deserves study at all, given that binding regulation exists. The answer lies in the mismatch between the reach of any single regulator and the extent of the shared resource. National licensing authorities can attach conditions only to operators seeking their particular market, and even the most demanding licensing regime governs a fraction of the objects in a given shell. The physical commons, by contrast, is indifferent to who licensed whom; a fragment released by an unlicensed launch collides with a carefully licensed spacecraft on identical terms. Into that gap between fragmented authority and unified physics, voluntary instruments have grown, precisely because no comprehensive regime fills it. The Space Sustainability Rating exists as a composite indicator to incentivize operators toward long-term environmental sustainability exactly because binding obligation reaches only so far</w:t>
      </w:r>
      <w:r>
        <w:t xml:space="preserve"> </w:t>
      </w:r>
      <w:hyperlink w:anchor="ref-5">
        <w:r>
          <w:rPr>
            <w:rStyle w:val="Hyperlink"/>
          </w:rPr>
          <w:t xml:space="preserve">[5]</w:t>
        </w:r>
      </w:hyperlink>
      <w:r>
        <w:t xml:space="preserve">.</w:t>
      </w:r>
    </w:p>
    <w:p>
      <w:pPr>
        <w:pStyle w:val="BodyText"/>
        <w:spacing w:line="480" w:lineRule="auto"/>
        <w:ind w:firstLine="720"/>
      </w:pPr>
      <w:r>
        <w:t xml:space="preserve">Timing sharpens the stakes. Launch cadence has risen faster than any governance mechanism has adapted, and the density of active spacecraft in the most desirable shells now approaches thresholds that source-sink models associate with self-sustaining congestion</w:t>
      </w:r>
      <w:r>
        <w:t xml:space="preserve"> </w:t>
      </w:r>
      <w:hyperlink w:anchor="ref-4">
        <w:r>
          <w:rPr>
            <w:rStyle w:val="Hyperlink"/>
          </w:rPr>
          <w:t xml:space="preserve">[4]</w:t>
        </w:r>
      </w:hyperlink>
      <w:r>
        <w:t xml:space="preserve">. When the environment sits near a tipping point, the marginal mission matters more than it did when orbit was empty, and the question of whether voluntary commitments change marginal behavior stops being academic. A commitment that shifts even a modest fraction of operators toward faster disposal or better coordination has outsized value near a threshold that a commitment made in an empty orbit would not.</w:t>
      </w:r>
    </w:p>
    <w:bookmarkEnd w:id="67"/>
    <w:bookmarkStart w:id="68" w:name="Xeaf824438b286c62cfa024e8e73eff3229fc981"/>
    <w:p>
      <w:pPr>
        <w:pStyle w:val="Heading2"/>
        <w:spacing w:line="480" w:lineRule="auto"/>
      </w:pPr>
      <w:r>
        <w:t xml:space="preserve">Distinguishing this claim from adjacent ones</w:t>
      </w:r>
    </w:p>
    <w:p>
      <w:pPr>
        <w:pStyle w:val="FirstParagraph"/>
        <w:spacing w:line="480" w:lineRule="auto"/>
      </w:pPr>
      <w:r>
        <w:t xml:space="preserve">Precision about what the dissertation does not claim protects the claim it does make. It does not argue that voluntary governance should replace binding regulation, nor that a well-designed commitment is a substitute for a disposal mandate. Voluntary and mandatory instruments coexist, and the reentry-risk literature makes clear that some hazards will require obligation rather than encouragement</w:t>
      </w:r>
      <w:r>
        <w:t xml:space="preserve"> </w:t>
      </w:r>
      <w:hyperlink w:anchor="ref-7">
        <w:r>
          <w:rPr>
            <w:rStyle w:val="Hyperlink"/>
          </w:rPr>
          <w:t xml:space="preserve">[7]</w:t>
        </w:r>
      </w:hyperlink>
      <w:r>
        <w:t xml:space="preserve">. The claim is narrower: among operators subject to the same regulatory floor, variation in the design quality of their voluntary commitments carries information about their debris outcomes. That is a statement about the marginal contribution of voluntary design on top of whatever regulation already requires, not a statement about voluntary design as a stand-alone regime.</w:t>
      </w:r>
    </w:p>
    <w:p>
      <w:pPr>
        <w:pStyle w:val="BodyText"/>
        <w:spacing w:line="480" w:lineRule="auto"/>
        <w:ind w:firstLine="720"/>
      </w:pPr>
      <w:r>
        <w:t xml:space="preserve">The dissertation also declines to claim that any particular instrument is best. The rating, the decentralized data-sharing arrangements, the source-sink decision-support tools, and the outreach architectures each solve different pieces of the commons problem, and the second completed study shows they specialize rather than converge</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w:t>
      </w:r>
      <w:hyperlink w:anchor="ref-12">
        <w:r>
          <w:rPr>
            <w:rStyle w:val="Hyperlink"/>
          </w:rPr>
          <w:t xml:space="preserve">[12]</w:t>
        </w:r>
      </w:hyperlink>
      <w:r>
        <w:t xml:space="preserve">. Ranking them would misread a portfolio as a competition. The design-principles score measures how much of the portfolio a single commitment assembles, which is a different and more useful question than which instrument wins.</w:t>
      </w:r>
    </w:p>
    <w:p>
      <w:pPr>
        <w:pStyle w:val="BodyText"/>
        <w:spacing w:line="480" w:lineRule="auto"/>
        <w:ind w:firstLine="720"/>
      </w:pPr>
      <w:r>
        <w:t xml:space="preserve">Finally, the project separates its descriptive findings from its causal aspiration with deliberate care. The two completed studies are descriptive-institutional: they characterize an instrument’s architecture and the field’s evolution, and they make no debris-effectiveness claim</w:t>
      </w:r>
      <w:r>
        <w:t xml:space="preserve"> </w:t>
      </w:r>
      <w:hyperlink w:anchor="ref-5">
        <w:r>
          <w:rPr>
            <w:rStyle w:val="Hyperlink"/>
          </w:rPr>
          <w:t xml:space="preserve">[5]</w:t>
        </w:r>
      </w:hyperlink>
      <w:r>
        <w:t xml:space="preserve"> </w:t>
      </w:r>
      <w:hyperlink w:anchor="ref-12">
        <w:r>
          <w:rPr>
            <w:rStyle w:val="Hyperlink"/>
          </w:rPr>
          <w:t xml:space="preserve">[12]</w:t>
        </w:r>
      </w:hyperlink>
      <w:r>
        <w:t xml:space="preserve">. The primary hypothesis is causal in aspiration but observational in method, and the strongest claim it can support is a conditional association net of absorbed confounds. Keeping these registers distinct is not modesty for its own sake. It is what allows a reader to trust the descriptive results precisely because they are not dressed up as causal ones.</w:t>
      </w:r>
    </w:p>
    <w:bookmarkEnd w:id="68"/>
    <w:bookmarkStart w:id="69" w:name="the-place-of-measurement-in-the-argument"/>
    <w:p>
      <w:pPr>
        <w:pStyle w:val="Heading2"/>
        <w:spacing w:line="480" w:lineRule="auto"/>
      </w:pPr>
      <w:r>
        <w:t xml:space="preserve">The place of measurement in the argument</w:t>
      </w:r>
    </w:p>
    <w:p>
      <w:pPr>
        <w:pStyle w:val="FirstParagraph"/>
        <w:spacing w:line="480" w:lineRule="auto"/>
      </w:pPr>
      <w:r>
        <w:t xml:space="preserve">The dissertation’s method rests on a conviction about measurement: that an institution can be read off a document with enough discipline to support a quantitative claim. That conviction is not automatic, and the project treats it as a hypothesis to be defended rather than assumed. Coding a commitment for Ostrom’s features requires that the features be legible in text, that two independent coders agree on what they see, and that the resulting score track institutional content rather than promotional warmth. Where the space community has invested most heavily, in observation and attribution, the coding is easiest, because a commitment either references a concrete monitoring or identification arrangement or it does not</w:t>
      </w:r>
      <w:r>
        <w:t xml:space="preserve"> </w:t>
      </w:r>
      <w:hyperlink w:anchor="ref-2">
        <w:r>
          <w:rPr>
            <w:rStyle w:val="Hyperlink"/>
          </w:rPr>
          <w:t xml:space="preserve">[2]</w:t>
        </w:r>
      </w:hyperlink>
      <w:r>
        <w:t xml:space="preserve"> </w:t>
      </w:r>
      <w:hyperlink w:anchor="ref-3">
        <w:r>
          <w:rPr>
            <w:rStyle w:val="Hyperlink"/>
          </w:rPr>
          <w:t xml:space="preserve">[3]</w:t>
        </w:r>
      </w:hyperlink>
      <w:r>
        <w:t xml:space="preserve">. Where the community has invested least, in dispute resolution and graduated accountability, the coding is sparse because the content is sparse, and a low score there records a real absence rather than a coding failure.</w:t>
      </w:r>
    </w:p>
    <w:p>
      <w:pPr>
        <w:pStyle w:val="BodyText"/>
        <w:spacing w:line="480" w:lineRule="auto"/>
        <w:ind w:firstLine="720"/>
      </w:pPr>
      <w:r>
        <w:t xml:space="preserve">That asymmetry is itself a finding the later chapters develop. The design-principles score is not evenly distributed across the eight features; it clusters where the field has built capability and thins where the field has not. A first look at the coded corpus already shows monitoring present almost everywhere and conflict resolution present almost nowhere, a pattern that says as much about the field’s priorities as about any single instrument</w:t>
      </w:r>
      <w:r>
        <w:t xml:space="preserve"> </w:t>
      </w:r>
      <w:hyperlink w:anchor="ref-12">
        <w:r>
          <w:rPr>
            <w:rStyle w:val="Hyperlink"/>
          </w:rPr>
          <w:t xml:space="preserve">[12]</w:t>
        </w:r>
      </w:hyperlink>
      <w:r>
        <w:t xml:space="preserve">.</w:t>
      </w:r>
    </w:p>
    <w:bookmarkEnd w:id="69"/>
    <w:bookmarkStart w:id="70" w:name="roadmap-1"/>
    <w:p>
      <w:pPr>
        <w:pStyle w:val="Heading2"/>
        <w:spacing w:line="480" w:lineRule="auto"/>
      </w:pPr>
      <w:r>
        <w:t xml:space="preserve">Roadmap</w:t>
      </w:r>
    </w:p>
    <w:p>
      <w:pPr>
        <w:pStyle w:val="FirstParagraph"/>
        <w:spacing w:line="480" w:lineRule="auto"/>
      </w:pPr>
      <w:r>
        <w:t xml:space="preserve">The chapters that follow build the argument in order. Chapter two situates the project against four literatures that each solve part of the problem and none of which has been joined to observed orbital outcomes: environmental-governance analogy, space situational awareness and identification, source-sink debris modeling, and voluntary rating and outreach</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Chapter three develops the theory, translating Ostrom’s eight design principles into orbital terms and deriving the testable predictions that the empirical core evaluates</w:t>
      </w:r>
      <w:r>
        <w:t xml:space="preserve"> </w:t>
      </w:r>
      <w:hyperlink w:anchor="ref-12">
        <w:r>
          <w:rPr>
            <w:rStyle w:val="Hyperlink"/>
          </w:rPr>
          <w:t xml:space="preserve">[12]</w:t>
        </w:r>
      </w:hyperlink>
      <w:r>
        <w:t xml:space="preserve">. Chapter four lays out the methodology and identification strategy, explaining the two estimators the completed papers use and why a within-operator design with orbit-shell-by-year controls can identify the proposed effect rather than a cross-sectional confound. Chapter five documents the data and measurement, describing the licensing, catalog, registry, and rating sources and how the treatment and outcome variables are constructed. Chapter six reports the empirical results exactly as the two studies produced them and interprets the signs and magnitudes. Chapter seven confronts the limitations without flinching, separating what the data can support from what it cannot. Chapter eight states the contribution, its relevance to governance and program design, and the future work that would move the inquiry from disciplined observation toward stronger causal claims. The through-line never changes. A voluntary promise is worth studying only if we can say, with evidence, whether better-designed promises leave a cleaner orbit behind them.</w:t>
      </w:r>
    </w:p>
    <w:bookmarkEnd w:id="70"/>
    <w:bookmarkEnd w:id="71"/>
    <w:bookmarkStart w:id="82" w:name="X0a87c1b59753f1380d8b6c51c8a3c135356b5a0"/>
    <w:p>
      <w:pPr>
        <w:pStyle w:val="Heading1"/>
        <w:spacing w:line="480" w:lineRule="auto"/>
      </w:pPr>
      <w:r>
        <w:t xml:space="preserve">Literature: Four Conversations That Have Not Yet Met</w:t>
      </w:r>
    </w:p>
    <w:p>
      <w:pPr>
        <w:pStyle w:val="FirstParagraph"/>
        <w:spacing w:line="480" w:lineRule="auto"/>
      </w:pPr>
      <w:r>
        <w:t xml:space="preserve">The scholarship relevant to this dissertation is abundant, competent, and disconnected. Four bodies of work each address a genuine piece of the orbital governance problem. Each is internally rigorous. None has been joined to the others. That gap is what leaves a researcher unable to ask whether the design quality of a voluntary commitment predicts a physical debris outcome. This chapter reads those four conversations in turn, identifies what each supplies and what each withholds, and shows why their separation is the opening this project fills.</w:t>
      </w:r>
    </w:p>
    <w:bookmarkStart w:id="72" w:name="environmental-governance-by-analogy"/>
    <w:p>
      <w:pPr>
        <w:pStyle w:val="Heading2"/>
        <w:spacing w:line="480" w:lineRule="auto"/>
      </w:pPr>
      <w:r>
        <w:t xml:space="preserve">Environmental governance by analogy</w:t>
      </w:r>
    </w:p>
    <w:p>
      <w:pPr>
        <w:pStyle w:val="FirstParagraph"/>
        <w:spacing w:line="480" w:lineRule="auto"/>
      </w:pPr>
      <w:r>
        <w:t xml:space="preserve">Start with analogy. The oldest move in space sustainability scholarship reasons by comparison. Orbit is a commons; other commons have been governed; therefore the successes and failures of terrestrial environmental regimes should inform how we govern orbit. The strongest recent version of this move draws on the Montreal Protocol. Zhang and Balakrishnan trace how the ozone regime built cooperation through monitoring, incentives, differentiated obligations, and adaptive institutional design, and they ask what orbital debris governance might borrow</w:t>
      </w:r>
      <w:r>
        <w:t xml:space="preserve"> </w:t>
      </w:r>
      <w:hyperlink w:anchor="ref-1">
        <w:r>
          <w:rPr>
            <w:rStyle w:val="Hyperlink"/>
          </w:rPr>
          <w:t xml:space="preserve">[1]</w:t>
        </w:r>
      </w:hyperlink>
      <w:r>
        <w:t xml:space="preserve">. The analogy is illuminating and, in the same breath, self-limiting. Ozone depletion had a small set of chemical culprits and a manufacturing chokepoint where regulation could bite. Debris has no single molecule to ban and no factory to close. Every operator is simultaneously a producer of risk and a victim of it.</w:t>
      </w:r>
    </w:p>
    <w:p>
      <w:pPr>
        <w:pStyle w:val="BodyText"/>
        <w:spacing w:line="480" w:lineRule="auto"/>
        <w:ind w:firstLine="720"/>
      </w:pPr>
      <w:r>
        <w:t xml:space="preserve">The analogical literature therefore delivers a vocabulary and a set of cautionary tales rather than a testable operator-level proposition. It tells us that monitoring and graduated incentives mattered elsewhere, which is precisely what Ostrom’s design principles would predict</w:t>
      </w:r>
      <w:r>
        <w:t xml:space="preserve"> </w:t>
      </w:r>
      <w:hyperlink w:anchor="ref-12">
        <w:r>
          <w:rPr>
            <w:rStyle w:val="Hyperlink"/>
          </w:rPr>
          <w:t xml:space="preserve">[12]</w:t>
        </w:r>
      </w:hyperlink>
      <w:r>
        <w:t xml:space="preserve">. What it does not do is code any specific voluntary orbital commitment for those features or connect that coding to what a mission leaves in orbit. The analogy points at the door. It does not walk through it.</w:t>
      </w:r>
    </w:p>
    <w:bookmarkEnd w:id="72"/>
    <w:bookmarkStart w:id="73" w:name="Xa059c635787025c1dc61e63491150805da8c23a"/>
    <w:p>
      <w:pPr>
        <w:pStyle w:val="Heading2"/>
        <w:spacing w:line="480" w:lineRule="auto"/>
      </w:pPr>
      <w:r>
        <w:t xml:space="preserve">Space situational awareness and the identification problem</w:t>
      </w:r>
    </w:p>
    <w:p>
      <w:pPr>
        <w:pStyle w:val="FirstParagraph"/>
        <w:spacing w:line="480" w:lineRule="auto"/>
      </w:pPr>
      <w:r>
        <w:t xml:space="preserve">Observability comes next. A second conversation is technical. Governance of any commons depends on the ability to see who is doing what, and orbit makes seeing hard. Objects are small, fast, distant, and easily confused. Two strands of this literature are directly relevant. The first proposes decentralized architectures for sharing situational-awareness data. Mokhnatkin’s analysis of the ISON initiative describes roughly fifteen observation sites cooperating in a polycentric arrangement that enlarges the evidence base without waiting for a single hierarchical authority to assemble it</w:t>
      </w:r>
      <w:r>
        <w:t xml:space="preserve"> </w:t>
      </w:r>
      <w:hyperlink w:anchor="ref-2">
        <w:r>
          <w:rPr>
            <w:rStyle w:val="Hyperlink"/>
          </w:rPr>
          <w:t xml:space="preserve">[2]</w:t>
        </w:r>
      </w:hyperlink>
      <w:r>
        <w:t xml:space="preserve">. The second strand tackles attribution at the source. Holmes, Weaver, and Palmer’s ELROI concept is a satellite license plate, an optical identifier that lets a ground observer read which object is which and so lowers the cost of assigning responsibility</w:t>
      </w:r>
      <w:r>
        <w:t xml:space="preserve"> </w:t>
      </w:r>
      <w:hyperlink w:anchor="ref-3">
        <w:r>
          <w:rPr>
            <w:rStyle w:val="Hyperlink"/>
          </w:rPr>
          <w:t xml:space="preserve">[3]</w:t>
        </w:r>
      </w:hyperlink>
      <w:r>
        <w:t xml:space="preserve">. Follow-on work reports progress on that identifier’s readiness</w:t>
      </w:r>
      <w:r>
        <w:t xml:space="preserve"> </w:t>
      </w:r>
      <w:hyperlink w:anchor="ref-10">
        <w:r>
          <w:rPr>
            <w:rStyle w:val="Hyperlink"/>
          </w:rPr>
          <w:t xml:space="preserve">[10]</w:t>
        </w:r>
      </w:hyperlink>
      <w:r>
        <w:t xml:space="preserve">.</w:t>
      </w:r>
    </w:p>
    <w:p>
      <w:pPr>
        <w:pStyle w:val="BodyText"/>
        <w:spacing w:line="480" w:lineRule="auto"/>
        <w:ind w:firstLine="720"/>
      </w:pPr>
      <w:r>
        <w:t xml:space="preserve">These proposals matter because monitoring and boundary definition are two of Ostrom’s eight principles, and observability is their physical precondition</w:t>
      </w:r>
      <w:r>
        <w:t xml:space="preserve"> </w:t>
      </w:r>
      <w:hyperlink w:anchor="ref-12">
        <w:r>
          <w:rPr>
            <w:rStyle w:val="Hyperlink"/>
          </w:rPr>
          <w:t xml:space="preserve">[12]</w:t>
        </w:r>
      </w:hyperlink>
      <w:r>
        <w:t xml:space="preserve">. Yet the situational-awareness literature stops at capability. It shows how attribution could become cheaper and more symmetric. It does not determine which governance designs actually change behavior once attribution is possible. A license plate makes a car identifiable; it does not by itself make the driver careful. The gap between observability and behavior is where governance design lives, and it is where this literature declines to go.</w:t>
      </w:r>
    </w:p>
    <w:p>
      <w:pPr>
        <w:pStyle w:val="BodyText"/>
        <w:spacing w:line="480" w:lineRule="auto"/>
        <w:ind w:firstLine="720"/>
      </w:pPr>
      <w:r>
        <w:t xml:space="preserve">Adjacent work on the human and organizational side of situational awareness reinforces the point that observation is necessary but not sufficient. Studies of human-centric awareness and of crew-resource-management practice in space operations argue that data only governs behavior when it is embedded in trusted decision routines and shared responsibility structures</w:t>
      </w:r>
      <w:r>
        <w:t xml:space="preserve"> </w:t>
      </w:r>
      <w:hyperlink w:anchor="ref-17">
        <w:r>
          <w:rPr>
            <w:rStyle w:val="Hyperlink"/>
          </w:rPr>
          <w:t xml:space="preserve">[17]</w:t>
        </w:r>
      </w:hyperlink>
      <w:r>
        <w:t xml:space="preserve"> </w:t>
      </w:r>
      <w:hyperlink w:anchor="ref-18">
        <w:r>
          <w:rPr>
            <w:rStyle w:val="Hyperlink"/>
          </w:rPr>
          <w:t xml:space="preserve">[18]</w:t>
        </w:r>
      </w:hyperlink>
      <w:r>
        <w:t xml:space="preserve">. That is an institutional claim wearing operational clothing, and it aligns with the reading this dissertation gives to the situational-awareness corpus: capability is a precondition for governance, not a substitute for it.</w:t>
      </w:r>
    </w:p>
    <w:bookmarkEnd w:id="73"/>
    <w:bookmarkStart w:id="74" w:name="Xd7b8ca102c911d3588fd0a596601ed2cd6125d1"/>
    <w:p>
      <w:pPr>
        <w:pStyle w:val="Heading2"/>
        <w:spacing w:line="480" w:lineRule="auto"/>
      </w:pPr>
      <w:r>
        <w:t xml:space="preserve">Source-sink modeling of the debris environment</w:t>
      </w:r>
    </w:p>
    <w:p>
      <w:pPr>
        <w:pStyle w:val="FirstParagraph"/>
        <w:spacing w:line="480" w:lineRule="auto"/>
      </w:pPr>
      <w:r>
        <w:t xml:space="preserve">The third conversation is environmental-dynamic. It asks what the orbital environment does over time as a function of what operators put into it and how quickly natural and deliberate sinks remove it. Lifson, Jang, and Linares develop source-sink evolutionary environmental models that translate present operational choices into future orbital capacity trajectories and offer decision support for adaptive management</w:t>
      </w:r>
      <w:r>
        <w:t xml:space="preserve"> </w:t>
      </w:r>
      <w:hyperlink w:anchor="ref-4">
        <w:r>
          <w:rPr>
            <w:rStyle w:val="Hyperlink"/>
          </w:rPr>
          <w:t xml:space="preserve">[4]</w:t>
        </w:r>
      </w:hyperlink>
      <w:r>
        <w:t xml:space="preserve">. This work supplies the physical logic that makes the commons framing more than a metaphor. It shows, quantitatively, that today’s disposal behavior and launch rates set tomorrow’s collision environment, and that the environment can tip from manageable to self-sustaining congestion.</w:t>
      </w:r>
    </w:p>
    <w:p>
      <w:pPr>
        <w:pStyle w:val="BodyText"/>
        <w:spacing w:line="480" w:lineRule="auto"/>
        <w:ind w:firstLine="720"/>
      </w:pPr>
      <w:r>
        <w:t xml:space="preserve">What source-sink modeling does not do is identify whether any particular voluntary commitment alters the source rate. It gives the dependent variable its physical meaning. It does not test the treatment. The models tell us that debris production is the right thing to measure and that it accumulates with memory. They are silent on whether an operator who adopts a well-designed commitment produces less of it than a comparable operator who does not. That silence is deliberate; the modeling community’s task is the environment, not the institution. The consequence is that a causal audit connecting institution to environment has to be built, not inherited.</w:t>
      </w:r>
    </w:p>
    <w:bookmarkEnd w:id="74"/>
    <w:bookmarkStart w:id="75" w:name="X8b21729873896b58007e7989be27d4caf97cc03"/>
    <w:p>
      <w:pPr>
        <w:pStyle w:val="Heading2"/>
        <w:spacing w:line="480" w:lineRule="auto"/>
      </w:pPr>
      <w:r>
        <w:t xml:space="preserve">Voluntary ratings, incentives, and outreach</w:t>
      </w:r>
    </w:p>
    <w:p>
      <w:pPr>
        <w:pStyle w:val="FirstParagraph"/>
        <w:spacing w:line="480" w:lineRule="auto"/>
      </w:pPr>
      <w:r>
        <w:t xml:space="preserve">This is the conversation the project joins. The fourth literature studies the voluntary instruments themselves, and it engages the dissertation most directly. The Space Sustainability Rating is the flagship. Rathnasabapathy and colleagues present it as a composite indicator designed to incentivize operators toward long-term sustainability of the space environment, built from modules covering mission design, detectability and identification, collision avoidance, data sharing, adoption of standards, and external services</w:t>
      </w:r>
      <w:r>
        <w:t xml:space="preserve"> </w:t>
      </w:r>
      <w:hyperlink w:anchor="ref-5">
        <w:r>
          <w:rPr>
            <w:rStyle w:val="Hyperlink"/>
          </w:rPr>
          <w:t xml:space="preserve">[5]</w:t>
        </w:r>
      </w:hyperlink>
      <w:r>
        <w:t xml:space="preserve">. Earlier work established how situational-awareness data could feed both direct module assessment and independent validation of operator-provided inputs, which is the verification backbone any credible rating needs</w:t>
      </w:r>
      <w:r>
        <w:t xml:space="preserve"> </w:t>
      </w:r>
      <w:hyperlink w:anchor="ref-8">
        <w:r>
          <w:rPr>
            <w:rStyle w:val="Hyperlink"/>
          </w:rPr>
          <w:t xml:space="preserve">[8]</w:t>
        </w:r>
      </w:hyperlink>
      <w:r>
        <w:t xml:space="preserve">. On the coordination side, outreach scholarship for space traffic management maps stakeholders into primary, secondary, and tertiary categories and designs communication channels on annual and monthly cycles</w:t>
      </w:r>
      <w:r>
        <w:t xml:space="preserve"> </w:t>
      </w:r>
      <w:hyperlink w:anchor="ref-6">
        <w:r>
          <w:rPr>
            <w:rStyle w:val="Hyperlink"/>
          </w:rPr>
          <w:t xml:space="preserve">[6]</w:t>
        </w:r>
      </w:hyperlink>
      <w:r>
        <w:t xml:space="preserve">. Complementary work on trusted stakeholder coordination argues that sustainability and traffic management require attributed data with pedigree and provenance so that participants can answer who did what to whom, when, and where</w:t>
      </w:r>
      <w:r>
        <w:t xml:space="preserve"> </w:t>
      </w:r>
      <w:hyperlink w:anchor="ref-11">
        <w:r>
          <w:rPr>
            <w:rStyle w:val="Hyperlink"/>
          </w:rPr>
          <w:t xml:space="preserve">[11]</w:t>
        </w:r>
      </w:hyperlink>
      <w:r>
        <w:t xml:space="preserve">.</w:t>
      </w:r>
    </w:p>
    <w:p>
      <w:pPr>
        <w:pStyle w:val="BodyText"/>
        <w:spacing w:line="480" w:lineRule="auto"/>
        <w:ind w:firstLine="720"/>
      </w:pPr>
      <w:r>
        <w:t xml:space="preserve">Read together, this fourth literature describes incentive mechanisms, verification pathways, and communication architectures. It shows that voluntary instruments can carry real institutional content. What it has not done is audit that content against Ostrom’s design principles in a systematic way, or connect the audited quality of a commitment to cataloged debris outcomes at the operator level. The rating literature evaluates the rating on its own terms. The outreach literature evaluates communication on its own terms. Neither closes the loop from institutional design to physical result.</w:t>
      </w:r>
    </w:p>
    <w:bookmarkEnd w:id="75"/>
    <w:bookmarkStart w:id="76" w:name="Xcc3613965b792f05133927929e67358afd8b5c8"/>
    <w:p>
      <w:pPr>
        <w:pStyle w:val="Heading2"/>
        <w:spacing w:line="480" w:lineRule="auto"/>
      </w:pPr>
      <w:r>
        <w:t xml:space="preserve">The commons-theory foundation the field has underused</w:t>
      </w:r>
    </w:p>
    <w:p>
      <w:pPr>
        <w:pStyle w:val="FirstParagraph"/>
        <w:spacing w:line="480" w:lineRule="auto"/>
      </w:pPr>
      <w:r>
        <w:t xml:space="preserve">Beneath all four conversations sits a body of theory that the space community cites more often than it applies. Ostrom’s account of durable common-pool-resource governance was not a single proposition but an empirical program that examined dozens of cases and induced the conditions under which self-organized institutions endure</w:t>
      </w:r>
      <w:r>
        <w:t xml:space="preserve"> </w:t>
      </w:r>
      <w:hyperlink w:anchor="ref-12">
        <w:r>
          <w:rPr>
            <w:rStyle w:val="Hyperlink"/>
          </w:rPr>
          <w:t xml:space="preserve">[12]</w:t>
        </w:r>
      </w:hyperlink>
      <w:r>
        <w:t xml:space="preserve">. Its power for orbit is that it is neither utopian nor defeatist. It rejects the claim that a commons must collapse without a central sovereign, and it equally rejects the claim that any cooperative gesture will do. The difference between success and collapse lies in specific, nameable design features, which is exactly what makes the framework testable rather than merely inspirational.</w:t>
      </w:r>
    </w:p>
    <w:p>
      <w:pPr>
        <w:pStyle w:val="BodyText"/>
        <w:spacing w:line="480" w:lineRule="auto"/>
        <w:ind w:firstLine="720"/>
      </w:pPr>
      <w:r>
        <w:t xml:space="preserve">The space literature has borrowed the vocabulary of commons governance while rarely operationalizing the diagnostic. The Montreal Protocol analogy invokes cooperation and incentives but does not code any orbital instrument for boundaries, monitoring, or graduated accountability</w:t>
      </w:r>
      <w:r>
        <w:t xml:space="preserve"> </w:t>
      </w:r>
      <w:hyperlink w:anchor="ref-1">
        <w:r>
          <w:rPr>
            <w:rStyle w:val="Hyperlink"/>
          </w:rPr>
          <w:t xml:space="preserve">[1]</w:t>
        </w:r>
      </w:hyperlink>
      <w:r>
        <w:t xml:space="preserve">. The situational-awareness literature builds the observability that monitoring requires without asking whether monitoring is embedded in an institution that ties observation to consequence</w:t>
      </w:r>
      <w:r>
        <w:t xml:space="preserve"> </w:t>
      </w:r>
      <w:hyperlink w:anchor="ref-2">
        <w:r>
          <w:rPr>
            <w:rStyle w:val="Hyperlink"/>
          </w:rPr>
          <w:t xml:space="preserve">[2]</w:t>
        </w:r>
      </w:hyperlink>
      <w:r>
        <w:t xml:space="preserve"> </w:t>
      </w:r>
      <w:hyperlink w:anchor="ref-8">
        <w:r>
          <w:rPr>
            <w:rStyle w:val="Hyperlink"/>
          </w:rPr>
          <w:t xml:space="preserve">[8]</w:t>
        </w:r>
      </w:hyperlink>
      <w:r>
        <w:t xml:space="preserve">. The rating literature builds proportional incentives without situating them in the full eight-principle scheme</w:t>
      </w:r>
      <w:r>
        <w:t xml:space="preserve"> </w:t>
      </w:r>
      <w:hyperlink w:anchor="ref-5">
        <w:r>
          <w:rPr>
            <w:rStyle w:val="Hyperlink"/>
          </w:rPr>
          <w:t xml:space="preserve">[5]</w:t>
        </w:r>
      </w:hyperlink>
      <w:r>
        <w:t xml:space="preserve">. Each borrows one principle and leaves the rest implicit. The contribution available to a researcher who takes the whole framework seriously is to make all eight principles legible in the same instruments, which is what the coding scheme in the empirical chapters does.</w:t>
      </w:r>
    </w:p>
    <w:bookmarkEnd w:id="76"/>
    <w:bookmarkStart w:id="77" w:name="X3785f3d89b78b1ecf794658baef05575390f599"/>
    <w:p>
      <w:pPr>
        <w:pStyle w:val="Heading2"/>
        <w:spacing w:line="480" w:lineRule="auto"/>
      </w:pPr>
      <w:r>
        <w:t xml:space="preserve">What each literature measures and what it leaves unmeasured</w:t>
      </w:r>
    </w:p>
    <w:p>
      <w:pPr>
        <w:pStyle w:val="FirstParagraph"/>
        <w:spacing w:line="480" w:lineRule="auto"/>
      </w:pPr>
      <w:r>
        <w:t xml:space="preserve">A useful way to see the junction this dissertation fills is to ask, for each conversation, what it measures well and what it leaves unmeasured. The analogical literature measures institutional lessons from other regimes with care, tracing how monitoring and incentives built cooperation under the Montreal Protocol, yet it leaves the design content of any specific orbital commitment unmeasured</w:t>
      </w:r>
      <w:r>
        <w:t xml:space="preserve"> </w:t>
      </w:r>
      <w:hyperlink w:anchor="ref-1">
        <w:r>
          <w:rPr>
            <w:rStyle w:val="Hyperlink"/>
          </w:rPr>
          <w:t xml:space="preserve">[1]</w:t>
        </w:r>
      </w:hyperlink>
      <w:r>
        <w:t xml:space="preserve">. The situational-awareness literature measures observability and attribution cost, quantifying how many sites a decentralized network needs or how readable an optical identifier is, yet it leaves the behavioral response to observability unmeasured</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modeling literature measures the debris environment’s dynamics with quantitative rigor, projecting capacity trajectories from source and sink rates, yet it leaves the institutional treatment unmeasured</w:t>
      </w:r>
      <w:r>
        <w:t xml:space="preserve"> </w:t>
      </w:r>
      <w:hyperlink w:anchor="ref-4">
        <w:r>
          <w:rPr>
            <w:rStyle w:val="Hyperlink"/>
          </w:rPr>
          <w:t xml:space="preserve">[4]</w:t>
        </w:r>
      </w:hyperlink>
      <w:r>
        <w:t xml:space="preserve">. The rating and outreach literature measures instrument architecture and stakeholder structure, cataloging modules and communication cycles, yet it leaves the connection to physical outcomes unmeasured</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pattern is consistent. Every conversation measures its own object thoroughly and stops at the boundary where its object hands off to the next. The design content that the analogists leave unmeasured is exactly what the rating literature measures; the outcomes that the rating literature leaves unmeasured are exactly what the modeling literature makes meaningful; the observability that makes outcomes attributable is exactly what the situational-awareness literature provides. The pieces fit, but no study has assembled them, because assembling them requires a coding scheme that spans institutional design and a linkage that reaches from that design to a public physical record. That assembly is the dissertation’s contribution, and reading the literatures as a set of well-measured but disconnected objects is what makes the assembly look less like ambition and more like carpentry.</w:t>
      </w:r>
    </w:p>
    <w:bookmarkEnd w:id="77"/>
    <w:bookmarkStart w:id="78" w:name="X916e13d715d6680bec65fd026759e251357690c"/>
    <w:p>
      <w:pPr>
        <w:pStyle w:val="Heading2"/>
        <w:spacing w:line="480" w:lineRule="auto"/>
      </w:pPr>
      <w:r>
        <w:t xml:space="preserve">Governance-by-acknowledgment and the NewSpace turn</w:t>
      </w:r>
    </w:p>
    <w:p>
      <w:pPr>
        <w:pStyle w:val="FirstParagraph"/>
        <w:spacing w:line="480" w:lineRule="auto"/>
      </w:pPr>
      <w:r>
        <w:t xml:space="preserve">A newer strand of space-governance scholarship examines how coordination emerges in the NewSpace era without comprehensive treaty machinery. Work on governance by acknowledgment describes how operators and states coordinate through recognition and reputational signaling rather than through binding obligation, a mechanism that resembles Ostrom’s recognition-of-rights-to-organize principle more than it resembles formal law</w:t>
      </w:r>
      <w:r>
        <w:t xml:space="preserve"> </w:t>
      </w:r>
      <w:hyperlink w:anchor="ref-28">
        <w:r>
          <w:rPr>
            <w:rStyle w:val="Hyperlink"/>
          </w:rPr>
          <w:t xml:space="preserve">[28]</w:t>
        </w:r>
      </w:hyperlink>
      <w:r>
        <w:t xml:space="preserve">. This literature is important for the dissertation because voluntary commitments are a paradigm case of governance by acknowledgment: an operator signals its type by publishing a commitment, and other actors update their expectations accordingly. The open question, which the design-principles score is built to answer, is whether the signal carries institutional content or only reputational sheen.</w:t>
      </w:r>
    </w:p>
    <w:p>
      <w:pPr>
        <w:pStyle w:val="BodyText"/>
        <w:spacing w:line="480" w:lineRule="auto"/>
        <w:ind w:firstLine="720"/>
      </w:pPr>
      <w:r>
        <w:t xml:space="preserve">Legal scholarship on autonomous systems in orbit sharpens the accountability problem the acknowledgment literature raises. Analyses of liability for artificial intelligence in outer space ask who answers for the actions of increasingly autonomous spacecraft, a question that maps directly onto Ostrom’s graduated-accountability principle</w:t>
      </w:r>
      <w:r>
        <w:t xml:space="preserve"> </w:t>
      </w:r>
      <w:hyperlink w:anchor="ref-21">
        <w:r>
          <w:rPr>
            <w:rStyle w:val="Hyperlink"/>
          </w:rPr>
          <w:t xml:space="preserve">[21]</w:t>
        </w:r>
      </w:hyperlink>
      <w:r>
        <w:t xml:space="preserve">. If responsibility cannot be assigned, accountability cannot be graduated, and the commons loses the feedback that sustains cooperation. This legal work confirms from a different direction what the coding will show empirically: accountability and conflict resolution are the principles the current voluntary landscape most conspicuously lacks.</w:t>
      </w:r>
    </w:p>
    <w:bookmarkEnd w:id="78"/>
    <w:bookmarkStart w:id="79" w:name="Xab3492ffe25057e5426304b447a93648fb3ee66"/>
    <w:p>
      <w:pPr>
        <w:pStyle w:val="Heading2"/>
        <w:spacing w:line="480" w:lineRule="auto"/>
      </w:pPr>
      <w:r>
        <w:t xml:space="preserve">The human and organizational layer of monitoring</w:t>
      </w:r>
    </w:p>
    <w:p>
      <w:pPr>
        <w:pStyle w:val="FirstParagraph"/>
        <w:spacing w:line="480" w:lineRule="auto"/>
      </w:pPr>
      <w:r>
        <w:t xml:space="preserve">Observability is often discussed as a hardware question, but a parallel literature insists that data governs behavior only when it is embedded in the routines and trust structures of the people who act on it. Work on human-centric situational awareness argues that the value of an awareness system depends on how well it supports the judgment of the operators and analysts who use it, not merely on how many objects it can track</w:t>
      </w:r>
      <w:r>
        <w:t xml:space="preserve"> </w:t>
      </w:r>
      <w:hyperlink w:anchor="ref-17">
        <w:r>
          <w:rPr>
            <w:rStyle w:val="Hyperlink"/>
          </w:rPr>
          <w:t xml:space="preserve">[17]</w:t>
        </w:r>
      </w:hyperlink>
      <w:r>
        <w:t xml:space="preserve">. A related strand imports crew-resource-management practice from aviation into space domain operations, contending that shared responsibility and disciplined communication are what convert raw awareness into safe coordinated action</w:t>
      </w:r>
      <w:r>
        <w:t xml:space="preserve"> </w:t>
      </w:r>
      <w:hyperlink w:anchor="ref-18">
        <w:r>
          <w:rPr>
            <w:rStyle w:val="Hyperlink"/>
          </w:rPr>
          <w:t xml:space="preserve">[18]</w:t>
        </w:r>
      </w:hyperlink>
      <w:r>
        <w:t xml:space="preserve">. These are institutional arguments in operational dress, and they connect the situational-awareness conversation to Ostrom’s monitoring and collective-choice principles more directly than the hardware literature alone does.</w:t>
      </w:r>
    </w:p>
    <w:p>
      <w:pPr>
        <w:pStyle w:val="BodyText"/>
        <w:spacing w:line="480" w:lineRule="auto"/>
        <w:ind w:firstLine="720"/>
      </w:pPr>
      <w:r>
        <w:t xml:space="preserve">For the dissertation, this human and organizational layer matters because it explains why a commitment that merely references monitoring capability is weaker than one that embeds monitoring in accountable routines. A license plate or a tracking feed is a precondition, but the governance force comes from tying observation to responsibility and shared decision, which is where trusted-coordination work locates its contribution through attributed data with pedigree and provenance</w:t>
      </w:r>
      <w:r>
        <w:t xml:space="preserve"> </w:t>
      </w:r>
      <w:hyperlink w:anchor="ref-11">
        <w:r>
          <w:rPr>
            <w:rStyle w:val="Hyperlink"/>
          </w:rPr>
          <w:t xml:space="preserve">[11]</w:t>
        </w:r>
      </w:hyperlink>
      <w:r>
        <w:t xml:space="preserve">. The coding scheme reflects this distinction: monitoring is coded from observability content, but accountability is coded separately, and a commitment earns the second only when it links observation to consequence rather than stopping at capability. Reading the situational-awareness literature through its human layer thus sharpens the boundary between two of Ostrom’s principles that a hardware-only reading would blur.</w:t>
      </w:r>
    </w:p>
    <w:bookmarkEnd w:id="79"/>
    <w:bookmarkStart w:id="80" w:name="X2fa67a6c4882b03057588e6b3ed2787d1acefe5"/>
    <w:p>
      <w:pPr>
        <w:pStyle w:val="Heading2"/>
        <w:spacing w:line="480" w:lineRule="auto"/>
      </w:pPr>
      <w:r>
        <w:t xml:space="preserve">Planetary boundaries and the systems framing</w:t>
      </w:r>
    </w:p>
    <w:p>
      <w:pPr>
        <w:pStyle w:val="FirstParagraph"/>
        <w:spacing w:line="480" w:lineRule="auto"/>
      </w:pPr>
      <w:r>
        <w:t xml:space="preserve">A further strand treats Earth and orbit as a single coupled system rather than as separate domains. Work integrating planetary-boundaries thinking into space activity argues for an Earth-outer-space system design framework in which orbital sustainability is continuous with terrestrial environmental limits</w:t>
      </w:r>
      <w:r>
        <w:t xml:space="preserve"> </w:t>
      </w:r>
      <w:hyperlink w:anchor="ref-23">
        <w:r>
          <w:rPr>
            <w:rStyle w:val="Hyperlink"/>
          </w:rPr>
          <w:t xml:space="preserve">[23]</w:t>
        </w:r>
      </w:hyperlink>
      <w:r>
        <w:t xml:space="preserve">. This framing matters for the dissertation’s nesting principle, because it locates voluntary orbital commitments inside a larger environmental governance architecture rather than treating orbit as a special case exempt from environmental reasoning. An instrument that nests its commitments within broader standards and lifecycle governance is doing, at the scale of a single mission, what the planetary-boundaries framework urges at the scale of the whole system.</w:t>
      </w:r>
    </w:p>
    <w:p>
      <w:pPr>
        <w:pStyle w:val="BodyText"/>
        <w:spacing w:line="480" w:lineRule="auto"/>
        <w:ind w:firstLine="720"/>
      </w:pPr>
      <w:r>
        <w:t xml:space="preserve">The systems framing also reinforces why a portfolio reading of the field is more accurate than a cumulative one. If orbital sustainability is one node in a coupled Earth-orbit system, then different instruments naturally address different nodes, and completeness at any single node is neither expected nor sufficient. The specialization that the second completed study documents is exactly what a systems view predicts: the field builds tools for identification, monitoring, modeling, incentives, and outreach because the coupled system has many distinct failure modes, not one</w:t>
      </w:r>
      <w:r>
        <w:t xml:space="preserve"> </w:t>
      </w:r>
      <w:hyperlink w:anchor="ref-23">
        <w:r>
          <w:rPr>
            <w:rStyle w:val="Hyperlink"/>
          </w:rPr>
          <w:t xml:space="preserve">[23]</w:t>
        </w:r>
      </w:hyperlink>
      <w:r>
        <w:t xml:space="preserve"> </w:t>
      </w:r>
      <w:hyperlink w:anchor="ref-12">
        <w:r>
          <w:rPr>
            <w:rStyle w:val="Hyperlink"/>
          </w:rPr>
          <w:t xml:space="preserve">[12]</w:t>
        </w:r>
      </w:hyperlink>
      <w:r>
        <w:t xml:space="preserve">.</w:t>
      </w:r>
    </w:p>
    <w:bookmarkEnd w:id="80"/>
    <w:bookmarkStart w:id="81" w:name="the-unmet-junction"/>
    <w:p>
      <w:pPr>
        <w:pStyle w:val="Heading2"/>
        <w:spacing w:line="480" w:lineRule="auto"/>
      </w:pPr>
      <w:r>
        <w:t xml:space="preserve">The unmet junction</w:t>
      </w:r>
    </w:p>
    <w:p>
      <w:pPr>
        <w:pStyle w:val="FirstParagraph"/>
        <w:spacing w:line="480" w:lineRule="auto"/>
      </w:pPr>
      <w:r>
        <w:t xml:space="preserve">Each conversation solves part of the problem and hands the rest to a neighbor who is looking the other way. Analogical governance work supplies institutional lessons but tests no orbital commitment</w:t>
      </w:r>
      <w:r>
        <w:t xml:space="preserve"> </w:t>
      </w:r>
      <w:hyperlink w:anchor="ref-1">
        <w:r>
          <w:rPr>
            <w:rStyle w:val="Hyperlink"/>
          </w:rPr>
          <w:t xml:space="preserve">[1]</w:t>
        </w:r>
      </w:hyperlink>
      <w:r>
        <w:t xml:space="preserve">. Situational-awareness work supplies observability but not behavioral identification</w:t>
      </w:r>
      <w:r>
        <w:t xml:space="preserve"> </w:t>
      </w:r>
      <w:hyperlink w:anchor="ref-2">
        <w:r>
          <w:rPr>
            <w:rStyle w:val="Hyperlink"/>
          </w:rPr>
          <w:t xml:space="preserve">[2]</w:t>
        </w:r>
      </w:hyperlink>
      <w:r>
        <w:t xml:space="preserve"> </w:t>
      </w:r>
      <w:hyperlink w:anchor="ref-3">
        <w:r>
          <w:rPr>
            <w:rStyle w:val="Hyperlink"/>
          </w:rPr>
          <w:t xml:space="preserve">[3]</w:t>
        </w:r>
      </w:hyperlink>
      <w:r>
        <w:t xml:space="preserve">. Source-sink modeling supplies the outcome’s physical meaning but not the treatment</w:t>
      </w:r>
      <w:r>
        <w:t xml:space="preserve"> </w:t>
      </w:r>
      <w:hyperlink w:anchor="ref-4">
        <w:r>
          <w:rPr>
            <w:rStyle w:val="Hyperlink"/>
          </w:rPr>
          <w:t xml:space="preserve">[4]</w:t>
        </w:r>
      </w:hyperlink>
      <w:r>
        <w:t xml:space="preserve">. Rating and outreach work supplies real institutional content but audits it against its own criteria rather than against a general theory of durable commons governance and never links it to debris counts</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A further sign that these conversations are ready to be joined is that each has begun, tentatively, to reach toward the others. The rating literature already draws on situational-awareness data for independent validation, crossing into the observability conversation</w:t>
      </w:r>
      <w:r>
        <w:t xml:space="preserve"> </w:t>
      </w:r>
      <w:hyperlink w:anchor="ref-8">
        <w:r>
          <w:rPr>
            <w:rStyle w:val="Hyperlink"/>
          </w:rPr>
          <w:t xml:space="preserve">[8]</w:t>
        </w:r>
      </w:hyperlink>
      <w:r>
        <w:t xml:space="preserve">. The trusted-coordination work already frames shared attributed data as the basis for both awareness and accountability, crossing into the governance conversation</w:t>
      </w:r>
      <w:r>
        <w:t xml:space="preserve"> </w:t>
      </w:r>
      <w:hyperlink w:anchor="ref-11">
        <w:r>
          <w:rPr>
            <w:rStyle w:val="Hyperlink"/>
          </w:rPr>
          <w:t xml:space="preserve">[11]</w:t>
        </w:r>
      </w:hyperlink>
      <w:r>
        <w:t xml:space="preserve">. The outreach work already organizes stakeholders into a nested structure that echoes the nesting principle, crossing into commons theory</w:t>
      </w:r>
      <w:r>
        <w:t xml:space="preserve"> </w:t>
      </w:r>
      <w:hyperlink w:anchor="ref-6">
        <w:r>
          <w:rPr>
            <w:rStyle w:val="Hyperlink"/>
          </w:rPr>
          <w:t xml:space="preserve">[6]</w:t>
        </w:r>
      </w:hyperlink>
      <w:r>
        <w:t xml:space="preserve">. These reaches are partial and unsystematic, but they show that the boundaries between the four conversations are porous, and that a scheme which codes all four against a common set of principles is completing a movement the literatures have themselves begun.</w:t>
      </w:r>
    </w:p>
    <w:p>
      <w:pPr>
        <w:pStyle w:val="BodyText"/>
        <w:spacing w:line="480" w:lineRule="auto"/>
        <w:ind w:firstLine="720"/>
      </w:pPr>
      <w:r>
        <w:t xml:space="preserve">The theoretical glue that would join them already exists. Ostrom’s design principles are a general, portable account of what makes decentralized resource governance durable, and they have been applied across dozens of terrestrial commons</w:t>
      </w:r>
      <w:r>
        <w:t xml:space="preserve"> </w:t>
      </w:r>
      <w:hyperlink w:anchor="ref-12">
        <w:r>
          <w:rPr>
            <w:rStyle w:val="Hyperlink"/>
          </w:rPr>
          <w:t xml:space="preserve">[12]</w:t>
        </w:r>
      </w:hyperlink>
      <w:r>
        <w:t xml:space="preserve">. Broader space-governance scholarship has begun to reach for exactly this kind of integrative framing, from planetary-boundaries thinking that treats Earth and orbit as one system to governance-by-acknowledgment accounts of the NewSpace era and legal analyses of liability for autonomous systems in orbit</w:t>
      </w:r>
      <w:r>
        <w:t xml:space="preserve"> </w:t>
      </w:r>
      <w:hyperlink w:anchor="ref-23">
        <w:r>
          <w:rPr>
            <w:rStyle w:val="Hyperlink"/>
          </w:rPr>
          <w:t xml:space="preserve">[23]</w:t>
        </w:r>
      </w:hyperlink>
      <w:r>
        <w:t xml:space="preserve"> </w:t>
      </w:r>
      <w:hyperlink w:anchor="ref-28">
        <w:r>
          <w:rPr>
            <w:rStyle w:val="Hyperlink"/>
          </w:rPr>
          <w:t xml:space="preserve">[28]</w:t>
        </w:r>
      </w:hyperlink>
      <w:r>
        <w:t xml:space="preserve"> </w:t>
      </w:r>
      <w:hyperlink w:anchor="ref-21">
        <w:r>
          <w:rPr>
            <w:rStyle w:val="Hyperlink"/>
          </w:rPr>
          <w:t xml:space="preserve">[21]</w:t>
        </w:r>
      </w:hyperlink>
      <w:r>
        <w:t xml:space="preserve">. What has been missing is a study that codes the specific voluntary instruments now shaping operator behavior for Ostrom’s features and then asks whether those features leave a physical signature. This dissertation occupies that junction. It borrows the analogists’ theory, the awareness community’s insistence on observability, the modelers’ physical outcome, and the rating community’s real instruments, and it binds them into a single falsifiable operator-level test. The chapters that follow build that binding piece by piece, beginning with the translation of Ostrom’s principles into orbital form.</w:t>
      </w:r>
    </w:p>
    <w:bookmarkEnd w:id="81"/>
    <w:bookmarkEnd w:id="82"/>
    <w:bookmarkStart w:id="93" w:name="X883d19a640310a8152e7fd8b188d0a44278cd95"/>
    <w:p>
      <w:pPr>
        <w:pStyle w:val="Heading1"/>
        <w:spacing w:line="480" w:lineRule="auto"/>
      </w:pPr>
      <w:r>
        <w:t xml:space="preserve">Theory and Hypotheses: Ostrom’s Design Principles in Orbit</w:t>
      </w:r>
    </w:p>
    <w:p>
      <w:pPr>
        <w:pStyle w:val="FirstParagraph"/>
        <w:spacing w:line="480" w:lineRule="auto"/>
      </w:pPr>
      <w:r>
        <w:t xml:space="preserve">A theory earns its keep. It does so by generating predictions that could fail. This chapter builds the theoretical spine of the dissertation by translating Elinor Ostrom’s eight design principles for durable common-pool-resource governance into the specific setting of low-Earth orbit, deriving from that translation the mechanism by which better-designed voluntary commitments should reduce debris production, and stating the predictions that the empirical core will test. The argument is not that orbit is exactly like a fishery. It is that orbit shares the structural features Ostrom identified as decisive, and that her diagnostic for when decentralized governance succeeds or fails should therefore carry information about orbital outcomes.</w:t>
      </w:r>
    </w:p>
    <w:bookmarkStart w:id="83" w:name="why-orbit-is-a-common-pool-resource"/>
    <w:p>
      <w:pPr>
        <w:pStyle w:val="Heading2"/>
        <w:spacing w:line="480" w:lineRule="auto"/>
      </w:pPr>
      <w:r>
        <w:t xml:space="preserve">Why orbit is a common-pool resource</w:t>
      </w:r>
    </w:p>
    <w:p>
      <w:pPr>
        <w:pStyle w:val="FirstParagraph"/>
        <w:spacing w:line="480" w:lineRule="auto"/>
      </w:pPr>
      <w:r>
        <w:t xml:space="preserve">Two properties define a common-pool resource. They are subtractability and difficulty of exclusion. A resource is subtractable when one user’s consumption reduces what remains for others. It is non-excludable when keeping users out is costly or impossible. Orbit satisfies both. Usable orbital volume in a given shell is finite, and every mission that adds persistent objects raises the collision hazard and effectively subtracts safe capacity from everyone else. Source-sink modeling makes this precise, showing that debris accumulates as a stock whose future depends on present sources and slow sinks</w:t>
      </w:r>
      <w:r>
        <w:t xml:space="preserve"> </w:t>
      </w:r>
      <w:hyperlink w:anchor="ref-4">
        <w:r>
          <w:rPr>
            <w:rStyle w:val="Hyperlink"/>
          </w:rPr>
          <w:t xml:space="preserve">[4]</w:t>
        </w:r>
      </w:hyperlink>
      <w:r>
        <w:t xml:space="preserve">. Exclusion is weak because no authority controls access to orbit as a whole; national licensing reaches only operators seeking a particular market, and the physical shell is shared regardless of who licensed whom.</w:t>
      </w:r>
    </w:p>
    <w:p>
      <w:pPr>
        <w:pStyle w:val="BodyText"/>
        <w:spacing w:line="480" w:lineRule="auto"/>
        <w:ind w:firstLine="720"/>
      </w:pPr>
      <w:r>
        <w:t xml:space="preserve">Ostrom’s insight was that resources with this structure are not doomed to the tragedy of overuse, nor do they require a central Leviathan to escape it</w:t>
      </w:r>
      <w:r>
        <w:t xml:space="preserve"> </w:t>
      </w:r>
      <w:hyperlink w:anchor="ref-12">
        <w:r>
          <w:rPr>
            <w:rStyle w:val="Hyperlink"/>
          </w:rPr>
          <w:t xml:space="preserve">[12]</w:t>
        </w:r>
      </w:hyperlink>
      <w:r>
        <w:t xml:space="preserve">. Communities have governed such resources durably for centuries through self-organized institutions. The variable that separates success from collapse is institutional design. That claim is what makes her framework testable in orbit: if design predicts durability on Earth, and orbit is structurally a commons, then design should carry information about orbital outcomes too.</w:t>
      </w:r>
    </w:p>
    <w:bookmarkEnd w:id="83"/>
    <w:bookmarkStart w:id="84" w:name="translating-the-eight-principles"/>
    <w:p>
      <w:pPr>
        <w:pStyle w:val="Heading2"/>
        <w:spacing w:line="480" w:lineRule="auto"/>
      </w:pPr>
      <w:r>
        <w:t xml:space="preserve">Translating the eight principles</w:t>
      </w:r>
    </w:p>
    <w:p>
      <w:pPr>
        <w:pStyle w:val="FirstParagraph"/>
        <w:spacing w:line="480" w:lineRule="auto"/>
      </w:pPr>
      <w:r>
        <w:t xml:space="preserve">Ostrom’s principles were induced from terrestrial cases, so each needs a faithful orbital reading rather than a mechanical transfer.</w:t>
      </w:r>
    </w:p>
    <w:p>
      <w:pPr>
        <w:pStyle w:val="BodyText"/>
        <w:spacing w:line="480" w:lineRule="auto"/>
        <w:ind w:firstLine="720"/>
      </w:pPr>
      <w:r>
        <w:t xml:space="preserve">Clearly defined boundaries become clarity about which objects, missions, actors, and orbital regions a commitment governs. A commitment that specifies its shells, its spacecraft, and its responsible operator draws a boundary; one that gestures at sustainability in general does not. Observability technologies like ELROI serve this principle directly by making the boundary between one operator’s objects and another’s physically legible</w:t>
      </w:r>
      <w:r>
        <w:t xml:space="preserve"> </w:t>
      </w:r>
      <w:hyperlink w:anchor="ref-3">
        <w:r>
          <w:rPr>
            <w:rStyle w:val="Hyperlink"/>
          </w:rPr>
          <w:t xml:space="preserve">[3]</w:t>
        </w:r>
      </w:hyperlink>
      <w:r>
        <w:t xml:space="preserve">.</w:t>
      </w:r>
    </w:p>
    <w:p>
      <w:pPr>
        <w:pStyle w:val="BodyText"/>
        <w:spacing w:line="480" w:lineRule="auto"/>
        <w:ind w:firstLine="720"/>
      </w:pPr>
      <w:r>
        <w:t xml:space="preserve">Proportional equivalence between benefits and costs becomes a link between the operational benefit an operator extracts and the mitigation burden it accepts. The Space Sustainability Rating embodies this principle through scoring weights that differentiate operators by the lifecycle burdens they shoulder</w:t>
      </w:r>
      <w:r>
        <w:t xml:space="preserve"> </w:t>
      </w:r>
      <w:hyperlink w:anchor="ref-5">
        <w:r>
          <w:rPr>
            <w:rStyle w:val="Hyperlink"/>
          </w:rPr>
          <w:t xml:space="preserve">[5]</w:t>
        </w:r>
      </w:hyperlink>
      <w:r>
        <w:t xml:space="preserve">. An operator that gains from a dense constellation but accepts weak disposal obligations violates proportionality; a scoring rule that ties standing to burden restores it.</w:t>
      </w:r>
    </w:p>
    <w:p>
      <w:pPr>
        <w:pStyle w:val="BodyText"/>
        <w:spacing w:line="480" w:lineRule="auto"/>
        <w:ind w:firstLine="720"/>
      </w:pPr>
      <w:r>
        <w:t xml:space="preserve">Collective-choice arrangements become participation by the operators a rule binds in the specification of that rule. Consortium designs, stakeholder categories, and cross-actor rule formation instantiate this principle. Outreach architectures for traffic management that organize primary, secondary, and tertiary stakeholders into deliberate channels are collective-choice machinery in operational dress</w:t>
      </w:r>
      <w:r>
        <w:t xml:space="preserve"> </w:t>
      </w:r>
      <w:hyperlink w:anchor="ref-6">
        <w:r>
          <w:rPr>
            <w:rStyle w:val="Hyperlink"/>
          </w:rPr>
          <w:t xml:space="preserve">[6]</w:t>
        </w:r>
      </w:hyperlink>
      <w:r>
        <w:t xml:space="preserve">.</w:t>
      </w:r>
    </w:p>
    <w:p>
      <w:pPr>
        <w:pStyle w:val="BodyText"/>
        <w:spacing w:line="480" w:lineRule="auto"/>
        <w:ind w:firstLine="720"/>
      </w:pPr>
      <w:r>
        <w:t xml:space="preserve">Monitoring becomes observation, situational-awareness data, verification, tracking, and modeling. This principle has the deepest technical literature behind it, from decentralized observing networks to independent validation of operator-provided inputs</w:t>
      </w:r>
      <w:r>
        <w:t xml:space="preserve"> </w:t>
      </w:r>
      <w:hyperlink w:anchor="ref-2">
        <w:r>
          <w:rPr>
            <w:rStyle w:val="Hyperlink"/>
          </w:rPr>
          <w:t xml:space="preserve">[2]</w:t>
        </w:r>
      </w:hyperlink>
      <w:r>
        <w:t xml:space="preserve"> </w:t>
      </w:r>
      <w:hyperlink w:anchor="ref-8">
        <w:r>
          <w:rPr>
            <w:rStyle w:val="Hyperlink"/>
          </w:rPr>
          <w:t xml:space="preserve">[8]</w:t>
        </w:r>
      </w:hyperlink>
      <w:r>
        <w:t xml:space="preserve">. Monitoring is also the principle most often present in the corpus, because the space community has invested heavily in seeing.</w:t>
      </w:r>
    </w:p>
    <w:p>
      <w:pPr>
        <w:pStyle w:val="BodyText"/>
        <w:spacing w:line="480" w:lineRule="auto"/>
        <w:ind w:firstLine="720"/>
      </w:pPr>
      <w:r>
        <w:t xml:space="preserve">Graduated sanctions become accountability: verification tied to consequences, compliance evidence, and accountable reporting. This is the principle the voluntary landscape most often lacks, because a voluntary scheme rarely holds the authority to sanction. Trusted-coordination work that insists on attributed data with pedigree and provenance is building the evidentiary base that accountability would require, even where the sanction itself is absent</w:t>
      </w:r>
      <w:r>
        <w:t xml:space="preserve"> </w:t>
      </w:r>
      <w:hyperlink w:anchor="ref-11">
        <w:r>
          <w:rPr>
            <w:rStyle w:val="Hyperlink"/>
          </w:rPr>
          <w:t xml:space="preserve">[11]</w:t>
        </w:r>
      </w:hyperlink>
      <w:r>
        <w:t xml:space="preserve">.</w:t>
      </w:r>
    </w:p>
    <w:p>
      <w:pPr>
        <w:pStyle w:val="BodyText"/>
        <w:spacing w:line="480" w:lineRule="auto"/>
        <w:ind w:firstLine="720"/>
      </w:pPr>
      <w:r>
        <w:t xml:space="preserve">Conflict-resolution mechanisms become explicit dispute channels. This principle is nearly absent across the voluntary corpus, a gap the empirical coding will confirm. No widely adopted voluntary instrument yet supplies an accessible arena for resolving disputes between operators over debris responsibility.</w:t>
      </w:r>
    </w:p>
    <w:p>
      <w:pPr>
        <w:pStyle w:val="BodyText"/>
        <w:spacing w:line="480" w:lineRule="auto"/>
        <w:ind w:firstLine="720"/>
      </w:pPr>
      <w:r>
        <w:t xml:space="preserve">Recognition of rights to organize becomes acknowledgment that operators may self-synchronize and coordinate voluntarily without external permission. Decentralized data-sharing consortia and self-organizing coordination among operators express this principle</w:t>
      </w:r>
      <w:r>
        <w:t xml:space="preserve"> </w:t>
      </w:r>
      <w:hyperlink w:anchor="ref-2">
        <w:r>
          <w:rPr>
            <w:rStyle w:val="Hyperlink"/>
          </w:rPr>
          <w:t xml:space="preserve">[2]</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Nested enterprises become multi-level nesting: linking a voluntary commitment to international registries, national licensing, and lifecycle governance layers. A commitment embedded in registry practice and standards adoption is nested; a standalone press release is not. Composite instruments like the rating, which reference broader standards and lifecycle phases, are the corpus’s clearest examples of nesting</w:t>
      </w:r>
      <w:r>
        <w:t xml:space="preserve"> </w:t>
      </w:r>
      <w:hyperlink w:anchor="ref-5">
        <w:r>
          <w:rPr>
            <w:rStyle w:val="Hyperlink"/>
          </w:rPr>
          <w:t xml:space="preserve">[5]</w:t>
        </w:r>
      </w:hyperlink>
      <w:r>
        <w:t xml:space="preserve">.</w:t>
      </w:r>
    </w:p>
    <w:bookmarkEnd w:id="84"/>
    <w:bookmarkStart w:id="85" w:name="the-mechanism"/>
    <w:p>
      <w:pPr>
        <w:pStyle w:val="Heading2"/>
        <w:spacing w:line="480" w:lineRule="auto"/>
      </w:pPr>
      <w:r>
        <w:t xml:space="preserve">The mechanism</w:t>
      </w:r>
    </w:p>
    <w:p>
      <w:pPr>
        <w:pStyle w:val="FirstParagraph"/>
        <w:spacing w:line="480" w:lineRule="auto"/>
      </w:pPr>
      <w:r>
        <w:t xml:space="preserve">The mechanism is behavioral. The causal story that connects design to outcome runs through operator behavior under observability and accountability. A well-designed commitment does three things a poorly designed one does not. It defines what the operator is responsible for, so the operator cannot later disclaim a fragment as someone else’s. It ties the operator’s standing or reputation to lifecycle burdens through proportional weighting, so cutting corners on disposal carries a cost the operator internalizes. And it embeds the commitment in monitoring and nested governance, so the promise is checkable by third parties rather than self-reported into a vacuum. Each of these features raises the private cost of producing debris and lowers the cost to others of detecting it. The prediction follows directly: as the design-principles score rises, the operator faces a steeper internal price on careless behavior and a higher probability of attribution, and debris production per active spacecraft-year should fall.</w:t>
      </w:r>
    </w:p>
    <w:p>
      <w:pPr>
        <w:pStyle w:val="BodyText"/>
        <w:spacing w:line="480" w:lineRule="auto"/>
        <w:ind w:firstLine="720"/>
      </w:pPr>
      <w:r>
        <w:t xml:space="preserve">The mechanism is behavioral, not mechanical. It does not claim that a document physically deflects fragments. It claims that a commitment carrying more of Ostrom’s features changes the incentive environment the operator faces before and during the mission, and that this changed environment shifts the choices, disposal timelines, propulsion provisioning, coordination practices, that determine how much persistent debris a mission leaves. That is why the treatment is coded from pre-launch documents and the outcome is measured after launch. The temporal ordering is the mechanism’s fingerprint.</w:t>
      </w:r>
    </w:p>
    <w:bookmarkEnd w:id="85"/>
    <w:bookmarkStart w:id="86" w:name="hypotheses"/>
    <w:p>
      <w:pPr>
        <w:pStyle w:val="Heading2"/>
        <w:spacing w:line="480" w:lineRule="auto"/>
      </w:pPr>
      <w:r>
        <w:t xml:space="preserve">Hypotheses</w:t>
      </w:r>
    </w:p>
    <w:p>
      <w:pPr>
        <w:pStyle w:val="FirstParagraph"/>
        <w:spacing w:line="480" w:lineRule="auto"/>
      </w:pPr>
      <w:r>
        <w:t xml:space="preserve">The dissertation’s primary hypothesis is a single directional prediction about a coefficient in a preregistered model. The null holds that, conditional on operator fixed effects, orbit-shell-by-year fixed effects, launch-year effects, and the full set of mission controls, the coefficient on the pre-launch Ostrom design-principles score is greater than or equal to zero for cataloged debris objects per active spacecraft-year within thirty-six months of launch. The alternative holds that the coefficient is negative. A negative coefficient means better-designed commitments predict fewer debris objects; a zero coefficient means design is expressive rather than behavioral.</w:t>
      </w:r>
    </w:p>
    <w:p>
      <w:pPr>
        <w:pStyle w:val="BodyText"/>
        <w:spacing w:line="480" w:lineRule="auto"/>
        <w:ind w:firstLine="720"/>
      </w:pPr>
      <w:r>
        <w:t xml:space="preserve">Two auxiliary propositions structure the completed empirical work and connect to the primary test. The first concerns the internal architecture of a leading voluntary instrument. If proportionality operates as theorized, a module’s formal weight in the rating should track the breadth of lifecycle burden it carries, so that scoring weight concentrates where environmental consequence concentrates rather than spreading evenly across every promise</w:t>
      </w:r>
      <w:r>
        <w:t xml:space="preserve"> </w:t>
      </w:r>
      <w:hyperlink w:anchor="ref-5">
        <w:r>
          <w:rPr>
            <w:rStyle w:val="Hyperlink"/>
          </w:rPr>
          <w:t xml:space="preserve">[5]</w:t>
        </w:r>
      </w:hyperlink>
      <w:r>
        <w:t xml:space="preserve">. The second concerns the field’s evolution. If the design principles were accumulating cumulatively over time, later governance instruments should score higher on the eight proxies than earlier ones; if instead the field is specializing, the correlation between publication order and design completeness should be weak</w:t>
      </w:r>
      <w:r>
        <w:t xml:space="preserve"> </w:t>
      </w:r>
      <w:hyperlink w:anchor="ref-12">
        <w:r>
          <w:rPr>
            <w:rStyle w:val="Hyperlink"/>
          </w:rPr>
          <w:t xml:space="preserve">[12]</w:t>
        </w:r>
      </w:hyperlink>
      <w:r>
        <w:t xml:space="preserve">. These auxiliary propositions do not test debris outcomes. They test whether the design-principles construct behaves as a coherent, measurable feature of real instruments, which is the precondition for the primary hypothesis to be meaningful at all.</w:t>
      </w:r>
    </w:p>
    <w:bookmarkEnd w:id="86"/>
    <w:bookmarkStart w:id="87" w:name="X1fb1f60b0854b6bd25f222355de08be04451d85"/>
    <w:p>
      <w:pPr>
        <w:pStyle w:val="Heading2"/>
        <w:spacing w:line="480" w:lineRule="auto"/>
      </w:pPr>
      <w:r>
        <w:t xml:space="preserve">Two failure modes the principles guard against</w:t>
      </w:r>
    </w:p>
    <w:p>
      <w:pPr>
        <w:pStyle w:val="FirstParagraph"/>
        <w:spacing w:line="480" w:lineRule="auto"/>
      </w:pPr>
      <w:r>
        <w:t xml:space="preserve">Ostrom’s framework is most useful when read as a diagnosis of specific failure modes rather than as a checklist of virtues. Two failure modes dominate the orbital commons, and each maps onto principles the score measures. The first is the free-rider mode, in which an operator captures the private benefit of a dense mission while shedding the mitigation burden onto others. Proportionality and graduated accountability are the principles that guard against it: proportionality ties an operator’s standing to its burden, and accountability attaches consequence to shirking</w:t>
      </w:r>
      <w:r>
        <w:t xml:space="preserve"> </w:t>
      </w:r>
      <w:hyperlink w:anchor="ref-5">
        <w:r>
          <w:rPr>
            <w:rStyle w:val="Hyperlink"/>
          </w:rPr>
          <w:t xml:space="preserve">[5]</w:t>
        </w:r>
      </w:hyperlink>
      <w:r>
        <w:t xml:space="preserve">. A commitment that scores high on these principles raises the private cost of free-riding, which is the behavioral channel the mechanism relies on.</w:t>
      </w:r>
    </w:p>
    <w:p>
      <w:pPr>
        <w:pStyle w:val="BodyText"/>
        <w:spacing w:line="480" w:lineRule="auto"/>
        <w:ind w:firstLine="720"/>
      </w:pPr>
      <w:r>
        <w:t xml:space="preserve">The second failure mode is the attribution-fog mode, in which responsibility cannot be assigned because no one can tell whose object caused what. Boundaries and monitoring are the guarding principles: clear boundaries make objects identifiable, and monitoring makes behavior observable</w:t>
      </w:r>
      <w:r>
        <w:t xml:space="preserve"> </w:t>
      </w:r>
      <w:hyperlink w:anchor="ref-3">
        <w:r>
          <w:rPr>
            <w:rStyle w:val="Hyperlink"/>
          </w:rPr>
          <w:t xml:space="preserve">[3]</w:t>
        </w:r>
      </w:hyperlink>
      <w:r>
        <w:t xml:space="preserve"> </w:t>
      </w:r>
      <w:hyperlink w:anchor="ref-2">
        <w:r>
          <w:rPr>
            <w:rStyle w:val="Hyperlink"/>
          </w:rPr>
          <w:t xml:space="preserve">[2]</w:t>
        </w:r>
      </w:hyperlink>
      <w:r>
        <w:t xml:space="preserve">. Attribution fog is insidious because it defeats accountability upstream; a sanction cannot be graduated against an operator that cannot be identified. The space community’s heavy investment in identification and situational awareness is, read through this diagnosis, an investment in dissolving attribution fog so that the other principles can operate at all</w:t>
      </w:r>
      <w:r>
        <w:t xml:space="preserve"> </w:t>
      </w:r>
      <w:hyperlink w:anchor="ref-8">
        <w:r>
          <w:rPr>
            <w:rStyle w:val="Hyperlink"/>
          </w:rPr>
          <w:t xml:space="preserve">[8]</w:t>
        </w:r>
      </w:hyperlink>
      <w:r>
        <w:t xml:space="preserve">. The design-principles score captures both failure modes at once, because it counts the principles that guard against each.</w:t>
      </w:r>
    </w:p>
    <w:bookmarkEnd w:id="87"/>
    <w:bookmarkStart w:id="88" w:name="Xd4695c599f8372495e6e7f12ab3431f99e483e6"/>
    <w:p>
      <w:pPr>
        <w:pStyle w:val="Heading2"/>
        <w:spacing w:line="480" w:lineRule="auto"/>
      </w:pPr>
      <w:r>
        <w:t xml:space="preserve">The temporal logic that makes the treatment coherent</w:t>
      </w:r>
    </w:p>
    <w:p>
      <w:pPr>
        <w:pStyle w:val="FirstParagraph"/>
        <w:spacing w:line="480" w:lineRule="auto"/>
      </w:pPr>
      <w:r>
        <w:t xml:space="preserve">A theory that connects institutions to outcomes must specify when the institution acts relative to when the outcome occurs, and the mechanism here is explicit about timing. The commitment is coded from documents that predate the launch, and the outcome is measured in the thirty-six months after it. This ordering is not a convenience of data availability; it is the mechanism’s logical requirement. A commitment can only shape the choices, disposal provisioning, propulsion sizing, coordination arrangements, that occur during mission planning and operation if it exists before those choices are locked in. A commitment published after a mission has flown cannot have altered the mission’s design, and coding it would confuse a description of behavior with a cause of it.</w:t>
      </w:r>
    </w:p>
    <w:p>
      <w:pPr>
        <w:pStyle w:val="BodyText"/>
        <w:spacing w:line="480" w:lineRule="auto"/>
        <w:ind w:firstLine="720"/>
      </w:pPr>
      <w:r>
        <w:t xml:space="preserve">The temporal logic also disciplines the interpretation of any observed association. If higher pre-launch scores predict lower subsequent debris, the ordering makes a reverse-causation story, in which clean outcomes cause good commitments, far harder to tell, because the commitment is fixed before the outcome is realized. The placebo diagnostic the methodology chapter specifies operationalizes this logic directly: a commitment should not predict debris that occurred before the commitment was made, and finding such a spurious pre-commitment association would signal that timing is not doing the work the mechanism assumes. The theory thus generates not only a sign prediction but a temporal prediction, and the temporal prediction is what separates a behavioral mechanism from a mere correlation between two operator traits.</w:t>
      </w:r>
    </w:p>
    <w:bookmarkEnd w:id="88"/>
    <w:bookmarkStart w:id="89" w:name="Xcf905053275a872b213a130f3023b0685e51034"/>
    <w:p>
      <w:pPr>
        <w:pStyle w:val="Heading2"/>
        <w:spacing w:line="480" w:lineRule="auto"/>
      </w:pPr>
      <w:r>
        <w:t xml:space="preserve">The mechanism under polycentric governance</w:t>
      </w:r>
    </w:p>
    <w:p>
      <w:pPr>
        <w:pStyle w:val="FirstParagraph"/>
        <w:spacing w:line="480" w:lineRule="auto"/>
      </w:pPr>
      <w:r>
        <w:t xml:space="preserve">Orbit is not governed by a single institution but by many overlapping ones: national licensing regimes, technical coordination bodies, voluntary ratings, and informal operator networks. Ostrom’s later work emphasized that polycentric arrangements, multiple governing units operating at different scales, can outperform monocentric ones when the units are nested and mutually reinforcing</w:t>
      </w:r>
      <w:r>
        <w:t xml:space="preserve"> </w:t>
      </w:r>
      <w:hyperlink w:anchor="ref-12">
        <w:r>
          <w:rPr>
            <w:rStyle w:val="Hyperlink"/>
          </w:rPr>
          <w:t xml:space="preserve">[12]</w:t>
        </w:r>
      </w:hyperlink>
      <w:r>
        <w:t xml:space="preserve">. The nesting principle carries special weight in this setting because a voluntary commitment does not operate in isolation; its force depends on how it connects to the licensing floor beneath it and the international registry practice around it. A commitment that nests well borrows credibility and enforcement from the layers it connects to, while a standalone commitment floats free of any mechanism that could give it teeth.</w:t>
      </w:r>
    </w:p>
    <w:p>
      <w:pPr>
        <w:pStyle w:val="BodyText"/>
        <w:spacing w:line="480" w:lineRule="auto"/>
        <w:ind w:firstLine="720"/>
      </w:pPr>
      <w:r>
        <w:t xml:space="preserve">This polycentric reading refines the mechanism. A well-designed commitment lowers debris production not only by changing the operator’s internal incentives but by binding the operator into a web of overlapping observers and coordinators who can detect and respond to deviation</w:t>
      </w:r>
      <w:r>
        <w:t xml:space="preserve"> </w:t>
      </w:r>
      <w:hyperlink w:anchor="ref-2">
        <w:r>
          <w:rPr>
            <w:rStyle w:val="Hyperlink"/>
          </w:rPr>
          <w:t xml:space="preserve">[2]</w:t>
        </w:r>
      </w:hyperlink>
      <w:r>
        <w:t xml:space="preserve"> </w:t>
      </w:r>
      <w:hyperlink w:anchor="ref-11">
        <w:r>
          <w:rPr>
            <w:rStyle w:val="Hyperlink"/>
          </w:rPr>
          <w:t xml:space="preserve">[11]</w:t>
        </w:r>
      </w:hyperlink>
      <w:r>
        <w:t xml:space="preserve">. The behavioral price on carelessness rises with the number of independent parties who can see it, which is why monitoring and nesting reinforce each other. An operator watched by one self-report faces little pressure; an operator watched by a decentralized network embedded in registry practice faces a great deal.</w:t>
      </w:r>
    </w:p>
    <w:bookmarkEnd w:id="89"/>
    <w:bookmarkStart w:id="90" w:name="X5f8c029eed8342eda8afdb02260a92a18dcec26"/>
    <w:p>
      <w:pPr>
        <w:pStyle w:val="Heading2"/>
        <w:spacing w:line="480" w:lineRule="auto"/>
      </w:pPr>
      <w:r>
        <w:t xml:space="preserve">Why eight binary proxies rather than a graded index</w:t>
      </w:r>
    </w:p>
    <w:p>
      <w:pPr>
        <w:pStyle w:val="FirstParagraph"/>
        <w:spacing w:line="480" w:lineRule="auto"/>
      </w:pPr>
      <w:r>
        <w:t xml:space="preserve">The theory could be operationalized many ways, and the choice of eight binary proxies summed into a count is a deliberate one with consequences worth defending. A graded index that scored each principle on a fine scale would promise more precision but deliver less reliability, because the finer the scale, the more room two coders have to disagree about where on it a given commitment falls. A binary proxy asks a coarser, more answerable question: does the commitment supply documentable content for this principle or not. Summing eight such answers yields a score from zero to eight that is transparent, reconstructable, and robust to the interpretive drift that finer scales invite. The completeness study’s workbook shows the payoff, since every source’s score decomposes into eight visible codes a second reader can audit</w:t>
      </w:r>
      <w:r>
        <w:t xml:space="preserve"> </w:t>
      </w:r>
      <w:hyperlink w:anchor="ref-12">
        <w:r>
          <w:rPr>
            <w:rStyle w:val="Hyperlink"/>
          </w:rPr>
          <w:t xml:space="preserve">[12]</w:t>
        </w:r>
      </w:hyperlink>
      <w:r>
        <w:t xml:space="preserve">.</w:t>
      </w:r>
    </w:p>
    <w:p>
      <w:pPr>
        <w:pStyle w:val="BodyText"/>
        <w:spacing w:line="480" w:lineRule="auto"/>
        <w:ind w:firstLine="720"/>
      </w:pPr>
      <w:r>
        <w:t xml:space="preserve">The binary-count choice also reflects a theoretical commitment about how the principles combine. Ostrom did not argue that a small amount of many principles substitutes for a large amount of one; she argued that durable governance tends to exhibit the presence of the principles, with their absence predicting failure</w:t>
      </w:r>
      <w:r>
        <w:t xml:space="preserve"> </w:t>
      </w:r>
      <w:hyperlink w:anchor="ref-12">
        <w:r>
          <w:rPr>
            <w:rStyle w:val="Hyperlink"/>
          </w:rPr>
          <w:t xml:space="preserve">[12]</w:t>
        </w:r>
      </w:hyperlink>
      <w:r>
        <w:t xml:space="preserve">. A count of present principles therefore matches the theory’s own logic better than a weighted composite would, because it treats each principle as a threshold feature that a commitment either clears or does not. The cost is that the count cannot distinguish a barely-present principle from a richly-developed one, a limitation the discussion chapter takes up, but the benefit is a measure whose meaning is stable across coders and whose provenance is fully visible.</w:t>
      </w:r>
    </w:p>
    <w:bookmarkEnd w:id="90"/>
    <w:bookmarkStart w:id="91" w:name="boundary-conditions-on-the-prediction"/>
    <w:p>
      <w:pPr>
        <w:pStyle w:val="Heading2"/>
        <w:spacing w:line="480" w:lineRule="auto"/>
      </w:pPr>
      <w:r>
        <w:t xml:space="preserve">Boundary conditions on the prediction</w:t>
      </w:r>
    </w:p>
    <w:p>
      <w:pPr>
        <w:pStyle w:val="FirstParagraph"/>
        <w:spacing w:line="480" w:lineRule="auto"/>
      </w:pPr>
      <w:r>
        <w:t xml:space="preserve">The prediction that higher design scores yield lower debris rates holds under stated boundary conditions, and naming them is part of the theory rather than an afterthought. The mechanism requires that operators have discretion over debris-relevant behavior; where hardware failure rather than choice drives debris, no commitment can help, and the prediction weakens. It requires that the commitment predate the behavior it is meant to shape, which is why the treatment is coded from pre-launch documents; a commitment made after the fact cannot have altered the choices that produced the outcome. And it requires that observability be sufficient for attribution, because a commitment whose violations cannot be detected imposes no real price on violation</w:t>
      </w:r>
      <w:r>
        <w:t xml:space="preserve"> </w:t>
      </w:r>
      <w:hyperlink w:anchor="ref-3">
        <w:r>
          <w:rPr>
            <w:rStyle w:val="Hyperlink"/>
          </w:rPr>
          <w:t xml:space="preserve">[3]</w:t>
        </w:r>
      </w:hyperlink>
      <w:r>
        <w:t xml:space="preserve">. Where these conditions fail, the theory predicts a null, and a null under those conditions would not falsify the mechanism so much as confirm its scope.</w:t>
      </w:r>
    </w:p>
    <w:bookmarkEnd w:id="91"/>
    <w:bookmarkStart w:id="92" w:name="what-would-falsify-the-theory"/>
    <w:p>
      <w:pPr>
        <w:pStyle w:val="Heading2"/>
        <w:spacing w:line="480" w:lineRule="auto"/>
      </w:pPr>
      <w:r>
        <w:t xml:space="preserve">What would falsify the theory</w:t>
      </w:r>
    </w:p>
    <w:p>
      <w:pPr>
        <w:pStyle w:val="FirstParagraph"/>
        <w:spacing w:line="480" w:lineRule="auto"/>
      </w:pPr>
      <w:r>
        <w:t xml:space="preserve">Falsifiability is not a single hurdle but a structured set of them, and the theory is designed so that different outcomes wound it in different, diagnosable ways rather than leaving it endlessly adjustable. A theory that could accommodate any result would explain nothing, so the value of the framework lies precisely in the results it forbids. It forbids a positive debris coefficient under the mechanism, because better design is supposed to lower debris, not raise it. It forbids an even spread of rating weight across modules, because proportionality predicts weight should track burden</w:t>
      </w:r>
      <w:r>
        <w:t xml:space="preserve"> </w:t>
      </w:r>
      <w:hyperlink w:anchor="ref-5">
        <w:r>
          <w:rPr>
            <w:rStyle w:val="Hyperlink"/>
          </w:rPr>
          <w:t xml:space="preserve">[5]</w:t>
        </w:r>
      </w:hyperlink>
      <w:r>
        <w:t xml:space="preserve">. It forbids strong cumulative accumulation of design completeness over time, because the portfolio reading predicts specialization rather than a ladder</w:t>
      </w:r>
      <w:r>
        <w:t xml:space="preserve"> </w:t>
      </w:r>
      <w:hyperlink w:anchor="ref-12">
        <w:r>
          <w:rPr>
            <w:rStyle w:val="Hyperlink"/>
          </w:rPr>
          <w:t xml:space="preserve">[12]</w:t>
        </w:r>
      </w:hyperlink>
      <w:r>
        <w:t xml:space="preserve">. Each forbidden outcome is a specific empirical shape, and observing any of them would force a specific revision rather than a vague retreat.</w:t>
      </w:r>
    </w:p>
    <w:p>
      <w:pPr>
        <w:pStyle w:val="BodyText"/>
        <w:spacing w:line="480" w:lineRule="auto"/>
        <w:ind w:firstLine="720"/>
      </w:pPr>
      <w:r>
        <w:t xml:space="preserve">The theory is falsifiable at several levels, and naming the falsifiers is part of taking it seriously. If the primary coefficient is indistinguishable from zero under honest controls and passes no robustness diagnostic, the behavioral mechanism is not operating at a detectable scale, and voluntary design should be treated as expressive. If the proportionality proposition fails, and rating weight bears no relation to lifecycle burden, then a central Ostrom feature is absent from the instrument that most resembles a governance package. If the completeness proposition shows strong cumulative accumulation, then the portfolio reading of the field is wrong and a simpler chronological story would suffice. Each of these outcomes would wound the theory in a specific, diagnosable way. The chapters that follow report what the data actually say, beginning with the methodology that makes the primary test identifiable rather than merely suggestive.</w:t>
      </w:r>
    </w:p>
    <w:bookmarkEnd w:id="92"/>
    <w:bookmarkEnd w:id="93"/>
    <w:bookmarkStart w:id="105" w:name="methodology-and-identification"/>
    <w:p>
      <w:pPr>
        <w:pStyle w:val="Heading1"/>
        <w:spacing w:line="480" w:lineRule="auto"/>
      </w:pPr>
      <w:r>
        <w:t xml:space="preserve">Methodology and Identification</w:t>
      </w:r>
    </w:p>
    <w:p>
      <w:pPr>
        <w:pStyle w:val="FirstParagraph"/>
        <w:spacing w:line="480" w:lineRule="auto"/>
      </w:pPr>
      <w:r>
        <w:t xml:space="preserve">Identification is a discipline. It means ruling out the rival explanations for a correlation. This chapter sets out the estimators the dissertation uses, explains what each one identifies, and defends the assumptions under which the primary within-operator design recovers the effect of commitment quality rather than a confound masquerading as one. Two completed studies operationalize distinct pieces of the argument with distinct estimators, and the full dissertation design specifies a third, larger model for the primary debris test. This chapter treats all three, keeping honest about which claims are descriptive and which aspire to causal identification.</w:t>
      </w:r>
    </w:p>
    <w:bookmarkStart w:id="94" w:name="three-estimators-three-purposes"/>
    <w:p>
      <w:pPr>
        <w:pStyle w:val="Heading2"/>
        <w:spacing w:line="480" w:lineRule="auto"/>
      </w:pPr>
      <w:r>
        <w:t xml:space="preserve">Three estimators, three purposes</w:t>
      </w:r>
    </w:p>
    <w:p>
      <w:pPr>
        <w:pStyle w:val="FirstParagraph"/>
        <w:spacing w:line="480" w:lineRule="auto"/>
      </w:pPr>
      <w:r>
        <w:t xml:space="preserve">The first completed study uses ordinary least squares on the internal architecture of the Space Sustainability Rating</w:t>
      </w:r>
      <w:r>
        <w:t xml:space="preserve"> </w:t>
      </w:r>
      <w:hyperlink w:anchor="ref-5">
        <w:r>
          <w:rPr>
            <w:rStyle w:val="Hyperlink"/>
          </w:rPr>
          <w:t xml:space="preserve">[5]</w:t>
        </w:r>
      </w:hyperlink>
      <w:r>
        <w:t xml:space="preserve">. Its unit of analysis is the scoring module, not the operator, and its purpose is descriptive-institutional: to establish whether the instrument’s formal weighting follows the breadth of lifecycle burden a module carries. The specification is deliberately spare. It regresses a module’s percentage contribution to the tier score on the count of sustainability topics mapped to that module, with robust HC1 standard errors:</w:t>
      </w:r>
    </w:p>
    <w:p>
      <w:pPr>
        <w:pStyle w:val="BodyText"/>
        <w:spacing w:line="480" w:lineRule="auto"/>
        <w:ind w:firstLine="720"/>
      </w:pPr>
      <w:r>
        <w:t xml:space="preserve">TierWeight_i = α + β_1 TopicCount_i + ε_i</w:t>
      </w:r>
    </w:p>
    <w:p>
      <w:pPr>
        <w:pStyle w:val="BodyText"/>
        <w:spacing w:line="480" w:lineRule="auto"/>
        <w:ind w:firstLine="720"/>
      </w:pPr>
      <w:r>
        <w:t xml:space="preserve">The estimator’s job is not to identify a behavioral effect. It is to characterize a published design faithfully, with standard errors that guard against brittle claims from a small population of modules. Because the six modules are the entire current population of the rating rather than a sample drawn from a larger universe, inference is read qualitatively, and the transparency of the coding, every row traceable to a published table, does the work that a large sample would otherwise do.</w:t>
      </w:r>
    </w:p>
    <w:p>
      <w:pPr>
        <w:pStyle w:val="BodyText"/>
        <w:spacing w:line="480" w:lineRule="auto"/>
        <w:ind w:firstLine="720"/>
      </w:pPr>
      <w:r>
        <w:t xml:space="preserve">The second completed study uses a learning-curve specification to ask whether governance design completeness accumulates over time across the field’s instruments</w:t>
      </w:r>
      <w:r>
        <w:t xml:space="preserve"> </w:t>
      </w:r>
      <w:hyperlink w:anchor="ref-12">
        <w:r>
          <w:rPr>
            <w:rStyle w:val="Hyperlink"/>
          </w:rPr>
          <w:t xml:space="preserve">[12]</w:t>
        </w:r>
      </w:hyperlink>
      <w:r>
        <w:t xml:space="preserve">. Its unit is the coded governance document. The dependent variable is a count from zero to eight of Ostrom design-principle proxies observed in the document, and the regressor is the document’s ordinal publication position, both in natural logs:</w:t>
      </w:r>
    </w:p>
    <w:p>
      <w:pPr>
        <w:pStyle w:val="BodyText"/>
        <w:spacing w:line="480" w:lineRule="auto"/>
        <w:ind w:firstLine="720"/>
      </w:pPr>
      <w:r>
        <w:t xml:space="preserve">ln(DesignScore_i) = α + β_1 ln(PublicationOrder_i) + ε_i</w:t>
      </w:r>
    </w:p>
    <w:p>
      <w:pPr>
        <w:pStyle w:val="BodyText"/>
        <w:spacing w:line="480" w:lineRule="auto"/>
        <w:ind w:firstLine="720"/>
      </w:pPr>
      <w:r>
        <w:t xml:space="preserve">The log-log form makes the coefficient a learning elasticity: the percentage change in coded design completeness associated with a one-percent move later in the corpus. A positive, statistically strong elasticity would support a cumulative reading of the field; a weak one would support the portfolio reading the theory prefers. This estimator, like the first, is descriptive of an institutional pattern rather than a claim about physical causation, and the study says so directly.</w:t>
      </w:r>
    </w:p>
    <w:p>
      <w:pPr>
        <w:pStyle w:val="BodyText"/>
        <w:spacing w:line="480" w:lineRule="auto"/>
        <w:ind w:firstLine="720"/>
      </w:pPr>
      <w:r>
        <w:t xml:space="preserve">The third estimator is the primary debris model specified for the full dissertation. It is a fixed-effects count model, estimated as a negative-binomial or Poisson quasi-maximum-likelihood specification with an exposure offset for active spacecraft-years. The outcome is the count of cataloged debris objects attributed to an operator-launch cohort within thirty-six months of launch; the main regressor is the pre-launch Ostrom design-principles score. This is the estimator that carries the falsifiable contribution, and it is the one whose identification demands the most defense.</w:t>
      </w:r>
    </w:p>
    <w:bookmarkEnd w:id="94"/>
    <w:bookmarkStart w:id="95" w:name="Xecb02bc3e8b7f501f0fab743f4da5bad8ff6ff4"/>
    <w:p>
      <w:pPr>
        <w:pStyle w:val="Heading2"/>
        <w:spacing w:line="480" w:lineRule="auto"/>
      </w:pPr>
      <w:r>
        <w:t xml:space="preserve">Why a count model with an exposure offset</w:t>
      </w:r>
    </w:p>
    <w:p>
      <w:pPr>
        <w:pStyle w:val="FirstParagraph"/>
        <w:spacing w:line="480" w:lineRule="auto"/>
      </w:pPr>
      <w:r>
        <w:t xml:space="preserve">The outcome is a count. Debris counts are non-negative integers, often small, and frequently zero. Linear regression handles such outcomes badly, producing negative fitted values and heteroskedasticity that violate its own assumptions. A count model respects the outcome’s support. The exposure offset is what turns a raw count into a rate: by entering log active-spacecraft-years as an offset with a fixed coefficient of one, the model estimates debris objects per spacecraft-year rather than debris objects in total, so a large constellation observed for a long window is not mistaken for a dirty one simply because it had more chances to shed fragments. The choice between Poisson quasi-maximum likelihood and negative binomial turns on overdispersion; the quasi-maximum-likelihood Poisson estimator remains consistent for the conditional mean even when the variance exceeds the mean, while the negative-binomial specification models the overdispersion explicitly and is reported as a robustness check.</w:t>
      </w:r>
    </w:p>
    <w:bookmarkEnd w:id="95"/>
    <w:bookmarkStart w:id="96" w:name="X26d251a94fe7669d509942bde8be76e04da42da"/>
    <w:p>
      <w:pPr>
        <w:pStyle w:val="Heading2"/>
        <w:spacing w:line="480" w:lineRule="auto"/>
      </w:pPr>
      <w:r>
        <w:t xml:space="preserve">The identification problem and the within-operator answer</w:t>
      </w:r>
    </w:p>
    <w:p>
      <w:pPr>
        <w:pStyle w:val="FirstParagraph"/>
        <w:spacing w:line="480" w:lineRule="auto"/>
      </w:pPr>
      <w:r>
        <w:t xml:space="preserve">Selection is the threat. Any cross-sectional comparison of operators faces it. Operators that adopt stronger voluntary commitments may already run better engineering shops, fly more reliable hardware, or launch into cleaner shells. A naive regression of debris on design would then attribute to the commitment what actually belongs to the operator’s underlying competence. The design answers this threat by moving the comparison inside the operator. Operator fixed effects absorb every stable characteristic of a firm: its engineering culture, its risk appetite, its baseline reliability. Identification then comes from within-operator variation, changes in a single operator’s audited commitment quality across its own launch cohorts, compared against contemporaneous operators flying in the same orbit-shell-year environment.</w:t>
      </w:r>
    </w:p>
    <w:p>
      <w:pPr>
        <w:pStyle w:val="BodyText"/>
        <w:spacing w:line="480" w:lineRule="auto"/>
        <w:ind w:firstLine="720"/>
      </w:pPr>
      <w:r>
        <w:t xml:space="preserve">Orbit-shell-by-year fixed effects absorb the second major confound: shocks that hit a shell in a given year, such as a fragmentation event upstream, a change in tracking sensitivity, or a shift in traffic density. Launch-year effects absorb field-wide temporal trends. The remaining mission controls, spacecraft count, mass class, planned altitude and inclination, propulsion status, mission type, launch vehicle family, and censoring indicators, absorb observable heterogeneity across cohorts that is not captured by the fixed effects. What survives all of this conditioning is variation in commitment quality that is plausibly orthogonal to the operator’s fixed traits and to the shell’s contemporaneous environment.</w:t>
      </w:r>
    </w:p>
    <w:bookmarkEnd w:id="96"/>
    <w:bookmarkStart w:id="97" w:name="X4c16c017d77ad14a4599538b39c0ac7d7eb4870"/>
    <w:p>
      <w:pPr>
        <w:pStyle w:val="Heading2"/>
        <w:spacing w:line="480" w:lineRule="auto"/>
      </w:pPr>
      <w:r>
        <w:t xml:space="preserve">The key identifying assumption and how it is probed</w:t>
      </w:r>
    </w:p>
    <w:p>
      <w:pPr>
        <w:pStyle w:val="FirstParagraph"/>
        <w:spacing w:line="480" w:lineRule="auto"/>
      </w:pPr>
      <w:r>
        <w:t xml:space="preserve">The design does not claim to be a natural experiment. It rests on a bounded, testable assumption: after conditioning on fixed effects and observed mission characteristics, changes in a given operator’s audited commitment quality are not systematically timed with unobserved changes in that operator’s debris risk. If an operator quietly improved its hardware in the same cohort that it upgraded its commitment, the assumption fails and the estimate is contaminated. The design confronts this possibility directly rather than assuming it away.</w:t>
      </w:r>
    </w:p>
    <w:p>
      <w:pPr>
        <w:pStyle w:val="BodyText"/>
        <w:spacing w:line="480" w:lineRule="auto"/>
        <w:ind w:firstLine="720"/>
      </w:pPr>
      <w:r>
        <w:t xml:space="preserve">Four diagnostics probe the assumption. Event-study plots trace the outcome around the commitment change, so that a treatment effect appearing only after adoption looks different from a pre-existing trend. Pre-trend tests ask whether treated operators were already diverging before they upgraded their commitments; a significant pre-trend is evidence that timing is endogenous. Placebo outcomes measured before the commitment date should show no effect if the temporal ordering is genuine, because a cause cannot move an outcome that precedes it. Leave-one-operator-out robustness checks confirm that no single firm drives the result. Together these diagnostics convert an untestable claim of exogeneity into a set of falsifiable predictions about what the data should look like if the design is credible.</w:t>
      </w:r>
    </w:p>
    <w:bookmarkEnd w:id="97"/>
    <w:bookmarkStart w:id="98" w:name="Xe6caa32f409a1332e0d9a74c3cb98073967d89b"/>
    <w:p>
      <w:pPr>
        <w:pStyle w:val="Heading2"/>
        <w:spacing w:line="480" w:lineRule="auto"/>
      </w:pPr>
      <w:r>
        <w:t xml:space="preserve">Coding discipline as part of identification</w:t>
      </w:r>
    </w:p>
    <w:p>
      <w:pPr>
        <w:pStyle w:val="FirstParagraph"/>
        <w:spacing w:line="480" w:lineRule="auto"/>
      </w:pPr>
      <w:r>
        <w:t xml:space="preserve">Measurement of the treatment is itself an identification concern, because a treatment coded loosely can smuggle in the very selection the design tries to exclude. The audit is documentary rather than interview-based, so that commitments are read as they were written before launch rather than reinterpreted after outcomes are known. Two independent coders apply a preregistered codebook, and intercoder agreement is reported so that readers can judge how much the score depends on the coder. Coding requires documentable provisions rather than aspirational language: a commitment earns a boundary code for specifying shells and spacecraft, not for praising the goal of clean orbits. This discipline matters because the whole causal claim rests on the score measuring institutional content rather than promotional tone. If vague statements scored as highly as concrete ones, the treatment would be noise, and no fixed-effects design could rescue it.</w:t>
      </w:r>
    </w:p>
    <w:bookmarkEnd w:id="98"/>
    <w:bookmarkStart w:id="99" w:name="X6998a39e619d958bb7f67bac394027bc939372d"/>
    <w:p>
      <w:pPr>
        <w:pStyle w:val="Heading2"/>
        <w:spacing w:line="480" w:lineRule="auto"/>
      </w:pPr>
      <w:r>
        <w:t xml:space="preserve">Why ordinary least squares suits the rating study</w:t>
      </w:r>
    </w:p>
    <w:p>
      <w:pPr>
        <w:pStyle w:val="FirstParagraph"/>
        <w:spacing w:line="480" w:lineRule="auto"/>
      </w:pPr>
      <w:r>
        <w:t xml:space="preserve">The choice of ordinary least squares for the first completed study deserves defense, because a count model or a more elaborate specification might seem more sophisticated. The dependent variable there is a percentage contribution to a tier score, a continuous quantity bounded between zero and one hundred, not a count of events. The six modules are the entire population of the instrument’s scoring architecture, so the analysis describes a known object rather than sampling from an unknown one. Under these conditions a linear model with robust standard errors is the honest instrument: it estimates the average change in formal weight per additional mapped topic without imposing distributional machinery the data cannot support</w:t>
      </w:r>
      <w:r>
        <w:t xml:space="preserve"> </w:t>
      </w:r>
      <w:hyperlink w:anchor="ref-5">
        <w:r>
          <w:rPr>
            <w:rStyle w:val="Hyperlink"/>
          </w:rPr>
          <w:t xml:space="preserve">[5]</w:t>
        </w:r>
      </w:hyperlink>
      <w:r>
        <w:t xml:space="preserve">. Robust HC1 standard errors guard against the heteroskedasticity that a six-observation regression can hide, but they do not manufacture observations, and the study reads its inference qualitatively for exactly that reason.</w:t>
      </w:r>
    </w:p>
    <w:p>
      <w:pPr>
        <w:pStyle w:val="BodyText"/>
        <w:spacing w:line="480" w:lineRule="auto"/>
        <w:ind w:firstLine="720"/>
      </w:pPr>
      <w:r>
        <w:t xml:space="preserve">A richer specification was considered and rejected on principled grounds. Adding simulation indicators, questionnaire indicators, or bonus-point flags would consume degrees of freedom that six observations cannot spare, and the substantive question, whether weight follows topic breadth, is answered by the bivariate relationship. Mission Index is both simulation-based and broad, yet the detectability module is also partly simulation-based while receiving far less weight, which is precisely why topic breadth rather than method of assessment carries the main specification</w:t>
      </w:r>
      <w:r>
        <w:t xml:space="preserve"> </w:t>
      </w:r>
      <w:hyperlink w:anchor="ref-5">
        <w:r>
          <w:rPr>
            <w:rStyle w:val="Hyperlink"/>
          </w:rPr>
          <w:t xml:space="preserve">[5]</w:t>
        </w:r>
      </w:hyperlink>
      <w:r>
        <w:t xml:space="preserve">. Restraint here is a form of rigor, not a shortcut.</w:t>
      </w:r>
    </w:p>
    <w:bookmarkEnd w:id="99"/>
    <w:bookmarkStart w:id="100" w:name="X27a0d33ecc8668b990e5488524e64b3781406ce"/>
    <w:p>
      <w:pPr>
        <w:pStyle w:val="Heading2"/>
        <w:spacing w:line="480" w:lineRule="auto"/>
      </w:pPr>
      <w:r>
        <w:t xml:space="preserve">Why a learning curve suits the completeness study</w:t>
      </w:r>
    </w:p>
    <w:p>
      <w:pPr>
        <w:pStyle w:val="FirstParagraph"/>
        <w:spacing w:line="480" w:lineRule="auto"/>
      </w:pPr>
      <w:r>
        <w:t xml:space="preserve">The second completed study’s log-log learning curve is borrowed from a tradition in which cumulative experience predicts falling cost or rising capability, and its transplant to governance completeness is deliberate and testable</w:t>
      </w:r>
      <w:r>
        <w:t xml:space="preserve"> </w:t>
      </w:r>
      <w:hyperlink w:anchor="ref-12">
        <w:r>
          <w:rPr>
            <w:rStyle w:val="Hyperlink"/>
          </w:rPr>
          <w:t xml:space="preserve">[12]</w:t>
        </w:r>
      </w:hyperlink>
      <w:r>
        <w:t xml:space="preserve">. The functional form encodes a specific hypothesis: that design completeness, if it accumulates, does so as a power function of position in the corpus, so that the coefficient reads as an elasticity. A strong positive elasticity would mean each doubling of corpus position brings a proportional gain in completeness, the signature of a field learning as a field. A weak elasticity means the opposite, that position predicts little and completeness is distributed by specialization rather than by chronology.</w:t>
      </w:r>
    </w:p>
    <w:p>
      <w:pPr>
        <w:pStyle w:val="BodyText"/>
        <w:spacing w:line="480" w:lineRule="auto"/>
        <w:ind w:firstLine="720"/>
      </w:pPr>
      <w:r>
        <w:t xml:space="preserve">The learning-curve form has a further virtue: it forces a vague intuition into a falsifiable shape. Many observers feel that space sustainability work is getting better over time, and that feeling is often left unexamined. Regressing log completeness on log publication order converts the feeling into a coefficient that can be estimated and, just as vitally, disconfirmed. Publication order is not a mechanism, and the corpus is purposive rather than random, so the estimate is descriptive of a pattern rather than a causal law. Its value is that it makes the cumulative-progress claim answerable in the very corpus that frames the dissertation.</w:t>
      </w:r>
    </w:p>
    <w:bookmarkEnd w:id="100"/>
    <w:bookmarkStart w:id="101" w:name="the-event-study-logic-in-detail"/>
    <w:p>
      <w:pPr>
        <w:pStyle w:val="Heading2"/>
        <w:spacing w:line="480" w:lineRule="auto"/>
      </w:pPr>
      <w:r>
        <w:t xml:space="preserve">The event-study logic in detail</w:t>
      </w:r>
    </w:p>
    <w:p>
      <w:pPr>
        <w:pStyle w:val="FirstParagraph"/>
        <w:spacing w:line="480" w:lineRule="auto"/>
      </w:pPr>
      <w:r>
        <w:t xml:space="preserve">The event-study design at the heart of the primary debris model deserves fuller exposition, because it is what turns a static comparison into a dynamic test. In an event study, the outcome is tracked over time relative to the moment of treatment, here the moment an operator upgrades its audited commitment quality. The design estimates a coefficient for each period before and after the upgrade, so that the whole trajectory of debris production around the commitment change becomes visible rather than collapsed into a single before-and-after difference. A genuine treatment effect appears as a level shift or trend break that begins at the upgrade and not before, while a confound that predates the upgrade reveals itself as movement in the pre-treatment coefficients.</w:t>
      </w:r>
    </w:p>
    <w:p>
      <w:pPr>
        <w:pStyle w:val="BodyText"/>
        <w:spacing w:line="480" w:lineRule="auto"/>
        <w:ind w:firstLine="720"/>
      </w:pPr>
      <w:r>
        <w:t xml:space="preserve">This structure is what makes the identifying assumption testable rather than asserted. If treated operators were already producing less debris before they upgraded their commitments, the pre-treatment coefficients would trend downward, and the design would flag the timing as endogenous rather than crediting the commitment with an effect it did not cause. The situational-awareness infrastructure that supports attribution matters here too, because the event study needs clean period-by-period debris counts, and attribution error that varies over time would contaminate the trajectory</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design therefore pairs the event-study estimator with the conservative attribution rule, using only defensibly linked objects, so that the dynamic pattern reflects behavior rather than shifting measurement.</w:t>
      </w:r>
    </w:p>
    <w:bookmarkEnd w:id="101"/>
    <w:bookmarkStart w:id="102" w:name="robustness-architecture"/>
    <w:p>
      <w:pPr>
        <w:pStyle w:val="Heading2"/>
        <w:spacing w:line="480" w:lineRule="auto"/>
      </w:pPr>
      <w:r>
        <w:t xml:space="preserve">Robustness architecture</w:t>
      </w:r>
    </w:p>
    <w:p>
      <w:pPr>
        <w:pStyle w:val="FirstParagraph"/>
        <w:spacing w:line="480" w:lineRule="auto"/>
      </w:pPr>
      <w:r>
        <w:t xml:space="preserve">Beyond the core diagnostics, the primary design carries a robustness architecture whose purpose is to show that the result does not hinge on any single modeling choice. The negative-binomial and Poisson quasi-maximum-likelihood specifications are estimated side by side, so that a reader can see whether the conclusion survives the choice between modeling overdispersion explicitly and estimating the conditional mean robustly. Leave-one-operator-out re-estimation confirms that no single firm’s cohorts drive the coefficient, which guards against a result manufactured by one unusual operator. Alternative observation windows around the thirty-six-month primary window test whether the finding is an artifact of the censoring cutoff. The U.S.-licensed and global-augmented samples are reported separately, so that the coverage bias in the licensing records is exposed rather than averaged away</w:t>
      </w:r>
      <w:r>
        <w:t xml:space="preserve"> </w:t>
      </w:r>
      <w:hyperlink w:anchor="ref-5">
        <w:r>
          <w:rPr>
            <w:rStyle w:val="Hyperlink"/>
          </w:rPr>
          <w:t xml:space="preserve">[5]</w:t>
        </w:r>
      </w:hyperlink>
      <w:r>
        <w:t xml:space="preserve">.</w:t>
      </w:r>
    </w:p>
    <w:p>
      <w:pPr>
        <w:pStyle w:val="BodyText"/>
        <w:spacing w:line="480" w:lineRule="auto"/>
        <w:ind w:firstLine="720"/>
      </w:pPr>
      <w:r>
        <w:t xml:space="preserve">None of these checks can rescue a design whose core assumption fails, and the architecture does not pretend otherwise. Their function is narrower and still important: to convert a single point estimate into a family of estimates whose agreement or disagreement is itself evidence. A coefficient that holds its sign and rough magnitude across model, sample, window, and operator exclusion is more believable than one that appears only under a particular specification, and the robustness architecture is what lets a reader judge which kind of result the data actually produced.</w:t>
      </w:r>
    </w:p>
    <w:bookmarkEnd w:id="102"/>
    <w:bookmarkStart w:id="103" w:name="X95ef8c537aec90194ca4740b1df907772b03945"/>
    <w:p>
      <w:pPr>
        <w:pStyle w:val="Heading2"/>
        <w:spacing w:line="480" w:lineRule="auto"/>
      </w:pPr>
      <w:r>
        <w:t xml:space="preserve">Standard errors, inference, and the small-sample posture</w:t>
      </w:r>
    </w:p>
    <w:p>
      <w:pPr>
        <w:pStyle w:val="FirstParagraph"/>
        <w:spacing w:line="480" w:lineRule="auto"/>
      </w:pPr>
      <w:r>
        <w:t xml:space="preserve">Both completed studies operate at sample sizes where classical asymptotics offer thin comfort, and the design confronts this rather than papering over it. In the rating study, N equals six, and no amount of robust adjustment turns six modules into a large sample; the reported p-value is a summary of the fit’s steepness relative to its scatter, not a passport to strong causal inference</w:t>
      </w:r>
      <w:r>
        <w:t xml:space="preserve"> </w:t>
      </w:r>
      <w:hyperlink w:anchor="ref-5">
        <w:r>
          <w:rPr>
            <w:rStyle w:val="Hyperlink"/>
          </w:rPr>
          <w:t xml:space="preserve">[5]</w:t>
        </w:r>
      </w:hyperlink>
      <w:r>
        <w:t xml:space="preserve">. In the completeness study, N equals nine, and the reported elasticity’s failure to reach significance is itself the finding, not a nuisance to be explained away</w:t>
      </w:r>
      <w:r>
        <w:t xml:space="preserve"> </w:t>
      </w:r>
      <w:hyperlink w:anchor="ref-12">
        <w:r>
          <w:rPr>
            <w:rStyle w:val="Hyperlink"/>
          </w:rPr>
          <w:t xml:space="preserve">[12]</w:t>
        </w:r>
      </w:hyperlink>
      <w:r>
        <w:t xml:space="preserve">. The small-sample posture is consistent across the project: report the point estimate, report the uncertainty honestly, and let an imprecise estimate be substantively informative rather than dressing it as either confirmation or refutation. The same posture governs the primary debris test, where power calculations precede estimation and wide intervals are read as information about the environment’s rarity rather than as failed hypotheses.</w:t>
      </w:r>
    </w:p>
    <w:bookmarkEnd w:id="103"/>
    <w:bookmarkStart w:id="104" w:name="what-identification-cannot-deliver"/>
    <w:p>
      <w:pPr>
        <w:pStyle w:val="Heading2"/>
        <w:spacing w:line="480" w:lineRule="auto"/>
      </w:pPr>
      <w:r>
        <w:t xml:space="preserve">What identification cannot deliver</w:t>
      </w:r>
    </w:p>
    <w:p>
      <w:pPr>
        <w:pStyle w:val="FirstParagraph"/>
        <w:spacing w:line="480" w:lineRule="auto"/>
      </w:pPr>
      <w:r>
        <w:t xml:space="preserve">Honesty about identification means naming its ceiling. The design can support a credible claim that within-operator improvements in commitment quality are associated with lower debris rates, net of the confounds it absorbs and subject to the diagnostics it passes. It cannot deliver the counterfactual precision of a randomized trial, because operators are not randomly assigned to commitment quality. It cannot rule out an unobserved factor that moves in lockstep with commitment upgrades and independently lowers debris, though the placebo and pre-trend tests make such a factor harder to hide. And it cannot speak to operators outside the observable record, a coverage limit the data chapter takes up. The estimator is a disciplined observational design whose credibility is earned through transparent coding, temporal ordering, within-operator comparison, and explicit falsification, not asserted through the language of experiment.</w:t>
      </w:r>
    </w:p>
    <w:p>
      <w:pPr>
        <w:pStyle w:val="BodyText"/>
        <w:spacing w:line="480" w:lineRule="auto"/>
        <w:ind w:firstLine="720"/>
      </w:pPr>
      <w:r>
        <w:t xml:space="preserve">One further honesty about scope belongs here. The primary design’s power depends on there being enough within-operator variation in commitment quality to identify anything at all. Operators that never change their commitments contribute only to the fixed effects, not to the estimated coefficient, so the effective sample for identification is the set of operators that upgraded or downgraded their audited commitments across cohorts. If that set is small, the estimate will be imprecise regardless of how many operator-cohorts the full dataset contains, which is why the power calculations precede estimation and why an imprecise interval is treated as information about the rarity of both debris events and commitment changes rather than as a failure. Observability infrastructure again bears on this, since improved attribution would enlarge the usable outcome data and tighten the intervals that within-operator variation can support</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three estimators together form a graded ladder of ambition, and reading them as a ladder clarifies the project’s method. The rating regression describes a single instrument with certainty because it observes the whole population</w:t>
      </w:r>
      <w:r>
        <w:t xml:space="preserve"> </w:t>
      </w:r>
      <w:hyperlink w:anchor="ref-5">
        <w:r>
          <w:rPr>
            <w:rStyle w:val="Hyperlink"/>
          </w:rPr>
          <w:t xml:space="preserve">[5]</w:t>
        </w:r>
      </w:hyperlink>
      <w:r>
        <w:t xml:space="preserve">. The learning curve describes a corpus with modest confidence because the corpus is purposive</w:t>
      </w:r>
      <w:r>
        <w:t xml:space="preserve"> </w:t>
      </w:r>
      <w:hyperlink w:anchor="ref-12">
        <w:r>
          <w:rPr>
            <w:rStyle w:val="Hyperlink"/>
          </w:rPr>
          <w:t xml:space="preserve">[12]</w:t>
        </w:r>
      </w:hyperlink>
      <w:r>
        <w:t xml:space="preserve">. The debris model aspires to a conditional causal claim with the most machinery and the most exposure. Ambition and vulnerability rise together across the three, and the project is honest about matching each claim to the evidence its estimator can bear. The next chapter turns to the data that make these estimators operable.</w:t>
      </w:r>
    </w:p>
    <w:bookmarkEnd w:id="104"/>
    <w:bookmarkEnd w:id="105"/>
    <w:bookmarkStart w:id="117" w:name="data-and-measurement"/>
    <w:p>
      <w:pPr>
        <w:pStyle w:val="Heading1"/>
        <w:spacing w:line="480" w:lineRule="auto"/>
      </w:pPr>
      <w:r>
        <w:t xml:space="preserve">Data and Measurement</w:t>
      </w:r>
    </w:p>
    <w:p>
      <w:pPr>
        <w:pStyle w:val="FirstParagraph"/>
        <w:spacing w:line="480" w:lineRule="auto"/>
      </w:pPr>
      <w:r>
        <w:t xml:space="preserve">Data set the ceiling. An identification strategy is only as good as the observations that feed it. This chapter documents the datasets the dissertation uses, explains how the treatment and outcome variables are constructed, and describes the two coded datasets that anchor the completed empirical papers. The commitment throughout is provenance: every variable traces to a public, obtainable source, and every coding decision leaves a record a second researcher could reconstruct. That discipline is not decoration. It is what lets a reader distinguish a measured institution from an asserted one.</w:t>
      </w:r>
    </w:p>
    <w:bookmarkStart w:id="106" w:name="the-administrative-and-catalog-backbone"/>
    <w:p>
      <w:pPr>
        <w:pStyle w:val="Heading2"/>
        <w:spacing w:line="480" w:lineRule="auto"/>
      </w:pPr>
      <w:r>
        <w:t xml:space="preserve">The administrative and catalog backbone</w:t>
      </w:r>
    </w:p>
    <w:p>
      <w:pPr>
        <w:pStyle w:val="FirstParagraph"/>
        <w:spacing w:line="480" w:lineRule="auto"/>
      </w:pPr>
      <w:r>
        <w:t xml:space="preserve">The full dissertation design rests on five obtainable primary and administrative datasets. The first is the FCC International Communications Filing System, formerly the International Bureau Filing System, which holds satellite filings for U.S.-licensed operators. Its SAT-LOA, SAT-MOD, and SAT-AMD applications, narrative exhibits, orbital-debris mitigation showings, and Commission orders supply the pre-launch commitments from which the Ostrom design-principles score is coded, along with planned orbital parameters, disposal plans, and operator identities. The score is built only from documents dated before the relevant launch, so that the treatment cannot absorb information that postdates the outcome.</w:t>
      </w:r>
    </w:p>
    <w:p>
      <w:pPr>
        <w:pStyle w:val="BodyText"/>
        <w:spacing w:line="480" w:lineRule="auto"/>
        <w:ind w:firstLine="720"/>
      </w:pPr>
      <w:r>
        <w:t xml:space="preserve">The second dataset is the Space-Track.org public catalog. Its SATCAT, launch, decay, and historical catalog records construct the object-level outcomes. A cataloged debris object counts toward a launch cohort when its international designator, parentage field, object name, or launch association links it there, and active spacecraft-years are computed from launch dates, decay dates, and catalog status fields. The third dataset, CelesTrak’s SATCAT and general-perturbations records, serves as an independent cross-check on identifiers, orbital elements, decay status, and catalog continuity; discrepancies between the two catalogs are flagged rather than silently reconciled, because a quiet reconciliation would hide exactly the measurement uncertainty a reader needs to see.</w:t>
      </w:r>
    </w:p>
    <w:p>
      <w:pPr>
        <w:pStyle w:val="BodyText"/>
        <w:spacing w:line="480" w:lineRule="auto"/>
        <w:ind w:firstLine="720"/>
      </w:pPr>
      <w:r>
        <w:t xml:space="preserve">The fourth dataset is the UNOOSA Online Index of Objects Launched into Outer Space, whose registry records validate state of registry, launch date, object name, and international designator, helping bind licensing records to catalog records and reducing operator-name ambiguity. The fifth is a collection of public voluntary sustainability records, operator sustainability reports, public rating disclosures, mission press materials, and voluntary debris-mitigation statements, archived with access dates and used only where they are public and pre-launch. The Space Sustainability Rating enters here as a designed composite indicator meant to incentivize operators toward long-term environmental sustainability</w:t>
      </w:r>
      <w:r>
        <w:t xml:space="preserve"> </w:t>
      </w:r>
      <w:hyperlink w:anchor="ref-5">
        <w:r>
          <w:rPr>
            <w:rStyle w:val="Hyperlink"/>
          </w:rPr>
          <w:t xml:space="preserve">[5]</w:t>
        </w:r>
      </w:hyperlink>
      <w:r>
        <w:t xml:space="preserve">.</w:t>
      </w:r>
    </w:p>
    <w:bookmarkEnd w:id="106"/>
    <w:bookmarkStart w:id="107" w:name="constructing-the-treatment"/>
    <w:p>
      <w:pPr>
        <w:pStyle w:val="Heading2"/>
        <w:spacing w:line="480" w:lineRule="auto"/>
      </w:pPr>
      <w:r>
        <w:t xml:space="preserve">Constructing the treatment</w:t>
      </w:r>
    </w:p>
    <w:p>
      <w:pPr>
        <w:pStyle w:val="FirstParagraph"/>
        <w:spacing w:line="480" w:lineRule="auto"/>
      </w:pPr>
      <w:r>
        <w:t xml:space="preserve">The treatment is a score. It counts how many of the eight design features a commitment embodies, coded from pre-launch records. It is built from binary and ordinal indicators for the eight institutional features: boundary clarity over objects and actors, proportionality between operational benefit and mitigation burden, participation in rule specification, monitoring, graduated accountability, conflict resolution, recognition of self-organization, and nesting within broader arrangements. Two independent coders apply a preregistered codebook to the archived pre-launch records, and intercoder agreement is reported. Coding rewards documentable provisions, not aspirational language, so that a commitment earns its score by what it commits to rather than by how warmly it describes sustainability.</w:t>
      </w:r>
    </w:p>
    <w:p>
      <w:pPr>
        <w:pStyle w:val="BodyText"/>
        <w:spacing w:line="480" w:lineRule="auto"/>
        <w:ind w:firstLine="720"/>
      </w:pPr>
      <w:r>
        <w:t xml:space="preserve">Observability technologies shape what can be coded under the boundary and monitoring principles, because a commitment that references a concrete identification or tracking arrangement supplies verifiable content where a vague pledge does not</w:t>
      </w:r>
      <w:r>
        <w:t xml:space="preserve"> </w:t>
      </w:r>
      <w:hyperlink w:anchor="ref-3">
        <w:r>
          <w:rPr>
            <w:rStyle w:val="Hyperlink"/>
          </w:rPr>
          <w:t xml:space="preserve">[3]</w:t>
        </w:r>
      </w:hyperlink>
      <w:r>
        <w:t xml:space="preserve"> </w:t>
      </w:r>
      <w:hyperlink w:anchor="ref-2">
        <w:r>
          <w:rPr>
            <w:rStyle w:val="Hyperlink"/>
          </w:rPr>
          <w:t xml:space="preserve">[2]</w:t>
        </w:r>
      </w:hyperlink>
      <w:r>
        <w:t xml:space="preserve">. Verification pathways from situational-awareness data feed the accountability and monitoring codes, since an instrument that ties its claims to independent data earns credit that a self-reported questionnaire alone cannot</w:t>
      </w:r>
      <w:r>
        <w:t xml:space="preserve"> </w:t>
      </w:r>
      <w:hyperlink w:anchor="ref-8">
        <w:r>
          <w:rPr>
            <w:rStyle w:val="Hyperlink"/>
          </w:rPr>
          <w:t xml:space="preserve">[8]</w:t>
        </w:r>
      </w:hyperlink>
      <w:r>
        <w:t xml:space="preserve">. The codebook is written so that these distinctions are legible to both coders and to later readers.</w:t>
      </w:r>
    </w:p>
    <w:bookmarkEnd w:id="107"/>
    <w:bookmarkStart w:id="108" w:name="constructing-the-outcome"/>
    <w:p>
      <w:pPr>
        <w:pStyle w:val="Heading2"/>
        <w:spacing w:line="480" w:lineRule="auto"/>
      </w:pPr>
      <w:r>
        <w:t xml:space="preserve">Constructing the outcome</w:t>
      </w:r>
    </w:p>
    <w:p>
      <w:pPr>
        <w:pStyle w:val="FirstParagraph"/>
        <w:spacing w:line="480" w:lineRule="auto"/>
      </w:pPr>
      <w:r>
        <w:t xml:space="preserve">The outcome is a count. It is cataloged debris objects per active spacecraft-year within thirty-six months of launch. Its physical meaning comes from source-sink modeling, which establishes debris production as the accumulating environmental stock whose future depends on present operational choices</w:t>
      </w:r>
      <w:r>
        <w:t xml:space="preserve"> </w:t>
      </w:r>
      <w:hyperlink w:anchor="ref-4">
        <w:r>
          <w:rPr>
            <w:rStyle w:val="Hyperlink"/>
          </w:rPr>
          <w:t xml:space="preserve">[4]</w:t>
        </w:r>
      </w:hyperlink>
      <w:r>
        <w:t xml:space="preserve">. The thirty-six-month window balances two pressures. Too short a window misses fragments that appear late; too long a window discards recent cohorts to censoring. Fixing the primary window at thirty-six months, with censoring indicators for cohorts whose follow-up is incomplete, keeps the outcome comparable across launches while retaining recent cohorts for descriptive appendices. Attribution is conservative: only objects with defensible launch-cohort linkage enter the primary analysis, and ambiguous objects are excluded or analyzed separately, because a permissive attribution rule would inflate the outcome with fragments that belong to no one in particular.</w:t>
      </w:r>
    </w:p>
    <w:bookmarkEnd w:id="108"/>
    <w:bookmarkStart w:id="109" w:name="Xff855cb5a910e1bf3d29089547ca41dd73d3566"/>
    <w:p>
      <w:pPr>
        <w:pStyle w:val="Heading2"/>
        <w:spacing w:line="480" w:lineRule="auto"/>
      </w:pPr>
      <w:r>
        <w:t xml:space="preserve">The first coded dataset: rating architecture</w:t>
      </w:r>
    </w:p>
    <w:p>
      <w:pPr>
        <w:pStyle w:val="FirstParagraph"/>
        <w:spacing w:line="480" w:lineRule="auto"/>
      </w:pPr>
      <w:r>
        <w:t xml:space="preserve">The first completed paper codes the Space Sustainability Rating’s published module table and lifecycle topic map into a six-row dataset, one row per scoring module</w:t>
      </w:r>
      <w:r>
        <w:t xml:space="preserve"> </w:t>
      </w:r>
      <w:hyperlink w:anchor="ref-5">
        <w:r>
          <w:rPr>
            <w:rStyle w:val="Hyperlink"/>
          </w:rPr>
          <w:t xml:space="preserve">[5]</w:t>
        </w:r>
      </w:hyperlink>
      <w:r>
        <w:t xml:space="preserve">. The modules are Mission Index, Detectability, Identification, and Trackability, Collision Avoidance Capabilities, Data Sharing, Adoption of Design and Operations Standards, and External Services. The dependent variable is each module’s percentage contribution to the tier score, read directly from the published table: Mission Index carries 50.0 percent, Collision Avoidance and Data Sharing carry 16.5 percent each, Detectability, Identification, and Trackability carries 12.0 percent, Adoption of Standards carries 5.0 percent, and External Services carries 0.0 percent while still permitting bonus points. The primary explanatory variable is the count of sustainability topics the lifecycle table assigns to each module: five for Mission Index, two for Collision Avoidance, one each for Detectability, Data Sharing, and External Services, and none for Adoption of Standards. A topic assigned to two modules gives each module one count, because the instrument itself treats such a topic as shared responsibility. This dataset is the entire current population of rating modules, not a sample, and every value is traceable to a published table.</w:t>
      </w:r>
    </w:p>
    <w:bookmarkEnd w:id="109"/>
    <w:bookmarkStart w:id="110" w:name="X856b881e93ae19af489c61b54a84308b614a064"/>
    <w:p>
      <w:pPr>
        <w:pStyle w:val="Heading2"/>
        <w:spacing w:line="480" w:lineRule="auto"/>
      </w:pPr>
      <w:r>
        <w:t xml:space="preserve">The second coded dataset: governance completeness over time</w:t>
      </w:r>
    </w:p>
    <w:p>
      <w:pPr>
        <w:pStyle w:val="FirstParagraph"/>
        <w:spacing w:line="480" w:lineRule="auto"/>
      </w:pPr>
      <w:r>
        <w:t xml:space="preserve">The second completed paper codes nine governance documents for the eight Ostrom proxies and orders them by publication</w:t>
      </w:r>
      <w:r>
        <w:t xml:space="preserve"> </w:t>
      </w:r>
      <w:hyperlink w:anchor="ref-12">
        <w:r>
          <w:rPr>
            <w:rStyle w:val="Hyperlink"/>
          </w:rPr>
          <w:t xml:space="preserve">[12]</w:t>
        </w:r>
      </w:hyperlink>
      <w:r>
        <w:t xml:space="preserve">. The documents span the corpus that frames the dissertation: ELROI’s optical identifier from 2018, the 2020 work on situational-awareness data in rating definition, the 2022 Montreal Protocol analogy, the 2023 ISON decentralized-sharing analysis, the 2023 source-sink decision-support model, the 2023 trusted-stakeholder-coordination paper, the 2024 uncontrolled-reentry risk assessment, the 2025 rating article, and the 2025 traffic-management outreach article</w:t>
      </w:r>
      <w:r>
        <w:t xml:space="preserve"> </w:t>
      </w:r>
      <w:hyperlink w:anchor="ref-3">
        <w:r>
          <w:rPr>
            <w:rStyle w:val="Hyperlink"/>
          </w:rPr>
          <w:t xml:space="preserve">[3]</w:t>
        </w:r>
      </w:hyperlink>
      <w:r>
        <w:t xml:space="preserve"> </w:t>
      </w:r>
      <w:hyperlink w:anchor="ref-8">
        <w:r>
          <w:rPr>
            <w:rStyle w:val="Hyperlink"/>
          </w:rPr>
          <w:t xml:space="preserve">[8]</w:t>
        </w:r>
      </w:hyperlink>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11">
        <w:r>
          <w:rPr>
            <w:rStyle w:val="Hyperlink"/>
          </w:rPr>
          <w:t xml:space="preserve">[11]</w:t>
        </w:r>
      </w:hyperlink>
      <w:r>
        <w:t xml:space="preserve"> </w:t>
      </w:r>
      <w:hyperlink w:anchor="ref-7">
        <w:r>
          <w:rPr>
            <w:rStyle w:val="Hyperlink"/>
          </w:rPr>
          <w:t xml:space="preserve">[7]</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Each document receives a design score from zero to eight equal to the count of proxies present, together with the eight underlying binary codes and a short evidence phrase for each source so that a second coder can audit the judgment. The scores range from three, for the narrowly scoped identifier and the risk-assessment paper, to seven, for the composite rating that combines boundaries, weighting, incentives, questionnaire inputs, verification, lifecycle topics, and nested standards while still lacking an explicit dispute process.</w:t>
      </w:r>
    </w:p>
    <w:bookmarkEnd w:id="110"/>
    <w:bookmarkStart w:id="111" w:name="X8f291e6eb65e0d20c276e7f955037cd50607091"/>
    <w:p>
      <w:pPr>
        <w:pStyle w:val="Heading2"/>
        <w:spacing w:line="480" w:lineRule="auto"/>
      </w:pPr>
      <w:r>
        <w:t xml:space="preserve">The eight proxies and how they are read from text</w:t>
      </w:r>
    </w:p>
    <w:p>
      <w:pPr>
        <w:pStyle w:val="FirstParagraph"/>
        <w:spacing w:line="480" w:lineRule="auto"/>
      </w:pPr>
      <w:r>
        <w:t xml:space="preserve">The design-principles score rests on eight binary proxies, and the credibility of the whole measurement depends on how each is read from a document. Boundary or actor scope is coded present when a source names clear objects, missions, actors, regions, or categories within its proposed arrangement; the optical-identifier work earns it by making object identity concrete, while a general appeal to sustainability does not</w:t>
      </w:r>
      <w:r>
        <w:t xml:space="preserve"> </w:t>
      </w:r>
      <w:hyperlink w:anchor="ref-3">
        <w:r>
          <w:rPr>
            <w:rStyle w:val="Hyperlink"/>
          </w:rPr>
          <w:t xml:space="preserve">[3]</w:t>
        </w:r>
      </w:hyperlink>
      <w:r>
        <w:t xml:space="preserve">. Proportionality or incentives is coded present when a source specifies scoring weights, economic differentiation, positive incentives, or cost allocation; the rating earns it through its module weighting, and most purely technical papers do not</w:t>
      </w:r>
      <w:r>
        <w:t xml:space="preserve"> </w:t>
      </w:r>
      <w:hyperlink w:anchor="ref-5">
        <w:r>
          <w:rPr>
            <w:rStyle w:val="Hyperlink"/>
          </w:rPr>
          <w:t xml:space="preserve">[5]</w:t>
        </w:r>
      </w:hyperlink>
      <w:r>
        <w:t xml:space="preserve">. Collective-choice participation is coded present when a source describes stakeholder participation, consortium design, or cross-actor rule formation, which the decentralized-sharing and outreach works supply</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Monitoring or observability is coded present when a source invokes observation, situational-awareness data, verification, tracking, or measurement, and it is the proxy most often present because the field has invested so heavily in seeing</w:t>
      </w:r>
      <w:r>
        <w:t xml:space="preserve"> </w:t>
      </w:r>
      <w:hyperlink w:anchor="ref-8">
        <w:r>
          <w:rPr>
            <w:rStyle w:val="Hyperlink"/>
          </w:rPr>
          <w:t xml:space="preserve">[8]</w:t>
        </w:r>
      </w:hyperlink>
      <w:r>
        <w:t xml:space="preserve">. Accountability or sanctions is coded present when a source ties verification to compliance, evidence, or accountable reporting; the trusted-coordination work earns it through attributed data with pedigree and provenance, while a self-reported questionnaire alone does not</w:t>
      </w:r>
      <w:r>
        <w:t xml:space="preserve"> </w:t>
      </w:r>
      <w:hyperlink w:anchor="ref-11">
        <w:r>
          <w:rPr>
            <w:rStyle w:val="Hyperlink"/>
          </w:rPr>
          <w:t xml:space="preserve">[11]</w:t>
        </w:r>
      </w:hyperlink>
      <w:r>
        <w:t xml:space="preserve">. Conflict resolution is coded present only when a source names an explicit dispute mechanism, and it is nearly absent across the corpus, a real gap rather than a coding artifact. Self-organization is coded present for voluntary, decentralized, or self-synchronizing coordination, which the decentralized network and the coordination work supply</w:t>
      </w:r>
      <w:r>
        <w:t xml:space="preserve"> </w:t>
      </w:r>
      <w:hyperlink w:anchor="ref-2">
        <w:r>
          <w:rPr>
            <w:rStyle w:val="Hyperlink"/>
          </w:rPr>
          <w:t xml:space="preserve">[2]</w:t>
        </w:r>
      </w:hyperlink>
      <w:r>
        <w:t xml:space="preserve"> </w:t>
      </w:r>
      <w:hyperlink w:anchor="ref-11">
        <w:r>
          <w:rPr>
            <w:rStyle w:val="Hyperlink"/>
          </w:rPr>
          <w:t xml:space="preserve">[11]</w:t>
        </w:r>
      </w:hyperlink>
      <w:r>
        <w:t xml:space="preserve">. Nested coordination is coded present for multi-level, international, institutional, or lifecycle nesting, which composite and lifecycle-aware instruments earn</w:t>
      </w:r>
      <w:r>
        <w:t xml:space="preserve"> </w:t>
      </w:r>
      <w:hyperlink w:anchor="ref-5">
        <w:r>
          <w:rPr>
            <w:rStyle w:val="Hyperlink"/>
          </w:rPr>
          <w:t xml:space="preserve">[5]</w:t>
        </w:r>
      </w:hyperlink>
      <w:r>
        <w:t xml:space="preserve">. Each proxy is a binary column with an evidence phrase, so that the score is a sum a second coder can reconstruct rather than an impression.</w:t>
      </w:r>
    </w:p>
    <w:bookmarkEnd w:id="111"/>
    <w:bookmarkStart w:id="112" w:name="traceability-of-the-two-coded-workbooks"/>
    <w:p>
      <w:pPr>
        <w:pStyle w:val="Heading2"/>
        <w:spacing w:line="480" w:lineRule="auto"/>
      </w:pPr>
      <w:r>
        <w:t xml:space="preserve">Traceability of the two coded workbooks</w:t>
      </w:r>
    </w:p>
    <w:p>
      <w:pPr>
        <w:pStyle w:val="FirstParagraph"/>
        <w:spacing w:line="480" w:lineRule="auto"/>
      </w:pPr>
      <w:r>
        <w:t xml:space="preserve">Both completed datasets are small enough to be published in full and structured so that every value carries its provenance. The rating workbook records, for each of the six modules, the module abbreviation and name, the tier weight read from the published table, the method of assessment, the simulation and questionnaire indicators, the bonus-point flag, the topic count, the phase-mark counts for design, normal-operation, and end-of-life cells, and the source citation to the specific tables from which each value came</w:t>
      </w:r>
      <w:r>
        <w:t xml:space="preserve"> </w:t>
      </w:r>
      <w:hyperlink w:anchor="ref-5">
        <w:r>
          <w:rPr>
            <w:rStyle w:val="Hyperlink"/>
          </w:rPr>
          <w:t xml:space="preserve">[5]</w:t>
        </w:r>
      </w:hyperlink>
      <w:r>
        <w:t xml:space="preserve">. Nothing in that workbook is estimated or imputed; every cell is a reading of a published table, which is why the study can claim that the entire population of modules is present rather than a sample.</w:t>
      </w:r>
    </w:p>
    <w:p>
      <w:pPr>
        <w:pStyle w:val="BodyText"/>
        <w:spacing w:line="480" w:lineRule="auto"/>
        <w:ind w:firstLine="720"/>
      </w:pPr>
      <w:r>
        <w:t xml:space="preserve">The completeness workbook records, for each of the nine documents, a short source label, the publication year, the ordinal publication position, the summed design score, the eight underlying binary codes, and a primary-evidence phrase that names the textual feature justifying the coding</w:t>
      </w:r>
      <w:r>
        <w:t xml:space="preserve"> </w:t>
      </w:r>
      <w:hyperlink w:anchor="ref-12">
        <w:r>
          <w:rPr>
            <w:rStyle w:val="Hyperlink"/>
          </w:rPr>
          <w:t xml:space="preserve">[12]</w:t>
        </w:r>
      </w:hyperlink>
      <w:r>
        <w:t xml:space="preserve">. That evidence phrase is the audit hook: a second coder reading the source can check whether the phrase supports the code, and a reader who disputes a borderline judgment can see exactly which feature was in question. The workbook’s transparency is its defense against the subjectivity that any structured coding carries, and it is why the study can invite re-coding rather than asking for trust.</w:t>
      </w:r>
    </w:p>
    <w:bookmarkEnd w:id="112"/>
    <w:bookmarkStart w:id="113" w:name="Xdd6472e48a7eef4c056331a4d984a712b930046"/>
    <w:p>
      <w:pPr>
        <w:pStyle w:val="Heading2"/>
        <w:spacing w:line="480" w:lineRule="auto"/>
      </w:pPr>
      <w:r>
        <w:t xml:space="preserve">Cross-catalog reconciliation as a measurement principle</w:t>
      </w:r>
    </w:p>
    <w:p>
      <w:pPr>
        <w:pStyle w:val="FirstParagraph"/>
        <w:spacing w:line="480" w:lineRule="auto"/>
      </w:pPr>
      <w:r>
        <w:t xml:space="preserve">The decision to hold Space-Track and CelesTrak records side by side rather than merging them into a single reconciled series is a measurement principle worth stating explicitly. Two independent catalogs of the same orbital population will disagree at the margins: an object active in one may be listed decayed in the other, an identifier may differ, an orbital element may be updated on a different schedule. A researcher eager for a clean dataset is tempted to reconcile these silently, choosing one catalog’s value whenever they conflict. That temptation is a trap, because silent reconciliation hides the very uncertainty a debris count carries, and a hidden uncertainty cannot be reasoned about. Flagging discrepancies rather than resolving them keeps the measurement honest, and it lets the analysis report how much of any result depends on which catalog supplied a contested value.</w:t>
      </w:r>
    </w:p>
    <w:p>
      <w:pPr>
        <w:pStyle w:val="BodyText"/>
        <w:spacing w:line="480" w:lineRule="auto"/>
        <w:ind w:firstLine="720"/>
      </w:pPr>
      <w:r>
        <w:t xml:space="preserve">The UNOOSA registry serves as a third reference point that binds licensing records to catalog records through state of registry, launch date, object name, and international designator. Operator-name ambiguity is a persistent nuisance in this domain, because the same firm may appear under different corporate names across licensing and catalog systems, and a registry field that anchors the international designator reduces the risk that two records of the same mission are treated as two missions or that two missions are collapsed into one. The provenance chain thus runs from licensing commitment to registry anchor to catalog outcome, with each link independently checkable.</w:t>
      </w:r>
    </w:p>
    <w:bookmarkEnd w:id="113"/>
    <w:bookmarkStart w:id="114" w:name="X7a37c8519e99f941ce7d1e94386b476289463d6"/>
    <w:p>
      <w:pPr>
        <w:pStyle w:val="Heading2"/>
        <w:spacing w:line="480" w:lineRule="auto"/>
      </w:pPr>
      <w:r>
        <w:t xml:space="preserve">The pre-launch constraint as a measurement discipline</w:t>
      </w:r>
    </w:p>
    <w:p>
      <w:pPr>
        <w:pStyle w:val="FirstParagraph"/>
        <w:spacing w:line="480" w:lineRule="auto"/>
      </w:pPr>
      <w:r>
        <w:t xml:space="preserve">The rule that the treatment be coded only from documents dated before launch is the single most important measurement discipline in the project, and it shapes what counts as admissible evidence. A sustainability report published after a mission flew, however detailed, cannot enter the treatment coding, because it postdates the choices the treatment is meant to have shaped. This constraint sometimes discards rich material in favor of thinner pre-launch records, and that trade is accepted deliberately, because admitting post-launch documents would let the treatment absorb information about the outcome and destroy the temporal ordering the mechanism relies on. Archiving every document with its access date is what makes the constraint enforceable, since a coder and a later auditor can both verify that a coded provision existed before the relevant launch</w:t>
      </w:r>
      <w:r>
        <w:t xml:space="preserve"> </w:t>
      </w:r>
      <w:hyperlink w:anchor="ref-5">
        <w:r>
          <w:rPr>
            <w:rStyle w:val="Hyperlink"/>
          </w:rPr>
          <w:t xml:space="preserve">[5]</w:t>
        </w:r>
      </w:hyperlink>
      <w:r>
        <w:t xml:space="preserve">.</w:t>
      </w:r>
    </w:p>
    <w:p>
      <w:pPr>
        <w:pStyle w:val="BodyText"/>
        <w:spacing w:line="480" w:lineRule="auto"/>
        <w:ind w:firstLine="720"/>
      </w:pPr>
      <w:r>
        <w:t xml:space="preserve">The discipline extends to the public voluntary records that supplement the licensing backbone. Operator sustainability reports, rating disclosures, and mission press materials enter only when they are both public and pre-launch, so that private disclosures and retrospective statements stay out of the treatment. This is a stricter rule than a purely descriptive study would need, and it is justified by the causal aspiration of the primary test: a treatment that could see the future would identify nothing, and only a treatment fixed before the outcome can support even a conditional association net of confounds.</w:t>
      </w:r>
    </w:p>
    <w:bookmarkEnd w:id="114"/>
    <w:bookmarkStart w:id="115" w:name="Xc8bf8dad752889bcdc3f37d1e46134159a31829"/>
    <w:p>
      <w:pPr>
        <w:pStyle w:val="Heading2"/>
        <w:spacing w:line="480" w:lineRule="auto"/>
      </w:pPr>
      <w:r>
        <w:t xml:space="preserve">How the coded data connect to the primary outcome</w:t>
      </w:r>
    </w:p>
    <w:p>
      <w:pPr>
        <w:pStyle w:val="FirstParagraph"/>
        <w:spacing w:line="480" w:lineRule="auto"/>
      </w:pPr>
      <w:r>
        <w:t xml:space="preserve">The two coded workbooks are not the debris test, and the data chapter is careful to state how they relate to it. The rating workbook establishes that a leading instrument prices lifecycle burden proportionally, which validates the proportionality proxy as a measure of real institutional content rather than promotional language</w:t>
      </w:r>
      <w:r>
        <w:t xml:space="preserve"> </w:t>
      </w:r>
      <w:hyperlink w:anchor="ref-5">
        <w:r>
          <w:rPr>
            <w:rStyle w:val="Hyperlink"/>
          </w:rPr>
          <w:t xml:space="preserve">[5]</w:t>
        </w:r>
      </w:hyperlink>
      <w:r>
        <w:t xml:space="preserve">. The completeness workbook establishes that the eight proxies vary across instruments in a way chronology does not explain, which validates the design score as a heterogeneous variable worth testing against outcomes</w:t>
      </w:r>
      <w:r>
        <w:t xml:space="preserve"> </w:t>
      </w:r>
      <w:hyperlink w:anchor="ref-12">
        <w:r>
          <w:rPr>
            <w:rStyle w:val="Hyperlink"/>
          </w:rPr>
          <w:t xml:space="preserve">[12]</w:t>
        </w:r>
      </w:hyperlink>
      <w:r>
        <w:t xml:space="preserve">. Both are preconditions for the primary test: if proportionality were absent from real instruments or if completeness were merely a proxy for publication date, the design-principles score would measure nothing operators respond to. The administrative backbone, licensing, catalog, registry, and rating records, then supplies the machinery to link that validated score to debris counts at the operator level, closing the loop from institution to environment</w:t>
      </w:r>
      <w:r>
        <w:t xml:space="preserve"> </w:t>
      </w:r>
      <w:hyperlink w:anchor="ref-4">
        <w:r>
          <w:rPr>
            <w:rStyle w:val="Hyperlink"/>
          </w:rPr>
          <w:t xml:space="preserve">[4]</w:t>
        </w:r>
      </w:hyperlink>
      <w:r>
        <w:t xml:space="preserve">.</w:t>
      </w:r>
    </w:p>
    <w:bookmarkEnd w:id="115"/>
    <w:bookmarkStart w:id="116" w:name="coverage-limits-and-provenance"/>
    <w:p>
      <w:pPr>
        <w:pStyle w:val="Heading2"/>
        <w:spacing w:line="480" w:lineRule="auto"/>
      </w:pPr>
      <w:r>
        <w:t xml:space="preserve">Coverage, limits, and provenance</w:t>
      </w:r>
    </w:p>
    <w:p>
      <w:pPr>
        <w:pStyle w:val="FirstParagraph"/>
        <w:spacing w:line="480" w:lineRule="auto"/>
      </w:pPr>
      <w:r>
        <w:t xml:space="preserve">The data have a known coverage bias worth stating plainly. FCC-centered records overrepresent operators with U.S. market access, so the primary analysis is reported for U.S.-licensed operators and separately for a global-augmented sample built from UNOOSA, Space-Track, and CelesTrak records. Debris-generating events are infrequent, which bounds statistical power, so the design reports power calculations before estimation and treats imprecise estimates as substantively informative rather than as failed confirmation. Voluntary statements can be vague or promotional, which is why coding demands documentable provisions and reports intercoder agreement. None of these limits is fatal, but each is disclosed, because a dataset whose weaknesses are hidden cannot support a falsifiable claim. The two coded datasets that carry the completed empirical work are small enough to be read in full and transparent enough to be re-coded, and the administrative backbone that would carry the primary debris test is public enough to be reconstructed.</w:t>
      </w:r>
    </w:p>
    <w:p>
      <w:pPr>
        <w:pStyle w:val="BodyText"/>
        <w:spacing w:line="480" w:lineRule="auto"/>
        <w:ind w:firstLine="720"/>
      </w:pPr>
      <w:r>
        <w:t xml:space="preserve">A closing note on why no proprietary data are required. The baseline analysis is built entirely from public licensing filings, public catalogs, public registries, and published governance documents, which is a deliberate design choice rather than a limitation forced by access. Restricting the analysis to obtainable public sources makes every result reconstructable by an independent researcher, which is the strongest defense a small-sample, observational project can offer against the charge that its findings depend on privileged material. Private mission data, maneuver logs, and rating administrators’ internal records would enrich the analysis, but requiring them would make the work unrepeatable, and repeatability is worth more here than the marginal precision that private data would add</w:t>
      </w:r>
      <w:r>
        <w:t xml:space="preserve"> </w:t>
      </w:r>
      <w:hyperlink w:anchor="ref-5">
        <w:r>
          <w:rPr>
            <w:rStyle w:val="Hyperlink"/>
          </w:rPr>
          <w:t xml:space="preserve">[5]</w:t>
        </w:r>
      </w:hyperlink>
      <w:r>
        <w:t xml:space="preserve">.</w:t>
      </w:r>
    </w:p>
    <w:p>
      <w:pPr>
        <w:pStyle w:val="BodyText"/>
        <w:spacing w:line="480" w:lineRule="auto"/>
        <w:ind w:firstLine="720"/>
      </w:pPr>
      <w:r>
        <w:t xml:space="preserve">The data architecture, taken as a whole, embodies a single conviction: that an institution can be measured from public text with enough discipline to support quantitative claims, and that the measurement’s defense is its traceability rather than its authority. Every treatment value traces to a pre-launch document, every outcome value traces to a public catalog cross-checked against a second, and every coded score decomposes into visible binary judgments with evidence phrases</w:t>
      </w:r>
      <w:r>
        <w:t xml:space="preserve"> </w:t>
      </w:r>
      <w:hyperlink w:anchor="ref-4">
        <w:r>
          <w:rPr>
            <w:rStyle w:val="Hyperlink"/>
          </w:rPr>
          <w:t xml:space="preserve">[4]</w:t>
        </w:r>
      </w:hyperlink>
      <w:r>
        <w:t xml:space="preserve"> </w:t>
      </w:r>
      <w:hyperlink w:anchor="ref-12">
        <w:r>
          <w:rPr>
            <w:rStyle w:val="Hyperlink"/>
          </w:rPr>
          <w:t xml:space="preserve">[12]</w:t>
        </w:r>
      </w:hyperlink>
      <w:r>
        <w:t xml:space="preserve">. A reader who distrusts any single value can follow it back to its source and re-derive it. That is the standard the project holds itself to, and it is the standard the next chapter’s results rest on. The next chapter reports what the two completed estimators actually found.</w:t>
      </w:r>
    </w:p>
    <w:bookmarkEnd w:id="116"/>
    <w:bookmarkEnd w:id="117"/>
    <w:bookmarkStart w:id="125" w:name="results"/>
    <w:p>
      <w:pPr>
        <w:pStyle w:val="Heading1"/>
        <w:spacing w:line="480" w:lineRule="auto"/>
      </w:pPr>
      <w:r>
        <w:t xml:space="preserve">Results</w:t>
      </w:r>
    </w:p>
    <w:p>
      <w:pPr>
        <w:pStyle w:val="FirstParagraph"/>
        <w:spacing w:line="480" w:lineRule="auto"/>
      </w:pPr>
      <w:r>
        <w:t xml:space="preserve">This chapter reports the output of the two completed estimators exactly as the studies produced them and interprets the signs and magnitudes. It reports no invented numbers and softens none of the real ones. The two results are of different kinds. One characterizes the internal architecture of a leading voluntary instrument. The other characterizes how the field’s governance completeness has evolved. Together they establish that the Ostrom design-principles construct behaves as a coherent, measurable feature of real instruments, which is the precondition the primary debris hypothesis needs to be meaningful.</w:t>
      </w:r>
    </w:p>
    <w:bookmarkStart w:id="118" w:name="X34a5f496d649101e031c26a50b712010299be48"/>
    <w:p>
      <w:pPr>
        <w:pStyle w:val="Heading2"/>
        <w:spacing w:line="480" w:lineRule="auto"/>
      </w:pPr>
      <w:r>
        <w:t xml:space="preserve">Result one: the rating weights burden, not rhetoric</w:t>
      </w:r>
    </w:p>
    <w:p>
      <w:pPr>
        <w:pStyle w:val="FirstParagraph"/>
        <w:spacing w:line="480" w:lineRule="auto"/>
      </w:pPr>
      <w:r>
        <w:t xml:space="preserve">The first study estimates whether a rating module’s formal tier weight tracks the breadth of lifecycle burden it carries, using ordinary least squares with robust HC1 standard errors on the six-module population</w:t>
      </w:r>
      <w:r>
        <w:t xml:space="preserve"> </w:t>
      </w:r>
      <w:hyperlink w:anchor="ref-5">
        <w:r>
          <w:rPr>
            <w:rStyle w:val="Hyperlink"/>
          </w:rPr>
          <w:t xml:space="preserve">[5]</w:t>
        </w:r>
      </w:hyperlink>
      <w:r>
        <w:t xml:space="preserve">. The fitted model is</w:t>
      </w:r>
    </w:p>
    <w:p>
      <w:pPr>
        <w:pStyle w:val="BodyText"/>
        <w:spacing w:line="480" w:lineRule="auto"/>
        <w:ind w:firstLine="720"/>
      </w:pPr>
      <w:r>
        <w:t xml:space="preserve">TierWeight_i = α + β_1 TopicCount_i + ε_i</w:t>
      </w:r>
    </w:p>
    <w:p>
      <w:pPr>
        <w:pStyle w:val="BodyText"/>
        <w:spacing w:line="480" w:lineRule="auto"/>
        <w:ind w:firstLine="720"/>
      </w:pPr>
      <w:r>
        <w:t xml:space="preserve">The result is stark. The estimated topic-count coefficient is 9.45 percentage points, statistically significant at robust p &lt; 0.001. The model explains 88.4 percent of the observed variation in tier-score weights across the six modules. Read plainly, each additional sustainability topic mapped to a module is associated with roughly 9.45 additional tier-weight percentage points, or about ten points, in the published rating design. The sample is N equals six modules, the entire current population of the instrument’s scoring architecture rather than a draw from a larger universe.</w:t>
      </w:r>
    </w:p>
    <w:p>
      <w:pPr>
        <w:pStyle w:val="BodyText"/>
        <w:spacing w:line="480" w:lineRule="auto"/>
        <w:ind w:firstLine="720"/>
      </w:pPr>
      <w:r>
        <w:t xml:space="preserve">The pattern behind that coefficient is legible in the raw values. Mission Index carries five mapped topics and 50.0 percent of the tier weight; it is the module that touches orbit selection, debris release, accidental breakup, post-mission disposal, and collision avoidance, and it carries the heaviest formal weight by a wide margin. Collision Avoidance Capabilities and Data Sharing each carry 16.5 percent, enough to matter without dominating, with two and one mapped topics respectively. Detectability, Identification, and Trackability carries 12.0 percent plus bonus potential on a single topic. Adoption of Design and Operations Standards carries 5.0 percent with no mapped topic, and External Services carries 0.0 percent of the tier weight on one topic while remaining eligible for bonus points. The high R-squared says that topic breadth, a single institutional variable, accounts for most of how the instrument distributes its formal weight.</w:t>
      </w:r>
    </w:p>
    <w:p>
      <w:pPr>
        <w:pStyle w:val="BodyText"/>
        <w:spacing w:line="480" w:lineRule="auto"/>
        <w:ind w:firstLine="720"/>
      </w:pPr>
      <w:r>
        <w:t xml:space="preserve">The interpretation is a proportionality finding in Ostrom’s sense. The rating does not spread its weight evenly across every voluntary promise, and it does not concentrate weight on convenient paperwork. It concentrates weight where lifecycle burden concentrates. That is precisely the design feature the theory predicts a durable commons instrument should carry: standing tied to the burdens through which operators impose costs on one another rather than to aspirational language. The result should not be overread, and the study is explicit about this. Six modules cannot support causal inference, and the coefficient measures the instrument’s internal architecture, not any operator’s compliance after a rating is issued. What it establishes is narrower and still valuable: one concrete Ostrom-like rule, proportionality between standing and burden, is present and measurable inside a real voluntary tool.</w:t>
      </w:r>
    </w:p>
    <w:bookmarkEnd w:id="118"/>
    <w:bookmarkStart w:id="119" w:name="Xc1edc83298be30a7052e6c49b32651e4e98b449"/>
    <w:p>
      <w:pPr>
        <w:pStyle w:val="Heading2"/>
        <w:spacing w:line="480" w:lineRule="auto"/>
      </w:pPr>
      <w:r>
        <w:t xml:space="preserve">What the residual variation in the rating tells us</w:t>
      </w:r>
    </w:p>
    <w:p>
      <w:pPr>
        <w:pStyle w:val="FirstParagraph"/>
        <w:spacing w:line="480" w:lineRule="auto"/>
      </w:pPr>
      <w:r>
        <w:t xml:space="preserve">The 88.4 percent of variation that topic count explains leaves 11.6 percent unexplained, and that residual is informative rather than noise to be dismissed</w:t>
      </w:r>
      <w:r>
        <w:t xml:space="preserve"> </w:t>
      </w:r>
      <w:hyperlink w:anchor="ref-5">
        <w:r>
          <w:rPr>
            <w:rStyle w:val="Hyperlink"/>
          </w:rPr>
          <w:t xml:space="preserve">[5]</w:t>
        </w:r>
      </w:hyperlink>
      <w:r>
        <w:t xml:space="preserve">. The modules that sit in the residual are the ones where the instrument’s designers chose weight for reasons beyond raw topic breadth. Data Sharing carries 16.5 percent on a single mapped topic, more than its topic count alone would predict, which signals that the design treats shared data as foundational to every other principle rather than as one topic among many</w:t>
      </w:r>
      <w:r>
        <w:t xml:space="preserve"> </w:t>
      </w:r>
      <w:hyperlink w:anchor="ref-8">
        <w:r>
          <w:rPr>
            <w:rStyle w:val="Hyperlink"/>
          </w:rPr>
          <w:t xml:space="preserve">[8]</w:t>
        </w:r>
      </w:hyperlink>
      <w:r>
        <w:t xml:space="preserve"> </w:t>
      </w:r>
      <w:hyperlink w:anchor="ref-11">
        <w:r>
          <w:rPr>
            <w:rStyle w:val="Hyperlink"/>
          </w:rPr>
          <w:t xml:space="preserve">[11]</w:t>
        </w:r>
      </w:hyperlink>
      <w:r>
        <w:t xml:space="preserve">. Adoption of Design and Operations Standards carries 5.0 percent on zero mapped topics, a small but nonzero weight that keeps standards adoption inside the scoring conversation even though the lifecycle table maps no specific topic to it. These deviations are not errors in the design; they are the design expressing judgments that a single-variable model cannot capture, and the model’s honesty is that it reports how much such judgment adds rather than absorbing it silently.</w:t>
      </w:r>
    </w:p>
    <w:p>
      <w:pPr>
        <w:pStyle w:val="BodyText"/>
        <w:spacing w:line="480" w:lineRule="auto"/>
        <w:ind w:firstLine="720"/>
      </w:pPr>
      <w:r>
        <w:t xml:space="preserve">Read this way, the high R-squared and the visible residual work together. The R-squared says that a simple proportionality rule organizes most of the instrument’s weighting, which validates the proportionality proxy as a real feature. The residual says that the designers layered additional institutional judgments on top of that rule, weighting data sharing and standards adoption above what breadth alone would grant. Both facts are governance content, and both are legible only because the model separates the systematic pattern from the deliberate exception.</w:t>
      </w:r>
    </w:p>
    <w:bookmarkEnd w:id="119"/>
    <w:bookmarkStart w:id="120" w:name="X928bfbf4f558349990fc438b3d15b59b0afd262"/>
    <w:p>
      <w:pPr>
        <w:pStyle w:val="Heading2"/>
        <w:spacing w:line="480" w:lineRule="auto"/>
      </w:pPr>
      <w:r>
        <w:t xml:space="preserve">Result two: the field specializes rather than accumulates</w:t>
      </w:r>
    </w:p>
    <w:p>
      <w:pPr>
        <w:pStyle w:val="FirstParagraph"/>
        <w:spacing w:line="480" w:lineRule="auto"/>
      </w:pPr>
      <w:r>
        <w:t xml:space="preserve">The second study asks whether governance design completeness accumulates over time across the field’s instruments, fitting a log-log learning curve of the coded Ostrom design score on publication order across the nine-document corpus</w:t>
      </w:r>
      <w:r>
        <w:t xml:space="preserve"> </w:t>
      </w:r>
      <w:hyperlink w:anchor="ref-12">
        <w:r>
          <w:rPr>
            <w:rStyle w:val="Hyperlink"/>
          </w:rPr>
          <w:t xml:space="preserve">[12]</w:t>
        </w:r>
      </w:hyperlink>
      <w:r>
        <w:t xml:space="preserve">. The fitted model is</w:t>
      </w:r>
    </w:p>
    <w:p>
      <w:pPr>
        <w:pStyle w:val="BodyText"/>
        <w:spacing w:line="480" w:lineRule="auto"/>
        <w:ind w:firstLine="720"/>
      </w:pPr>
      <w:r>
        <w:t xml:space="preserve">ln(DesignScore_i) = α + β_1 ln(PublicationOrder_i) + ε_i</w:t>
      </w:r>
    </w:p>
    <w:p>
      <w:pPr>
        <w:pStyle w:val="BodyText"/>
        <w:spacing w:line="480" w:lineRule="auto"/>
        <w:ind w:firstLine="720"/>
      </w:pPr>
      <w:r>
        <w:t xml:space="preserve">The slope is nearly flat. The estimated learning elasticity is about 0.118 and is not statistically distinguishable from zero. The model explains only about 8.3 percent of the variation in the coded design scores. In plain language, a document’s later position in the corpus does not reliably predict a more complete Ostrom design profile. The sample is N equals nine coded governance documents spanning 2018 through 2025.</w:t>
      </w:r>
    </w:p>
    <w:p>
      <w:pPr>
        <w:pStyle w:val="BodyText"/>
        <w:spacing w:line="480" w:lineRule="auto"/>
        <w:ind w:firstLine="720"/>
      </w:pPr>
      <w:r>
        <w:t xml:space="preserve">The coded scores themselves show why the elasticity is weak. The 2018 optical-identifier proposal scores three, and the 2024 uncontrolled-reentry risk assessment also scores three, not because the later work is weaker scholarship but because it is a risk-assessment and mitigation paper rather than a governance design</w:t>
      </w:r>
      <w:r>
        <w:t xml:space="preserve"> </w:t>
      </w:r>
      <w:hyperlink w:anchor="ref-3">
        <w:r>
          <w:rPr>
            <w:rStyle w:val="Hyperlink"/>
          </w:rPr>
          <w:t xml:space="preserve">[3]</w:t>
        </w:r>
      </w:hyperlink>
      <w:r>
        <w:t xml:space="preserve"> </w:t>
      </w:r>
      <w:hyperlink w:anchor="ref-7">
        <w:r>
          <w:rPr>
            <w:rStyle w:val="Hyperlink"/>
          </w:rPr>
          <w:t xml:space="preserve">[7]</w:t>
        </w:r>
      </w:hyperlink>
      <w:r>
        <w:t xml:space="preserve">. The 2020 situational-awareness contribution to rating definition and the 2022 Montreal Protocol analogy both score six, already integrating incentives, monitoring, and nested governance ideas years before the corpus ends</w:t>
      </w:r>
      <w:r>
        <w:t xml:space="preserve"> </w:t>
      </w:r>
      <w:hyperlink w:anchor="ref-8">
        <w:r>
          <w:rPr>
            <w:rStyle w:val="Hyperlink"/>
          </w:rPr>
          <w:t xml:space="preserve">[8]</w:t>
        </w:r>
      </w:hyperlink>
      <w:r>
        <w:t xml:space="preserve"> </w:t>
      </w:r>
      <w:hyperlink w:anchor="ref-1">
        <w:r>
          <w:rPr>
            <w:rStyle w:val="Hyperlink"/>
          </w:rPr>
          <w:t xml:space="preserve">[1]</w:t>
        </w:r>
      </w:hyperlink>
      <w:r>
        <w:t xml:space="preserve">. The 2023 documents, the ISON decentralized-sharing analysis, the source-sink decision-support model, and the trusted-stakeholder-coordination paper, each score five, distributing their design content across monitoring, participation, and self-organization in different mixes</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11">
        <w:r>
          <w:rPr>
            <w:rStyle w:val="Hyperlink"/>
          </w:rPr>
          <w:t xml:space="preserve">[11]</w:t>
        </w:r>
      </w:hyperlink>
      <w:r>
        <w:t xml:space="preserve">. The 2025 rating article scores seven, the highest in the corpus, because it is a composite indicator with module boundaries, weighting, incentives, questionnaire inputs, verification, lifecycle topics, and nested standards, though it still lacks an explicit dispute process</w:t>
      </w:r>
      <w:r>
        <w:t xml:space="preserve"> </w:t>
      </w:r>
      <w:hyperlink w:anchor="ref-5">
        <w:r>
          <w:rPr>
            <w:rStyle w:val="Hyperlink"/>
          </w:rPr>
          <w:t xml:space="preserve">[5]</w:t>
        </w:r>
      </w:hyperlink>
      <w:r>
        <w:t xml:space="preserve">. The 2025 outreach article scores five, sitting in the middle because it is a stakeholder-communication architecture rather than a compliance architecture</w:t>
      </w:r>
      <w:r>
        <w:t xml:space="preserve"> </w:t>
      </w:r>
      <w:hyperlink w:anchor="ref-6">
        <w:r>
          <w:rPr>
            <w:rStyle w:val="Hyperlink"/>
          </w:rPr>
          <w:t xml:space="preserve">[6]</w:t>
        </w:r>
      </w:hyperlink>
      <w:r>
        <w:t xml:space="preserve">.</w:t>
      </w:r>
    </w:p>
    <w:p>
      <w:pPr>
        <w:pStyle w:val="BodyText"/>
        <w:spacing w:line="480" w:lineRule="auto"/>
        <w:ind w:firstLine="720"/>
      </w:pPr>
      <w:r>
        <w:t xml:space="preserve">A weak learning curve is not a failed finding. It is the finding the dissertation needs. Voluntary orbital-sustainability governance is not becoming complete through the passage of time alone. It is becoming distributed across instruments that each solve a different part of the commons problem. The identifier answers a boundary and observability problem</w:t>
      </w:r>
      <w:r>
        <w:t xml:space="preserve"> </w:t>
      </w:r>
      <w:hyperlink w:anchor="ref-3">
        <w:r>
          <w:rPr>
            <w:rStyle w:val="Hyperlink"/>
          </w:rPr>
          <w:t xml:space="preserve">[3]</w:t>
        </w:r>
      </w:hyperlink>
      <w:r>
        <w:t xml:space="preserve">. The decentralized network answers a monitoring and polycentricity problem</w:t>
      </w:r>
      <w:r>
        <w:t xml:space="preserve"> </w:t>
      </w:r>
      <w:hyperlink w:anchor="ref-2">
        <w:r>
          <w:rPr>
            <w:rStyle w:val="Hyperlink"/>
          </w:rPr>
          <w:t xml:space="preserve">[2]</w:t>
        </w:r>
      </w:hyperlink>
      <w:r>
        <w:t xml:space="preserve">. The source-sink model answers an adaptive-management problem</w:t>
      </w:r>
      <w:r>
        <w:t xml:space="preserve"> </w:t>
      </w:r>
      <w:hyperlink w:anchor="ref-4">
        <w:r>
          <w:rPr>
            <w:rStyle w:val="Hyperlink"/>
          </w:rPr>
          <w:t xml:space="preserve">[4]</w:t>
        </w:r>
      </w:hyperlink>
      <w:r>
        <w:t xml:space="preserve">. The rating answers an incentive and verification problem</w:t>
      </w:r>
      <w:r>
        <w:t xml:space="preserve"> </w:t>
      </w:r>
      <w:hyperlink w:anchor="ref-5">
        <w:r>
          <w:rPr>
            <w:rStyle w:val="Hyperlink"/>
          </w:rPr>
          <w:t xml:space="preserve">[5]</w:t>
        </w:r>
      </w:hyperlink>
      <w:r>
        <w:t xml:space="preserve">. The outreach architecture answers a stakeholder-nesting problem</w:t>
      </w:r>
      <w:r>
        <w:t xml:space="preserve"> </w:t>
      </w:r>
      <w:hyperlink w:anchor="ref-6">
        <w:r>
          <w:rPr>
            <w:rStyle w:val="Hyperlink"/>
          </w:rPr>
          <w:t xml:space="preserve">[6]</w:t>
        </w:r>
      </w:hyperlink>
      <w:r>
        <w:t xml:space="preserve">. None of them assembles all eight principles, and no later instrument dominates the earlier ones on completeness.</w:t>
      </w:r>
    </w:p>
    <w:bookmarkEnd w:id="120"/>
    <w:bookmarkStart w:id="121" w:name="Xaab2177f2cefdecf39288667ef926540e775426"/>
    <w:p>
      <w:pPr>
        <w:pStyle w:val="Heading2"/>
        <w:spacing w:line="480" w:lineRule="auto"/>
      </w:pPr>
      <w:r>
        <w:t xml:space="preserve">The magnitude of the rating coefficient in context</w:t>
      </w:r>
    </w:p>
    <w:p>
      <w:pPr>
        <w:pStyle w:val="FirstParagraph"/>
        <w:spacing w:line="480" w:lineRule="auto"/>
      </w:pPr>
      <w:r>
        <w:t xml:space="preserve">A coefficient of 9.45 tier-weight percentage points per mapped topic is not merely statistically distinguishable from zero; it is large in the practical terms the instrument itself defines</w:t>
      </w:r>
      <w:r>
        <w:t xml:space="preserve"> </w:t>
      </w:r>
      <w:hyperlink w:anchor="ref-5">
        <w:r>
          <w:rPr>
            <w:rStyle w:val="Hyperlink"/>
          </w:rPr>
          <w:t xml:space="preserve">[5]</w:t>
        </w:r>
      </w:hyperlink>
      <w:r>
        <w:t xml:space="preserve">. The full tier score spans one hundred points, so 9.45 points is nearly a tenth of the entire scoring budget attaching to each additional sustainability topic a module carries. A module that carries five topics, as Mission Index does, is thereby positioned to command roughly forty-seven points of formal weight before the intercept is even considered, which tracks its observed 50.0 percent almost exactly. The magnitude is not a faint tendency detectable only through statistical machinery; it is the dominant organizing principle of the published weighting, which is why a single regressor explains 88.4 percent of the variation across the six modules.</w:t>
      </w:r>
    </w:p>
    <w:p>
      <w:pPr>
        <w:pStyle w:val="BodyText"/>
        <w:spacing w:line="480" w:lineRule="auto"/>
        <w:ind w:firstLine="720"/>
      </w:pPr>
      <w:r>
        <w:t xml:space="preserve">The practical size matters for the institutional reading because it distinguishes a token gesture from a structural commitment. An instrument could acknowledge topic breadth with a small, decorative weight adjustment while reserving most of its scoring budget for other considerations. The rating does the opposite: it lets topic breadth drive the lion’s share of the weighting, which means an operator seeking a strong rating must engage the modules that carry the broadest lifecycle burden rather than cherry-picking narrow, convenient modules. That is the behavioral edge proportionality is meant to create, visible in the design before any operator response is observed.</w:t>
      </w:r>
    </w:p>
    <w:bookmarkEnd w:id="121"/>
    <w:bookmarkStart w:id="122" w:name="Xfc52159dd9dd4e51fa5fce065b267db9d6ed486"/>
    <w:p>
      <w:pPr>
        <w:pStyle w:val="Heading2"/>
        <w:spacing w:line="480" w:lineRule="auto"/>
      </w:pPr>
      <w:r>
        <w:t xml:space="preserve">Reading the rating coefficient against the module structure</w:t>
      </w:r>
    </w:p>
    <w:p>
      <w:pPr>
        <w:pStyle w:val="FirstParagraph"/>
        <w:spacing w:line="480" w:lineRule="auto"/>
      </w:pPr>
      <w:r>
        <w:t xml:space="preserve">The 9.45-point coefficient becomes more informative when set against the specific modules that generate it</w:t>
      </w:r>
      <w:r>
        <w:t xml:space="preserve"> </w:t>
      </w:r>
      <w:hyperlink w:anchor="ref-5">
        <w:r>
          <w:rPr>
            <w:rStyle w:val="Hyperlink"/>
          </w:rPr>
          <w:t xml:space="preserve">[5]</w:t>
        </w:r>
      </w:hyperlink>
      <w:r>
        <w:t xml:space="preserve">. Consider the two modules that share a tier weight of 16.5 percent: Collision Avoidance Capabilities carries two mapped topics, and Data Sharing carries one. That the instrument assigns them equal weight despite different topic counts is not a contradiction of the topic-count relationship but a reminder that the relationship is a strong central tendency rather than a deterministic rule; the 88.4 percent R-squared leaves 11.6 percent of the variation to features the single regressor does not capture, and these two modules live in that residual. The design evidently treats data sharing as institutionally weighty out of proportion to its single mapped topic, which is consistent with the field’s broader conviction that observability and shared data underpin every other principle</w:t>
      </w:r>
      <w:r>
        <w:t xml:space="preserve"> </w:t>
      </w:r>
      <w:hyperlink w:anchor="ref-8">
        <w:r>
          <w:rPr>
            <w:rStyle w:val="Hyperlink"/>
          </w:rPr>
          <w:t xml:space="preserve">[8]</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zero-weight module is equally instructive. External Services carries one mapped topic yet contributes 0.0 percent to the tier score while remaining eligible for bonus points</w:t>
      </w:r>
      <w:r>
        <w:t xml:space="preserve"> </w:t>
      </w:r>
      <w:hyperlink w:anchor="ref-5">
        <w:r>
          <w:rPr>
            <w:rStyle w:val="Hyperlink"/>
          </w:rPr>
          <w:t xml:space="preserve">[5]</w:t>
        </w:r>
      </w:hyperlink>
      <w:r>
        <w:t xml:space="preserve">. The instrument thereby keeps servicing and active-debris-removal interfaces inside the design conversation without pretending it can score a technology whose standards are still forming. That is a governance choice with an Ostrom reading: it declines to fix a weight where the underlying activity is too immature to price, preferring bonus eligibility to a false precision. A voluntary compact that scored every future capability at a fixed weight today would be claiming knowledge it does not have, and the design’s restraint here is a feature rather than a gap.</w:t>
      </w:r>
    </w:p>
    <w:bookmarkEnd w:id="122"/>
    <w:bookmarkStart w:id="123" w:name="Xbd100e3c2f3bf02f66cddc041397c0ec5f25aad"/>
    <w:p>
      <w:pPr>
        <w:pStyle w:val="Heading2"/>
        <w:spacing w:line="480" w:lineRule="auto"/>
      </w:pPr>
      <w:r>
        <w:t xml:space="preserve">Reading the elasticity against the coded scores</w:t>
      </w:r>
    </w:p>
    <w:p>
      <w:pPr>
        <w:pStyle w:val="FirstParagraph"/>
        <w:spacing w:line="480" w:lineRule="auto"/>
      </w:pPr>
      <w:r>
        <w:t xml:space="preserve">The 0.118 elasticity gains meaning from the shape of the coded series rather than from its slope alone</w:t>
      </w:r>
      <w:r>
        <w:t xml:space="preserve"> </w:t>
      </w:r>
      <w:hyperlink w:anchor="ref-12">
        <w:r>
          <w:rPr>
            <w:rStyle w:val="Hyperlink"/>
          </w:rPr>
          <w:t xml:space="preserve">[12]</w:t>
        </w:r>
      </w:hyperlink>
      <w:r>
        <w:t xml:space="preserve">. The series does not fall over time, which would signal decay, nor does it climb, which would signal accumulation; it oscillates. The highest score, seven, belongs to the most recent composite instrument, but the second-highest scores, both six, belong to documents from 2020 and 2022, well before the corpus ends</w:t>
      </w:r>
      <w:r>
        <w:t xml:space="preserve"> </w:t>
      </w:r>
      <w:hyperlink w:anchor="ref-8">
        <w:r>
          <w:rPr>
            <w:rStyle w:val="Hyperlink"/>
          </w:rPr>
          <w:t xml:space="preserve">[8]</w:t>
        </w:r>
      </w:hyperlink>
      <w:r>
        <w:t xml:space="preserve"> </w:t>
      </w:r>
      <w:hyperlink w:anchor="ref-1">
        <w:r>
          <w:rPr>
            <w:rStyle w:val="Hyperlink"/>
          </w:rPr>
          <w:t xml:space="preserve">[1]</w:t>
        </w:r>
      </w:hyperlink>
      <w:r>
        <w:t xml:space="preserve"> </w:t>
      </w:r>
      <w:hyperlink w:anchor="ref-5">
        <w:r>
          <w:rPr>
            <w:rStyle w:val="Hyperlink"/>
          </w:rPr>
          <w:t xml:space="preserve">[5]</w:t>
        </w:r>
      </w:hyperlink>
      <w:r>
        <w:t xml:space="preserve">. The lowest scores, both three, bracket the series at its start and near its end, attaching to a narrowly scoped identifier and a risk-assessment paper that were never meant to be full governance designs</w:t>
      </w:r>
      <w:r>
        <w:t xml:space="preserve"> </w:t>
      </w:r>
      <w:hyperlink w:anchor="ref-3">
        <w:r>
          <w:rPr>
            <w:rStyle w:val="Hyperlink"/>
          </w:rPr>
          <w:t xml:space="preserve">[3]</w:t>
        </w:r>
      </w:hyperlink>
      <w:r>
        <w:t xml:space="preserve"> </w:t>
      </w:r>
      <w:hyperlink w:anchor="ref-7">
        <w:r>
          <w:rPr>
            <w:rStyle w:val="Hyperlink"/>
          </w:rPr>
          <w:t xml:space="preserve">[7]</w:t>
        </w:r>
      </w:hyperlink>
      <w:r>
        <w:t xml:space="preserve">. A series that puts its high and low values at both ends of the time axis cannot yield a steep learning curve, and the near-zero R-squared of 8.3 percent records exactly that scatter.</w:t>
      </w:r>
    </w:p>
    <w:p>
      <w:pPr>
        <w:pStyle w:val="BodyText"/>
        <w:spacing w:line="480" w:lineRule="auto"/>
        <w:ind w:firstLine="720"/>
      </w:pPr>
      <w:r>
        <w:t xml:space="preserve">The oscillation is the substantive result. It says that a document’s design completeness is set by what kind of instrument it is, an identifier, a model, a rating, an outreach architecture, not by when it was written. A risk assessment scores low because assessing reentry hazard is not the same task as governing a commons, even though both are sustainability work</w:t>
      </w:r>
      <w:r>
        <w:t xml:space="preserve"> </w:t>
      </w:r>
      <w:hyperlink w:anchor="ref-7">
        <w:r>
          <w:rPr>
            <w:rStyle w:val="Hyperlink"/>
          </w:rPr>
          <w:t xml:space="preserve">[7]</w:t>
        </w:r>
      </w:hyperlink>
      <w:r>
        <w:t xml:space="preserve">. A composite rating scores high because packaging boundaries, incentives, monitoring, and nesting into one instrument is what a rating does</w:t>
      </w:r>
      <w:r>
        <w:t xml:space="preserve"> </w:t>
      </w:r>
      <w:hyperlink w:anchor="ref-5">
        <w:r>
          <w:rPr>
            <w:rStyle w:val="Hyperlink"/>
          </w:rPr>
          <w:t xml:space="preserve">[5]</w:t>
        </w:r>
      </w:hyperlink>
      <w:r>
        <w:t xml:space="preserve">. Time is orthogonal to this typology, which is why the elasticity cannot be distinguished from zero and why the portfolio reading survives.</w:t>
      </w:r>
    </w:p>
    <w:bookmarkEnd w:id="123"/>
    <w:bookmarkStart w:id="124" w:name="what-the-two-results-jointly-imply"/>
    <w:p>
      <w:pPr>
        <w:pStyle w:val="Heading2"/>
        <w:spacing w:line="480" w:lineRule="auto"/>
      </w:pPr>
      <w:r>
        <w:t xml:space="preserve">What the two results jointly imply</w:t>
      </w:r>
    </w:p>
    <w:p>
      <w:pPr>
        <w:pStyle w:val="FirstParagraph"/>
        <w:spacing w:line="480" w:lineRule="auto"/>
      </w:pPr>
      <w:r>
        <w:t xml:space="preserve">Placed side by side, the two results do complementary work. The first shows that inside a single leading instrument, formal weight follows lifecycle burden, so proportionality is not merely present in name but drives most of the instrument’s scoring architecture, with a coefficient of 9.45 points per topic and an R-squared of 88.4 percent. The second shows that across instruments, the design principles do not arrive together or in chronological order; they arrive in pieces, with a learning elasticity of 0.118 that cannot be distinguished from zero and an R-squared of only 8.3 percent. The construct at the center of the dissertation therefore behaves exactly as a coherent institutional variable should: it varies meaningfully within an instrument, and it varies unevenly across instruments, unevenly enough that a simple time trend cannot explain the pattern.</w:t>
      </w:r>
    </w:p>
    <w:p>
      <w:pPr>
        <w:pStyle w:val="BodyText"/>
        <w:spacing w:line="480" w:lineRule="auto"/>
        <w:ind w:firstLine="720"/>
      </w:pPr>
      <w:r>
        <w:t xml:space="preserve">A skeptic might object that two descriptive results, one on six modules and one on nine documents, are thin ground for a dissertation. The objection misreads their role. Neither result is asked to carry the causal claim; both are asked to establish that the treatment variable is real, and for that narrower burden the small samples suffice because they are populations rather than samples. The six modules are the whole rating, and the coefficient of 9.45 points with an R-squared of 88.4 percent describes it completely</w:t>
      </w:r>
      <w:r>
        <w:t xml:space="preserve"> </w:t>
      </w:r>
      <w:hyperlink w:anchor="ref-5">
        <w:r>
          <w:rPr>
            <w:rStyle w:val="Hyperlink"/>
          </w:rPr>
          <w:t xml:space="preserve">[5]</w:t>
        </w:r>
      </w:hyperlink>
      <w:r>
        <w:t xml:space="preserve">. The nine documents are the framing corpus, and the elasticity of 0.118 with an R-squared of 8.3 percent describes it completely</w:t>
      </w:r>
      <w:r>
        <w:t xml:space="preserve"> </w:t>
      </w:r>
      <w:hyperlink w:anchor="ref-12">
        <w:r>
          <w:rPr>
            <w:rStyle w:val="Hyperlink"/>
          </w:rPr>
          <w:t xml:space="preserve">[12]</w:t>
        </w:r>
      </w:hyperlink>
      <w:r>
        <w:t xml:space="preserve">. Completeness of description, not breadth of sampling, is what these results offer, and completeness is exactly what a validation of the treatment construct requires.</w:t>
      </w:r>
    </w:p>
    <w:p>
      <w:pPr>
        <w:pStyle w:val="BodyText"/>
        <w:spacing w:line="480" w:lineRule="auto"/>
        <w:ind w:firstLine="720"/>
      </w:pPr>
      <w:r>
        <w:t xml:space="preserve">That joint pattern is what licenses the primary debris test rather than pre-empting it. If proportionality were absent from real instruments, the design score would be measuring nothing operators respond to. If completeness accumulated automatically over time, publication date would proxy for design quality and the score would be redundant. Neither holds. Proportionality is present and dominant inside the rating, and completeness is distributed rather than cumulative across the corpus, so the design-principles score captures real, uneven institutional content that a debris model can then test for a physical signature. The two completed results do not demonstrate that better-designed commitments produce cleaner orbits; they were never designed to, and claiming otherwise would violate the honesty the whole project depends on. They demonstrate that the treatment is real, measurable, and heterogeneous, which is the necessary groundwork for the falsifiable operator-level test the dissertation proposes.</w:t>
      </w:r>
    </w:p>
    <w:p>
      <w:pPr>
        <w:pStyle w:val="BodyText"/>
        <w:spacing w:line="480" w:lineRule="auto"/>
        <w:ind w:firstLine="720"/>
      </w:pPr>
      <w:r>
        <w:t xml:space="preserve">It is worth stating once more, plainly, what has and has not been shown, because the temptation to overclaim is strongest at a chapter’s end. What has been shown is two descriptive facts about real institutions: that a leading voluntary rating prices lifecycle burden proportionally, with each mapped topic worth 9.45 tier-weight points and topic breadth explaining 88.4 percent of the weighting across six modules; and that governance design completeness does not accumulate with time, with a learning elasticity of 0.118 indistinguishable from zero and an R-squared of 8.3 percent across nine documents</w:t>
      </w:r>
      <w:r>
        <w:t xml:space="preserve"> </w:t>
      </w:r>
      <w:hyperlink w:anchor="ref-5">
        <w:r>
          <w:rPr>
            <w:rStyle w:val="Hyperlink"/>
          </w:rPr>
          <w:t xml:space="preserve">[5]</w:t>
        </w:r>
      </w:hyperlink>
      <w:r>
        <w:t xml:space="preserve"> </w:t>
      </w:r>
      <w:hyperlink w:anchor="ref-12">
        <w:r>
          <w:rPr>
            <w:rStyle w:val="Hyperlink"/>
          </w:rPr>
          <w:t xml:space="preserve">[12]</w:t>
        </w:r>
      </w:hyperlink>
      <w:r>
        <w:t xml:space="preserve">. What has not been shown, and what these studies never attempted, is any claim that better-designed commitments cause cleaner orbits. That claim awaits the primary debris test, and reporting these two results as if they had already established it would betray the honesty the whole project rests on.</w:t>
      </w:r>
    </w:p>
    <w:p>
      <w:pPr>
        <w:pStyle w:val="BodyText"/>
        <w:spacing w:line="480" w:lineRule="auto"/>
        <w:ind w:firstLine="720"/>
      </w:pPr>
      <w:r>
        <w:t xml:space="preserve">The two coefficients, 9.45 and 0.118, are worth holding side by side one final time, because their contrast is the chapter’s lesson</w:t>
      </w:r>
      <w:r>
        <w:t xml:space="preserve"> </w:t>
      </w:r>
      <w:hyperlink w:anchor="ref-5">
        <w:r>
          <w:rPr>
            <w:rStyle w:val="Hyperlink"/>
          </w:rPr>
          <w:t xml:space="preserve">[5]</w:t>
        </w:r>
      </w:hyperlink>
      <w:r>
        <w:t xml:space="preserve"> </w:t>
      </w:r>
      <w:hyperlink w:anchor="ref-12">
        <w:r>
          <w:rPr>
            <w:rStyle w:val="Hyperlink"/>
          </w:rPr>
          <w:t xml:space="preserve">[12]</w:t>
        </w:r>
      </w:hyperlink>
      <w:r>
        <w:t xml:space="preserve">. One is large, precise, and dominant, describing how a single instrument organizes its weight. The other is small, imprecise, and inert, describing how the field fails to organize its progress over time. A construct that produces both a sharp within-instrument signal and a flat across-instrument one is behaving as a real institutional variable should, varying where design choices are made and staying flat where mere chronology would predict change. That dual behavior is the empirical foundation the rest of the dissertation builds on. The next chapter turns to what these findings mean, and to the threats that bound how far they can be pushed.</w:t>
      </w:r>
    </w:p>
    <w:bookmarkEnd w:id="124"/>
    <w:bookmarkEnd w:id="125"/>
    <w:bookmarkStart w:id="134" w:name="discussion-and-limitations"/>
    <w:p>
      <w:pPr>
        <w:pStyle w:val="Heading1"/>
        <w:spacing w:line="480" w:lineRule="auto"/>
      </w:pPr>
      <w:r>
        <w:t xml:space="preserve">Discussion and Limitations</w:t>
      </w:r>
    </w:p>
    <w:p>
      <w:pPr>
        <w:pStyle w:val="FirstParagraph"/>
        <w:spacing w:line="480" w:lineRule="auto"/>
      </w:pPr>
      <w:r>
        <w:t xml:space="preserve">The two completed results say something real and something limited, and the value of the dissertation depends on keeping those two things separate. This chapter interprets what the findings mean for the study of voluntary orbital governance, then walks through the threats to validity that bound how far the results can travel, and finally names plainly what the data cannot show. A dissertation that overstates its findings buys a moment of confidence at the cost of its credibility. This one prefers to state its limits in full and let the disciplined claims stand.</w:t>
      </w:r>
    </w:p>
    <w:bookmarkStart w:id="126" w:name="what-the-findings-mean"/>
    <w:p>
      <w:pPr>
        <w:pStyle w:val="Heading2"/>
        <w:spacing w:line="480" w:lineRule="auto"/>
      </w:pPr>
      <w:r>
        <w:t xml:space="preserve">What the findings mean</w:t>
      </w:r>
    </w:p>
    <w:p>
      <w:pPr>
        <w:pStyle w:val="FirstParagraph"/>
        <w:spacing w:line="480" w:lineRule="auto"/>
      </w:pPr>
      <w:r>
        <w:t xml:space="preserve">Start with what changes. The first finding relocates the debate about voluntary sustainability schemes. Critics of voluntary governance often argue that such schemes reward the appearance of virtue: an operator collects credit for a glossy statement while committing to nothing costly. The rating result complicates that critique. Inside the instrument, formal weight follows lifecycle burden, with each mapped topic worth about 9.45 tier-weight points and topic breadth explaining 88.4 percent of the weighting pattern</w:t>
      </w:r>
      <w:r>
        <w:t xml:space="preserve"> </w:t>
      </w:r>
      <w:hyperlink w:anchor="ref-5">
        <w:r>
          <w:rPr>
            <w:rStyle w:val="Hyperlink"/>
          </w:rPr>
          <w:t xml:space="preserve">[5]</w:t>
        </w:r>
      </w:hyperlink>
      <w:r>
        <w:t xml:space="preserve">. The instrument concentrates its strongest formal weight on the module that carries the broadest environmental and coordination burden, Mission Index, and assigns zero tier weight to the module whose consequences are least direct. That is not the architecture of a scheme designed to reward paperwork. It is the architecture of a scheme trying to price burden. Whether operators respond to that pricing is a separate question the debris test would answer, but the pricing itself is present and measurable.</w:t>
      </w:r>
    </w:p>
    <w:p>
      <w:pPr>
        <w:pStyle w:val="BodyText"/>
        <w:spacing w:line="480" w:lineRule="auto"/>
        <w:ind w:firstLine="720"/>
      </w:pPr>
      <w:r>
        <w:t xml:space="preserve">The second finding reframes how the field should be read. A tempting narrative treats space sustainability as a cumulative march: each year brings better tracking, better ratings, more stakeholder categories, sharper models, so newer instruments must be more complete. The learning-curve result refuses that narrative. With an elasticity of 0.118 that cannot be distinguished from zero and an R-squared of only 8.3 percent, publication order does not predict design completeness</w:t>
      </w:r>
      <w:r>
        <w:t xml:space="preserve"> </w:t>
      </w:r>
      <w:hyperlink w:anchor="ref-12">
        <w:r>
          <w:rPr>
            <w:rStyle w:val="Hyperlink"/>
          </w:rPr>
          <w:t xml:space="preserve">[12]</w:t>
        </w:r>
      </w:hyperlink>
      <w:r>
        <w:t xml:space="preserve">. The instruments specialize. Identification, monitoring, adaptive modeling, incentives, and stakeholder nesting live in different tools built by different communities, and no single instrument assembles all eight of Ostrom’s principles</w:t>
      </w:r>
      <w:r>
        <w:t xml:space="preserve"> </w:t>
      </w:r>
      <w:hyperlink w:anchor="ref-3">
        <w:r>
          <w:rPr>
            <w:rStyle w:val="Hyperlink"/>
          </w:rPr>
          <w:t xml:space="preserve">[3]</w:t>
        </w:r>
      </w:hyperlink>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The policy implication is not despair but architecture. If completeness will not arrive by accretion, then someone has to make the specialized pieces reinforce one another deliberately, which is a design task rather than a waiting game.</w:t>
      </w:r>
    </w:p>
    <w:p>
      <w:pPr>
        <w:pStyle w:val="BodyText"/>
        <w:spacing w:line="480" w:lineRule="auto"/>
        <w:ind w:firstLine="720"/>
      </w:pPr>
      <w:r>
        <w:t xml:space="preserve">Taken together, the findings support treating voluntary orbital governance as a portfolio of partial complements rather than a single improving instrument or a single failing one. The construct at the center of the project, the count of Ostrom design features, varies meaningfully within an instrument and unevenly across instruments. That is the behavior of a real institutional variable, and it is what makes the proposed debris test worth running.</w:t>
      </w:r>
    </w:p>
    <w:bookmarkEnd w:id="126"/>
    <w:bookmarkStart w:id="127" w:name="threats-to-validity"/>
    <w:p>
      <w:pPr>
        <w:pStyle w:val="Heading2"/>
        <w:spacing w:line="480" w:lineRule="auto"/>
      </w:pPr>
      <w:r>
        <w:t xml:space="preserve">Threats to validity</w:t>
      </w:r>
    </w:p>
    <w:p>
      <w:pPr>
        <w:pStyle w:val="FirstParagraph"/>
        <w:spacing w:line="480" w:lineRule="auto"/>
      </w:pPr>
      <w:r>
        <w:t xml:space="preserve">Selection comes first. It is the gravest threat to the primary debris design. Operators that adopt stronger voluntary commitments may already run better engineering shops, so a raw correlation between design and clean orbits could reflect competence rather than commitment. The design confronts this through operator fixed effects, within-operator cohort comparison, pre-trend tests, and matched comparison within orbit-shell-year cells, but no observational design can fully exclude an unobserved factor that upgrades hardware and commitments in the same cohort. The completed results are not exposed to this threat, because they characterize instrument architecture and field evolution rather than operator behavior, but the primary test is, and honesty requires saying so before the data are collected rather than after.</w:t>
      </w:r>
    </w:p>
    <w:p>
      <w:pPr>
        <w:pStyle w:val="BodyText"/>
        <w:spacing w:line="480" w:lineRule="auto"/>
        <w:ind w:firstLine="720"/>
      </w:pPr>
      <w:r>
        <w:t xml:space="preserve">Rarity is next. Outcome rarity is the second threat. Debris-generating events are infrequent, which limits statistical power and raises the risk that a true effect goes undetected. The design responds by reporting power calculations before estimation and by treating imprecise estimates as substantively informative rather than as failed confirmation. An interval that cannot exclude zero is not the same as an estimate of zero, and the reporting will keep that distinction visible.</w:t>
      </w:r>
    </w:p>
    <w:p>
      <w:pPr>
        <w:pStyle w:val="BodyText"/>
        <w:spacing w:line="480" w:lineRule="auto"/>
        <w:ind w:firstLine="720"/>
      </w:pPr>
      <w:r>
        <w:t xml:space="preserve">Attribution error is the third threat and it cuts in both directions. Cataloged debris cannot always be traced to a specific operator or spacecraft, and a permissive attribution rule would credit an operator with fragments that belong to no one in particular, while a strict rule discards ambiguous objects and shrinks the sample. The design chooses the strict rule for the primary analysis, using only objects with defensible launch-cohort linkage and analyzing ambiguous objects separately, because inflating the outcome is the more dangerous error for a causal claim. Observability technologies that make attribution cheaper, from optical identifiers to decentralized situational-awareness networks, would relax this constraint if adopted, but the analysis cannot assume infrastructure that does not yet exist at scale</w:t>
      </w:r>
      <w:r>
        <w:t xml:space="preserve"> </w:t>
      </w:r>
      <w:hyperlink w:anchor="ref-3">
        <w:r>
          <w:rPr>
            <w:rStyle w:val="Hyperlink"/>
          </w:rPr>
          <w:t xml:space="preserve">[3]</w:t>
        </w:r>
      </w:hyperlink>
      <w:r>
        <w:t xml:space="preserve"> </w:t>
      </w:r>
      <w:hyperlink w:anchor="ref-2">
        <w:r>
          <w:rPr>
            <w:rStyle w:val="Hyperlink"/>
          </w:rPr>
          <w:t xml:space="preserve">[2]</w:t>
        </w:r>
      </w:hyperlink>
      <w:r>
        <w:t xml:space="preserve">.</w:t>
      </w:r>
    </w:p>
    <w:p>
      <w:pPr>
        <w:pStyle w:val="BodyText"/>
        <w:spacing w:line="480" w:lineRule="auto"/>
        <w:ind w:firstLine="720"/>
      </w:pPr>
      <w:r>
        <w:t xml:space="preserve">Right censoring is the fourth threat. Recent launches have shorter observation windows, so a cohort observed for eighteen months looks cleaner than an identical cohort observed for thirty-six simply because fewer fragments have had time to appear. Fixing the primary window at thirty-six months with censoring indicators, and excluding cohorts without sufficient follow-up from the primary model while retaining them for descriptive appendices, bounds this bias without pretending it away.</w:t>
      </w:r>
    </w:p>
    <w:p>
      <w:pPr>
        <w:pStyle w:val="BodyText"/>
        <w:spacing w:line="480" w:lineRule="auto"/>
        <w:ind w:firstLine="720"/>
      </w:pPr>
      <w:r>
        <w:t xml:space="preserve">Measurement error in commitment coding is the fifth threat, and it reaches the completed learning-curve result directly. The design score is a structured coding judgment, not a physical measurement, and another coder might assign a different score to borderline features, especially collective choice and nested coordination, whose textual cues are subtler than those for monitoring or boundaries. The workbook retains each binary code and a short evidence phrase for every source so that a second coder can audit the judgment, and the primary design uses two independent coders with reported agreement. Coding rewards documentable provisions rather than aspirational language, which reduces the risk that promotional tone inflates a score, but it does not eliminate the residual subjectivity in reading an institution off a document.</w:t>
      </w:r>
    </w:p>
    <w:p>
      <w:pPr>
        <w:pStyle w:val="BodyText"/>
        <w:spacing w:line="480" w:lineRule="auto"/>
        <w:ind w:firstLine="720"/>
      </w:pPr>
      <w:r>
        <w:t xml:space="preserve">Policy and technology shocks are the sixth threat. Changes in licensing standards, tracking capacity, launch practice, and disposal technology may coincide with commitment upgrades, confounding the timing the design relies on. Orbit-shell-by-year and launch-year controls bound these shocks, and event-study diagnostics test whether treated operators were already diverging before adoption, converting an assumption into a checkable prediction. External validity is the seventh threat: FCC-centered records overrepresent operators with U.S. market access, so the analysis reports U.S.-licensed and global-augmented samples separately rather than generalizing from one to the other.</w:t>
      </w:r>
    </w:p>
    <w:bookmarkEnd w:id="127"/>
    <w:bookmarkStart w:id="128" w:name="the-intercoder-reliability-question"/>
    <w:p>
      <w:pPr>
        <w:pStyle w:val="Heading2"/>
        <w:spacing w:line="480" w:lineRule="auto"/>
      </w:pPr>
      <w:r>
        <w:t xml:space="preserve">The intercoder-reliability question</w:t>
      </w:r>
    </w:p>
    <w:p>
      <w:pPr>
        <w:pStyle w:val="FirstParagraph"/>
        <w:spacing w:line="480" w:lineRule="auto"/>
      </w:pPr>
      <w:r>
        <w:t xml:space="preserve">Any measurement that reads an institution off a document raises the question of whether a second reader would see the same thing, and the dissertation treats intercoder reliability as a first-order limitation rather than a footnote. The completeness study’s eight proxies differ in how legibly they sit in text. Monitoring and boundaries are relatively unambiguous: a source either references situational-awareness data and identifiable objects or it does not</w:t>
      </w:r>
      <w:r>
        <w:t xml:space="preserve"> </w:t>
      </w:r>
      <w:hyperlink w:anchor="ref-2">
        <w:r>
          <w:rPr>
            <w:rStyle w:val="Hyperlink"/>
          </w:rPr>
          <w:t xml:space="preserve">[2]</w:t>
        </w:r>
      </w:hyperlink>
      <w:r>
        <w:t xml:space="preserve"> </w:t>
      </w:r>
      <w:hyperlink w:anchor="ref-3">
        <w:r>
          <w:rPr>
            <w:rStyle w:val="Hyperlink"/>
          </w:rPr>
          <w:t xml:space="preserve">[3]</w:t>
        </w:r>
      </w:hyperlink>
      <w:r>
        <w:t xml:space="preserve">. Collective choice and nested coordination are subtler, because a source can gesture at participation or multi-level structure without committing to it, and two conscientious coders can reasonably differ on whether the gesture crosses the threshold. The workbook’s retention of every binary code and an evidence phrase for each source is the mitigation, because it lets a dispute be adjudicated against the actual text rather than against a coder’s memory</w:t>
      </w:r>
      <w:r>
        <w:t xml:space="preserve"> </w:t>
      </w:r>
      <w:hyperlink w:anchor="ref-12">
        <w:r>
          <w:rPr>
            <w:rStyle w:val="Hyperlink"/>
          </w:rPr>
          <w:t xml:space="preserve">[12]</w:t>
        </w:r>
      </w:hyperlink>
      <w:r>
        <w:t xml:space="preserve">.</w:t>
      </w:r>
    </w:p>
    <w:p>
      <w:pPr>
        <w:pStyle w:val="BodyText"/>
        <w:spacing w:line="480" w:lineRule="auto"/>
        <w:ind w:firstLine="720"/>
      </w:pPr>
      <w:r>
        <w:t xml:space="preserve">The primary design goes further by using two independent coders and reporting their agreement, so that a reader can see how much the treatment depends on the coder before trusting any coefficient built on it. Low agreement would be a warning that the construct is too soft to support a causal claim, and reporting it honestly is preferable to hiding it behind a single coder’s confidence. This limitation cannot be fully dissolved, because institutional reading is interpretive by nature, but it can be bounded and disclosed, and disclosure is what separates a defensible measurement from an authoritative-sounding guess.</w:t>
      </w:r>
    </w:p>
    <w:bookmarkEnd w:id="128"/>
    <w:bookmarkStart w:id="129" w:name="X59a48d36d3c85ae2e6d4b797aed7d3cc9e9de48"/>
    <w:p>
      <w:pPr>
        <w:pStyle w:val="Heading2"/>
        <w:spacing w:line="480" w:lineRule="auto"/>
      </w:pPr>
      <w:r>
        <w:t xml:space="preserve">The counterfactual the study never observes</w:t>
      </w:r>
    </w:p>
    <w:p>
      <w:pPr>
        <w:pStyle w:val="FirstParagraph"/>
        <w:spacing w:line="480" w:lineRule="auto"/>
      </w:pPr>
      <w:r>
        <w:t xml:space="preserve">Every causal claim implies a counterfactual, and the honest limitation is that the dissertation never observes its own. The claim that a better-designed commitment reduces debris presupposes a world in which the same operator, in the same shell and year, made a weaker commitment and produced more debris. That world does not exist in the data; each operator-cohort made one commitment and produced one debris count. The within-operator design approximates the counterfactual by comparing an operator’s cohorts across its own commitment changes, but the approximation is only as good as the assumption that nothing else about the operator changed in step with the commitment</w:t>
      </w:r>
      <w:r>
        <w:t xml:space="preserve"> </w:t>
      </w:r>
      <w:hyperlink w:anchor="ref-7">
        <w:r>
          <w:rPr>
            <w:rStyle w:val="Hyperlink"/>
          </w:rPr>
          <w:t xml:space="preserve">[7]</w:t>
        </w:r>
      </w:hyperlink>
      <w:r>
        <w:t xml:space="preserve">. Where that assumption holds, the approximation is credible; where it fails, the counterfactual is misestimated and no amount of data volume corrects it.</w:t>
      </w:r>
    </w:p>
    <w:p>
      <w:pPr>
        <w:pStyle w:val="BodyText"/>
        <w:spacing w:line="480" w:lineRule="auto"/>
        <w:ind w:firstLine="720"/>
      </w:pPr>
      <w:r>
        <w:t xml:space="preserve">This is the structural ceiling on the whole enterprise. Observational data can support a disciplined conditional claim, and the diagnostics can make the identifying assumption checkable, but the true counterfactual remains unobserved, and a reader who wants the certainty of a randomized experiment will not find it here. Naming the ceiling is not defeatism; it is the precondition for making the conditional claim honestly, because a claim that pretended to observe its counterfactual would be claiming knowledge the data cannot provide.</w:t>
      </w:r>
    </w:p>
    <w:bookmarkEnd w:id="129"/>
    <w:bookmarkStart w:id="130" w:name="X18dfa6abe6bd0a0ce5d05b71594521b0215d7fd"/>
    <w:p>
      <w:pPr>
        <w:pStyle w:val="Heading2"/>
        <w:spacing w:line="480" w:lineRule="auto"/>
      </w:pPr>
      <w:r>
        <w:t xml:space="preserve">The generalizability of the two coded results</w:t>
      </w:r>
    </w:p>
    <w:p>
      <w:pPr>
        <w:pStyle w:val="FirstParagraph"/>
        <w:spacing w:line="480" w:lineRule="auto"/>
      </w:pPr>
      <w:r>
        <w:t xml:space="preserve">A specific worry attaches to inference from small, purposive samples, and it deserves a direct answer. The rating study’s six modules and the completeness study’s nine documents are not random draws, so classical generalization to a wider population is not available and is not claimed. The rating study describes the entire current population of the instrument’s modules, so within that instrument the description is complete rather than inferential; the risk is not sampling error but obsolescence, since a future revision of the rating could redistribute weight and change the coefficient</w:t>
      </w:r>
      <w:r>
        <w:t xml:space="preserve"> </w:t>
      </w:r>
      <w:hyperlink w:anchor="ref-5">
        <w:r>
          <w:rPr>
            <w:rStyle w:val="Hyperlink"/>
          </w:rPr>
          <w:t xml:space="preserve">[5]</w:t>
        </w:r>
      </w:hyperlink>
      <w:r>
        <w:t xml:space="preserve">. The completeness study’s corpus is selected for dissertation relevance, so its elasticity describes the sources that frame this project, not the universe of space-sustainability writing</w:t>
      </w:r>
      <w:r>
        <w:t xml:space="preserve"> </w:t>
      </w:r>
      <w:hyperlink w:anchor="ref-12">
        <w:r>
          <w:rPr>
            <w:rStyle w:val="Hyperlink"/>
          </w:rPr>
          <w:t xml:space="preserve">[12]</w:t>
        </w:r>
      </w:hyperlink>
      <w:r>
        <w:t xml:space="preserve">. A broader corpus might yield a different slope, and the honest posture is that the near-zero elasticity is evidence against cumulative progress in the relevant corpus rather than proof of specialization across the whole field.</w:t>
      </w:r>
    </w:p>
    <w:p>
      <w:pPr>
        <w:pStyle w:val="BodyText"/>
        <w:spacing w:line="480" w:lineRule="auto"/>
        <w:ind w:firstLine="720"/>
      </w:pPr>
      <w:r>
        <w:t xml:space="preserve">These limits do not dissolve the findings; they scope them. A complete description of a real instrument’s architecture is worth having even if it cannot be generalized, because the instrument itself is the object of policy interest. A pattern in the framing corpus is worth having even if it is purposive, because that corpus is what the dissertation’s argument stands on. What neither result can do is speak for instruments or documents outside its frame, and the chapters that build on them are careful to lean only on the described objects.</w:t>
      </w:r>
    </w:p>
    <w:bookmarkEnd w:id="130"/>
    <w:bookmarkStart w:id="131" w:name="X5410eaf7c009169316f8909b327433b0bd08d28"/>
    <w:p>
      <w:pPr>
        <w:pStyle w:val="Heading2"/>
        <w:spacing w:line="480" w:lineRule="auto"/>
      </w:pPr>
      <w:r>
        <w:t xml:space="preserve">Construct validity of the design-principles score</w:t>
      </w:r>
    </w:p>
    <w:p>
      <w:pPr>
        <w:pStyle w:val="FirstParagraph"/>
        <w:spacing w:line="480" w:lineRule="auto"/>
      </w:pPr>
      <w:r>
        <w:t xml:space="preserve">The deepest limitation is conceptual rather than statistical: does the eight-proxy score actually measure Ostrom design completeness, or does it measure something correlated with it? Ostrom induced her principles from terrestrial cases where communities interacted repeatedly over shared resources, and orbit differs in ways that could strain the transfer. Operators may not form a community in the thick sense her cases assumed; interaction can be sparse, mediated by states, and shaped by commercial rivalry rather than neighborly repetition. If the principles lose their meaning in that thinner setting, a high score might not carry the behavioral force the theory attributes to it, and the primary debris test could return a null for reasons of construct mismatch rather than genuine ineffectiveness</w:t>
      </w:r>
      <w:r>
        <w:t xml:space="preserve"> </w:t>
      </w:r>
      <w:hyperlink w:anchor="ref-12">
        <w:r>
          <w:rPr>
            <w:rStyle w:val="Hyperlink"/>
          </w:rPr>
          <w:t xml:space="preserve">[12]</w:t>
        </w:r>
      </w:hyperlink>
      <w:r>
        <w:t xml:space="preserve">.</w:t>
      </w:r>
    </w:p>
    <w:p>
      <w:pPr>
        <w:pStyle w:val="BodyText"/>
        <w:spacing w:line="480" w:lineRule="auto"/>
        <w:ind w:firstLine="720"/>
      </w:pPr>
      <w:r>
        <w:t xml:space="preserve">The project mitigates this risk by coding conservatively and by reading each principle in its orbital form rather than importing terrestrial assumptions wholesale. Boundaries are coded from object and actor identifiability, not from village membership; monitoring is coded from situational-awareness content, not from face-to-face observation</w:t>
      </w:r>
      <w:r>
        <w:t xml:space="preserve"> </w:t>
      </w:r>
      <w:hyperlink w:anchor="ref-3">
        <w:r>
          <w:rPr>
            <w:rStyle w:val="Hyperlink"/>
          </w:rPr>
          <w:t xml:space="preserve">[3]</w:t>
        </w:r>
      </w:hyperlink>
      <w:r>
        <w:t xml:space="preserve"> </w:t>
      </w:r>
      <w:hyperlink w:anchor="ref-2">
        <w:r>
          <w:rPr>
            <w:rStyle w:val="Hyperlink"/>
          </w:rPr>
          <w:t xml:space="preserve">[2]</w:t>
        </w:r>
      </w:hyperlink>
      <w:r>
        <w:t xml:space="preserve">. Still, the residual risk that the score captures institutional vocabulary rather than institutional force cannot be fully retired without the behavioral evidence the intermediate-outcome work would supply. Naming this risk is not a concession that the score is meaningless; it is a statement that its validity is itself a hypothesis the fuller research program tests.</w:t>
      </w:r>
    </w:p>
    <w:bookmarkEnd w:id="131"/>
    <w:bookmarkStart w:id="132" w:name="what-the-data-cannot-show"/>
    <w:p>
      <w:pPr>
        <w:pStyle w:val="Heading2"/>
        <w:spacing w:line="480" w:lineRule="auto"/>
      </w:pPr>
      <w:r>
        <w:t xml:space="preserve">What the data cannot show</w:t>
      </w:r>
    </w:p>
    <w:p>
      <w:pPr>
        <w:pStyle w:val="FirstParagraph"/>
        <w:spacing w:line="480" w:lineRule="auto"/>
      </w:pPr>
      <w:r>
        <w:t xml:space="preserve">Beyond the specific threats, three limits are structural and worth stating without hedging. The completed results cannot demonstrate that better-designed commitments produce cleaner orbits. They were not built to. The rating study characterizes an instrument’s internal architecture on six modules, and the learning-curve study characterizes field evolution on nine documents; neither observes a single debris object, a maneuver log, or a licensing outcome. To read a debris-effectiveness claim into them would be to invent a result the studies explicitly disclaim.</w:t>
      </w:r>
    </w:p>
    <w:p>
      <w:pPr>
        <w:pStyle w:val="BodyText"/>
        <w:spacing w:line="480" w:lineRule="auto"/>
        <w:ind w:firstLine="720"/>
      </w:pPr>
      <w:r>
        <w:t xml:space="preserve">The project also cannot deliver experimental causal identification even for the primary debris test. Operators are not randomly assigned to commitment quality, so the strongest available claim is a disciplined observational one: within-operator improvements in commitment quality are associated with lower debris rates, net of the confounds absorbed and subject to the diagnostics passed. That is a meaningful claim, and it is not the same as proof of causation.</w:t>
      </w:r>
    </w:p>
    <w:p>
      <w:pPr>
        <w:pStyle w:val="BodyText"/>
        <w:spacing w:line="480" w:lineRule="auto"/>
        <w:ind w:firstLine="720"/>
      </w:pPr>
      <w:r>
        <w:t xml:space="preserve">Finally, the project cannot speak to operators outside the observable record, to private scoring records held by rating administrators, or to the counterfactual orbits that would have existed under commitments no one wrote. These are not evasions. They are the boundary of what public licensing records, public catalogs, and public governance documents can support.</w:t>
      </w:r>
    </w:p>
    <w:bookmarkEnd w:id="132"/>
    <w:bookmarkStart w:id="133" w:name="Xa5c4a4358ff6fb982f316b87b10b989b40984d9"/>
    <w:p>
      <w:pPr>
        <w:pStyle w:val="Heading2"/>
        <w:spacing w:line="480" w:lineRule="auto"/>
      </w:pPr>
      <w:r>
        <w:t xml:space="preserve">Weighing the limitations against the contribution</w:t>
      </w:r>
    </w:p>
    <w:p>
      <w:pPr>
        <w:pStyle w:val="FirstParagraph"/>
        <w:spacing w:line="480" w:lineRule="auto"/>
      </w:pPr>
      <w:r>
        <w:t xml:space="preserve">A reader who has followed this catalogue of threats might reasonably ask whether anything survives. The answer is that a great deal does, provided the claims are read at the altitude the evidence supports. The two completed results are descriptions of real institutions, and descriptions do not depend on the causal assumptions that burden the primary test. That a leading rating prices burden proportionally is true of the rating whatever an operator later does with it</w:t>
      </w:r>
      <w:r>
        <w:t xml:space="preserve"> </w:t>
      </w:r>
      <w:hyperlink w:anchor="ref-5">
        <w:r>
          <w:rPr>
            <w:rStyle w:val="Hyperlink"/>
          </w:rPr>
          <w:t xml:space="preserve">[5]</w:t>
        </w:r>
      </w:hyperlink>
      <w:r>
        <w:t xml:space="preserve">. That governance completeness fails to accumulate over time is true of the framing corpus whatever a broader corpus might show</w:t>
      </w:r>
      <w:r>
        <w:t xml:space="preserve"> </w:t>
      </w:r>
      <w:hyperlink w:anchor="ref-12">
        <w:r>
          <w:rPr>
            <w:rStyle w:val="Hyperlink"/>
          </w:rPr>
          <w:t xml:space="preserve">[12]</w:t>
        </w:r>
      </w:hyperlink>
      <w:r>
        <w:t xml:space="preserve">. These findings stand on their own, and the limitations that threaten the causal aspiration do not touch them, because they make no causal claim.</w:t>
      </w:r>
    </w:p>
    <w:p>
      <w:pPr>
        <w:pStyle w:val="BodyText"/>
        <w:spacing w:line="480" w:lineRule="auto"/>
        <w:ind w:firstLine="720"/>
      </w:pPr>
      <w:r>
        <w:t xml:space="preserve">The primary debris test is more exposed, and the honest posture is that its credibility is conditional rather than guaranteed. It will support a disciplined association if the identifying assumption holds and the diagnostics pass, and it will support nothing stronger, and it may support a precise null if the environment’s rarity defeats the available power. Every one of these outcomes is informative. A conditional negative association would identify design quality as a lever. A precise null would establish that voluntary design is expressive at the observable scale. An imprecise estimate would quantify how much the rarity of debris events and commitment changes limits what public data can reveal. The design is built so that no outcome is a wasted result, which is the most a disciplined observational project can promise. Naming the limits fully is therefore not a retreat from the contribution but the frame that makes the contribution legible, because a claim whose boundaries are hidden cannot be trusted even when it is right.</w:t>
      </w:r>
    </w:p>
    <w:p>
      <w:pPr>
        <w:pStyle w:val="BodyText"/>
        <w:spacing w:line="480" w:lineRule="auto"/>
        <w:ind w:firstLine="720"/>
      </w:pPr>
      <w:r>
        <w:t xml:space="preserve">Within that boundary the dissertation makes falsifiable claims and defends them; outside it, the honest answer is that the data are silent.</w:t>
      </w:r>
    </w:p>
    <w:p>
      <w:pPr>
        <w:pStyle w:val="BodyText"/>
        <w:spacing w:line="480" w:lineRule="auto"/>
        <w:ind w:firstLine="720"/>
      </w:pPr>
      <w:r>
        <w:t xml:space="preserve">The accumulation of limitations in this chapter is not a confession of weakness but a map of exactly where future evidence must go. Each threat named, selection, rarity, attribution, censoring, coding error, shocks, external validity, construct validity, and the unobserved counterfactual, points to a specific improvement: more within-operator variation, better attribution infrastructure, larger coded corpora, and intermediate-behavior data</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12">
        <w:r>
          <w:rPr>
            <w:rStyle w:val="Hyperlink"/>
          </w:rPr>
          <w:t xml:space="preserve">[12]</w:t>
        </w:r>
      </w:hyperlink>
      <w:r>
        <w:t xml:space="preserve">. A dissertation that hid these threats would leave its successors no guidance; one that maps them hands the next researcher a work list. The final chapter states the contribution that survives these limits and the future work that would push the boundary outward.</w:t>
      </w:r>
    </w:p>
    <w:bookmarkEnd w:id="133"/>
    <w:bookmarkEnd w:id="134"/>
    <w:bookmarkStart w:id="187" w:name="conclusions-and-implications"/>
    <w:p>
      <w:pPr>
        <w:pStyle w:val="Heading1"/>
        <w:spacing w:line="480" w:lineRule="auto"/>
      </w:pPr>
      <w:r>
        <w:t xml:space="preserve">Conclusions and Implications</w:t>
      </w:r>
    </w:p>
    <w:p>
      <w:pPr>
        <w:pStyle w:val="FirstParagraph"/>
        <w:spacing w:line="480" w:lineRule="auto"/>
      </w:pPr>
      <w:r>
        <w:t xml:space="preserve">Begin where the work began. This dissertation opened with a promise and a doubt. The promise is that operators increasingly commit, before launch, to behave well in orbit. The doubt is whether those commitments are institutional content or public relations. The work reported here does not settle that question by fiat. It builds the apparatus that can settle it: a translation of Ostrom’s design principles into orbital form, a measurable score for how much of that design a commitment carries, two completed studies that show the score behaves as a real institutional variable, and a falsifiable operator-level test that connects the score to cataloged debris outcomes. This closing chapter states the contribution precisely, draws out its relevance for governance and program design, and lays out the future work that would move the inquiry from disciplined observation toward stronger causal ground.</w:t>
      </w:r>
    </w:p>
    <w:bookmarkStart w:id="135" w:name="the-contribution-stated-precisely"/>
    <w:p>
      <w:pPr>
        <w:pStyle w:val="Heading2"/>
        <w:spacing w:line="480" w:lineRule="auto"/>
      </w:pPr>
      <w:r>
        <w:t xml:space="preserve">The contribution, stated precisely</w:t>
      </w:r>
    </w:p>
    <w:p>
      <w:pPr>
        <w:pStyle w:val="FirstParagraph"/>
        <w:spacing w:line="480" w:lineRule="auto"/>
      </w:pPr>
      <w:r>
        <w:t xml:space="preserve">The contribution is one test. It asks whether a higher pre-launch Ostrom design-principles score predicts fewer cataloged debris objects per active spacecraft-year, holding constant the operator, the orbital shell, the launch year, and the full set of mission characteristics. That test is the spine of the dissertation, and everything else exists to make it credible and interpretable. The contribution is not a claim that voluntary governance works. It is a claim that the question of whether it works can be posed in a form that data could refute, which is a stronger and rarer thing than an assertion of effectiveness.</w:t>
      </w:r>
    </w:p>
    <w:p>
      <w:pPr>
        <w:pStyle w:val="BodyText"/>
        <w:spacing w:line="480" w:lineRule="auto"/>
        <w:ind w:firstLine="720"/>
      </w:pPr>
      <w:r>
        <w:t xml:space="preserve">Two completed studies establish that the treatment in this test is real rather than notional. The first shows that inside the Space Sustainability Rating, formal weight follows lifecycle burden: each mapped sustainability topic is associated with about 9.45 additional tier-weight percentage points, and topic breadth explains 88.4 percent of the weighting pattern across the six modules</w:t>
      </w:r>
      <w:r>
        <w:t xml:space="preserve"> </w:t>
      </w:r>
      <w:hyperlink w:anchor="ref-5">
        <w:r>
          <w:rPr>
            <w:rStyle w:val="Hyperlink"/>
          </w:rPr>
          <w:t xml:space="preserve">[5]</w:t>
        </w:r>
      </w:hyperlink>
      <w:r>
        <w:t xml:space="preserve">. Proportionality, one of Ostrom’s eight principles, is present and dominant inside a real voluntary instrument. The second shows that design completeness does not accumulate automatically over time: the learning elasticity across nine coded governance documents is about 0.118, statistically indistinguishable from zero, with the model explaining only 8.3 percent of the variation</w:t>
      </w:r>
      <w:r>
        <w:t xml:space="preserve"> </w:t>
      </w:r>
      <w:hyperlink w:anchor="ref-12">
        <w:r>
          <w:rPr>
            <w:rStyle w:val="Hyperlink"/>
          </w:rPr>
          <w:t xml:space="preserve">[12]</w:t>
        </w:r>
      </w:hyperlink>
      <w:r>
        <w:t xml:space="preserve">. The field specializes rather than climbs a ladder, so the design score captures uneven institutional content that a physical outcome could plausibly respond to. Neither study claims a debris effect. Together they license the debris test by showing that the construct at its center is coherent, measurable, and heterogeneous.</w:t>
      </w:r>
    </w:p>
    <w:p>
      <w:pPr>
        <w:pStyle w:val="BodyText"/>
        <w:spacing w:line="480" w:lineRule="auto"/>
        <w:ind w:firstLine="720"/>
      </w:pPr>
      <w:r>
        <w:t xml:space="preserve">The theoretical contribution sits alongside the empirical one. By reading Ostrom’s principles into orbit and coding real instruments against them, the dissertation joins four literatures that had been running in parallel: environmental governance by analogy, situational awareness and identification, source-sink debris modeling, and voluntary rating and outreach</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The junction is not rhetorical. It is a specific, reproducible coding scheme that any researcher can apply to a new instrument, and a specific estimator that connects that coding to a public physical record.</w:t>
      </w:r>
    </w:p>
    <w:bookmarkEnd w:id="135"/>
    <w:bookmarkStart w:id="136" w:name="Xe559cef2030b3ff2504a13f420aaa1614c4100f"/>
    <w:p>
      <w:pPr>
        <w:pStyle w:val="Heading2"/>
        <w:spacing w:line="480" w:lineRule="auto"/>
      </w:pPr>
      <w:r>
        <w:t xml:space="preserve">Relevance for governance and program design</w:t>
      </w:r>
    </w:p>
    <w:p>
      <w:pPr>
        <w:pStyle w:val="FirstParagraph"/>
        <w:spacing w:line="480" w:lineRule="auto"/>
      </w:pPr>
      <w:r>
        <w:t xml:space="preserve">For governance, the findings point toward architecture over accretion. If completeness will not arrive by the passage of time, then the specialized instruments the field has built, identifiers, decentralized monitoring networks, adaptive environmental models, rating incentives, and stakeholder-outreach architectures, have to be composed deliberately into a system whose pieces reinforce one another</w:t>
      </w:r>
      <w:r>
        <w:t xml:space="preserve"> </w:t>
      </w:r>
      <w:hyperlink w:anchor="ref-3">
        <w:r>
          <w:rPr>
            <w:rStyle w:val="Hyperlink"/>
          </w:rPr>
          <w:t xml:space="preserve">[3]</w:t>
        </w:r>
      </w:hyperlink>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A rating that prices lifecycle burden is stronger when it draws on independent situational-awareness data rather than self-reported questionnaires, because monitoring without incentives is a warning light no one must heed, and incentives without monitoring are easy to treat as paperwork</w:t>
      </w:r>
      <w:r>
        <w:t xml:space="preserve"> </w:t>
      </w:r>
      <w:hyperlink w:anchor="ref-8">
        <w:r>
          <w:rPr>
            <w:rStyle w:val="Hyperlink"/>
          </w:rPr>
          <w:t xml:space="preserve">[8]</w:t>
        </w:r>
      </w:hyperlink>
      <w:r>
        <w:t xml:space="preserve"> </w:t>
      </w:r>
      <w:hyperlink w:anchor="ref-11">
        <w:r>
          <w:rPr>
            <w:rStyle w:val="Hyperlink"/>
          </w:rPr>
          <w:t xml:space="preserve">[11]</w:t>
        </w:r>
      </w:hyperlink>
      <w:r>
        <w:t xml:space="preserve">. The design-principles score is a practical tool for this composition work: it shows at a glance which principles an instrument supplies and which it leaves to a neighbor, so that a governance designer can see the gaps before orbital congestion makes them expensive.</w:t>
      </w:r>
    </w:p>
    <w:p>
      <w:pPr>
        <w:pStyle w:val="BodyText"/>
        <w:spacing w:line="480" w:lineRule="auto"/>
        <w:ind w:firstLine="720"/>
      </w:pPr>
      <w:r>
        <w:t xml:space="preserve">For program design, the implication is that the internal design of a commitment is worth auditing, not just its existence. A licensing authority or a mission sponsor that wants voluntary commitments to shape behavior should ask whether a commitment defines boundaries, ties standing to burden, embeds monitoring, and nests within broader governance, because those are the features the theory predicts will move outcomes. The conflict-resolution principle is nearly absent across the current voluntary corpus, which flags a concrete design opportunity: an accessible arena for resolving disputes between operators over debris responsibility would fill a gap that no widely adopted instrument yet addresses. The reentry-risk literature underscores why these gaps matter as activity intensifies, since the hazards of abandoned and uncontrolled hardware spill well past the operator that created them</w:t>
      </w:r>
      <w:r>
        <w:t xml:space="preserve"> </w:t>
      </w:r>
      <w:hyperlink w:anchor="ref-7">
        <w:r>
          <w:rPr>
            <w:rStyle w:val="Hyperlink"/>
          </w:rPr>
          <w:t xml:space="preserve">[7]</w:t>
        </w:r>
      </w:hyperlink>
      <w:r>
        <w:t xml:space="preserve">.</w:t>
      </w:r>
    </w:p>
    <w:p>
      <w:pPr>
        <w:pStyle w:val="BodyText"/>
        <w:spacing w:line="480" w:lineRule="auto"/>
        <w:ind w:firstLine="720"/>
      </w:pPr>
      <w:r>
        <w:t xml:space="preserve">The findings also speak to the broader trajectory of orbital governance that other scholars are mapping. Work that integrates planetary-boundaries thinking into space activity, that examines governance by acknowledgment in the NewSpace era, and that probes legal liability for autonomous systems in orbit all point toward the same underlying need: institutions that make responsibility legible and enforceable in a shared environment</w:t>
      </w:r>
      <w:r>
        <w:t xml:space="preserve"> </w:t>
      </w:r>
      <w:hyperlink w:anchor="ref-23">
        <w:r>
          <w:rPr>
            <w:rStyle w:val="Hyperlink"/>
          </w:rPr>
          <w:t xml:space="preserve">[23]</w:t>
        </w:r>
      </w:hyperlink>
      <w:r>
        <w:t xml:space="preserve"> </w:t>
      </w:r>
      <w:hyperlink w:anchor="ref-28">
        <w:r>
          <w:rPr>
            <w:rStyle w:val="Hyperlink"/>
          </w:rPr>
          <w:t xml:space="preserve">[28]</w:t>
        </w:r>
      </w:hyperlink>
      <w:r>
        <w:t xml:space="preserve"> </w:t>
      </w:r>
      <w:hyperlink w:anchor="ref-21">
        <w:r>
          <w:rPr>
            <w:rStyle w:val="Hyperlink"/>
          </w:rPr>
          <w:t xml:space="preserve">[21]</w:t>
        </w:r>
      </w:hyperlink>
      <w:r>
        <w:t xml:space="preserve">. A design-principles audit of voluntary commitments is one concrete way to make that legibility measurable rather than aspirational.</w:t>
      </w:r>
    </w:p>
    <w:bookmarkEnd w:id="136"/>
    <w:bookmarkStart w:id="137" w:name="Xf52b58c4b575bc22bf2df4d97191b474f1a5ef6"/>
    <w:p>
      <w:pPr>
        <w:pStyle w:val="Heading2"/>
        <w:spacing w:line="480" w:lineRule="auto"/>
      </w:pPr>
      <w:r>
        <w:t xml:space="preserve">Program relevance for sponsors and licensing authorities</w:t>
      </w:r>
    </w:p>
    <w:p>
      <w:pPr>
        <w:pStyle w:val="FirstParagraph"/>
        <w:spacing w:line="480" w:lineRule="auto"/>
      </w:pPr>
      <w:r>
        <w:t xml:space="preserve">The dissertation’s apparatus has practical value for the institutions that shape orbital behavior, and the value does not wait on the primary debris test. A licensing authority reviewing an operator’s pre-launch filings could apply the eight-proxy coding as a structured review of commitment quality, distinguishing filings that define boundaries, tie standing to burden, and embed monitoring from those that offer aspirational language alone. That distinction is exactly what the rating study shows a well-designed instrument already draws internally, weighting burden over rhetoric with a coefficient of 9.45 tier-weight points per mapped topic</w:t>
      </w:r>
      <w:r>
        <w:t xml:space="preserve"> </w:t>
      </w:r>
      <w:hyperlink w:anchor="ref-5">
        <w:r>
          <w:rPr>
            <w:rStyle w:val="Hyperlink"/>
          </w:rPr>
          <w:t xml:space="preserve">[5]</w:t>
        </w:r>
      </w:hyperlink>
      <w:r>
        <w:t xml:space="preserve">. An authority that wanted voluntary commitments to shape behavior could ask filers to address the thin principles, accountability and conflict resolution, that the coded corpus shows the field neglects</w:t>
      </w:r>
      <w:r>
        <w:t xml:space="preserve"> </w:t>
      </w:r>
      <w:hyperlink w:anchor="ref-12">
        <w:r>
          <w:rPr>
            <w:rStyle w:val="Hyperlink"/>
          </w:rPr>
          <w:t xml:space="preserve">[12]</w:t>
        </w:r>
      </w:hyperlink>
      <w:r>
        <w:t xml:space="preserve">.</w:t>
      </w:r>
    </w:p>
    <w:p>
      <w:pPr>
        <w:pStyle w:val="BodyText"/>
        <w:spacing w:line="480" w:lineRule="auto"/>
        <w:ind w:firstLine="720"/>
      </w:pPr>
      <w:r>
        <w:t xml:space="preserve">For mission sponsors, the relevance is a procurement criterion. A sponsor selecting among providers could treat the design-principles score as one input into its assessment of how a provider will behave in a congested shell, alongside technical reliability and cost. The score is cheap to compute from public filings and portable across providers, which makes it usable in exactly the settings where sponsors must compare operators quickly. The reentry-risk literature underscores why sponsors have skin in this game, since the hazards of poorly disposed hardware reach beyond the operator to the broader public the sponsor answers to</w:t>
      </w:r>
      <w:r>
        <w:t xml:space="preserve"> </w:t>
      </w:r>
      <w:hyperlink w:anchor="ref-7">
        <w:r>
          <w:rPr>
            <w:rStyle w:val="Hyperlink"/>
          </w:rPr>
          <w:t xml:space="preserve">[7]</w:t>
        </w:r>
      </w:hyperlink>
      <w:r>
        <w:t xml:space="preserve">. A sponsor that rewards well-designed commitments is buying not only a service but a lower share of the residual risk the commons imposes.</w:t>
      </w:r>
    </w:p>
    <w:bookmarkEnd w:id="137"/>
    <w:bookmarkStart w:id="138" w:name="future-work"/>
    <w:p>
      <w:pPr>
        <w:pStyle w:val="Heading2"/>
        <w:spacing w:line="480" w:lineRule="auto"/>
      </w:pPr>
      <w:r>
        <w:t xml:space="preserve">Future work</w:t>
      </w:r>
    </w:p>
    <w:p>
      <w:pPr>
        <w:pStyle w:val="FirstParagraph"/>
        <w:spacing w:line="480" w:lineRule="auto"/>
      </w:pPr>
      <w:r>
        <w:t xml:space="preserve">The most immediate future work is to run the primary debris test on the full administrative and catalog backbone the data chapter describes, with the fixed-effects count model, the exposure offset, and the falsification diagnostics specified in advance. That test would convert the apparatus built here into a result, negative or positive, about whether design quality leaves a physical signature. Its value holds either way: a null result would establish that voluntary design is expressive at the scale observable in public records, and a negative coefficient would identify design quality as a lever governance can pull.</w:t>
      </w:r>
    </w:p>
    <w:p>
      <w:pPr>
        <w:pStyle w:val="BodyText"/>
        <w:spacing w:line="480" w:lineRule="auto"/>
        <w:ind w:firstLine="720"/>
      </w:pPr>
      <w:r>
        <w:t xml:space="preserve">Three extensions would strengthen the inquiry beyond that first test. The first is to widen the coded corpus beyond the dissertation-relevant sources toward the fuller universe of voluntary instruments, so that the learning-curve and design-score analyses rest on a sample rather than a purposive set, and to add coders so that intercoder reliability can be reported across a larger body of documents. The second is to incorporate observability infrastructure as it matures: as optical identifiers and decentralized situational-awareness networks lower the cost of attribution, the strict attribution rule that currently shrinks the debris sample could relax, enlarging statistical power without inflating the outcome</w:t>
      </w:r>
      <w:r>
        <w:t xml:space="preserve"> </w:t>
      </w:r>
      <w:hyperlink w:anchor="ref-3">
        <w:r>
          <w:rPr>
            <w:rStyle w:val="Hyperlink"/>
          </w:rPr>
          <w:t xml:space="preserve">[3]</w:t>
        </w:r>
      </w:hyperlink>
      <w:r>
        <w:t xml:space="preserve"> </w:t>
      </w:r>
      <w:hyperlink w:anchor="ref-2">
        <w:r>
          <w:rPr>
            <w:rStyle w:val="Hyperlink"/>
          </w:rPr>
          <w:t xml:space="preserve">[2]</w:t>
        </w:r>
      </w:hyperlink>
      <w:r>
        <w:t xml:space="preserve">. The third is to link the design-principles score to intermediate operator behaviors, disposal timelines, propulsion provisioning, and coordination practice, so that the behavioral mechanism the theory posits can be observed in its own right rather than inferred only from the debris endpoint.</w:t>
      </w:r>
    </w:p>
    <w:p>
      <w:pPr>
        <w:pStyle w:val="BodyText"/>
        <w:spacing w:line="480" w:lineRule="auto"/>
        <w:ind w:firstLine="720"/>
      </w:pPr>
      <w:r>
        <w:t xml:space="preserve">A distinct extension would test the construct-validity concern the discussion chapter raises. If the design-principles score measures institutional force rather than institutional vocabulary, then scores should predict not only debris but the intermediate behaviors the mechanism posits, and a study that linked scores to disposal timelines and coordination practice would test that prediction directly</w:t>
      </w:r>
      <w:r>
        <w:t xml:space="preserve"> </w:t>
      </w:r>
      <w:hyperlink w:anchor="ref-12">
        <w:r>
          <w:rPr>
            <w:rStyle w:val="Hyperlink"/>
          </w:rPr>
          <w:t xml:space="preserve">[12]</w:t>
        </w:r>
      </w:hyperlink>
      <w:r>
        <w:t xml:space="preserve">. A score that predicted vocabulary without behavior would fail this test even if it correlated with debris through some other channel, so the intermediate-behavior study is the sharpest available check on whether the construct means what the theory claims.</w:t>
      </w:r>
    </w:p>
    <w:p>
      <w:pPr>
        <w:pStyle w:val="BodyText"/>
        <w:spacing w:line="480" w:lineRule="auto"/>
        <w:ind w:firstLine="720"/>
      </w:pPr>
      <w:r>
        <w:t xml:space="preserve">A final line of work concerns the composition problem directly. Having shown that the field specializes rather than accumulates, the natural next question is whether deliberately nested combinations of instruments outperform any single instrument in reducing debris, and whether the whole is more than the sum of the coded parts. That question would test the portfolio reading of orbital governance against the physical record, and it would turn the design-principles score from a diagnostic into a design instrument.</w:t>
      </w:r>
    </w:p>
    <w:bookmarkEnd w:id="138"/>
    <w:bookmarkStart w:id="139" w:name="X88c5b9bf234abe4941d7afb51e3317599531970"/>
    <w:p>
      <w:pPr>
        <w:pStyle w:val="Heading2"/>
        <w:spacing w:line="480" w:lineRule="auto"/>
      </w:pPr>
      <w:r>
        <w:t xml:space="preserve">Implications for the design of voluntary instruments</w:t>
      </w:r>
    </w:p>
    <w:p>
      <w:pPr>
        <w:pStyle w:val="FirstParagraph"/>
        <w:spacing w:line="480" w:lineRule="auto"/>
      </w:pPr>
      <w:r>
        <w:t xml:space="preserve">If the design-principles score does predict cleaner orbits, the most actionable implication is a checklist for instrument designers rather than a verdict on any single scheme. The two completed results already point to where the current voluntary landscape is strong and where it is thin. Proportionality is strong: the rating prices lifecycle burden with a coefficient of 9.45 tier-weight points per mapped topic, concentrating weight where consequence concentrates</w:t>
      </w:r>
      <w:r>
        <w:t xml:space="preserve"> </w:t>
      </w:r>
      <w:hyperlink w:anchor="ref-5">
        <w:r>
          <w:rPr>
            <w:rStyle w:val="Hyperlink"/>
          </w:rPr>
          <w:t xml:space="preserve">[5]</w:t>
        </w:r>
      </w:hyperlink>
      <w:r>
        <w:t xml:space="preserve">. Monitoring is strong, because the field has built identifiers, decentralized networks, and situational-awareness data pipelines that give the monitoring principle physical substance</w:t>
      </w:r>
      <w:r>
        <w:t xml:space="preserve"> </w:t>
      </w:r>
      <w:hyperlink w:anchor="ref-3">
        <w:r>
          <w:rPr>
            <w:rStyle w:val="Hyperlink"/>
          </w:rPr>
          <w:t xml:space="preserve">[3]</w:t>
        </w:r>
      </w:hyperlink>
      <w:r>
        <w:t xml:space="preserve"> </w:t>
      </w:r>
      <w:hyperlink w:anchor="ref-2">
        <w:r>
          <w:rPr>
            <w:rStyle w:val="Hyperlink"/>
          </w:rPr>
          <w:t xml:space="preserve">[2]</w:t>
        </w:r>
      </w:hyperlink>
      <w:r>
        <w:t xml:space="preserve"> </w:t>
      </w:r>
      <w:hyperlink w:anchor="ref-8">
        <w:r>
          <w:rPr>
            <w:rStyle w:val="Hyperlink"/>
          </w:rPr>
          <w:t xml:space="preserve">[8]</w:t>
        </w:r>
      </w:hyperlink>
      <w:r>
        <w:t xml:space="preserve">. Accountability and conflict resolution are thin, appearing rarely across the coded corpus, and the near-zero learning elasticity shows that time alone will not fill those gaps</w:t>
      </w:r>
      <w:r>
        <w:t xml:space="preserve"> </w:t>
      </w:r>
      <w:hyperlink w:anchor="ref-12">
        <w:r>
          <w:rPr>
            <w:rStyle w:val="Hyperlink"/>
          </w:rPr>
          <w:t xml:space="preserve">[12]</w:t>
        </w:r>
      </w:hyperlink>
      <w:r>
        <w:t xml:space="preserve">.</w:t>
      </w:r>
    </w:p>
    <w:p>
      <w:pPr>
        <w:pStyle w:val="BodyText"/>
        <w:spacing w:line="480" w:lineRule="auto"/>
        <w:ind w:firstLine="720"/>
      </w:pPr>
      <w:r>
        <w:t xml:space="preserve">A designer who takes this seriously would prioritize the thin principles precisely because they are underbuilt. Adding a graduated-accountability layer that ties a rating’s verification to reputational or market consequence would strengthen the principle the corpus most lacks, and doing so would draw on the attributed-data infrastructure the coordination literature has already specified</w:t>
      </w:r>
      <w:r>
        <w:t xml:space="preserve"> </w:t>
      </w:r>
      <w:hyperlink w:anchor="ref-11">
        <w:r>
          <w:rPr>
            <w:rStyle w:val="Hyperlink"/>
          </w:rPr>
          <w:t xml:space="preserve">[11]</w:t>
        </w:r>
      </w:hyperlink>
      <w:r>
        <w:t xml:space="preserve">. Adding an accessible conflict-resolution arena, a channel for operators to contest debris-attribution disputes, would supply the one principle nearly absent everywhere. These are not speculative wishes; they are the specific gaps the coded evidence identifies, and they convert the design-principles score from a diagnostic into a work list.</w:t>
      </w:r>
    </w:p>
    <w:bookmarkEnd w:id="139"/>
    <w:bookmarkStart w:id="140" w:name="X5cb0410571659c1f4237a88468fa69fd72c960e"/>
    <w:p>
      <w:pPr>
        <w:pStyle w:val="Heading2"/>
        <w:spacing w:line="480" w:lineRule="auto"/>
      </w:pPr>
      <w:r>
        <w:t xml:space="preserve">Relevance to the broader trajectory of space governance</w:t>
      </w:r>
    </w:p>
    <w:p>
      <w:pPr>
        <w:pStyle w:val="FirstParagraph"/>
        <w:spacing w:line="480" w:lineRule="auto"/>
      </w:pPr>
      <w:r>
        <w:t xml:space="preserve">The dissertation’s method has value beyond its immediate finding, because the coding scheme is portable. Any new voluntary instrument, and the field produces them steadily, can be scored against the same eight proxies and placed in the same completeness landscape. That portability matters as governance-by-acknowledgment becomes a more explicit mode of coordination in the NewSpace era, where operators signal type through commitments rather than through binding law</w:t>
      </w:r>
      <w:r>
        <w:t xml:space="preserve"> </w:t>
      </w:r>
      <w:hyperlink w:anchor="ref-28">
        <w:r>
          <w:rPr>
            <w:rStyle w:val="Hyperlink"/>
          </w:rPr>
          <w:t xml:space="preserve">[28]</w:t>
        </w:r>
      </w:hyperlink>
      <w:r>
        <w:t xml:space="preserve">. A reputational signal is only as good as the institutional content behind it, and the design-principles score is a way to audit that content rather than take it on faith. As autonomous systems raise new liability and accountability questions in orbit, a scheme for measuring which instruments actually assign responsibility becomes more useful, not less</w:t>
      </w:r>
      <w:r>
        <w:t xml:space="preserve"> </w:t>
      </w:r>
      <w:hyperlink w:anchor="ref-21">
        <w:r>
          <w:rPr>
            <w:rStyle w:val="Hyperlink"/>
          </w:rPr>
          <w:t xml:space="preserve">[21]</w:t>
        </w:r>
      </w:hyperlink>
      <w:r>
        <w:t xml:space="preserve">.</w:t>
      </w:r>
    </w:p>
    <w:p>
      <w:pPr>
        <w:pStyle w:val="BodyText"/>
        <w:spacing w:line="480" w:lineRule="auto"/>
        <w:ind w:firstLine="720"/>
      </w:pPr>
      <w:r>
        <w:t xml:space="preserve">The systems framing that couples Earth and orbit reinforces the point. If orbital sustainability is continuous with terrestrial environmental limits, then the nesting principle, linking a mission’s commitment to broader lifecycle and international governance, is where voluntary instruments most need to grow</w:t>
      </w:r>
      <w:r>
        <w:t xml:space="preserve"> </w:t>
      </w:r>
      <w:hyperlink w:anchor="ref-23">
        <w:r>
          <w:rPr>
            <w:rStyle w:val="Hyperlink"/>
          </w:rPr>
          <w:t xml:space="preserve">[23]</w:t>
        </w:r>
      </w:hyperlink>
      <w:r>
        <w:t xml:space="preserve">. An instrument that nests well borrows enforcement from the layers it connects to; one that floats free of them cannot. The design-principles audit makes nesting visible and therefore improvable, which is exactly the contribution a coupled-systems view of orbit requires.</w:t>
      </w:r>
    </w:p>
    <w:bookmarkEnd w:id="140"/>
    <w:bookmarkStart w:id="141" w:name="X6c3f5e7c767bc1bccb3f7f2037053ab78cbb809"/>
    <w:p>
      <w:pPr>
        <w:pStyle w:val="Heading2"/>
        <w:spacing w:line="480" w:lineRule="auto"/>
      </w:pPr>
      <w:r>
        <w:t xml:space="preserve">What a null result would still contribute</w:t>
      </w:r>
    </w:p>
    <w:p>
      <w:pPr>
        <w:pStyle w:val="FirstParagraph"/>
        <w:spacing w:line="480" w:lineRule="auto"/>
      </w:pPr>
      <w:r>
        <w:t xml:space="preserve">It bears emphasis that the dissertation is designed to be valuable even if its central hypothesis fails. A precise null on the primary debris coefficient would not be a disappointment to be buried; it would be a finding with direct governance consequences. If, after honest controls and passing diagnostics, better-designed voluntary commitments show no association with lower debris rates, then the field would have learned that voluntary design, at the scale observable in public records, is expressive rather than behavioral. That knowledge would redirect effort away from perfecting voluntary schemes and toward the binding instruments the reentry-risk literature argues some hazards require</w:t>
      </w:r>
      <w:r>
        <w:t xml:space="preserve"> </w:t>
      </w:r>
      <w:hyperlink w:anchor="ref-7">
        <w:r>
          <w:rPr>
            <w:rStyle w:val="Hyperlink"/>
          </w:rPr>
          <w:t xml:space="preserve">[7]</w:t>
        </w:r>
      </w:hyperlink>
      <w:r>
        <w:t xml:space="preserve">. A null that is precise is not the absence of a result; it is a result that narrows the space of viable governance strategies, which is exactly what a falsifiable design is supposed to do.</w:t>
      </w:r>
    </w:p>
    <w:p>
      <w:pPr>
        <w:pStyle w:val="BodyText"/>
        <w:spacing w:line="480" w:lineRule="auto"/>
        <w:ind w:firstLine="720"/>
      </w:pPr>
      <w:r>
        <w:t xml:space="preserve">The two completed studies already contribute regardless of how the primary test resolves. The demonstration that a leading rating prices lifecycle burden proportionally is a durable finding about how at least one voluntary instrument is built</w:t>
      </w:r>
      <w:r>
        <w:t xml:space="preserve"> </w:t>
      </w:r>
      <w:hyperlink w:anchor="ref-5">
        <w:r>
          <w:rPr>
            <w:rStyle w:val="Hyperlink"/>
          </w:rPr>
          <w:t xml:space="preserve">[5]</w:t>
        </w:r>
      </w:hyperlink>
      <w:r>
        <w:t xml:space="preserve">. The demonstration that governance completeness does not accumulate over time is a durable finding about how the field evolves</w:t>
      </w:r>
      <w:r>
        <w:t xml:space="preserve"> </w:t>
      </w:r>
      <w:hyperlink w:anchor="ref-12">
        <w:r>
          <w:rPr>
            <w:rStyle w:val="Hyperlink"/>
          </w:rPr>
          <w:t xml:space="preserve">[12]</w:t>
        </w:r>
      </w:hyperlink>
      <w:r>
        <w:t xml:space="preserve">. Both survive any outcome of the debris test, because both are descriptions rather than predictions. A dissertation whose value did not depend on confirming its own hypothesis is, in a sense, the strongest kind, because it cannot be tempted to read confirmation into ambiguous data.</w:t>
      </w:r>
    </w:p>
    <w:bookmarkEnd w:id="141"/>
    <w:bookmarkStart w:id="142" w:name="X60a81f6f052964011675b119286647eecd3b2e5"/>
    <w:p>
      <w:pPr>
        <w:pStyle w:val="Heading2"/>
        <w:spacing w:line="480" w:lineRule="auto"/>
      </w:pPr>
      <w:r>
        <w:t xml:space="preserve">The measurement contribution as a standing tool</w:t>
      </w:r>
    </w:p>
    <w:p>
      <w:pPr>
        <w:pStyle w:val="FirstParagraph"/>
        <w:spacing w:line="480" w:lineRule="auto"/>
      </w:pPr>
      <w:r>
        <w:t xml:space="preserve">Beyond any single finding, the most transferable contribution may be the measurement itself. The eight-proxy coding of Ostrom design principles is a standing tool that outlives the particular instruments coded here. As the field produces new voluntary commitments, and it produces them steadily, each can be scored with the same scheme and placed in the same completeness landscape, so that the question of whether the field is filling its thin principles, accountability and conflict resolution, becomes empirically trackable rather than a matter of impression</w:t>
      </w:r>
      <w:r>
        <w:t xml:space="preserve"> </w:t>
      </w:r>
      <w:hyperlink w:anchor="ref-12">
        <w:r>
          <w:rPr>
            <w:rStyle w:val="Hyperlink"/>
          </w:rPr>
          <w:t xml:space="preserve">[12]</w:t>
        </w:r>
      </w:hyperlink>
      <w:r>
        <w:t xml:space="preserve">. A licensing authority, a sponsor, or a standards body could adopt the scheme to audit commitments at scale, converting a research instrument into a governance instrument. That conversion is where a dissertation’s method earns its keep beyond the academy, and it is available whether or not the primary debris coefficient ever reaches significance.</w:t>
      </w:r>
    </w:p>
    <w:bookmarkEnd w:id="142"/>
    <w:bookmarkStart w:id="143" w:name="closing"/>
    <w:p>
      <w:pPr>
        <w:pStyle w:val="Heading2"/>
        <w:spacing w:line="480" w:lineRule="auto"/>
      </w:pPr>
      <w:r>
        <w:t xml:space="preserve">Closing</w:t>
      </w:r>
    </w:p>
    <w:p>
      <w:pPr>
        <w:pStyle w:val="FirstParagraph"/>
        <w:spacing w:line="480" w:lineRule="auto"/>
      </w:pPr>
      <w:r>
        <w:t xml:space="preserve">Voluntary commitments will keep multiplying whether or not anyone measures them, because the orbital environment rewards the appearance of responsibility and the physics punishes its absence. The contribution of this dissertation is to insist that the difference between appearance and responsibility can be measured, coded from documents that predate a launch and tested against the fragments a mission leaves behind. Ostrom’s principles do not arrive in orbit all at once, and no instrument yet assembles them all. They arrive in pieces, and the task the evidence sets is to make those pieces reinforce one another before congestion turns voluntary commitments into after-the-fact apologies</w:t>
      </w:r>
      <w:r>
        <w:t xml:space="preserve"> </w:t>
      </w:r>
      <w:hyperlink w:anchor="ref-12">
        <w:r>
          <w:rPr>
            <w:rStyle w:val="Hyperlink"/>
          </w:rPr>
          <w:t xml:space="preserve">[12]</w:t>
        </w:r>
      </w:hyperlink>
      <w:r>
        <w:t xml:space="preserve">. That task is a design problem, and a design problem is one that disciplined evidence can inform. This dissertation supplies the evidence apparatus and states, in falsifiable terms, the claim that would let the field know whether its voluntary promises are worth the orbits they are meant to protect.</w:t>
      </w:r>
    </w:p>
    <w:p>
      <w:pPr>
        <w:pStyle w:val="BodyText"/>
        <w:spacing w:line="480" w:lineRule="auto"/>
        <w:ind w:firstLine="720"/>
      </w:pPr>
      <w:r>
        <w:t xml:space="preserve">One idea remains. The work leaves the reader with a single organizing thought. Voluntary orbital governance should be judged not by the sincerity of its language but by the design of its institutions, and that design can be measured, coded from documents that predate a launch and tested against the physical record a mission leaves behind</w:t>
      </w:r>
      <w:r>
        <w:t xml:space="preserve"> </w:t>
      </w:r>
      <w:hyperlink w:anchor="ref-5">
        <w:r>
          <w:rPr>
            <w:rStyle w:val="Hyperlink"/>
          </w:rPr>
          <w:t xml:space="preserve">[5]</w:t>
        </w:r>
      </w:hyperlink>
      <w:r>
        <w:t xml:space="preserve"> </w:t>
      </w:r>
      <w:hyperlink w:anchor="ref-12">
        <w:r>
          <w:rPr>
            <w:rStyle w:val="Hyperlink"/>
          </w:rPr>
          <w:t xml:space="preserve">[12]</w:t>
        </w:r>
      </w:hyperlink>
      <w:r>
        <w:t xml:space="preserve">. Ostrom taught that shared resources survive when their governance carries specific, nameable features, and that they collapse when it does not</w:t>
      </w:r>
      <w:r>
        <w:t xml:space="preserve"> </w:t>
      </w:r>
      <w:hyperlink w:anchor="ref-12">
        <w:r>
          <w:rPr>
            <w:rStyle w:val="Hyperlink"/>
          </w:rPr>
          <w:t xml:space="preserve">[12]</w:t>
        </w:r>
      </w:hyperlink>
      <w:r>
        <w:t xml:space="preserve">. Orbit is now a shared resource dense enough for that lesson to bite. Whether the voluntary commitments multiplying across the industry carry Ostrom’s features, and whether the ones that do leave a cleaner orbit, is no longer a question that must be answered by intuition. It is a question this apparatus makes answerable by evidence, and answering it is the task the dissertation hands forward.</w:t>
      </w:r>
    </w:p>
    <w:bookmarkEnd w:id="143"/>
    <w:bookmarkStart w:id="186" w:name="references"/>
    <w:p>
      <w:pPr>
        <w:pStyle w:val="Heading2"/>
        <w:spacing w:line="480" w:lineRule="auto"/>
      </w:pPr>
      <w:r>
        <w:t xml:space="preserve">References</w:t>
      </w:r>
    </w:p>
    <w:p>
      <w:pPr>
        <w:pStyle w:val="FirstParagraph"/>
        <w:spacing w:line="480" w:lineRule="auto"/>
      </w:pPr>
      <w:bookmarkStart w:id="144" w:name="ref-1"/>
      <w:bookmarkEnd w:id="144"/>
      <w:r>
        <w:t xml:space="preserve">1. R. Zhang and A. Balakrishnan, “From Ozone Depletion to Orbital Debris: Lessons Learned from the Montreal Protocol,” Science and Technology Policy Institute, AMOS, 2022.</w:t>
      </w:r>
    </w:p>
    <w:p>
      <w:pPr>
        <w:pStyle w:val="BodyText"/>
        <w:spacing w:line="480" w:lineRule="auto"/>
        <w:ind w:firstLine="720"/>
      </w:pPr>
      <w:bookmarkStart w:id="145" w:name="ref-2"/>
      <w:bookmarkEnd w:id="145"/>
      <w:r>
        <w:t xml:space="preserve">2. A. Mokhnatkin, “Possible Ways Forward for the ISON Initiative and Similar Projects. A Consortium for Decentralized Sharing of SSA Data,” Keldysh Institute of Applied Mathematics, 2023, doi:</w:t>
      </w:r>
      <w:r>
        <w:t xml:space="preserve"> </w:t>
      </w:r>
      <w:hyperlink r:id="rId146">
        <w:r>
          <w:rPr>
            <w:rStyle w:val="Hyperlink"/>
          </w:rPr>
          <w:t xml:space="preserve">10.64861/DDNM3393</w:t>
        </w:r>
      </w:hyperlink>
    </w:p>
    <w:p>
      <w:pPr>
        <w:pStyle w:val="BodyText"/>
        <w:spacing w:line="480" w:lineRule="auto"/>
        <w:ind w:firstLine="720"/>
      </w:pPr>
      <w:bookmarkStart w:id="147" w:name="ref-3"/>
      <w:bookmarkEnd w:id="147"/>
      <w:r>
        <w:t xml:space="preserve">3. R. Holmes, C. Weaver, and D. Palmer, “ELROI: A Satellite License Plate to Simplify Space Object Identification,” Los Alamos National Laboratory, AMOS, 2018.</w:t>
      </w:r>
    </w:p>
    <w:p>
      <w:pPr>
        <w:pStyle w:val="BodyText"/>
        <w:spacing w:line="480" w:lineRule="auto"/>
        <w:ind w:firstLine="720"/>
      </w:pPr>
      <w:bookmarkStart w:id="148" w:name="ref-4"/>
      <w:bookmarkEnd w:id="148"/>
      <w:r>
        <w:t xml:space="preserve">4. M. Lifson, D. Jang, and R. Linares, “Space Environmental Governance and Decision-Support using Source-Sink Evolutionary Environmental Models,” Massachusetts Institute of Technology, 2023, doi:</w:t>
      </w:r>
      <w:r>
        <w:t xml:space="preserve"> </w:t>
      </w:r>
      <w:hyperlink r:id="rId149">
        <w:r>
          <w:rPr>
            <w:rStyle w:val="Hyperlink"/>
          </w:rPr>
          <w:t xml:space="preserve">10.64861/FKER7625</w:t>
        </w:r>
      </w:hyperlink>
    </w:p>
    <w:p>
      <w:pPr>
        <w:pStyle w:val="BodyText"/>
        <w:spacing w:line="480" w:lineRule="auto"/>
        <w:ind w:firstLine="720"/>
      </w:pPr>
      <w:bookmarkStart w:id="150" w:name="ref-5"/>
      <w:bookmarkEnd w:id="150"/>
      <w:r>
        <w:t xml:space="preserve">5. M. Rathnasabapathy et al., “Space sustainability rating: Designing a composite indicator to incentivize satellite operators to pursue long-term sustainability of the space environment,”</w:t>
      </w:r>
      <w:r>
        <w:t xml:space="preserve"> </w:t>
      </w:r>
      <w:r>
        <w:rPr>
          <w:i/>
          <w:iCs/>
        </w:rPr>
        <w:t xml:space="preserve">Acta Astronautica</w:t>
      </w:r>
      <w:r>
        <w:t xml:space="preserve">, 2025, doi:</w:t>
      </w:r>
      <w:r>
        <w:t xml:space="preserve"> </w:t>
      </w:r>
      <w:hyperlink r:id="rId151">
        <w:r>
          <w:rPr>
            <w:rStyle w:val="Hyperlink"/>
          </w:rPr>
          <w:t xml:space="preserve">10.1016/j.actaastro.2025.03.034</w:t>
        </w:r>
      </w:hyperlink>
    </w:p>
    <w:p>
      <w:pPr>
        <w:pStyle w:val="BodyText"/>
        <w:spacing w:line="480" w:lineRule="auto"/>
        <w:ind w:firstLine="720"/>
      </w:pPr>
      <w:bookmarkStart w:id="152" w:name="ref-6"/>
      <w:bookmarkEnd w:id="152"/>
      <w:r>
        <w:t xml:space="preserve">6. N. Sánchez-Ortíz et al., “Outreach on Space Traffic Management,”</w:t>
      </w:r>
      <w:r>
        <w:t xml:space="preserve"> </w:t>
      </w:r>
      <w:r>
        <w:rPr>
          <w:i/>
          <w:iCs/>
        </w:rPr>
        <w:t xml:space="preserve">Acta Astronautica</w:t>
      </w:r>
      <w:r>
        <w:t xml:space="preserve">, 2025, doi:</w:t>
      </w:r>
      <w:r>
        <w:t xml:space="preserve"> </w:t>
      </w:r>
      <w:hyperlink r:id="rId153">
        <w:r>
          <w:rPr>
            <w:rStyle w:val="Hyperlink"/>
          </w:rPr>
          <w:t xml:space="preserve">10.1016/j.actaastro.2025.01.031</w:t>
        </w:r>
      </w:hyperlink>
    </w:p>
    <w:p>
      <w:pPr>
        <w:pStyle w:val="BodyText"/>
        <w:spacing w:line="480" w:lineRule="auto"/>
        <w:ind w:firstLine="720"/>
      </w:pPr>
      <w:bookmarkStart w:id="154" w:name="ref-7"/>
      <w:bookmarkEnd w:id="154"/>
      <w:r>
        <w:t xml:space="preserve">7. C. Pardini and L. Anselmo, “On the need to assess and mitigate the risk from uncontrolled re-entries of artificial space objects in view of the current and future developments in space activities,”</w:t>
      </w:r>
      <w:r>
        <w:t xml:space="preserve"> </w:t>
      </w:r>
      <w:r>
        <w:rPr>
          <w:i/>
          <w:iCs/>
        </w:rPr>
        <w:t xml:space="preserve">Acta Astronautica</w:t>
      </w:r>
      <w:r>
        <w:t xml:space="preserve">, 2024, doi:</w:t>
      </w:r>
      <w:r>
        <w:t xml:space="preserve"> </w:t>
      </w:r>
      <w:hyperlink r:id="rId155">
        <w:r>
          <w:rPr>
            <w:rStyle w:val="Hyperlink"/>
          </w:rPr>
          <w:t xml:space="preserve">10.1016/j.actaastro.2024.03.057</w:t>
        </w:r>
      </w:hyperlink>
    </w:p>
    <w:p>
      <w:pPr>
        <w:pStyle w:val="BodyText"/>
        <w:spacing w:line="480" w:lineRule="auto"/>
        <w:ind w:firstLine="720"/>
      </w:pPr>
      <w:bookmarkStart w:id="156" w:name="ref-8"/>
      <w:bookmarkEnd w:id="156"/>
      <w:r>
        <w:t xml:space="preserve">8. N. Sanchez-Ortiz et al.,</w:t>
      </w:r>
      <w:r>
        <w:t xml:space="preserve"> </w:t>
      </w:r>
      <w:r>
        <w:t xml:space="preserve">“Outreach on Space Traffic Management,”</w:t>
      </w:r>
      <w:r>
        <w:t xml:space="preserve"> </w:t>
      </w:r>
      <w:r>
        <w:t xml:space="preserve">Acta Astronautica, 2025, doi:</w:t>
      </w:r>
      <w:r>
        <w:t xml:space="preserve"> </w:t>
      </w:r>
      <w:hyperlink r:id="rId153">
        <w:r>
          <w:rPr>
            <w:rStyle w:val="Hyperlink"/>
          </w:rPr>
          <w:t xml:space="preserve">10.1016/j.actaastro.2025.01.031</w:t>
        </w:r>
      </w:hyperlink>
    </w:p>
    <w:p>
      <w:pPr>
        <w:pStyle w:val="BodyText"/>
        <w:spacing w:line="480" w:lineRule="auto"/>
        <w:ind w:firstLine="720"/>
      </w:pPr>
      <w:bookmarkStart w:id="157" w:name="ref-9"/>
      <w:bookmarkEnd w:id="157"/>
      <w:r>
        <w:t xml:space="preserve">9. F. Letizia et al.,</w:t>
      </w:r>
      <w:r>
        <w:t xml:space="preserve"> </w:t>
      </w:r>
      <w:r>
        <w:t xml:space="preserve">“Contribution from SSA Data to the Definition of a Space Sustainability Rating,”</w:t>
      </w:r>
      <w:r>
        <w:t xml:space="preserve"> </w:t>
      </w:r>
      <w:r>
        <w:t xml:space="preserve">AMOS, 2020.</w:t>
      </w:r>
    </w:p>
    <w:p>
      <w:pPr>
        <w:pStyle w:val="BodyText"/>
        <w:spacing w:line="480" w:lineRule="auto"/>
        <w:ind w:firstLine="720"/>
      </w:pPr>
      <w:bookmarkStart w:id="158" w:name="ref-10"/>
      <w:bookmarkEnd w:id="158"/>
      <w:r>
        <w:t xml:space="preserve">10. R. Holmes et al.,</w:t>
      </w:r>
      <w:r>
        <w:t xml:space="preserve"> </w:t>
      </w:r>
      <w:r>
        <w:t xml:space="preserve">“Progress on the ELROI Satellite License Plate,”</w:t>
      </w:r>
      <w:r>
        <w:t xml:space="preserve"> </w:t>
      </w:r>
      <w:r>
        <w:t xml:space="preserve">Los Alamos National Laboratory, AMOS, 2020.</w:t>
      </w:r>
    </w:p>
    <w:p>
      <w:pPr>
        <w:pStyle w:val="BodyText"/>
        <w:spacing w:line="480" w:lineRule="auto"/>
        <w:ind w:firstLine="720"/>
      </w:pPr>
      <w:bookmarkStart w:id="159" w:name="ref-11"/>
      <w:bookmarkEnd w:id="159"/>
      <w:r>
        <w:t xml:space="preserve">11. H. Reed, N. Tsamis, and N. Dailey,</w:t>
      </w:r>
      <w:r>
        <w:t xml:space="preserve"> </w:t>
      </w:r>
      <w:r>
        <w:t xml:space="preserve">“Space Sustainability and Traffic Management Requires Trusted Space Stakeholder Coordination,”</w:t>
      </w:r>
      <w:r>
        <w:t xml:space="preserve"> </w:t>
      </w:r>
      <w:r>
        <w:t xml:space="preserve">MITRE, AMOS, 2023, doi:</w:t>
      </w:r>
      <w:r>
        <w:t xml:space="preserve"> </w:t>
      </w:r>
      <w:hyperlink r:id="rId160">
        <w:r>
          <w:rPr>
            <w:rStyle w:val="Hyperlink"/>
          </w:rPr>
          <w:t xml:space="preserve">10.64861/MVHC2799</w:t>
        </w:r>
      </w:hyperlink>
    </w:p>
    <w:p>
      <w:pPr>
        <w:pStyle w:val="BodyText"/>
        <w:spacing w:line="480" w:lineRule="auto"/>
        <w:ind w:firstLine="720"/>
      </w:pPr>
      <w:bookmarkStart w:id="161" w:name="ref-12"/>
      <w:bookmarkEnd w:id="161"/>
      <w:r>
        <w:t xml:space="preserve">12. E. Ostrom, Governing the Commons: The Evolution of Institutions for Collective Action, Cambridge University Press, 1990.</w:t>
      </w:r>
    </w:p>
    <w:p>
      <w:pPr>
        <w:pStyle w:val="BodyText"/>
        <w:spacing w:line="480" w:lineRule="auto"/>
        <w:ind w:firstLine="720"/>
      </w:pPr>
      <w:bookmarkStart w:id="162" w:name="ref-13"/>
      <w:bookmarkEnd w:id="162"/>
      <w:r>
        <w:t xml:space="preserve">13. Rina Zhang, Science and Technology Policy Institute; Asha Balakrishnan, Science and Technology Policy Institute. From Ozone Depletion to Orbital Debris: Lessons Learned from the Montreal Protocol (2022).</w:t>
      </w:r>
    </w:p>
    <w:p>
      <w:pPr>
        <w:pStyle w:val="BodyText"/>
        <w:spacing w:line="480" w:lineRule="auto"/>
        <w:ind w:firstLine="720"/>
      </w:pPr>
      <w:bookmarkStart w:id="163" w:name="ref-14"/>
      <w:bookmarkEnd w:id="163"/>
      <w:r>
        <w:t xml:space="preserve">14. Artem Mokhnatkin, Keldysh Institute of Applied Mathematics. Possible Ways Forward for the ISON Initiative and Similar Projects. A Consortium for Decentralized Sharing of SSA Data (2023). doi:</w:t>
      </w:r>
      <w:r>
        <w:t xml:space="preserve"> </w:t>
      </w:r>
      <w:hyperlink r:id="rId146">
        <w:r>
          <w:rPr>
            <w:rStyle w:val="Hyperlink"/>
          </w:rPr>
          <w:t xml:space="preserve">10.64861/DDNM3393</w:t>
        </w:r>
      </w:hyperlink>
    </w:p>
    <w:p>
      <w:pPr>
        <w:pStyle w:val="BodyText"/>
        <w:spacing w:line="480" w:lineRule="auto"/>
        <w:ind w:firstLine="720"/>
      </w:pPr>
      <w:bookmarkStart w:id="164" w:name="ref-15"/>
      <w:bookmarkEnd w:id="164"/>
      <w:r>
        <w:t xml:space="preserve">15. Rebecca Holmes, Los Alamos National Laboratory; Charles Weaver, Los Alamos National Laboratory; David Palmer, Los Alamos National Laboratory. ELROI: A Satellite License Plate to Simplify Space Object Identification (2018).</w:t>
      </w:r>
    </w:p>
    <w:p>
      <w:pPr>
        <w:pStyle w:val="BodyText"/>
        <w:spacing w:line="480" w:lineRule="auto"/>
        <w:ind w:firstLine="720"/>
      </w:pPr>
      <w:bookmarkStart w:id="165" w:name="ref-16"/>
      <w:bookmarkEnd w:id="165"/>
      <w:r>
        <w:t xml:space="preserve">16. Miles Lifson, Massachusetts Institute of Technology; Daniel Jang, Massachusetts Institute of Technology; Richard Linares, Massachusetts Institute of Technology. Space Environmental Governance and Decision-Support using Source-Sink Evolutionary Environmental Models (2023). doi:</w:t>
      </w:r>
      <w:r>
        <w:t xml:space="preserve"> </w:t>
      </w:r>
      <w:hyperlink r:id="rId149">
        <w:r>
          <w:rPr>
            <w:rStyle w:val="Hyperlink"/>
          </w:rPr>
          <w:t xml:space="preserve">10.64861/FKER7625</w:t>
        </w:r>
      </w:hyperlink>
    </w:p>
    <w:p>
      <w:pPr>
        <w:pStyle w:val="BodyText"/>
        <w:spacing w:line="480" w:lineRule="auto"/>
        <w:ind w:firstLine="720"/>
      </w:pPr>
      <w:bookmarkStart w:id="166" w:name="ref-17"/>
      <w:bookmarkEnd w:id="166"/>
      <w:r>
        <w:t xml:space="preserve">17. John D. Ianni (AFRL, Human Effectiveness Directorate), Denise L. Aleva (AFRL, Human Effectiveness Directorate), Sharon A. Ellis (AFRL, Human Effectiveness Directorate). Overview of Human-centric Space Situational Awareness Science and Technology (2012).</w:t>
      </w:r>
    </w:p>
    <w:p>
      <w:pPr>
        <w:pStyle w:val="BodyText"/>
        <w:spacing w:line="480" w:lineRule="auto"/>
        <w:ind w:firstLine="720"/>
      </w:pPr>
      <w:bookmarkStart w:id="167" w:name="ref-18"/>
      <w:bookmarkEnd w:id="167"/>
      <w:r>
        <w:t xml:space="preserve">18. Jason Goldberg, Riverside Research Institute; Timothy Waltz, Riverside Research Institute. Bridging the Gap: The Critical Need for Crew Resource Management (CRM) Training in Space Domain Operations (2025). doi:</w:t>
      </w:r>
      <w:r>
        <w:t xml:space="preserve"> </w:t>
      </w:r>
      <w:hyperlink r:id="rId168">
        <w:r>
          <w:rPr>
            <w:rStyle w:val="Hyperlink"/>
          </w:rPr>
          <w:t xml:space="preserve">10.64861/CXGE3201</w:t>
        </w:r>
      </w:hyperlink>
    </w:p>
    <w:p>
      <w:pPr>
        <w:pStyle w:val="BodyText"/>
        <w:spacing w:line="480" w:lineRule="auto"/>
        <w:ind w:firstLine="720"/>
      </w:pPr>
      <w:bookmarkStart w:id="169" w:name="ref-19"/>
      <w:bookmarkEnd w:id="169"/>
      <w:r>
        <w:t xml:space="preserve">19. Enrique De Alba, EO Solutions; Marco de Lannoy Kobayashi, EO Solutions; Alex Cabello, EO Solutions. Integrating LLMs with SatSim for Enhanced Satellite Tracking and Identification (2024). doi:</w:t>
      </w:r>
      <w:r>
        <w:t xml:space="preserve"> </w:t>
      </w:r>
      <w:hyperlink r:id="rId170">
        <w:r>
          <w:rPr>
            <w:rStyle w:val="Hyperlink"/>
          </w:rPr>
          <w:t xml:space="preserve">10.64861/YAMV7542</w:t>
        </w:r>
      </w:hyperlink>
    </w:p>
    <w:p>
      <w:pPr>
        <w:pStyle w:val="BodyText"/>
        <w:spacing w:line="480" w:lineRule="auto"/>
        <w:ind w:firstLine="720"/>
      </w:pPr>
      <w:bookmarkStart w:id="171" w:name="ref-20"/>
      <w:bookmarkEnd w:id="171"/>
      <w:r>
        <w:t xml:space="preserve">20. Garrett Fitzgerald, U. S. Space Force; Rachel Morris, Applied Decision Science; Laura G. Militello, Applied Decision Science; Justin Fletcher, USSF/SSC. Building Trust in Human-Machine Teaming for Autonomous Space Sensing (2024). doi:</w:t>
      </w:r>
      <w:r>
        <w:t xml:space="preserve"> </w:t>
      </w:r>
      <w:hyperlink r:id="rId172">
        <w:r>
          <w:rPr>
            <w:rStyle w:val="Hyperlink"/>
          </w:rPr>
          <w:t xml:space="preserve">10.64861/HWZS9386</w:t>
        </w:r>
      </w:hyperlink>
    </w:p>
    <w:p>
      <w:pPr>
        <w:pStyle w:val="BodyText"/>
        <w:spacing w:line="480" w:lineRule="auto"/>
        <w:ind w:firstLine="720"/>
      </w:pPr>
      <w:bookmarkStart w:id="173" w:name="ref-21"/>
      <w:bookmarkEnd w:id="173"/>
      <w:r>
        <w:t xml:space="preserve">21. T.P. Graham; Kathiravan Thangavel; Anne-Sophie Martin. Navigating AI-lien Terrain: Legal liability for artificial intelligence in outer space (2024). doi:</w:t>
      </w:r>
      <w:r>
        <w:t xml:space="preserve"> </w:t>
      </w:r>
      <w:hyperlink r:id="rId174">
        <w:r>
          <w:rPr>
            <w:rStyle w:val="Hyperlink"/>
          </w:rPr>
          <w:t xml:space="preserve">10.1016/j.actaastro.2024.01.039</w:t>
        </w:r>
      </w:hyperlink>
    </w:p>
    <w:p>
      <w:pPr>
        <w:pStyle w:val="BodyText"/>
        <w:spacing w:line="480" w:lineRule="auto"/>
        <w:ind w:firstLine="720"/>
      </w:pPr>
      <w:bookmarkStart w:id="175" w:name="ref-22"/>
      <w:bookmarkEnd w:id="175"/>
      <w:r>
        <w:t xml:space="preserve">22. Anna Marie Brennan. Regulating the environmental impact of asteroid mining: Toward an independent international monitoring mechanism (2026). doi:</w:t>
      </w:r>
      <w:r>
        <w:t xml:space="preserve"> </w:t>
      </w:r>
      <w:hyperlink r:id="rId176">
        <w:r>
          <w:rPr>
            <w:rStyle w:val="Hyperlink"/>
          </w:rPr>
          <w:t xml:space="preserve">10.1016/j.actaastro.2026.02.013</w:t>
        </w:r>
      </w:hyperlink>
    </w:p>
    <w:p>
      <w:pPr>
        <w:pStyle w:val="BodyText"/>
        <w:spacing w:line="480" w:lineRule="auto"/>
        <w:ind w:firstLine="720"/>
      </w:pPr>
      <w:bookmarkStart w:id="177" w:name="ref-23"/>
      <w:bookmarkEnd w:id="177"/>
      <w:r>
        <w:t xml:space="preserve">23. Elena Cirkovic; Danielle Wood. “Integrating planetary boundaries into sustainable space exploration: An earth-outer space system design framework” (2024). doi:</w:t>
      </w:r>
      <w:r>
        <w:t xml:space="preserve"> </w:t>
      </w:r>
      <w:hyperlink r:id="rId178">
        <w:r>
          <w:rPr>
            <w:rStyle w:val="Hyperlink"/>
          </w:rPr>
          <w:t xml:space="preserve">10.1016/j.actaastro.2024.12.037</w:t>
        </w:r>
      </w:hyperlink>
    </w:p>
    <w:p>
      <w:pPr>
        <w:pStyle w:val="BodyText"/>
        <w:spacing w:line="480" w:lineRule="auto"/>
        <w:ind w:firstLine="720"/>
      </w:pPr>
      <w:bookmarkStart w:id="179" w:name="ref-24"/>
      <w:bookmarkEnd w:id="179"/>
      <w:r>
        <w:t xml:space="preserve">24. n.a.. Feasibility study for a commercial space station in low 2025 Acta Astronaut (2024). doi:</w:t>
      </w:r>
      <w:r>
        <w:t xml:space="preserve"> </w:t>
      </w:r>
      <w:hyperlink r:id="rId180">
        <w:r>
          <w:rPr>
            <w:rStyle w:val="Hyperlink"/>
          </w:rPr>
          <w:t xml:space="preserve">10.1016/j.actaastro.2024.09.058</w:t>
        </w:r>
      </w:hyperlink>
    </w:p>
    <w:p>
      <w:pPr>
        <w:pStyle w:val="BodyText"/>
        <w:spacing w:line="480" w:lineRule="auto"/>
        <w:ind w:firstLine="720"/>
      </w:pPr>
      <w:bookmarkStart w:id="181" w:name="ref-25"/>
      <w:bookmarkEnd w:id="181"/>
      <w:r>
        <w:t xml:space="preserve">25. Minoo Rathnasabapathy; Francesca Letizia; Stijn Lemmens; Moriba Jah; Simon J. Potter; Nikolai Khlystov; Kristi Acuff; Miles Lifson; Scott Dorrington; Sina Es haghi; Emmanuelle David; Jean‐Paul Kneib; Danielle Wood. Space sustainability rating: Designing a composite indicator to incentivize satellite operators to pursue long-term sustainability of the space environment (2025). doi:</w:t>
      </w:r>
      <w:r>
        <w:t xml:space="preserve"> </w:t>
      </w:r>
      <w:hyperlink r:id="rId151">
        <w:r>
          <w:rPr>
            <w:rStyle w:val="Hyperlink"/>
          </w:rPr>
          <w:t xml:space="preserve">10.1016/j.actaastro.2025.03.034</w:t>
        </w:r>
      </w:hyperlink>
    </w:p>
    <w:p>
      <w:pPr>
        <w:pStyle w:val="BodyText"/>
        <w:spacing w:line="480" w:lineRule="auto"/>
        <w:ind w:firstLine="720"/>
      </w:pPr>
      <w:bookmarkStart w:id="182" w:name="ref-26"/>
      <w:bookmarkEnd w:id="182"/>
      <w:r>
        <w:t xml:space="preserve">26. Noelia Sánchez-Ortíz; Danielle Wood; Lesley Smith; Carmen Gregori De La Malla; Maruška Strah; Maren Huelsmann; Marius Stanciu-Manolescu; P. Ubertini; Balbir Singh. Outreach on Space Traffic Management (2025). doi:</w:t>
      </w:r>
      <w:r>
        <w:t xml:space="preserve"> </w:t>
      </w:r>
      <w:hyperlink r:id="rId153">
        <w:r>
          <w:rPr>
            <w:rStyle w:val="Hyperlink"/>
          </w:rPr>
          <w:t xml:space="preserve">10.1016/j.actaastro.2025.01.031</w:t>
        </w:r>
      </w:hyperlink>
    </w:p>
    <w:p>
      <w:pPr>
        <w:pStyle w:val="BodyText"/>
        <w:spacing w:line="480" w:lineRule="auto"/>
        <w:ind w:firstLine="720"/>
      </w:pPr>
      <w:bookmarkStart w:id="183" w:name="ref-27"/>
      <w:bookmarkEnd w:id="183"/>
      <w:r>
        <w:t xml:space="preserve">27. Carmen Pardini; Luciano Anselmo. On the need to assess and mitigate the risk from uncontrolled re-entries of artificial space objects in view of the current and future developments in space activities (2024). doi:</w:t>
      </w:r>
      <w:r>
        <w:t xml:space="preserve"> </w:t>
      </w:r>
      <w:hyperlink r:id="rId155">
        <w:r>
          <w:rPr>
            <w:rStyle w:val="Hyperlink"/>
          </w:rPr>
          <w:t xml:space="preserve">10.1016/j.actaastro.2024.03.057</w:t>
        </w:r>
      </w:hyperlink>
    </w:p>
    <w:p>
      <w:pPr>
        <w:pStyle w:val="BodyText"/>
        <w:spacing w:line="480" w:lineRule="auto"/>
        <w:ind w:firstLine="720"/>
      </w:pPr>
      <w:bookmarkStart w:id="184" w:name="ref-28"/>
      <w:bookmarkEnd w:id="184"/>
      <w:r>
        <w:t xml:space="preserve">28. n.a.. Beneficiaries of the NewSpace age Governance by acknowledg 2025 Acta Astron (2024). doi:</w:t>
      </w:r>
      <w:r>
        <w:t xml:space="preserve"> </w:t>
      </w:r>
      <w:hyperlink r:id="rId185">
        <w:r>
          <w:rPr>
            <w:rStyle w:val="Hyperlink"/>
          </w:rPr>
          <w:t xml:space="preserve">10.1016/j.actaastro.2024.12.060</w:t>
        </w:r>
      </w:hyperlink>
    </w:p>
    <w:bookmarkEnd w:id="186"/>
    <w:bookmarkEnd w:id="187"/>
    <w:bookmarkStart w:id="20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5" w:name="X7567afdcc268f29a836dc9675c856c3a732b913"/>
    <w:p>
      <w:pPr>
        <w:pStyle w:val="Heading2"/>
        <w:spacing w:line="480" w:lineRule="auto"/>
      </w:pPr>
      <w:r>
        <w:t xml:space="preserve">A.1 SSR Module Weights and Lifecycle Coverage in Voluntary Space Sustainability Rating Design</w:t>
      </w:r>
    </w:p>
    <w:p>
      <w:pPr>
        <w:pStyle w:val="FirstParagraph"/>
        <w:spacing w:line="480" w:lineRule="auto"/>
      </w:pPr>
      <m:oMathPara>
        <m:oMathParaPr>
          <m:jc m:val="center"/>
        </m:oMathParaPr>
        <m:oMath>
          <m:r>
            <m:t>T</m:t>
          </m:r>
          <m:r>
            <m:t>i</m:t>
          </m:r>
          <m:r>
            <m:t>e</m:t>
          </m:r>
          <m:r>
            <m:t>r</m:t>
          </m:r>
          <m:r>
            <m:t>W</m:t>
          </m:r>
          <m:r>
            <m:t>e</m:t>
          </m:r>
          <m:r>
            <m:t>i</m:t>
          </m:r>
          <m:r>
            <m:t>g</m:t>
          </m:r>
          <m:r>
            <m:t>h</m:t>
          </m:r>
          <m:sSub>
            <m:e>
              <m:r>
                <m:t>t</m:t>
              </m:r>
            </m:e>
            <m:sub>
              <m:r>
                <m:t>i</m:t>
              </m:r>
            </m:sub>
          </m:sSub>
          <m:r>
            <m:rPr>
              <m:sty m:val="p"/>
            </m:rPr>
            <m:t>=</m:t>
          </m:r>
          <m:r>
            <m:t>α</m:t>
          </m:r>
          <m:r>
            <m:rPr>
              <m:sty m:val="p"/>
            </m:rPr>
            <m:t>+</m:t>
          </m:r>
          <m:sSub>
            <m:e>
              <m:r>
                <m:t>β</m:t>
              </m:r>
            </m:e>
            <m:sub>
              <m:r>
                <m:t>1</m:t>
              </m:r>
            </m:sub>
          </m:sSub>
          <m:r>
            <m:t>T</m:t>
          </m:r>
          <m:r>
            <m:t>o</m:t>
          </m:r>
          <m:r>
            <m:t>p</m:t>
          </m:r>
          <m:r>
            <m:t>i</m:t>
          </m:r>
          <m:r>
            <m:t>c</m:t>
          </m:r>
          <m:r>
            <m:t>C</m:t>
          </m:r>
          <m:r>
            <m:t>o</m:t>
          </m:r>
          <m:r>
            <m:t>u</m:t>
          </m:r>
          <m:r>
            <m:t>n</m:t>
          </m:r>
          <m:sSub>
            <m:e>
              <m:r>
                <m:t>t</m:t>
              </m:r>
            </m:e>
            <m:sub>
              <m:r>
                <m:t>i</m:t>
              </m:r>
            </m:sub>
          </m:sSub>
          <m:r>
            <m:rPr>
              <m:sty m:val="p"/>
            </m:rPr>
            <m:t>+</m:t>
          </m:r>
          <m:sSub>
            <m:e>
              <m:r>
                <m:t>ε</m:t>
              </m:r>
            </m:e>
            <m:sub>
              <m:r>
                <m:t>i</m:t>
              </m:r>
            </m:sub>
          </m:sSub>
        </m:oMath>
      </m:oMathPara>
    </w:p>
    <w:bookmarkStart w:id="18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0.9239</w:t>
            </w:r>
          </w:p>
        </w:tc>
        <w:tc>
          <w:tcPr>
            <w:tcW w:w="0" w:type="auto"/>
          </w:tcPr>
          <w:p>
            <w:pPr>
              <w:spacing w:line="240" w:lineRule="auto" w:before="0" w:after="0"/>
              <w:pStyle w:val="Compact"/>
            </w:pPr>
            <w:r>
              <w:rPr>
                <w:sz w:val="20"/>
                <w:szCs w:val="20"/>
              </w:rPr>
              <w:t xml:space="preserve">4.0208</w:t>
            </w:r>
          </w:p>
        </w:tc>
        <w:tc>
          <w:tcPr>
            <w:tcW w:w="0" w:type="auto"/>
          </w:tcPr>
          <w:p>
            <w:pPr>
              <w:spacing w:line="240" w:lineRule="auto" w:before="0" w:after="0"/>
              <w:pStyle w:val="Compact"/>
            </w:pPr>
            <w:r>
              <w:rPr>
                <w:sz w:val="20"/>
                <w:szCs w:val="20"/>
              </w:rPr>
              <w:t xml:space="preserve">0.2298</w:t>
            </w:r>
          </w:p>
        </w:tc>
        <w:tc>
          <w:tcPr>
            <w:tcW w:w="0" w:type="auto"/>
          </w:tcPr>
          <w:p>
            <w:pPr>
              <w:spacing w:line="240" w:lineRule="auto" w:before="0" w:after="0"/>
              <w:pStyle w:val="Compact"/>
            </w:pPr>
            <w:r>
              <w:rPr>
                <w:sz w:val="20"/>
                <w:szCs w:val="20"/>
              </w:rPr>
              <w:t xml:space="preserve">0.8183</w:t>
            </w:r>
          </w:p>
        </w:tc>
        <w:tc>
          <w:tcPr>
            <w:tcW w:w="0" w:type="auto"/>
          </w:tcPr>
          <w:p>
            <w:pPr>
              <w:spacing w:line="240" w:lineRule="auto" w:before="0" w:after="0"/>
              <w:pStyle w:val="Compact"/>
            </w:pPr>
            <w:r>
              <w:rPr>
                <w:sz w:val="20"/>
                <w:szCs w:val="20"/>
              </w:rPr>
              <w:t xml:space="preserve">[-6.9566, 8.8045]</w:t>
            </w:r>
          </w:p>
        </w:tc>
      </w:tr>
      <w:tr>
        <w:tc>
          <w:tcPr>
            <w:tcW w:w="0" w:type="auto"/>
          </w:tcPr>
          <w:p>
            <w:pPr>
              <w:spacing w:line="240" w:lineRule="auto" w:before="0" w:after="0"/>
              <w:pStyle w:val="Compact"/>
            </w:pPr>
            <w:r>
              <w:rPr>
                <w:sz w:val="20"/>
                <w:szCs w:val="20"/>
              </w:rPr>
              <w:t xml:space="preserve">topic_count</w:t>
            </w:r>
          </w:p>
        </w:tc>
        <w:tc>
          <w:tcPr>
            <w:tcW w:w="0" w:type="auto"/>
          </w:tcPr>
          <w:p>
            <w:pPr>
              <w:spacing w:line="240" w:lineRule="auto" w:before="0" w:after="0"/>
              <w:pStyle w:val="Compact"/>
            </w:pPr>
            <w:r>
              <w:rPr>
                <w:sz w:val="20"/>
                <w:szCs w:val="20"/>
              </w:rPr>
              <w:t xml:space="preserve">9.4457</w:t>
            </w:r>
          </w:p>
        </w:tc>
        <w:tc>
          <w:tcPr>
            <w:tcW w:w="0" w:type="auto"/>
          </w:tcPr>
          <w:p>
            <w:pPr>
              <w:spacing w:line="240" w:lineRule="auto" w:before="0" w:after="0"/>
              <w:pStyle w:val="Compact"/>
            </w:pPr>
            <w:r>
              <w:rPr>
                <w:sz w:val="20"/>
                <w:szCs w:val="20"/>
              </w:rPr>
              <w:t xml:space="preserve">0.9815</w:t>
            </w:r>
          </w:p>
        </w:tc>
        <w:tc>
          <w:tcPr>
            <w:tcW w:w="0" w:type="auto"/>
          </w:tcPr>
          <w:p>
            <w:pPr>
              <w:spacing w:line="240" w:lineRule="auto" w:before="0" w:after="0"/>
              <w:pStyle w:val="Compact"/>
            </w:pPr>
            <w:r>
              <w:rPr>
                <w:sz w:val="20"/>
                <w:szCs w:val="20"/>
              </w:rPr>
              <w:t xml:space="preserve">9.624</w:t>
            </w:r>
          </w:p>
        </w:tc>
        <w:tc>
          <w:tcPr>
            <w:tcW w:w="0" w:type="auto"/>
          </w:tcPr>
          <w:p>
            <w:pPr>
              <w:spacing w:line="240" w:lineRule="auto" w:before="0" w:after="0"/>
              <w:pStyle w:val="Compact"/>
            </w:pPr>
            <w:r>
              <w:rPr>
                <w:sz w:val="20"/>
                <w:szCs w:val="20"/>
              </w:rPr>
              <w:t xml:space="preserve">6.333e-22</w:t>
            </w:r>
          </w:p>
        </w:tc>
        <w:tc>
          <w:tcPr>
            <w:tcW w:w="0" w:type="auto"/>
          </w:tcPr>
          <w:p>
            <w:pPr>
              <w:spacing w:line="240" w:lineRule="auto" w:before="0" w:after="0"/>
              <w:pStyle w:val="Compact"/>
            </w:pPr>
            <w:r>
              <w:rPr>
                <w:sz w:val="20"/>
                <w:szCs w:val="20"/>
              </w:rPr>
              <w:t xml:space="preserve">[7.522, 11.3693]</w:t>
            </w:r>
          </w:p>
        </w:tc>
      </w:tr>
    </w:tbl>
    <w:p>
      <w:pPr>
        <w:pStyle w:val="BodyText"/>
        <w:spacing w:line="480" w:lineRule="auto"/>
        <w:ind w:firstLine="720"/>
      </w:pPr>
      <w:r>
        <w:t xml:space="preserve">Fit: N = 6 R2 = 0.8844 R2_adj = 0.8555 F = 92.621 F_p = 0.0006518</w:t>
      </w:r>
    </w:p>
    <w:bookmarkEnd w:id="188"/>
    <w:bookmarkStart w:id="19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SSR module tier weight by mapped sustainability-topic coverage." title="" id="190" name="Picture"/>
            <a:graphic>
              <a:graphicData uri="http://schemas.openxmlformats.org/drawingml/2006/picture">
                <pic:pic>
                  <pic:nvPicPr>
                    <pic:cNvPr descr="D:/Claude_Code/brain/collegium/candidates/dissertations/SUSTAINABILITY_INSTITUTIONS_01/research_papers/p1/paper_fig1.png" id="191" name="Picture"/>
                    <pic:cNvPicPr>
                      <a:picLocks noChangeArrowheads="1" noChangeAspect="1"/>
                    </pic:cNvPicPr>
                  </pic:nvPicPr>
                  <pic:blipFill>
                    <a:blip r:embed="rId18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SSR module tier weight by mapped sustainability-topic coverage.</w:t>
      </w:r>
    </w:p>
    <w:bookmarkEnd w:id="192"/>
    <w:bookmarkStart w:id="19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module_abbrev</w:t>
            </w:r>
          </w:p>
        </w:tc>
        <w:tc>
          <w:tcPr>
            <w:tcW w:w="0" w:type="auto"/>
          </w:tcPr>
          <w:p>
            <w:pPr>
              <w:spacing w:line="240" w:lineRule="auto" w:before="0" w:after="0"/>
              <w:pStyle w:val="Compact"/>
            </w:pPr>
            <w:r>
              <w:rPr>
                <w:sz w:val="20"/>
                <w:szCs w:val="20"/>
              </w:rPr>
              <w:t xml:space="preserve">module_name</w:t>
            </w:r>
          </w:p>
        </w:tc>
        <w:tc>
          <w:tcPr>
            <w:tcW w:w="0" w:type="auto"/>
          </w:tcPr>
          <w:p>
            <w:pPr>
              <w:spacing w:line="240" w:lineRule="auto" w:before="0" w:after="0"/>
              <w:pStyle w:val="Compact"/>
            </w:pPr>
            <w:r>
              <w:rPr>
                <w:sz w:val="20"/>
                <w:szCs w:val="20"/>
              </w:rPr>
              <w:t xml:space="preserve">tier_weight_pct</w:t>
            </w:r>
          </w:p>
        </w:tc>
        <w:tc>
          <w:tcPr>
            <w:tcW w:w="0" w:type="auto"/>
          </w:tcPr>
          <w:p>
            <w:pPr>
              <w:spacing w:line="240" w:lineRule="auto" w:before="0" w:after="0"/>
              <w:pStyle w:val="Compact"/>
            </w:pPr>
            <w:r>
              <w:rPr>
                <w:sz w:val="20"/>
                <w:szCs w:val="20"/>
              </w:rPr>
              <w:t xml:space="preserve">method_of_assessment</w:t>
            </w:r>
          </w:p>
        </w:tc>
        <w:tc>
          <w:tcPr>
            <w:tcW w:w="0" w:type="auto"/>
          </w:tcPr>
          <w:p>
            <w:pPr>
              <w:spacing w:line="240" w:lineRule="auto" w:before="0" w:after="0"/>
              <w:pStyle w:val="Compact"/>
            </w:pPr>
            <w:r>
              <w:rPr>
                <w:sz w:val="20"/>
                <w:szCs w:val="20"/>
              </w:rPr>
              <w:t xml:space="preserve">simulation_based</w:t>
            </w:r>
          </w:p>
        </w:tc>
        <w:tc>
          <w:tcPr>
            <w:tcW w:w="0" w:type="auto"/>
          </w:tcPr>
          <w:p>
            <w:pPr>
              <w:spacing w:line="240" w:lineRule="auto" w:before="0" w:after="0"/>
              <w:pStyle w:val="Compact"/>
            </w:pPr>
            <w:r>
              <w:rPr>
                <w:sz w:val="20"/>
                <w:szCs w:val="20"/>
              </w:rPr>
              <w:t xml:space="preserve">questionnaire_based</w:t>
            </w:r>
          </w:p>
        </w:tc>
        <w:tc>
          <w:tcPr>
            <w:tcW w:w="0" w:type="auto"/>
          </w:tcPr>
          <w:p>
            <w:pPr>
              <w:spacing w:line="240" w:lineRule="auto" w:before="0" w:after="0"/>
              <w:pStyle w:val="Compact"/>
            </w:pPr>
            <w:r>
              <w:rPr>
                <w:sz w:val="20"/>
                <w:szCs w:val="20"/>
              </w:rPr>
              <w:t xml:space="preserve">bonus_points</w:t>
            </w:r>
          </w:p>
        </w:tc>
        <w:tc>
          <w:tcPr>
            <w:tcW w:w="0" w:type="auto"/>
          </w:tcPr>
          <w:p>
            <w:pPr>
              <w:spacing w:line="240" w:lineRule="auto" w:before="0" w:after="0"/>
              <w:pStyle w:val="Compact"/>
            </w:pPr>
            <w:r>
              <w:rPr>
                <w:sz w:val="20"/>
                <w:szCs w:val="20"/>
              </w:rPr>
              <w:t xml:space="preserve">topic_count</w:t>
            </w:r>
          </w:p>
        </w:tc>
        <w:tc>
          <w:tcPr>
            <w:tcW w:w="0" w:type="auto"/>
          </w:tcPr>
          <w:p>
            <w:pPr>
              <w:spacing w:line="240" w:lineRule="auto" w:before="0" w:after="0"/>
              <w:pStyle w:val="Compact"/>
            </w:pPr>
            <w:r>
              <w:rPr>
                <w:sz w:val="20"/>
                <w:szCs w:val="20"/>
              </w:rPr>
              <w:t xml:space="preserve">design_phase_count</w:t>
            </w:r>
          </w:p>
        </w:tc>
        <w:tc>
          <w:tcPr>
            <w:tcW w:w="0" w:type="auto"/>
          </w:tcPr>
          <w:p>
            <w:pPr>
              <w:spacing w:line="240" w:lineRule="auto" w:before="0" w:after="0"/>
              <w:pStyle w:val="Compact"/>
            </w:pPr>
            <w:r>
              <w:rPr>
                <w:sz w:val="20"/>
                <w:szCs w:val="20"/>
              </w:rPr>
              <w:t xml:space="preserve">normal_operation_count</w:t>
            </w:r>
          </w:p>
        </w:tc>
        <w:tc>
          <w:tcPr>
            <w:tcW w:w="0" w:type="auto"/>
          </w:tcPr>
          <w:p>
            <w:pPr>
              <w:spacing w:line="240" w:lineRule="auto" w:before="0" w:after="0"/>
              <w:pStyle w:val="Compact"/>
            </w:pPr>
            <w:r>
              <w:rPr>
                <w:sz w:val="20"/>
                <w:szCs w:val="20"/>
              </w:rPr>
              <w:t xml:space="preserve">end_of_life_count</w:t>
            </w:r>
          </w:p>
        </w:tc>
        <w:tc>
          <w:tcPr>
            <w:tcW w:w="0" w:type="auto"/>
          </w:tcPr>
          <w:p>
            <w:pPr>
              <w:spacing w:line="240" w:lineRule="auto" w:before="0" w:after="0"/>
              <w:pStyle w:val="Compact"/>
            </w:pPr>
            <w:r>
              <w:rPr>
                <w:sz w:val="20"/>
                <w:szCs w:val="20"/>
              </w:rPr>
              <w:t xml:space="preserve">phase_marks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MI</w:t>
            </w:r>
          </w:p>
        </w:tc>
        <w:tc>
          <w:tcPr>
            <w:tcW w:w="0" w:type="auto"/>
          </w:tcPr>
          <w:p>
            <w:pPr>
              <w:spacing w:line="240" w:lineRule="auto" w:before="0" w:after="0"/>
              <w:pStyle w:val="Compact"/>
            </w:pPr>
            <w:r>
              <w:rPr>
                <w:sz w:val="20"/>
                <w:szCs w:val="20"/>
              </w:rPr>
              <w:t xml:space="preserve">Mission Index</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Simulation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Rathnasabapathy et al. 2025, SSR Table 2 and Table 3</w:t>
            </w:r>
          </w:p>
        </w:tc>
      </w:tr>
      <w:tr>
        <w:tc>
          <w:tcPr>
            <w:tcW w:w="0" w:type="auto"/>
          </w:tcPr>
          <w:p>
            <w:pPr>
              <w:spacing w:line="240" w:lineRule="auto" w:before="0" w:after="0"/>
              <w:pStyle w:val="Compact"/>
            </w:pPr>
            <w:r>
              <w:rPr>
                <w:sz w:val="20"/>
                <w:szCs w:val="20"/>
              </w:rPr>
              <w:t xml:space="preserve">DIT</w:t>
            </w:r>
          </w:p>
        </w:tc>
        <w:tc>
          <w:tcPr>
            <w:tcW w:w="0" w:type="auto"/>
          </w:tcPr>
          <w:p>
            <w:pPr>
              <w:spacing w:line="240" w:lineRule="auto" w:before="0" w:after="0"/>
              <w:pStyle w:val="Compact"/>
            </w:pPr>
            <w:r>
              <w:rPr>
                <w:sz w:val="20"/>
                <w:szCs w:val="20"/>
              </w:rPr>
              <w:t xml:space="preserve">Detectability, Identification, and Trackability</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Simulation and questionnaire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Rathnasabapathy et al. 2025, SSR Table 2 and Table 3</w:t>
            </w:r>
          </w:p>
        </w:tc>
      </w:tr>
      <w:tr>
        <w:tc>
          <w:tcPr>
            <w:tcW w:w="0" w:type="auto"/>
          </w:tcPr>
          <w:p>
            <w:pPr>
              <w:spacing w:line="240" w:lineRule="auto" w:before="0" w:after="0"/>
              <w:pStyle w:val="Compact"/>
            </w:pPr>
            <w:r>
              <w:rPr>
                <w:sz w:val="20"/>
                <w:szCs w:val="20"/>
              </w:rPr>
              <w:t xml:space="preserve">COLA</w:t>
            </w:r>
          </w:p>
        </w:tc>
        <w:tc>
          <w:tcPr>
            <w:tcW w:w="0" w:type="auto"/>
          </w:tcPr>
          <w:p>
            <w:pPr>
              <w:spacing w:line="240" w:lineRule="auto" w:before="0" w:after="0"/>
              <w:pStyle w:val="Compact"/>
            </w:pPr>
            <w:r>
              <w:rPr>
                <w:sz w:val="20"/>
                <w:szCs w:val="20"/>
              </w:rPr>
              <w:t xml:space="preserve">Collision Avoidance Capabilities</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Questionnaire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Rathnasabapathy et al. 2025, SSR Table 2 and Table 3</w:t>
            </w:r>
          </w:p>
        </w:tc>
      </w:tr>
      <w:tr>
        <w:tc>
          <w:tcPr>
            <w:tcW w:w="0" w:type="auto"/>
          </w:tcPr>
          <w:p>
            <w:pPr>
              <w:spacing w:line="240" w:lineRule="auto" w:before="0" w:after="0"/>
              <w:pStyle w:val="Compact"/>
            </w:pPr>
            <w:r>
              <w:rPr>
                <w:sz w:val="20"/>
                <w:szCs w:val="20"/>
              </w:rPr>
              <w:t xml:space="preserve">DS</w:t>
            </w:r>
          </w:p>
        </w:tc>
        <w:tc>
          <w:tcPr>
            <w:tcW w:w="0" w:type="auto"/>
          </w:tcPr>
          <w:p>
            <w:pPr>
              <w:spacing w:line="240" w:lineRule="auto" w:before="0" w:after="0"/>
              <w:pStyle w:val="Compact"/>
            </w:pPr>
            <w:r>
              <w:rPr>
                <w:sz w:val="20"/>
                <w:szCs w:val="20"/>
              </w:rPr>
              <w:t xml:space="preserve">Data Sharing</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Questionnaire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Rathnasabapathy et al. 2025, SSR Table 2 and Table 3</w:t>
            </w:r>
          </w:p>
        </w:tc>
      </w:tr>
      <w:tr>
        <w:tc>
          <w:tcPr>
            <w:tcW w:w="0" w:type="auto"/>
          </w:tcPr>
          <w:p>
            <w:pPr>
              <w:spacing w:line="240" w:lineRule="auto" w:before="0" w:after="0"/>
              <w:pStyle w:val="Compact"/>
            </w:pPr>
            <w:r>
              <w:rPr>
                <w:sz w:val="20"/>
                <w:szCs w:val="20"/>
              </w:rPr>
              <w:t xml:space="preserve">ADOS</w:t>
            </w:r>
          </w:p>
        </w:tc>
        <w:tc>
          <w:tcPr>
            <w:tcW w:w="0" w:type="auto"/>
          </w:tcPr>
          <w:p>
            <w:pPr>
              <w:spacing w:line="240" w:lineRule="auto" w:before="0" w:after="0"/>
              <w:pStyle w:val="Compact"/>
            </w:pPr>
            <w:r>
              <w:rPr>
                <w:sz w:val="20"/>
                <w:szCs w:val="20"/>
              </w:rPr>
              <w:t xml:space="preserve">Adoption of Design and Operations Standards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Questionnaire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Rathnasabapathy et al. 2025, SSR Table 2 and Table 3</w:t>
            </w:r>
          </w:p>
        </w:tc>
      </w:tr>
      <w:tr>
        <w:tc>
          <w:tcPr>
            <w:tcW w:w="0" w:type="auto"/>
          </w:tcPr>
          <w:p>
            <w:pPr>
              <w:spacing w:line="240" w:lineRule="auto" w:before="0" w:after="0"/>
              <w:pStyle w:val="Compact"/>
            </w:pPr>
            <w:r>
              <w:rPr>
                <w:sz w:val="20"/>
                <w:szCs w:val="20"/>
              </w:rPr>
              <w:t xml:space="preserve">ES</w:t>
            </w:r>
          </w:p>
        </w:tc>
        <w:tc>
          <w:tcPr>
            <w:tcW w:w="0" w:type="auto"/>
          </w:tcPr>
          <w:p>
            <w:pPr>
              <w:spacing w:line="240" w:lineRule="auto" w:before="0" w:after="0"/>
              <w:pStyle w:val="Compact"/>
            </w:pPr>
            <w:r>
              <w:rPr>
                <w:sz w:val="20"/>
                <w:szCs w:val="20"/>
              </w:rPr>
              <w:t xml:space="preserve">External Services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Questionnaire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Rathnasabapathy et al. 2025, SSR Table 2 and Table 3</w:t>
            </w:r>
          </w:p>
        </w:tc>
      </w:tr>
    </w:tbl>
    <w:bookmarkEnd w:id="193"/>
    <w:bookmarkStart w:id="194"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tier_weight_pct</w:t>
            </w:r>
          </w:p>
        </w:tc>
        <w:tc>
          <w:tcPr>
            <w:tcW w:w="0" w:type="auto"/>
          </w:tcPr>
          <w:p>
            <w:pPr>
              <w:spacing w:line="240" w:lineRule="auto" w:before="0" w:after="0"/>
              <w:pStyle w:val="Compact"/>
            </w:pPr>
            <w:r>
              <w:rPr>
                <w:sz w:val="20"/>
                <w:szCs w:val="20"/>
              </w:rPr>
              <w:t xml:space="preserve">Percent contribution of a module to the SSR tier score.</w:t>
            </w:r>
          </w:p>
        </w:tc>
        <w:tc>
          <w:tcPr>
            <w:tcW w:w="0" w:type="auto"/>
          </w:tcPr>
          <w:p>
            <w:pPr>
              <w:spacing w:line="240" w:lineRule="auto" w:before="0" w:after="0"/>
              <w:pStyle w:val="Compact"/>
            </w:pPr>
            <w:r>
              <w:rPr>
                <w:sz w:val="20"/>
                <w:szCs w:val="20"/>
              </w:rPr>
              <w:t xml:space="preserve">Read from Rathnasabapathy et al. 2025 Table 2.</w:t>
            </w:r>
          </w:p>
        </w:tc>
      </w:tr>
      <w:tr>
        <w:tc>
          <w:tcPr>
            <w:tcW w:w="0" w:type="auto"/>
          </w:tcPr>
          <w:p>
            <w:pPr>
              <w:spacing w:line="240" w:lineRule="auto" w:before="0" w:after="0"/>
              <w:pStyle w:val="Compact"/>
            </w:pPr>
            <w:r>
              <w:rPr>
                <w:sz w:val="20"/>
                <w:szCs w:val="20"/>
              </w:rPr>
              <w:t xml:space="preserve">topic_count</w:t>
            </w:r>
          </w:p>
        </w:tc>
        <w:tc>
          <w:tcPr>
            <w:tcW w:w="0" w:type="auto"/>
          </w:tcPr>
          <w:p>
            <w:pPr>
              <w:spacing w:line="240" w:lineRule="auto" w:before="0" w:after="0"/>
              <w:pStyle w:val="Compact"/>
            </w:pPr>
            <w:r>
              <w:rPr>
                <w:sz w:val="20"/>
                <w:szCs w:val="20"/>
              </w:rPr>
              <w:t xml:space="preserve">Count of Table 3 sustainability topics assigned to the module.</w:t>
            </w:r>
          </w:p>
        </w:tc>
        <w:tc>
          <w:tcPr>
            <w:tcW w:w="0" w:type="auto"/>
          </w:tcPr>
          <w:p>
            <w:pPr>
              <w:spacing w:line="240" w:lineRule="auto" w:before="0" w:after="0"/>
              <w:pStyle w:val="Compact"/>
            </w:pPr>
            <w:r>
              <w:rPr>
                <w:sz w:val="20"/>
                <w:szCs w:val="20"/>
              </w:rPr>
              <w:t xml:space="preserve">Coded from the Table 3 module column; joint module entries assign one topic to each named module.</w:t>
            </w:r>
          </w:p>
        </w:tc>
      </w:tr>
      <w:tr>
        <w:tc>
          <w:tcPr>
            <w:tcW w:w="0" w:type="auto"/>
          </w:tcPr>
          <w:p>
            <w:pPr>
              <w:spacing w:line="240" w:lineRule="auto" w:before="0" w:after="0"/>
              <w:pStyle w:val="Compact"/>
            </w:pPr>
            <w:r>
              <w:rPr>
                <w:sz w:val="20"/>
                <w:szCs w:val="20"/>
              </w:rPr>
              <w:t xml:space="preserve">phase_marks</w:t>
            </w:r>
          </w:p>
        </w:tc>
        <w:tc>
          <w:tcPr>
            <w:tcW w:w="0" w:type="auto"/>
          </w:tcPr>
          <w:p>
            <w:pPr>
              <w:spacing w:line="240" w:lineRule="auto" w:before="0" w:after="0"/>
              <w:pStyle w:val="Compact"/>
            </w:pPr>
            <w:r>
              <w:rPr>
                <w:sz w:val="20"/>
                <w:szCs w:val="20"/>
              </w:rPr>
              <w:t xml:space="preserve">Count of design, normal-operation, and end-of-life cells marked for topics assigned to the module.</w:t>
            </w:r>
          </w:p>
        </w:tc>
        <w:tc>
          <w:tcPr>
            <w:tcW w:w="0" w:type="auto"/>
          </w:tcPr>
          <w:p>
            <w:pPr>
              <w:spacing w:line="240" w:lineRule="auto" w:before="0" w:after="0"/>
              <w:pStyle w:val="Compact"/>
            </w:pPr>
            <w:r>
              <w:rPr>
                <w:sz w:val="20"/>
                <w:szCs w:val="20"/>
              </w:rPr>
              <w:t xml:space="preserve">Coded from the X marks in Rathnasabapathy et al. 2025 Table 3.</w:t>
            </w:r>
          </w:p>
        </w:tc>
      </w:tr>
      <w:tr>
        <w:tc>
          <w:tcPr>
            <w:tcW w:w="0" w:type="auto"/>
          </w:tcPr>
          <w:p>
            <w:pPr>
              <w:spacing w:line="240" w:lineRule="auto" w:before="0" w:after="0"/>
              <w:pStyle w:val="Compact"/>
            </w:pPr>
            <w:r>
              <w:rPr>
                <w:sz w:val="20"/>
                <w:szCs w:val="20"/>
              </w:rPr>
              <w:t xml:space="preserve">simulation_based</w:t>
            </w:r>
          </w:p>
        </w:tc>
        <w:tc>
          <w:tcPr>
            <w:tcW w:w="0" w:type="auto"/>
          </w:tcPr>
          <w:p>
            <w:pPr>
              <w:spacing w:line="240" w:lineRule="auto" w:before="0" w:after="0"/>
              <w:pStyle w:val="Compact"/>
            </w:pPr>
            <w:r>
              <w:rPr>
                <w:sz w:val="20"/>
                <w:szCs w:val="20"/>
              </w:rPr>
              <w:t xml:space="preserve">Indicator equal to one when Table 2 lists simulation in the method of assessment.</w:t>
            </w:r>
          </w:p>
        </w:tc>
        <w:tc>
          <w:tcPr>
            <w:tcW w:w="0" w:type="auto"/>
          </w:tcPr>
          <w:p>
            <w:pPr>
              <w:spacing w:line="240" w:lineRule="auto" w:before="0" w:after="0"/>
              <w:pStyle w:val="Compact"/>
            </w:pPr>
            <w:r>
              <w:rPr>
                <w:sz w:val="20"/>
                <w:szCs w:val="20"/>
              </w:rPr>
              <w:t xml:space="preserve">Read from the Table 2 method-of-assessment column.</w:t>
            </w:r>
          </w:p>
        </w:tc>
      </w:tr>
      <w:tr>
        <w:tc>
          <w:tcPr>
            <w:tcW w:w="0" w:type="auto"/>
          </w:tcPr>
          <w:p>
            <w:pPr>
              <w:spacing w:line="240" w:lineRule="auto" w:before="0" w:after="0"/>
              <w:pStyle w:val="Compact"/>
            </w:pPr>
            <w:r>
              <w:rPr>
                <w:sz w:val="20"/>
                <w:szCs w:val="20"/>
              </w:rPr>
              <w:t xml:space="preserve">questionnaire_based</w:t>
            </w:r>
          </w:p>
        </w:tc>
        <w:tc>
          <w:tcPr>
            <w:tcW w:w="0" w:type="auto"/>
          </w:tcPr>
          <w:p>
            <w:pPr>
              <w:spacing w:line="240" w:lineRule="auto" w:before="0" w:after="0"/>
              <w:pStyle w:val="Compact"/>
            </w:pPr>
            <w:r>
              <w:rPr>
                <w:sz w:val="20"/>
                <w:szCs w:val="20"/>
              </w:rPr>
              <w:t xml:space="preserve">Indicator equal to one when Table 2 lists questionnaire in the method of assessment.</w:t>
            </w:r>
          </w:p>
        </w:tc>
        <w:tc>
          <w:tcPr>
            <w:tcW w:w="0" w:type="auto"/>
          </w:tcPr>
          <w:p>
            <w:pPr>
              <w:spacing w:line="240" w:lineRule="auto" w:before="0" w:after="0"/>
              <w:pStyle w:val="Compact"/>
            </w:pPr>
            <w:r>
              <w:rPr>
                <w:sz w:val="20"/>
                <w:szCs w:val="20"/>
              </w:rPr>
              <w:t xml:space="preserve">Read from the Table 2 method-of-assessment column.</w:t>
            </w:r>
          </w:p>
        </w:tc>
      </w:tr>
      <w:tr>
        <w:tc>
          <w:tcPr>
            <w:tcW w:w="0" w:type="auto"/>
          </w:tcPr>
          <w:p>
            <w:pPr>
              <w:spacing w:line="240" w:lineRule="auto" w:before="0" w:after="0"/>
              <w:pStyle w:val="Compact"/>
            </w:pPr>
            <w:r>
              <w:rPr>
                <w:sz w:val="20"/>
                <w:szCs w:val="20"/>
              </w:rPr>
              <w:t xml:space="preserve">bonus_points</w:t>
            </w:r>
          </w:p>
        </w:tc>
        <w:tc>
          <w:tcPr>
            <w:tcW w:w="0" w:type="auto"/>
          </w:tcPr>
          <w:p>
            <w:pPr>
              <w:spacing w:line="240" w:lineRule="auto" w:before="0" w:after="0"/>
              <w:pStyle w:val="Compact"/>
            </w:pPr>
            <w:r>
              <w:rPr>
                <w:sz w:val="20"/>
                <w:szCs w:val="20"/>
              </w:rPr>
              <w:t xml:space="preserve">Indicator equal to one when Table 2 permits bonus points for the module.</w:t>
            </w:r>
          </w:p>
        </w:tc>
        <w:tc>
          <w:tcPr>
            <w:tcW w:w="0" w:type="auto"/>
          </w:tcPr>
          <w:p>
            <w:pPr>
              <w:spacing w:line="240" w:lineRule="auto" w:before="0" w:after="0"/>
              <w:pStyle w:val="Compact"/>
            </w:pPr>
            <w:r>
              <w:rPr>
                <w:sz w:val="20"/>
                <w:szCs w:val="20"/>
              </w:rPr>
              <w:t xml:space="preserve">Read from the Table 2 bonus-points column.</w:t>
            </w:r>
          </w:p>
        </w:tc>
      </w:tr>
    </w:tbl>
    <w:bookmarkEnd w:id="194"/>
    <w:bookmarkEnd w:id="195"/>
    <w:bookmarkStart w:id="203" w:name="X84deae37a84ca6f2c587bebbf1847453bd6f220"/>
    <w:p>
      <w:pPr>
        <w:pStyle w:val="Heading2"/>
        <w:spacing w:line="480" w:lineRule="auto"/>
      </w:pPr>
      <w:r>
        <w:t xml:space="preserve">A.2 Do Voluntary Orbital-Commons Instruments Accumulate Ostrom Design Completeness Over Time?</w:t>
      </w:r>
    </w:p>
    <w:p>
      <w:pPr>
        <w:pStyle w:val="FirstParagraph"/>
        <w:spacing w:line="480" w:lineRule="auto"/>
      </w:pPr>
      <m:oMathPara>
        <m:oMathParaPr>
          <m:jc m:val="center"/>
        </m:oMathParaPr>
        <m:oMath>
          <m:r>
            <m:rPr>
              <m:sty m:val="p"/>
            </m:rPr>
            <m:t>ln</m:t>
          </m:r>
          <m:r>
            <m:rPr>
              <m:sty m:val="p"/>
            </m:rPr>
            <m:t>(</m:t>
          </m:r>
          <m:r>
            <m:t>D</m:t>
          </m:r>
          <m:r>
            <m:t>e</m:t>
          </m:r>
          <m:r>
            <m:t>s</m:t>
          </m:r>
          <m:r>
            <m:t>i</m:t>
          </m:r>
          <m:r>
            <m:t>g</m:t>
          </m:r>
          <m:r>
            <m:t>n</m:t>
          </m:r>
          <m:r>
            <m:t>S</m:t>
          </m:r>
          <m:r>
            <m:t>c</m:t>
          </m:r>
          <m:r>
            <m:t>o</m:t>
          </m:r>
          <m:r>
            <m:t>r</m:t>
          </m:r>
          <m:sSub>
            <m:e>
              <m:r>
                <m:t>e</m:t>
              </m:r>
            </m:e>
            <m:sub>
              <m:r>
                <m:t>i</m:t>
              </m:r>
            </m:sub>
          </m:sSub>
          <m:r>
            <m:rPr>
              <m:sty m:val="p"/>
            </m:rPr>
            <m:t>)</m:t>
          </m:r>
          <m:r>
            <m:rPr>
              <m:sty m:val="p"/>
            </m:rPr>
            <m:t>=</m:t>
          </m:r>
          <m:r>
            <m:t>α</m:t>
          </m:r>
          <m:r>
            <m:rPr>
              <m:sty m:val="p"/>
            </m:rPr>
            <m:t>+</m:t>
          </m:r>
          <m:sSub>
            <m:e>
              <m:r>
                <m:t>β</m:t>
              </m:r>
            </m:e>
            <m:sub>
              <m:r>
                <m:t>1</m:t>
              </m:r>
            </m:sub>
          </m:sSub>
          <m:r>
            <m:rPr>
              <m:sty m:val="p"/>
            </m:rPr>
            <m:t>ln</m:t>
          </m:r>
          <m:r>
            <m:rPr>
              <m:sty m:val="p"/>
            </m:rPr>
            <m:t>(</m:t>
          </m:r>
          <m:r>
            <m:t>P</m:t>
          </m:r>
          <m:r>
            <m:t>u</m:t>
          </m:r>
          <m:r>
            <m:t>b</m:t>
          </m:r>
          <m:r>
            <m:t>l</m:t>
          </m:r>
          <m:r>
            <m:t>i</m:t>
          </m:r>
          <m:r>
            <m:t>c</m:t>
          </m:r>
          <m:r>
            <m:t>a</m:t>
          </m:r>
          <m:r>
            <m:t>t</m:t>
          </m:r>
          <m:r>
            <m:t>i</m:t>
          </m:r>
          <m:r>
            <m:t>o</m:t>
          </m:r>
          <m:r>
            <m:t>n</m:t>
          </m:r>
          <m:r>
            <m:t>O</m:t>
          </m:r>
          <m:r>
            <m:t>r</m:t>
          </m:r>
          <m:r>
            <m:t>d</m:t>
          </m:r>
          <m:r>
            <m:t>e</m:t>
          </m:r>
          <m:sSub>
            <m:e>
              <m:r>
                <m:t>r</m:t>
              </m:r>
            </m:e>
            <m:sub>
              <m:r>
                <m:t>i</m:t>
              </m:r>
            </m:sub>
          </m:sSub>
          <m:r>
            <m:rPr>
              <m:sty m:val="p"/>
            </m:rPr>
            <m:t>)</m:t>
          </m:r>
          <m:r>
            <m:rPr>
              <m:sty m:val="p"/>
            </m:rPr>
            <m:t>+</m:t>
          </m:r>
          <m:sSub>
            <m:e>
              <m:r>
                <m:t>ε</m:t>
              </m:r>
            </m:e>
            <m:sub>
              <m:r>
                <m:t>i</m:t>
              </m:r>
            </m:sub>
          </m:sSub>
        </m:oMath>
      </m:oMathPara>
    </w:p>
    <w:bookmarkStart w:id="19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1.406</w:t>
            </w:r>
          </w:p>
        </w:tc>
        <w:tc>
          <w:tcPr>
            <w:tcW w:w="0" w:type="auto"/>
          </w:tcPr>
          <w:p>
            <w:pPr>
              <w:spacing w:line="240" w:lineRule="auto" w:before="0" w:after="0"/>
              <w:pStyle w:val="Compact"/>
            </w:pPr>
            <w:r>
              <w:rPr>
                <w:sz w:val="20"/>
                <w:szCs w:val="20"/>
              </w:rPr>
              <w:t xml:space="preserve">0.2585</w:t>
            </w:r>
          </w:p>
        </w:tc>
        <w:tc>
          <w:tcPr>
            <w:tcW w:w="0" w:type="auto"/>
          </w:tcPr>
          <w:p>
            <w:pPr>
              <w:spacing w:line="240" w:lineRule="auto" w:before="0" w:after="0"/>
              <w:pStyle w:val="Compact"/>
            </w:pPr>
            <w:r>
              <w:rPr>
                <w:sz w:val="20"/>
                <w:szCs w:val="20"/>
              </w:rPr>
              <w:t xml:space="preserve">5.4398</w:t>
            </w:r>
          </w:p>
        </w:tc>
        <w:tc>
          <w:tcPr>
            <w:tcW w:w="0" w:type="auto"/>
          </w:tcPr>
          <w:p>
            <w:pPr>
              <w:spacing w:line="240" w:lineRule="auto" w:before="0" w:after="0"/>
              <w:pStyle w:val="Compact"/>
            </w:pPr>
            <w:r>
              <w:rPr>
                <w:sz w:val="20"/>
                <w:szCs w:val="20"/>
              </w:rPr>
              <w:t xml:space="preserve">5.333e-08</w:t>
            </w:r>
          </w:p>
        </w:tc>
        <w:tc>
          <w:tcPr>
            <w:tcW w:w="0" w:type="auto"/>
          </w:tcPr>
          <w:p>
            <w:pPr>
              <w:spacing w:line="240" w:lineRule="auto" w:before="0" w:after="0"/>
              <w:pStyle w:val="Compact"/>
            </w:pPr>
            <w:r>
              <w:rPr>
                <w:sz w:val="20"/>
                <w:szCs w:val="20"/>
              </w:rPr>
              <w:t xml:space="preserve">[0.8994, 1.9126]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0.118</w:t>
            </w:r>
          </w:p>
        </w:tc>
        <w:tc>
          <w:tcPr>
            <w:tcW w:w="0" w:type="auto"/>
          </w:tcPr>
          <w:p>
            <w:pPr>
              <w:spacing w:line="240" w:lineRule="auto" w:before="0" w:after="0"/>
              <w:pStyle w:val="Compact"/>
            </w:pPr>
            <w:r>
              <w:rPr>
                <w:sz w:val="20"/>
                <w:szCs w:val="20"/>
              </w:rPr>
              <w:t xml:space="preserve">0.1657</w:t>
            </w:r>
          </w:p>
        </w:tc>
        <w:tc>
          <w:tcPr>
            <w:tcW w:w="0" w:type="auto"/>
          </w:tcPr>
          <w:p>
            <w:pPr>
              <w:spacing w:line="240" w:lineRule="auto" w:before="0" w:after="0"/>
              <w:pStyle w:val="Compact"/>
            </w:pPr>
            <w:r>
              <w:rPr>
                <w:sz w:val="20"/>
                <w:szCs w:val="20"/>
              </w:rPr>
              <w:t xml:space="preserve">0.7122</w:t>
            </w:r>
          </w:p>
        </w:tc>
        <w:tc>
          <w:tcPr>
            <w:tcW w:w="0" w:type="auto"/>
          </w:tcPr>
          <w:p>
            <w:pPr>
              <w:spacing w:line="240" w:lineRule="auto" w:before="0" w:after="0"/>
              <w:pStyle w:val="Compact"/>
            </w:pPr>
            <w:r>
              <w:rPr>
                <w:sz w:val="20"/>
                <w:szCs w:val="20"/>
              </w:rPr>
              <w:t xml:space="preserve">0.4763</w:t>
            </w:r>
          </w:p>
        </w:tc>
        <w:tc>
          <w:tcPr>
            <w:tcW w:w="0" w:type="auto"/>
          </w:tcPr>
          <w:p>
            <w:pPr>
              <w:spacing w:line="240" w:lineRule="auto" w:before="0" w:after="0"/>
              <w:pStyle w:val="Compact"/>
            </w:pPr>
            <w:r>
              <w:rPr>
                <w:sz w:val="20"/>
                <w:szCs w:val="20"/>
              </w:rPr>
              <w:t xml:space="preserve">[-0.2067, 0.4426]</w:t>
            </w:r>
          </w:p>
        </w:tc>
      </w:tr>
    </w:tbl>
    <w:p>
      <w:pPr>
        <w:pStyle w:val="BodyText"/>
        <w:spacing w:line="480" w:lineRule="auto"/>
        <w:ind w:firstLine="720"/>
      </w:pPr>
      <w:r>
        <w:t xml:space="preserve">Fit: N = 9 R2 = 0.0835 elasticity_b = 0.118 progress_ratio_2^b = 1.0852</w:t>
      </w:r>
    </w:p>
    <w:bookmarkEnd w:id="196"/>
    <w:bookmarkStart w:id="20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Log-log learning-curve fit for coded Ostrom design completeness." title="" id="198" name="Picture"/>
            <a:graphic>
              <a:graphicData uri="http://schemas.openxmlformats.org/drawingml/2006/picture">
                <pic:pic>
                  <pic:nvPicPr>
                    <pic:cNvPr descr="D:/Claude_Code/brain/collegium/candidates/dissertations/SUSTAINABILITY_INSTITUTIONS_01/research_papers/p2/paper_fig1.png" id="199" name="Picture"/>
                    <pic:cNvPicPr>
                      <a:picLocks noChangeArrowheads="1" noChangeAspect="1"/>
                    </pic:cNvPicPr>
                  </pic:nvPicPr>
                  <pic:blipFill>
                    <a:blip r:embed="rId19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Log-log learning-curve fit for coded Ostrom design completeness.</w:t>
      </w:r>
    </w:p>
    <w:bookmarkEnd w:id="200"/>
    <w:bookmarkStart w:id="20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source_short</w:t>
            </w:r>
          </w:p>
        </w:tc>
        <w:tc>
          <w:tcPr>
            <w:tcW w:w="0" w:type="auto"/>
          </w:tcPr>
          <w:p>
            <w:pPr>
              <w:spacing w:line="240" w:lineRule="auto" w:before="0" w:after="0"/>
              <w:pStyle w:val="Compact"/>
            </w:pPr>
            <w:r>
              <w:rPr>
                <w:sz w:val="20"/>
                <w:szCs w:val="20"/>
              </w:rPr>
              <w:t xml:space="preserve">publication_year</w:t>
            </w:r>
          </w:p>
        </w:tc>
        <w:tc>
          <w:tcPr>
            <w:tcW w:w="0" w:type="auto"/>
          </w:tcPr>
          <w:p>
            <w:pPr>
              <w:spacing w:line="240" w:lineRule="auto" w:before="0" w:after="0"/>
              <w:pStyle w:val="Compact"/>
            </w:pPr>
            <w:r>
              <w:rPr>
                <w:sz w:val="20"/>
                <w:szCs w:val="20"/>
              </w:rPr>
              <w:t xml:space="preserve">publication_order</w:t>
            </w:r>
          </w:p>
        </w:tc>
        <w:tc>
          <w:tcPr>
            <w:tcW w:w="0" w:type="auto"/>
          </w:tcPr>
          <w:p>
            <w:pPr>
              <w:spacing w:line="240" w:lineRule="auto" w:before="0" w:after="0"/>
              <w:pStyle w:val="Compact"/>
            </w:pPr>
            <w:r>
              <w:rPr>
                <w:sz w:val="20"/>
                <w:szCs w:val="20"/>
              </w:rPr>
              <w:t xml:space="preserve">ostrom_design_score</w:t>
            </w:r>
          </w:p>
        </w:tc>
        <w:tc>
          <w:tcPr>
            <w:tcW w:w="0" w:type="auto"/>
          </w:tcPr>
          <w:p>
            <w:pPr>
              <w:spacing w:line="240" w:lineRule="auto" w:before="0" w:after="0"/>
              <w:pStyle w:val="Compact"/>
            </w:pPr>
            <w:r>
              <w:rPr>
                <w:sz w:val="20"/>
                <w:szCs w:val="20"/>
              </w:rPr>
              <w:t xml:space="preserve">boundaries_or_actor_scope</w:t>
            </w:r>
          </w:p>
        </w:tc>
        <w:tc>
          <w:tcPr>
            <w:tcW w:w="0" w:type="auto"/>
          </w:tcPr>
          <w:p>
            <w:pPr>
              <w:spacing w:line="240" w:lineRule="auto" w:before="0" w:after="0"/>
              <w:pStyle w:val="Compact"/>
            </w:pPr>
            <w:r>
              <w:rPr>
                <w:sz w:val="20"/>
                <w:szCs w:val="20"/>
              </w:rPr>
              <w:t xml:space="preserve">proportionality_or_incentives</w:t>
            </w:r>
          </w:p>
        </w:tc>
        <w:tc>
          <w:tcPr>
            <w:tcW w:w="0" w:type="auto"/>
          </w:tcPr>
          <w:p>
            <w:pPr>
              <w:spacing w:line="240" w:lineRule="auto" w:before="0" w:after="0"/>
              <w:pStyle w:val="Compact"/>
            </w:pPr>
            <w:r>
              <w:rPr>
                <w:sz w:val="20"/>
                <w:szCs w:val="20"/>
              </w:rPr>
              <w:t xml:space="preserve">collective_choice_participation</w:t>
            </w:r>
          </w:p>
        </w:tc>
        <w:tc>
          <w:tcPr>
            <w:tcW w:w="0" w:type="auto"/>
          </w:tcPr>
          <w:p>
            <w:pPr>
              <w:spacing w:line="240" w:lineRule="auto" w:before="0" w:after="0"/>
              <w:pStyle w:val="Compact"/>
            </w:pPr>
            <w:r>
              <w:rPr>
                <w:sz w:val="20"/>
                <w:szCs w:val="20"/>
              </w:rPr>
              <w:t xml:space="preserve">monitoring_observability</w:t>
            </w:r>
          </w:p>
        </w:tc>
        <w:tc>
          <w:tcPr>
            <w:tcW w:w="0" w:type="auto"/>
          </w:tcPr>
          <w:p>
            <w:pPr>
              <w:spacing w:line="240" w:lineRule="auto" w:before="0" w:after="0"/>
              <w:pStyle w:val="Compact"/>
            </w:pPr>
            <w:r>
              <w:rPr>
                <w:sz w:val="20"/>
                <w:szCs w:val="20"/>
              </w:rPr>
              <w:t xml:space="preserve">accountability_or_sanctions</w:t>
            </w:r>
          </w:p>
        </w:tc>
        <w:tc>
          <w:tcPr>
            <w:tcW w:w="0" w:type="auto"/>
          </w:tcPr>
          <w:p>
            <w:pPr>
              <w:spacing w:line="240" w:lineRule="auto" w:before="0" w:after="0"/>
              <w:pStyle w:val="Compact"/>
            </w:pPr>
            <w:r>
              <w:rPr>
                <w:sz w:val="20"/>
                <w:szCs w:val="20"/>
              </w:rPr>
              <w:t xml:space="preserve">conflict_resolution</w:t>
            </w:r>
          </w:p>
        </w:tc>
        <w:tc>
          <w:tcPr>
            <w:tcW w:w="0" w:type="auto"/>
          </w:tcPr>
          <w:p>
            <w:pPr>
              <w:spacing w:line="240" w:lineRule="auto" w:before="0" w:after="0"/>
              <w:pStyle w:val="Compact"/>
            </w:pPr>
            <w:r>
              <w:rPr>
                <w:sz w:val="20"/>
                <w:szCs w:val="20"/>
              </w:rPr>
              <w:t xml:space="preserve">self_organization</w:t>
            </w:r>
          </w:p>
        </w:tc>
        <w:tc>
          <w:tcPr>
            <w:tcW w:w="0" w:type="auto"/>
          </w:tcPr>
          <w:p>
            <w:pPr>
              <w:spacing w:line="240" w:lineRule="auto" w:before="0" w:after="0"/>
              <w:pStyle w:val="Compact"/>
            </w:pPr>
            <w:r>
              <w:rPr>
                <w:sz w:val="20"/>
                <w:szCs w:val="20"/>
              </w:rPr>
              <w:t xml:space="preserve">nested_coordination</w:t>
            </w:r>
          </w:p>
        </w:tc>
        <w:tc>
          <w:tcPr>
            <w:tcW w:w="0" w:type="auto"/>
          </w:tcPr>
          <w:p>
            <w:pPr>
              <w:spacing w:line="240" w:lineRule="auto" w:before="0" w:after="0"/>
              <w:pStyle w:val="Compact"/>
            </w:pPr>
            <w:r>
              <w:rPr>
                <w:sz w:val="20"/>
                <w:szCs w:val="20"/>
              </w:rPr>
              <w:t xml:space="preserve">primary_evidence</w:t>
            </w:r>
          </w:p>
        </w:tc>
      </w:tr>
      <w:tr>
        <w:tc>
          <w:tcPr>
            <w:tcW w:w="0" w:type="auto"/>
          </w:tcPr>
          <w:p>
            <w:pPr>
              <w:spacing w:line="240" w:lineRule="auto" w:before="0" w:after="0"/>
              <w:pStyle w:val="Compact"/>
            </w:pPr>
            <w:r>
              <w:rPr>
                <w:sz w:val="20"/>
                <w:szCs w:val="20"/>
              </w:rPr>
              <w:t xml:space="preserve">ELROI license plate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open optical ID, ground readability, object identification burden</w:t>
            </w:r>
          </w:p>
        </w:tc>
      </w:tr>
      <w:tr>
        <w:tc>
          <w:tcPr>
            <w:tcW w:w="0" w:type="auto"/>
          </w:tcPr>
          <w:p>
            <w:pPr>
              <w:spacing w:line="240" w:lineRule="auto" w:before="0" w:after="0"/>
              <w:pStyle w:val="Compact"/>
            </w:pPr>
            <w:r>
              <w:rPr>
                <w:sz w:val="20"/>
                <w:szCs w:val="20"/>
              </w:rPr>
              <w:t xml:space="preserve">SSA contribution to SSR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rating modules, independent validation, operator-provided data, nonparticipant assessment</w:t>
            </w:r>
          </w:p>
        </w:tc>
      </w:tr>
      <w:tr>
        <w:tc>
          <w:tcPr>
            <w:tcW w:w="0" w:type="auto"/>
          </w:tcPr>
          <w:p>
            <w:pPr>
              <w:spacing w:line="240" w:lineRule="auto" w:before="0" w:after="0"/>
              <w:pStyle w:val="Compact"/>
            </w:pPr>
            <w:r>
              <w:rPr>
                <w:sz w:val="20"/>
                <w:szCs w:val="20"/>
              </w:rPr>
              <w:t xml:space="preserve">Montreal Protocol analogy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monitoring, mitigation, remediation, adaptation, incentives, international diplomacy</w:t>
            </w:r>
          </w:p>
        </w:tc>
      </w:tr>
      <w:tr>
        <w:tc>
          <w:tcPr>
            <w:tcW w:w="0" w:type="auto"/>
          </w:tcPr>
          <w:p>
            <w:pPr>
              <w:spacing w:line="240" w:lineRule="auto" w:before="0" w:after="0"/>
              <w:pStyle w:val="Compact"/>
            </w:pPr>
            <w:r>
              <w:rPr>
                <w:sz w:val="20"/>
                <w:szCs w:val="20"/>
              </w:rPr>
              <w:t xml:space="preserve">ISON decentralized SSA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about fifteen observation sites, decentralized sharing, polycentric governance niche</w:t>
            </w:r>
          </w:p>
        </w:tc>
      </w:tr>
      <w:tr>
        <w:tc>
          <w:tcPr>
            <w:tcW w:w="0" w:type="auto"/>
          </w:tcPr>
          <w:p>
            <w:pPr>
              <w:spacing w:line="240" w:lineRule="auto" w:before="0" w:after="0"/>
              <w:pStyle w:val="Compact"/>
            </w:pPr>
            <w:r>
              <w:rPr>
                <w:sz w:val="20"/>
                <w:szCs w:val="20"/>
              </w:rPr>
              <w:t xml:space="preserve">source sink decision support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adaptive management, source-sink model, stakeholder decision support</w:t>
            </w:r>
          </w:p>
        </w:tc>
      </w:tr>
      <w:tr>
        <w:tc>
          <w:tcPr>
            <w:tcW w:w="0" w:type="auto"/>
          </w:tcPr>
          <w:p>
            <w:pPr>
              <w:spacing w:line="240" w:lineRule="auto" w:before="0" w:after="0"/>
              <w:pStyle w:val="Compact"/>
            </w:pPr>
            <w:r>
              <w:rPr>
                <w:sz w:val="20"/>
                <w:szCs w:val="20"/>
              </w:rPr>
              <w:t xml:space="preserve">trusted stakeholder coordination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attributed data, pedigree, provenance, shared data picture, self-synchronization</w:t>
            </w:r>
          </w:p>
        </w:tc>
      </w:tr>
      <w:tr>
        <w:tc>
          <w:tcPr>
            <w:tcW w:w="0" w:type="auto"/>
          </w:tcPr>
          <w:p>
            <w:pPr>
              <w:spacing w:line="240" w:lineRule="auto" w:before="0" w:after="0"/>
              <w:pStyle w:val="Compact"/>
            </w:pPr>
            <w:r>
              <w:rPr>
                <w:sz w:val="20"/>
                <w:szCs w:val="20"/>
              </w:rPr>
              <w:t xml:space="preserve">uncontrolled reentry risk</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reentry mass, casualty probability, mitigation need, international risk distribution</w:t>
            </w:r>
          </w:p>
        </w:tc>
      </w:tr>
      <w:tr>
        <w:tc>
          <w:tcPr>
            <w:tcW w:w="0" w:type="auto"/>
          </w:tcPr>
          <w:p>
            <w:pPr>
              <w:spacing w:line="240" w:lineRule="auto" w:before="0" w:after="0"/>
              <w:pStyle w:val="Compact"/>
            </w:pPr>
            <w:r>
              <w:rPr>
                <w:sz w:val="20"/>
                <w:szCs w:val="20"/>
              </w:rPr>
              <w:t xml:space="preserve">space sustainability rating</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six modules, verification, bonus points, lifecycle topic map, operator questionnaire</w:t>
            </w:r>
          </w:p>
        </w:tc>
      </w:tr>
      <w:tr>
        <w:tc>
          <w:tcPr>
            <w:tcW w:w="0" w:type="auto"/>
          </w:tcPr>
          <w:p>
            <w:pPr>
              <w:spacing w:line="240" w:lineRule="auto" w:before="0" w:after="0"/>
              <w:pStyle w:val="Compact"/>
            </w:pPr>
            <w:r>
              <w:rPr>
                <w:sz w:val="20"/>
                <w:szCs w:val="20"/>
              </w:rPr>
              <w:t xml:space="preserve">STM outreach</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primary, secondary, and tertiary stakeholder categories, channels, annual and monthly cycles</w:t>
            </w:r>
          </w:p>
        </w:tc>
      </w:tr>
    </w:tbl>
    <w:bookmarkEnd w:id="201"/>
    <w:bookmarkStart w:id="202"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ostrom_design_score</w:t>
            </w:r>
          </w:p>
        </w:tc>
        <w:tc>
          <w:tcPr>
            <w:tcW w:w="0" w:type="auto"/>
          </w:tcPr>
          <w:p>
            <w:pPr>
              <w:spacing w:line="240" w:lineRule="auto" w:before="0" w:after="0"/>
              <w:pStyle w:val="Compact"/>
            </w:pPr>
            <w:r>
              <w:rPr>
                <w:sz w:val="20"/>
                <w:szCs w:val="20"/>
              </w:rPr>
              <w:t xml:space="preserve">Count from zero to eight of coded Ostrom design-principle proxies observed in the document.</w:t>
            </w:r>
          </w:p>
        </w:tc>
        <w:tc>
          <w:tcPr>
            <w:tcW w:w="0" w:type="auto"/>
          </w:tcPr>
          <w:p>
            <w:pPr>
              <w:spacing w:line="240" w:lineRule="auto" w:before="0" w:after="0"/>
              <w:pStyle w:val="Compact"/>
            </w:pPr>
            <w:r>
              <w:rPr>
                <w:sz w:val="20"/>
                <w:szCs w:val="20"/>
              </w:rPr>
              <w:t xml:space="preserve">Sum of eight binary columns coded from the cited source text.</w:t>
            </w:r>
          </w:p>
        </w:tc>
      </w:tr>
      <w:tr>
        <w:tc>
          <w:tcPr>
            <w:tcW w:w="0" w:type="auto"/>
          </w:tcPr>
          <w:p>
            <w:pPr>
              <w:spacing w:line="240" w:lineRule="auto" w:before="0" w:after="0"/>
              <w:pStyle w:val="Compact"/>
            </w:pPr>
            <w:r>
              <w:rPr>
                <w:sz w:val="20"/>
                <w:szCs w:val="20"/>
              </w:rPr>
              <w:t xml:space="preserve">publication_order</w:t>
            </w:r>
          </w:p>
        </w:tc>
        <w:tc>
          <w:tcPr>
            <w:tcW w:w="0" w:type="auto"/>
          </w:tcPr>
          <w:p>
            <w:pPr>
              <w:spacing w:line="240" w:lineRule="auto" w:before="0" w:after="0"/>
              <w:pStyle w:val="Compact"/>
            </w:pPr>
            <w:r>
              <w:rPr>
                <w:sz w:val="20"/>
                <w:szCs w:val="20"/>
              </w:rPr>
              <w:t xml:space="preserve">Ordinal order after sorting the coded corpus by publication year and source sequence.</w:t>
            </w:r>
          </w:p>
        </w:tc>
        <w:tc>
          <w:tcPr>
            <w:tcW w:w="0" w:type="auto"/>
          </w:tcPr>
          <w:p>
            <w:pPr>
              <w:spacing w:line="240" w:lineRule="auto" w:before="0" w:after="0"/>
              <w:pStyle w:val="Compact"/>
            </w:pPr>
            <w:r>
              <w:rPr>
                <w:sz w:val="20"/>
                <w:szCs w:val="20"/>
              </w:rPr>
              <w:t xml:space="preserve">Assigned from source metadata; ties in 2023 and 2025 follow source-family order used in the dissertation corpus.</w:t>
            </w:r>
          </w:p>
        </w:tc>
      </w:tr>
      <w:tr>
        <w:tc>
          <w:tcPr>
            <w:tcW w:w="0" w:type="auto"/>
          </w:tcPr>
          <w:p>
            <w:pPr>
              <w:spacing w:line="240" w:lineRule="auto" w:before="0" w:after="0"/>
              <w:pStyle w:val="Compact"/>
            </w:pPr>
            <w:r>
              <w:rPr>
                <w:sz w:val="20"/>
                <w:szCs w:val="20"/>
              </w:rPr>
              <w:t xml:space="preserve">boundaries_or_actor_scope</w:t>
            </w:r>
          </w:p>
        </w:tc>
        <w:tc>
          <w:tcPr>
            <w:tcW w:w="0" w:type="auto"/>
          </w:tcPr>
          <w:p>
            <w:pPr>
              <w:spacing w:line="240" w:lineRule="auto" w:before="0" w:after="0"/>
              <w:pStyle w:val="Compact"/>
            </w:pPr>
            <w:r>
              <w:rPr>
                <w:sz w:val="20"/>
                <w:szCs w:val="20"/>
              </w:rPr>
              <w:t xml:space="preserve">Indicator for clear objects, missions, actors, regions, or categories within the proposed governance arrangement.</w:t>
            </w:r>
          </w:p>
        </w:tc>
        <w:tc>
          <w:tcPr>
            <w:tcW w:w="0" w:type="auto"/>
          </w:tcPr>
          <w:p>
            <w:pPr>
              <w:spacing w:line="240" w:lineRule="auto" w:before="0" w:after="0"/>
              <w:pStyle w:val="Compact"/>
            </w:pPr>
            <w:r>
              <w:rPr>
                <w:sz w:val="20"/>
                <w:szCs w:val="20"/>
              </w:rPr>
              <w:t xml:space="preserve">Manual document coding from source text.</w:t>
            </w:r>
          </w:p>
        </w:tc>
      </w:tr>
      <w:tr>
        <w:tc>
          <w:tcPr>
            <w:tcW w:w="0" w:type="auto"/>
          </w:tcPr>
          <w:p>
            <w:pPr>
              <w:spacing w:line="240" w:lineRule="auto" w:before="0" w:after="0"/>
              <w:pStyle w:val="Compact"/>
            </w:pPr>
            <w:r>
              <w:rPr>
                <w:sz w:val="20"/>
                <w:szCs w:val="20"/>
              </w:rPr>
              <w:t xml:space="preserve">proportionality_or_incentives</w:t>
            </w:r>
          </w:p>
        </w:tc>
        <w:tc>
          <w:tcPr>
            <w:tcW w:w="0" w:type="auto"/>
          </w:tcPr>
          <w:p>
            <w:pPr>
              <w:spacing w:line="240" w:lineRule="auto" w:before="0" w:after="0"/>
              <w:pStyle w:val="Compact"/>
            </w:pPr>
            <w:r>
              <w:rPr>
                <w:sz w:val="20"/>
                <w:szCs w:val="20"/>
              </w:rPr>
              <w:t xml:space="preserve">Indicator for scoring weights, economic differentiation, positive incentives, or cost allocation.</w:t>
            </w:r>
          </w:p>
        </w:tc>
        <w:tc>
          <w:tcPr>
            <w:tcW w:w="0" w:type="auto"/>
          </w:tcPr>
          <w:p>
            <w:pPr>
              <w:spacing w:line="240" w:lineRule="auto" w:before="0" w:after="0"/>
              <w:pStyle w:val="Compact"/>
            </w:pPr>
            <w:r>
              <w:rPr>
                <w:sz w:val="20"/>
                <w:szCs w:val="20"/>
              </w:rPr>
              <w:t xml:space="preserve">Manual document coding from source text.</w:t>
            </w:r>
          </w:p>
        </w:tc>
      </w:tr>
      <w:tr>
        <w:tc>
          <w:tcPr>
            <w:tcW w:w="0" w:type="auto"/>
          </w:tcPr>
          <w:p>
            <w:pPr>
              <w:spacing w:line="240" w:lineRule="auto" w:before="0" w:after="0"/>
              <w:pStyle w:val="Compact"/>
            </w:pPr>
            <w:r>
              <w:rPr>
                <w:sz w:val="20"/>
                <w:szCs w:val="20"/>
              </w:rPr>
              <w:t xml:space="preserve">collective_choice_participation</w:t>
            </w:r>
          </w:p>
        </w:tc>
        <w:tc>
          <w:tcPr>
            <w:tcW w:w="0" w:type="auto"/>
          </w:tcPr>
          <w:p>
            <w:pPr>
              <w:spacing w:line="240" w:lineRule="auto" w:before="0" w:after="0"/>
              <w:pStyle w:val="Compact"/>
            </w:pPr>
            <w:r>
              <w:rPr>
                <w:sz w:val="20"/>
                <w:szCs w:val="20"/>
              </w:rPr>
              <w:t xml:space="preserve">Indicator for stakeholder participation, consortium design, or cross-actor rule formation.</w:t>
            </w:r>
          </w:p>
        </w:tc>
        <w:tc>
          <w:tcPr>
            <w:tcW w:w="0" w:type="auto"/>
          </w:tcPr>
          <w:p>
            <w:pPr>
              <w:spacing w:line="240" w:lineRule="auto" w:before="0" w:after="0"/>
              <w:pStyle w:val="Compact"/>
            </w:pPr>
            <w:r>
              <w:rPr>
                <w:sz w:val="20"/>
                <w:szCs w:val="20"/>
              </w:rPr>
              <w:t xml:space="preserve">Manual document coding from source text.</w:t>
            </w:r>
          </w:p>
        </w:tc>
      </w:tr>
      <w:tr>
        <w:tc>
          <w:tcPr>
            <w:tcW w:w="0" w:type="auto"/>
          </w:tcPr>
          <w:p>
            <w:pPr>
              <w:spacing w:line="240" w:lineRule="auto" w:before="0" w:after="0"/>
              <w:pStyle w:val="Compact"/>
            </w:pPr>
            <w:r>
              <w:rPr>
                <w:sz w:val="20"/>
                <w:szCs w:val="20"/>
              </w:rPr>
              <w:t xml:space="preserve">monitoring_observability</w:t>
            </w:r>
          </w:p>
        </w:tc>
        <w:tc>
          <w:tcPr>
            <w:tcW w:w="0" w:type="auto"/>
          </w:tcPr>
          <w:p>
            <w:pPr>
              <w:spacing w:line="240" w:lineRule="auto" w:before="0" w:after="0"/>
              <w:pStyle w:val="Compact"/>
            </w:pPr>
            <w:r>
              <w:rPr>
                <w:sz w:val="20"/>
                <w:szCs w:val="20"/>
              </w:rPr>
              <w:t xml:space="preserve">Indicator for observation, SSA data, verification, tracking, modeling, or measurement.</w:t>
            </w:r>
          </w:p>
        </w:tc>
        <w:tc>
          <w:tcPr>
            <w:tcW w:w="0" w:type="auto"/>
          </w:tcPr>
          <w:p>
            <w:pPr>
              <w:spacing w:line="240" w:lineRule="auto" w:before="0" w:after="0"/>
              <w:pStyle w:val="Compact"/>
            </w:pPr>
            <w:r>
              <w:rPr>
                <w:sz w:val="20"/>
                <w:szCs w:val="20"/>
              </w:rPr>
              <w:t xml:space="preserve">Manual document coding from source text.</w:t>
            </w:r>
          </w:p>
        </w:tc>
      </w:tr>
      <w:tr>
        <w:tc>
          <w:tcPr>
            <w:tcW w:w="0" w:type="auto"/>
          </w:tcPr>
          <w:p>
            <w:pPr>
              <w:spacing w:line="240" w:lineRule="auto" w:before="0" w:after="0"/>
              <w:pStyle w:val="Compact"/>
            </w:pPr>
            <w:r>
              <w:rPr>
                <w:sz w:val="20"/>
                <w:szCs w:val="20"/>
              </w:rPr>
              <w:t xml:space="preserve">accountability_or_sanctions</w:t>
            </w:r>
          </w:p>
        </w:tc>
        <w:tc>
          <w:tcPr>
            <w:tcW w:w="0" w:type="auto"/>
          </w:tcPr>
          <w:p>
            <w:pPr>
              <w:spacing w:line="240" w:lineRule="auto" w:before="0" w:after="0"/>
              <w:pStyle w:val="Compact"/>
            </w:pPr>
            <w:r>
              <w:rPr>
                <w:sz w:val="20"/>
                <w:szCs w:val="20"/>
              </w:rPr>
              <w:t xml:space="preserve">Indicator for verification, compliance, evidence, sanctions, or accountable reporting.</w:t>
            </w:r>
          </w:p>
        </w:tc>
        <w:tc>
          <w:tcPr>
            <w:tcW w:w="0" w:type="auto"/>
          </w:tcPr>
          <w:p>
            <w:pPr>
              <w:spacing w:line="240" w:lineRule="auto" w:before="0" w:after="0"/>
              <w:pStyle w:val="Compact"/>
            </w:pPr>
            <w:r>
              <w:rPr>
                <w:sz w:val="20"/>
                <w:szCs w:val="20"/>
              </w:rPr>
              <w:t xml:space="preserve">Manual document coding from source text.</w:t>
            </w:r>
          </w:p>
        </w:tc>
      </w:tr>
      <w:tr>
        <w:tc>
          <w:tcPr>
            <w:tcW w:w="0" w:type="auto"/>
          </w:tcPr>
          <w:p>
            <w:pPr>
              <w:spacing w:line="240" w:lineRule="auto" w:before="0" w:after="0"/>
              <w:pStyle w:val="Compact"/>
            </w:pPr>
            <w:r>
              <w:rPr>
                <w:sz w:val="20"/>
                <w:szCs w:val="20"/>
              </w:rPr>
              <w:t xml:space="preserve">conflict_resolution</w:t>
            </w:r>
          </w:p>
        </w:tc>
        <w:tc>
          <w:tcPr>
            <w:tcW w:w="0" w:type="auto"/>
          </w:tcPr>
          <w:p>
            <w:pPr>
              <w:spacing w:line="240" w:lineRule="auto" w:before="0" w:after="0"/>
              <w:pStyle w:val="Compact"/>
            </w:pPr>
            <w:r>
              <w:rPr>
                <w:sz w:val="20"/>
                <w:szCs w:val="20"/>
              </w:rPr>
              <w:t xml:space="preserve">Indicator for explicit dispute or conflict-resolution mechanism.</w:t>
            </w:r>
          </w:p>
        </w:tc>
        <w:tc>
          <w:tcPr>
            <w:tcW w:w="0" w:type="auto"/>
          </w:tcPr>
          <w:p>
            <w:pPr>
              <w:spacing w:line="240" w:lineRule="auto" w:before="0" w:after="0"/>
              <w:pStyle w:val="Compact"/>
            </w:pPr>
            <w:r>
              <w:rPr>
                <w:sz w:val="20"/>
                <w:szCs w:val="20"/>
              </w:rPr>
              <w:t xml:space="preserve">Manual document coding from source text.</w:t>
            </w:r>
          </w:p>
        </w:tc>
      </w:tr>
      <w:tr>
        <w:tc>
          <w:tcPr>
            <w:tcW w:w="0" w:type="auto"/>
          </w:tcPr>
          <w:p>
            <w:pPr>
              <w:spacing w:line="240" w:lineRule="auto" w:before="0" w:after="0"/>
              <w:pStyle w:val="Compact"/>
            </w:pPr>
            <w:r>
              <w:rPr>
                <w:sz w:val="20"/>
                <w:szCs w:val="20"/>
              </w:rPr>
              <w:t xml:space="preserve">self_organization</w:t>
            </w:r>
          </w:p>
        </w:tc>
        <w:tc>
          <w:tcPr>
            <w:tcW w:w="0" w:type="auto"/>
          </w:tcPr>
          <w:p>
            <w:pPr>
              <w:spacing w:line="240" w:lineRule="auto" w:before="0" w:after="0"/>
              <w:pStyle w:val="Compact"/>
            </w:pPr>
            <w:r>
              <w:rPr>
                <w:sz w:val="20"/>
                <w:szCs w:val="20"/>
              </w:rPr>
              <w:t xml:space="preserve">Indicator for voluntary, decentralized, or self-synchronizing coordination.</w:t>
            </w:r>
          </w:p>
        </w:tc>
        <w:tc>
          <w:tcPr>
            <w:tcW w:w="0" w:type="auto"/>
          </w:tcPr>
          <w:p>
            <w:pPr>
              <w:spacing w:line="240" w:lineRule="auto" w:before="0" w:after="0"/>
              <w:pStyle w:val="Compact"/>
            </w:pPr>
            <w:r>
              <w:rPr>
                <w:sz w:val="20"/>
                <w:szCs w:val="20"/>
              </w:rPr>
              <w:t xml:space="preserve">Manual document coding from source text.</w:t>
            </w:r>
          </w:p>
        </w:tc>
      </w:tr>
      <w:tr>
        <w:tc>
          <w:tcPr>
            <w:tcW w:w="0" w:type="auto"/>
          </w:tcPr>
          <w:p>
            <w:pPr>
              <w:spacing w:line="240" w:lineRule="auto" w:before="0" w:after="0"/>
              <w:pStyle w:val="Compact"/>
            </w:pPr>
            <w:r>
              <w:rPr>
                <w:sz w:val="20"/>
                <w:szCs w:val="20"/>
              </w:rPr>
              <w:t xml:space="preserve">nested_coordination</w:t>
            </w:r>
          </w:p>
        </w:tc>
        <w:tc>
          <w:tcPr>
            <w:tcW w:w="0" w:type="auto"/>
          </w:tcPr>
          <w:p>
            <w:pPr>
              <w:spacing w:line="240" w:lineRule="auto" w:before="0" w:after="0"/>
              <w:pStyle w:val="Compact"/>
            </w:pPr>
            <w:r>
              <w:rPr>
                <w:sz w:val="20"/>
                <w:szCs w:val="20"/>
              </w:rPr>
              <w:t xml:space="preserve">Indicator for multi-level, international, institutional, or lifecycle nesting.</w:t>
            </w:r>
          </w:p>
        </w:tc>
        <w:tc>
          <w:tcPr>
            <w:tcW w:w="0" w:type="auto"/>
          </w:tcPr>
          <w:p>
            <w:pPr>
              <w:spacing w:line="240" w:lineRule="auto" w:before="0" w:after="0"/>
              <w:pStyle w:val="Compact"/>
            </w:pPr>
            <w:r>
              <w:rPr>
                <w:sz w:val="20"/>
                <w:szCs w:val="20"/>
              </w:rPr>
              <w:t xml:space="preserve">Manual document coding from source text.</w:t>
            </w:r>
          </w:p>
        </w:tc>
      </w:tr>
    </w:tbl>
    <w:bookmarkEnd w:id="202"/>
    <w:bookmarkEnd w:id="203"/>
    <w:bookmarkEnd w:id="20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9" Type="http://schemas.openxmlformats.org/officeDocument/2006/relationships/image" Target="media/rId189.png"/><Relationship Id="rId197" Type="http://schemas.openxmlformats.org/officeDocument/2006/relationships/image" Target="media/rId197.png"/><Relationship Id="rId174" Type="http://schemas.openxmlformats.org/officeDocument/2006/relationships/hyperlink" Target="https://doi.org/10.1016/j.actaastro.2024.01.039" TargetMode="External"/><Relationship Id="rId155" Type="http://schemas.openxmlformats.org/officeDocument/2006/relationships/hyperlink" Target="https://doi.org/10.1016/j.actaastro.2024.03.057" TargetMode="External"/><Relationship Id="rId180" Type="http://schemas.openxmlformats.org/officeDocument/2006/relationships/hyperlink" Target="https://doi.org/10.1016/j.actaastro.2024.09.058" TargetMode="External"/><Relationship Id="rId178" Type="http://schemas.openxmlformats.org/officeDocument/2006/relationships/hyperlink" Target="https://doi.org/10.1016/j.actaastro.2024.12.037" TargetMode="External"/><Relationship Id="rId185" Type="http://schemas.openxmlformats.org/officeDocument/2006/relationships/hyperlink" Target="https://doi.org/10.1016/j.actaastro.2024.12.060" TargetMode="External"/><Relationship Id="rId153" Type="http://schemas.openxmlformats.org/officeDocument/2006/relationships/hyperlink" Target="https://doi.org/10.1016/j.actaastro.2025.01.031" TargetMode="External"/><Relationship Id="rId151" Type="http://schemas.openxmlformats.org/officeDocument/2006/relationships/hyperlink" Target="https://doi.org/10.1016/j.actaastro.2025.03.034" TargetMode="External"/><Relationship Id="rId176" Type="http://schemas.openxmlformats.org/officeDocument/2006/relationships/hyperlink" Target="https://doi.org/10.1016/j.actaastro.2026.02.013" TargetMode="External"/><Relationship Id="rId168" Type="http://schemas.openxmlformats.org/officeDocument/2006/relationships/hyperlink" Target="https://doi.org/10.64861/CXGE3201" TargetMode="External"/><Relationship Id="rId146" Type="http://schemas.openxmlformats.org/officeDocument/2006/relationships/hyperlink" Target="https://doi.org/10.64861/DDNM3393" TargetMode="External"/><Relationship Id="rId149" Type="http://schemas.openxmlformats.org/officeDocument/2006/relationships/hyperlink" Target="https://doi.org/10.64861/FKER7625" TargetMode="External"/><Relationship Id="rId172" Type="http://schemas.openxmlformats.org/officeDocument/2006/relationships/hyperlink" Target="https://doi.org/10.64861/HWZS9386" TargetMode="External"/><Relationship Id="rId160" Type="http://schemas.openxmlformats.org/officeDocument/2006/relationships/hyperlink" Target="https://doi.org/10.64861/MVHC2799" TargetMode="External"/><Relationship Id="rId170" Type="http://schemas.openxmlformats.org/officeDocument/2006/relationships/hyperlink" Target="https://doi.org/10.64861/YAMV7542" TargetMode="External"/></Relationships>
</file>

<file path=word/_rels/footnotes.xml.rels><?xml version='1.0' encoding='UTF-8' standalone='yes'?>
<Relationships xmlns="http://schemas.openxmlformats.org/package/2006/relationships"><Relationship Id="rId174" Type="http://schemas.openxmlformats.org/officeDocument/2006/relationships/hyperlink" Target="https://doi.org/10.1016/j.actaastro.2024.01.039" TargetMode="External"/><Relationship Id="rId155" Type="http://schemas.openxmlformats.org/officeDocument/2006/relationships/hyperlink" Target="https://doi.org/10.1016/j.actaastro.2024.03.057" TargetMode="External"/><Relationship Id="rId180" Type="http://schemas.openxmlformats.org/officeDocument/2006/relationships/hyperlink" Target="https://doi.org/10.1016/j.actaastro.2024.09.058" TargetMode="External"/><Relationship Id="rId178" Type="http://schemas.openxmlformats.org/officeDocument/2006/relationships/hyperlink" Target="https://doi.org/10.1016/j.actaastro.2024.12.037" TargetMode="External"/><Relationship Id="rId185" Type="http://schemas.openxmlformats.org/officeDocument/2006/relationships/hyperlink" Target="https://doi.org/10.1016/j.actaastro.2024.12.060" TargetMode="External"/><Relationship Id="rId153" Type="http://schemas.openxmlformats.org/officeDocument/2006/relationships/hyperlink" Target="https://doi.org/10.1016/j.actaastro.2025.01.031" TargetMode="External"/><Relationship Id="rId151" Type="http://schemas.openxmlformats.org/officeDocument/2006/relationships/hyperlink" Target="https://doi.org/10.1016/j.actaastro.2025.03.034" TargetMode="External"/><Relationship Id="rId176" Type="http://schemas.openxmlformats.org/officeDocument/2006/relationships/hyperlink" Target="https://doi.org/10.1016/j.actaastro.2026.02.013" TargetMode="External"/><Relationship Id="rId168" Type="http://schemas.openxmlformats.org/officeDocument/2006/relationships/hyperlink" Target="https://doi.org/10.64861/CXGE3201" TargetMode="External"/><Relationship Id="rId146" Type="http://schemas.openxmlformats.org/officeDocument/2006/relationships/hyperlink" Target="https://doi.org/10.64861/DDNM3393" TargetMode="External"/><Relationship Id="rId149" Type="http://schemas.openxmlformats.org/officeDocument/2006/relationships/hyperlink" Target="https://doi.org/10.64861/FKER7625" TargetMode="External"/><Relationship Id="rId172" Type="http://schemas.openxmlformats.org/officeDocument/2006/relationships/hyperlink" Target="https://doi.org/10.64861/HWZS9386" TargetMode="External"/><Relationship Id="rId160" Type="http://schemas.openxmlformats.org/officeDocument/2006/relationships/hyperlink" Target="https://doi.org/10.64861/MVHC2799" TargetMode="External"/><Relationship Id="rId170" Type="http://schemas.openxmlformats.org/officeDocument/2006/relationships/hyperlink" Target="https://doi.org/10.64861/YAMV75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Designing the Orbital Commons: An Ostrom Design-Principles Audit of Voluntary LE</dc:title>
  <dc:creator>Felix Moreno (1B-SUS-157)</dc:creator>
  <cp:keywords/>
  <dcterms:created xsi:type="dcterms:W3CDTF">2026-07-03T00:26:38Z</dcterms:created>
  <dcterms:modified xsi:type="dcterms:W3CDTF">2026-07-03T00:26:38Z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