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45588408d787afd5b26e6108f6a788959c2db1d"/>
    <w:p>
      <w:pPr>
        <w:pStyle w:val="Heading1"/>
      </w:pPr>
      <w:r>
        <w:t xml:space="preserve">Signal Intensity in Inclination Crowding and the Inequitable Distribution of STM Avoidance Burden: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Freya Vargas (1B-SDA-199) and the dissertation project</w:t>
      </w:r>
      <w:r>
        <w:t xml:space="preserve"> </w:t>
      </w:r>
      <w:r>
        <w:rPr>
          <w:i/>
          <w:iCs/>
        </w:rPr>
        <w:t xml:space="preserve">Inclination Crowding and the Inequitable Distribution of STM Avoidance Burden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R2=0.0569652545131345, R2_adj=-0.05184644688919615, F=0.5693720773565857, F_p=0.6401632848473735. The exact term summary is: const coef=3.9569033101573936 p=0.0034987396294660577; recency_index coef=-0.08060301698237252 p=0.5387993091624061; cites_num coef=0.012525934646795703 p=0.698992696222273; venue_score coef=-0.5804501363917562 p=0.22385708915033642.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68">
        <w:r>
          <w:rPr>
            <w:rStyle w:val="Hyperlink"/>
          </w:rPr>
          <w:t xml:space="preserve">10.64861/OHST9432</w:t>
        </w:r>
      </w:hyperlink>
      <w:r>
        <w:t xml:space="preserve"> </w:t>
      </w:r>
      <w:bookmarkStart w:id="69" w:name="ref-2"/>
      <w:bookmarkEnd w:id="69"/>
      <w:r>
        <w:t xml:space="preserve">2.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70">
        <w:r>
          <w:rPr>
            <w:rStyle w:val="Hyperlink"/>
          </w:rPr>
          <w:t xml:space="preserve">10.64861/XQCN3213</w:t>
        </w:r>
      </w:hyperlink>
      <w:r>
        <w:t xml:space="preserve"> </w:t>
      </w:r>
      <w:bookmarkStart w:id="71" w:name="ref-3"/>
      <w:bookmarkEnd w:id="71"/>
      <w:r>
        <w:t xml:space="preserve">3. Jehyun Cha, Hanyang University; Joonghyun Ryu, Hanyang University; Chanyoung Song, Hanyang University; Misoon Mah, Air Force Office of Scientific Research (AFOSR); Roberto Furfaro, University of Arizona; Deok-Soo Kim, Hanyang University. COOP: A webserver for conjunction management for large satelite constellations using dynamic Voronoi diagram (2020). doi:</w:t>
      </w:r>
      <w:r>
        <w:t xml:space="preserve"> </w:t>
      </w:r>
      <w:hyperlink r:id="rId72">
        <w:r>
          <w:rPr>
            <w:rStyle w:val="Hyperlink"/>
          </w:rPr>
          <w:t xml:space="preserve">10.1109/TVCG.2019.2959321</w:t>
        </w:r>
      </w:hyperlink>
      <w:r>
        <w:t xml:space="preserve"> </w:t>
      </w:r>
      <w:bookmarkStart w:id="73" w:name="ref-4"/>
      <w:bookmarkEnd w:id="73"/>
      <w:r>
        <w:t xml:space="preserve">4. Malcolm Davis, The Australian Strategic Policy Institute. Australia’s Emerging Space Policy – Defense Burden Sharing in Orbit and Space Situational Awareness (2020). [AMOS]</w:t>
      </w:r>
      <w:r>
        <w:t xml:space="preserve"> </w:t>
      </w:r>
      <w:bookmarkStart w:id="74" w:name="ref-5"/>
      <w:bookmarkEnd w:id="74"/>
      <w:r>
        <w:t xml:space="preserve">5. James Reilly, Booz Allen Hamilton; Matthew Blackford, Booz Allen Hamilton; Jillian Mueller, Booz Allen Hamilton. Challenges in Space Traffic Management (2023). doi:</w:t>
      </w:r>
      <w:r>
        <w:t xml:space="preserve"> </w:t>
      </w:r>
      <w:hyperlink r:id="rId75">
        <w:r>
          <w:rPr>
            <w:rStyle w:val="Hyperlink"/>
          </w:rPr>
          <w:t xml:space="preserve">10.64861/UCTN1793</w:t>
        </w:r>
      </w:hyperlink>
      <w:r>
        <w:t xml:space="preserve"> </w:t>
      </w:r>
      <w:bookmarkStart w:id="76" w:name="ref-6"/>
      <w:bookmarkEnd w:id="76"/>
      <w:r>
        <w:t xml:space="preserve">6. Akhter Mahmud Nafi, Utah State University; David Geller, Utah State University. Survey Design for Small Autonomous Ground-Based Telescopes To Detect Uncontrolled/Debris GEO Objects (2019). [AMOS]</w:t>
      </w:r>
      <w:r>
        <w:t xml:space="preserve"> </w:t>
      </w:r>
      <w:bookmarkStart w:id="77" w:name="ref-7"/>
      <w:bookmarkEnd w:id="77"/>
      <w:r>
        <w:t xml:space="preserve">7. Matt Prechtel, Kratos RT Logic. Passive RF Sensing in support of SSA (2018). [AMOS]</w:t>
      </w:r>
      <w:r>
        <w:t xml:space="preserve"> </w:t>
      </w:r>
      <w:bookmarkStart w:id="78" w:name="ref-8"/>
      <w:bookmarkEnd w:id="78"/>
      <w:r>
        <w:t xml:space="preserve">8. Gerardo Rivera, West Virginia University; Jacob Griesbach, ARKA/Stratagem; Rachit Bhatia, West Virginia University; Piyush Mehta, West Virginia University. A Novel Stochastic Unscented Transform for Robust State Estimation Enabling Enhanced Space Domain Awareness (2024). doi:</w:t>
      </w:r>
      <w:r>
        <w:t xml:space="preserve"> </w:t>
      </w:r>
      <w:hyperlink r:id="rId79">
        <w:r>
          <w:rPr>
            <w:rStyle w:val="Hyperlink"/>
          </w:rPr>
          <w:t xml:space="preserve">10.64861/YRQZ1796</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3.9569</w:t>
            </w:r>
          </w:p>
        </w:tc>
        <w:tc>
          <w:tcPr>
            <w:tcW w:w="0" w:type="auto"/>
          </w:tcPr>
          <w:p>
            <w:pPr>
              <w:spacing w:line="240" w:lineRule="auto" w:before="0" w:after="0"/>
              <w:pStyle w:val="Compact"/>
            </w:pPr>
            <w:r>
              <w:rPr>
                <w:sz w:val="20"/>
                <w:szCs w:val="20"/>
              </w:rPr>
              <w:t xml:space="preserve">1.355</w:t>
            </w:r>
          </w:p>
        </w:tc>
        <w:tc>
          <w:tcPr>
            <w:tcW w:w="0" w:type="auto"/>
          </w:tcPr>
          <w:p>
            <w:pPr>
              <w:spacing w:line="240" w:lineRule="auto" w:before="0" w:after="0"/>
              <w:pStyle w:val="Compact"/>
            </w:pPr>
            <w:r>
              <w:rPr>
                <w:sz w:val="20"/>
                <w:szCs w:val="20"/>
              </w:rPr>
              <w:t xml:space="preserve">2.9201</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[1.3011, 6.6127]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0.1311</w:t>
            </w:r>
          </w:p>
        </w:tc>
        <w:tc>
          <w:tcPr>
            <w:tcW w:w="0" w:type="auto"/>
          </w:tcPr>
          <w:p>
            <w:pPr>
              <w:spacing w:line="240" w:lineRule="auto" w:before="0" w:after="0"/>
              <w:pStyle w:val="Compact"/>
            </w:pPr>
            <w:r>
              <w:rPr>
                <w:sz w:val="20"/>
                <w:szCs w:val="20"/>
              </w:rPr>
              <w:t xml:space="preserve">-0.6146</w:t>
            </w:r>
          </w:p>
        </w:tc>
        <w:tc>
          <w:tcPr>
            <w:tcW w:w="0" w:type="auto"/>
          </w:tcPr>
          <w:p>
            <w:pPr>
              <w:spacing w:line="240" w:lineRule="auto" w:before="0" w:after="0"/>
              <w:pStyle w:val="Compact"/>
            </w:pPr>
            <w:r>
              <w:rPr>
                <w:sz w:val="20"/>
                <w:szCs w:val="20"/>
              </w:rPr>
              <w:t xml:space="preserve">0.5388</w:t>
            </w:r>
          </w:p>
        </w:tc>
        <w:tc>
          <w:tcPr>
            <w:tcW w:w="0" w:type="auto"/>
          </w:tcPr>
          <w:p>
            <w:pPr>
              <w:spacing w:line="240" w:lineRule="auto" w:before="0" w:after="0"/>
              <w:pStyle w:val="Compact"/>
            </w:pPr>
            <w:r>
              <w:rPr>
                <w:sz w:val="20"/>
                <w:szCs w:val="20"/>
              </w:rPr>
              <w:t xml:space="preserve">[-0.3376, 0.1764]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0.0324</w:t>
            </w:r>
          </w:p>
        </w:tc>
        <w:tc>
          <w:tcPr>
            <w:tcW w:w="0" w:type="auto"/>
          </w:tcPr>
          <w:p>
            <w:pPr>
              <w:spacing w:line="240" w:lineRule="auto" w:before="0" w:after="0"/>
              <w:pStyle w:val="Compact"/>
            </w:pPr>
            <w:r>
              <w:rPr>
                <w:sz w:val="20"/>
                <w:szCs w:val="20"/>
              </w:rPr>
              <w:t xml:space="preserve">0.3867</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[-0.051, 0.076]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-0.5805</w:t>
            </w:r>
          </w:p>
        </w:tc>
        <w:tc>
          <w:tcPr>
            <w:tcW w:w="0" w:type="auto"/>
          </w:tcPr>
          <w:p>
            <w:pPr>
              <w:spacing w:line="240" w:lineRule="auto" w:before="0" w:after="0"/>
              <w:pStyle w:val="Compact"/>
            </w:pPr>
            <w:r>
              <w:rPr>
                <w:sz w:val="20"/>
                <w:szCs w:val="20"/>
              </w:rPr>
              <w:t xml:space="preserve">0.4772</w:t>
            </w:r>
          </w:p>
        </w:tc>
        <w:tc>
          <w:tcPr>
            <w:tcW w:w="0" w:type="auto"/>
          </w:tcPr>
          <w:p>
            <w:pPr>
              <w:spacing w:line="240" w:lineRule="auto" w:before="0" w:after="0"/>
              <w:pStyle w:val="Compact"/>
            </w:pPr>
            <w:r>
              <w:rPr>
                <w:sz w:val="20"/>
                <w:szCs w:val="20"/>
              </w:rPr>
              <w:t xml:space="preserve">-1.2163</w:t>
            </w:r>
          </w:p>
        </w:tc>
        <w:tc>
          <w:tcPr>
            <w:tcW w:w="0" w:type="auto"/>
          </w:tcPr>
          <w:p>
            <w:pPr>
              <w:spacing w:line="240" w:lineRule="auto" w:before="0" w:after="0"/>
              <w:pStyle w:val="Compact"/>
            </w:pPr>
            <w:r>
              <w:rPr>
                <w:sz w:val="20"/>
                <w:szCs w:val="20"/>
              </w:rPr>
              <w:t xml:space="preserve">0.2239</w:t>
            </w:r>
          </w:p>
        </w:tc>
        <w:tc>
          <w:tcPr>
            <w:tcW w:w="0" w:type="auto"/>
          </w:tcPr>
          <w:p>
            <w:pPr>
              <w:spacing w:line="240" w:lineRule="auto" w:before="0" w:after="0"/>
              <w:pStyle w:val="Compact"/>
            </w:pPr>
            <w:r>
              <w:rPr>
                <w:sz w:val="20"/>
                <w:szCs w:val="20"/>
              </w:rPr>
              <w:t xml:space="preserve">[-1.5158, 0.3549]</w:t>
            </w:r>
          </w:p>
        </w:tc>
      </w:tr>
    </w:tbl>
    <w:p>
      <w:pPr>
        <w:pStyle w:val="BodyText"/>
      </w:pPr>
      <w:r>
        <w:t xml:space="preserve">Fit: N = 30 R2 = 0.057 R2_adj = -0.0518 F = 0.5694 F_p = 0.6402</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STM_CISLUNAR_13\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https://amostech.space/year/2019/survey-design-for-small-autonomous-ground-based-telescopes-to-detect-uncontrolled-debris-geo-objects/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https://amostech.space/year/2018/passive-rf-sensing-in-support-of-ssa/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10.64861/YRQZ1796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https://amostech.space/year/2017/performance-of-optimized-scheduled-follow-up-observations-for-geosynchronous-space-objects-using-different-genetic-algorithms/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https://amostech.space/year/2022/sensor-management-for-space-based-sensing-constellations/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3.9569</w:t>
            </w:r>
          </w:p>
        </w:tc>
        <w:tc>
          <w:tcPr>
            <w:tcW w:w="0" w:type="auto"/>
          </w:tcPr>
          <w:p>
            <w:pPr>
              <w:spacing w:line="240" w:lineRule="auto" w:before="0" w:after="0"/>
              <w:pStyle w:val="Compact"/>
            </w:pPr>
            <w:r>
              <w:rPr>
                <w:sz w:val="20"/>
                <w:szCs w:val="20"/>
              </w:rPr>
              <w:t xml:space="preserve">1.355</w:t>
            </w:r>
          </w:p>
        </w:tc>
        <w:tc>
          <w:tcPr>
            <w:tcW w:w="0" w:type="auto"/>
          </w:tcPr>
          <w:p>
            <w:pPr>
              <w:spacing w:line="240" w:lineRule="auto" w:before="0" w:after="0"/>
              <w:pStyle w:val="Compact"/>
            </w:pPr>
            <w:r>
              <w:rPr>
                <w:sz w:val="20"/>
                <w:szCs w:val="20"/>
              </w:rPr>
              <w:t xml:space="preserve">2.9201</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[1.3011, 6.6127]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0.1311</w:t>
            </w:r>
          </w:p>
        </w:tc>
        <w:tc>
          <w:tcPr>
            <w:tcW w:w="0" w:type="auto"/>
          </w:tcPr>
          <w:p>
            <w:pPr>
              <w:spacing w:line="240" w:lineRule="auto" w:before="0" w:after="0"/>
              <w:pStyle w:val="Compact"/>
            </w:pPr>
            <w:r>
              <w:rPr>
                <w:sz w:val="20"/>
                <w:szCs w:val="20"/>
              </w:rPr>
              <w:t xml:space="preserve">-0.6146</w:t>
            </w:r>
          </w:p>
        </w:tc>
        <w:tc>
          <w:tcPr>
            <w:tcW w:w="0" w:type="auto"/>
          </w:tcPr>
          <w:p>
            <w:pPr>
              <w:spacing w:line="240" w:lineRule="auto" w:before="0" w:after="0"/>
              <w:pStyle w:val="Compact"/>
            </w:pPr>
            <w:r>
              <w:rPr>
                <w:sz w:val="20"/>
                <w:szCs w:val="20"/>
              </w:rPr>
              <w:t xml:space="preserve">0.5388</w:t>
            </w:r>
          </w:p>
        </w:tc>
        <w:tc>
          <w:tcPr>
            <w:tcW w:w="0" w:type="auto"/>
          </w:tcPr>
          <w:p>
            <w:pPr>
              <w:spacing w:line="240" w:lineRule="auto" w:before="0" w:after="0"/>
              <w:pStyle w:val="Compact"/>
            </w:pPr>
            <w:r>
              <w:rPr>
                <w:sz w:val="20"/>
                <w:szCs w:val="20"/>
              </w:rPr>
              <w:t xml:space="preserve">[-0.3376, 0.1764]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0.0324</w:t>
            </w:r>
          </w:p>
        </w:tc>
        <w:tc>
          <w:tcPr>
            <w:tcW w:w="0" w:type="auto"/>
          </w:tcPr>
          <w:p>
            <w:pPr>
              <w:spacing w:line="240" w:lineRule="auto" w:before="0" w:after="0"/>
              <w:pStyle w:val="Compact"/>
            </w:pPr>
            <w:r>
              <w:rPr>
                <w:sz w:val="20"/>
                <w:szCs w:val="20"/>
              </w:rPr>
              <w:t xml:space="preserve">0.3867</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[-0.051, 0.076]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-0.5805</w:t>
            </w:r>
          </w:p>
        </w:tc>
        <w:tc>
          <w:tcPr>
            <w:tcW w:w="0" w:type="auto"/>
          </w:tcPr>
          <w:p>
            <w:pPr>
              <w:spacing w:line="240" w:lineRule="auto" w:before="0" w:after="0"/>
              <w:pStyle w:val="Compact"/>
            </w:pPr>
            <w:r>
              <w:rPr>
                <w:sz w:val="20"/>
                <w:szCs w:val="20"/>
              </w:rPr>
              <w:t xml:space="preserve">0.4772</w:t>
            </w:r>
          </w:p>
        </w:tc>
        <w:tc>
          <w:tcPr>
            <w:tcW w:w="0" w:type="auto"/>
          </w:tcPr>
          <w:p>
            <w:pPr>
              <w:spacing w:line="240" w:lineRule="auto" w:before="0" w:after="0"/>
              <w:pStyle w:val="Compact"/>
            </w:pPr>
            <w:r>
              <w:rPr>
                <w:sz w:val="20"/>
                <w:szCs w:val="20"/>
              </w:rPr>
              <w:t xml:space="preserve">-1.2163</w:t>
            </w:r>
          </w:p>
        </w:tc>
        <w:tc>
          <w:tcPr>
            <w:tcW w:w="0" w:type="auto"/>
          </w:tcPr>
          <w:p>
            <w:pPr>
              <w:spacing w:line="240" w:lineRule="auto" w:before="0" w:after="0"/>
              <w:pStyle w:val="Compact"/>
            </w:pPr>
            <w:r>
              <w:rPr>
                <w:sz w:val="20"/>
                <w:szCs w:val="20"/>
              </w:rPr>
              <w:t xml:space="preserve">0.2239</w:t>
            </w:r>
          </w:p>
        </w:tc>
        <w:tc>
          <w:tcPr>
            <w:tcW w:w="0" w:type="auto"/>
          </w:tcPr>
          <w:p>
            <w:pPr>
              <w:spacing w:line="240" w:lineRule="auto" w:before="0" w:after="0"/>
              <w:pStyle w:val="Compact"/>
            </w:pPr>
            <w:r>
              <w:rPr>
                <w:sz w:val="20"/>
                <w:szCs w:val="20"/>
              </w:rPr>
              <w:t xml:space="preserve">[-1.5158, 0.3549]</w:t>
            </w:r>
          </w:p>
        </w:tc>
      </w:tr>
    </w:tbl>
    <w:p>
      <w:pPr>
        <w:pStyle w:val="BodyText"/>
      </w:pPr>
      <w:r>
        <w:t xml:space="preserve">Fit: N = 30 R2 = 0.057 R2_adj = -0.0518 F = 0.5694 F_p = 0.6402</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2" Target="https://doi.org/10.1109/TVCG.2019.2959321" TargetMode="External" /><Relationship Type="http://schemas.openxmlformats.org/officeDocument/2006/relationships/hyperlink" Id="rId68" Target="https://doi.org/10.64861/OHST9432" TargetMode="External" /><Relationship Type="http://schemas.openxmlformats.org/officeDocument/2006/relationships/hyperlink" Id="rId75" Target="https://doi.org/10.64861/UCTN1793" TargetMode="External" /><Relationship Type="http://schemas.openxmlformats.org/officeDocument/2006/relationships/hyperlink" Id="rId70" Target="https://doi.org/10.64861/XQCN3213" TargetMode="External" /><Relationship Type="http://schemas.openxmlformats.org/officeDocument/2006/relationships/hyperlink" Id="rId79" Target="https://doi.org/10.64861/YRQZ1796"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109/TVCG.2019.2959321" TargetMode="External" /><Relationship Type="http://schemas.openxmlformats.org/officeDocument/2006/relationships/hyperlink" Id="rId68" Target="https://doi.org/10.64861/OHST9432" TargetMode="External" /><Relationship Type="http://schemas.openxmlformats.org/officeDocument/2006/relationships/hyperlink" Id="rId75" Target="https://doi.org/10.64861/UCTN1793" TargetMode="External" /><Relationship Type="http://schemas.openxmlformats.org/officeDocument/2006/relationships/hyperlink" Id="rId70" Target="https://doi.org/10.64861/XQCN3213" TargetMode="External" /><Relationship Type="http://schemas.openxmlformats.org/officeDocument/2006/relationships/hyperlink" Id="rId79" Target="https://doi.org/10.64861/YRQZ179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2026-06-29T09:36:59Z</dcterms:created>
  <dcterms:modified xsi:type="dcterms:W3CDTF">2026-06-29T09:36:59Z</dcterms:modified>
</cp:coreProperties>
</file>

<file path=docProps/custom.xml><?xml version="1.0" encoding="utf-8"?>
<Properties xmlns="http://schemas.openxmlformats.org/officeDocument/2006/custom-properties" xmlns:vt="http://schemas.openxmlformats.org/officeDocument/2006/docPropsVTypes"/>
</file>