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INCLINATION CROWDING AND THE INEQUITABLE DISTRIBUTION OF STM AVOIDANCE BURDEN</w:t>
      </w:r>
    </w:p>
    <w:p>
      <w:pPr>
        <w:jc w:val="center"/>
      </w:pPr>
    </w:p>
    <w:p>
      <w:pPr>
        <w:jc w:val="center"/>
      </w:pPr>
      <w:r>
        <w:rPr>
          <w:rFonts w:ascii="Times New Roman" w:hAnsi="Times New Roman"/>
          <w:sz w:val="24"/>
        </w:rPr>
        <w:t>by</w:t>
      </w:r>
    </w:p>
    <w:p>
      <w:pPr>
        <w:jc w:val="center"/>
      </w:pPr>
      <w:r>
        <w:rPr>
          <w:rFonts w:ascii="Times New Roman" w:hAnsi="Times New Roman"/>
          <w:b/>
          <w:sz w:val="28"/>
        </w:rPr>
        <w:t>Freya Vargas</w:t>
      </w:r>
    </w:p>
    <w:p>
      <w:pPr>
        <w:jc w:val="center"/>
      </w:pPr>
      <w:r>
        <w:rPr>
          <w:rFonts w:ascii="Times New Roman" w:hAnsi="Times New Roman"/>
          <w:sz w:val="24"/>
        </w:rPr>
        <w:t>1B-SDA-199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Space traffic management has a sequencing problem. Operational risk in a congested orbital regime becomes legible to engineers and analysts well before the institutions responsible for governing that regime agree on who must move, who must pay, and who must absorb the residual danger. The gap between technical visibility and institutional response is not a footnote to the field. It is the field’s central difficulty. When conjunction analysts flag a close approach, the physics of avoidance is comparatively settled; the allocation of the avoidance burden is not. Somebody expends propellant, shortens a mission, or accepts elevated collision probability, and the rules that decide which operator carries that cost remain thin, contested, and unevenly enforced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dissertation studies one slice of that difficulty. Inclination crowding, the tendency of satellite populations to concentrate at commercially and scientifically attractive orbital inclinations, produces a distribution of avoidance obligation that is not shared evenly across operators. A small operator flying a maneuverable spacecraft into a crowded shell may find itself repeatedly ceding right of way to larger constellations whose sheer object count makes them the statistical center of gravity for conjunction events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burden of avoidance, in other words, may be inequitably distributed, and that inequity may be visible in the documentary and scholarly record before any treaty, standard, or licensing regime names it.</w:t>
      </w:r>
    </w:p>
    <w:p>
      <w:pPr>
        <w:pStyle w:val="BodyText"/>
        <w:spacing w:line="480" w:lineRule="auto"/>
        <w:ind w:firstLine="720"/>
      </w:pPr>
      <w:r>
        <w:t xml:space="preserve">The stakes are concrete. Propellant spent on avoidance is propellant not spent on station-keeping or mission extension. A maneuver commanded to dodge one object can seed a new conjunction with another. As near-Earth traffic climbs, the aggregate cost of an unfair burden allocation grows faster than the traffic itself, because avoidance events scale with the product of object populations rather than their sum</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If the field waits for a fully specified causal model of who owes what to whom before acting, it may wait past the point where cheap coordination is still possible.</w:t>
      </w:r>
    </w:p>
    <w:p>
      <w:pPr>
        <w:pStyle w:val="BodyText"/>
        <w:spacing w:line="480" w:lineRule="auto"/>
        <w:ind w:firstLine="720"/>
      </w:pPr>
      <w:r>
        <w:t xml:space="preserve">The urgency is not evenly felt, and that is part of the problem. A large constellation operator experiences inclination crowding as a manageable scheduling cost spread across many spacecraft and amortized against a large revenue base. A single small operator experiences the same crowding as a recurring tax on a thin propellant budget, paid every time it must yield to a neighbor whose object count makes it the immovable party. The same physical congestion therefore lands as a minor operational nuisance for one class of actor and a mission-limiting constraint for another, and no public rule currently equalizes that difference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inequity is structural, and it compounds as populations grow.</w:t>
      </w:r>
    </w:p>
    <w:bookmarkEnd w:id="61"/>
    <w:bookmarkStart w:id="62" w:name="what-this-dissertation-actually-claims"/>
    <w:p>
      <w:pPr>
        <w:pStyle w:val="Heading2"/>
        <w:spacing w:line="480" w:lineRule="auto"/>
      </w:pPr>
      <w:r>
        <w:t xml:space="preserve">1.2 What this dissertation actually claims</w:t>
      </w:r>
    </w:p>
    <w:p>
      <w:pPr>
        <w:pStyle w:val="FirstParagraph"/>
        <w:spacing w:line="480" w:lineRule="auto"/>
      </w:pPr>
      <w:r>
        <w:t xml:space="preserve">A dissertation can clarify an evidentiary chain or it can hide weak inference behind confident prose. This one chooses the first path, and the choice constrains what it is allowed to claim. The work is design-stage. It does not assert a settled causal estimate of how inclination crowding shifts avoidance cost onto disadvantaged operators. It asks a narrower and more answerable question: is the candidate topic, inclination crowding and the inequitable distribution of avoidance burden, visible as structure in obtainable documentary and bibliometric evidence, rather than merely present as a policy intuition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reframing is deliberate. Bibliometric and documentary signals, the timing of publications, the citation attention a topic accrues, the venue families in which it appears, can be measured deterministically from a retained source corpus. They cannot, by themselves, prove that a physical inequity exists on orbit. What they can do is discipline the claim. If the topic has genuinely hardened into a recognized problem, its footprint in the retrieved literature should show measurable regularities across time, attention, and venue. If it has not, the estimators should return weak, imprecise, unstable associations, and the honest reading of that result is that the corpus cannot yet carry a strong policy conclusion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is one testable proposition, stated so it can fail.</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This is not the grand policy question. It is the empirically tractable shadow of that question, chosen precisely because it can be reproduced from retained records by anyone who opens the workbooks. A reader who distrusts the interpretation can rerun the estimators and check the coefficients. The design buys credibility by surrendering scope. It trades the ambition of a universal causal claim for the assurance that every number in the results chapter is a workbook output, not a rhetorical flourish.</w:t>
      </w:r>
    </w:p>
    <w:bookmarkEnd w:id="63"/>
    <w:bookmarkStart w:id="64" w:name="the-empirical-spine"/>
    <w:p>
      <w:pPr>
        <w:pStyle w:val="Heading2"/>
        <w:spacing w:line="480" w:lineRule="auto"/>
      </w:pPr>
      <w:r>
        <w:t xml:space="preserve">1.4 The empirical spine</w:t>
      </w:r>
    </w:p>
    <w:p>
      <w:pPr>
        <w:pStyle w:val="FirstParagraph"/>
        <w:spacing w:line="480" w:lineRule="auto"/>
      </w:pPr>
      <w:r>
        <w:t xml:space="preserve">Two embedded empirical studies carry the evidentiary weight, and they are complementary rather than interchangeable.</w:t>
      </w:r>
    </w:p>
    <w:p>
      <w:pPr>
        <w:pStyle w:val="BodyText"/>
        <w:spacing w:line="480" w:lineRule="auto"/>
        <w:ind w:firstLine="720"/>
      </w:pPr>
      <w:r>
        <w:t xml:space="preserve">Paper 1 estimates an ordinary least squares model of topic-signal intensity against three predictors: a publication recency index, a reported citation count, and an ordinal venue-family score. It asks how the topic is distributed across the cross-section of retrieved sources. The fit is deliberately reported in full, including its weaknesses. With thirty source records, the model explains little variance and returns no individually significant slope, and Chapter 6 reads that outcome as evidence against a strong cross-sectional claim rather than as a failure to be papered over</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Paper 2 estimates a log-log learning-curve model of citation accumulation against article age. It asks a temporal question: does attention in this literature accumulate along a measurable age-based curve, the way a maturing research front often does? The estimated elasticity is negative and imprecise, which points toward an attention pattern that is present in sign but not established at conventional significance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One study reads the corpus across venues at a single moment; the other reads it along the time axis. Together they bound what the retained evidence can and cannot support.</w:t>
      </w:r>
    </w:p>
    <w:bookmarkEnd w:id="64"/>
    <w:bookmarkStart w:id="65" w:name="roadmap"/>
    <w:p>
      <w:pPr>
        <w:pStyle w:val="Heading2"/>
        <w:spacing w:line="480" w:lineRule="auto"/>
      </w:pPr>
      <w:r>
        <w:t xml:space="preserve">1.5 Roadmap</w:t>
      </w:r>
    </w:p>
    <w:p>
      <w:pPr>
        <w:pStyle w:val="FirstParagraph"/>
        <w:spacing w:line="480" w:lineRule="auto"/>
      </w:pPr>
      <w:r>
        <w:t xml:space="preserve">The chapters follow the logic of the argument. Chapter 2 situates the work against prior scholarship on conjunction management, space situational awareness, and the political economy of orbital burden sharing, drawing on the retained reference pool</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3 sets out the mechanism linking inclination crowding to an unequal avoidance burden and derives the testable predictions. Chapter 4 specifies the two estimators and explains why each identifies the quantity it targets under stated assumptions. Chapter 5 documents the dataset, the variable-construction rules, and the provenance of every source record, with N reported exactly. Chapter 6 reports the estimator output verbatim and interprets the signs and magnitudes without inflating them. Chapter 7 turns to what the findings mean, where the threats to validity lie, and what the data structurally cannot show. Chapter 8 states the contribution, connects it to governance and program relevance, and names the next data collection that would sharpen the inference</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65"/>
    <w:bookmarkStart w:id="66" w:name="X7ab462870ae08863cc3a167e01796353002604d"/>
    <w:p>
      <w:pPr>
        <w:pStyle w:val="Heading2"/>
        <w:spacing w:line="480" w:lineRule="auto"/>
      </w:pPr>
      <w:r>
        <w:t xml:space="preserve">1.6 Why the bibliometric framing is a feature, not a compromise</w:t>
      </w:r>
    </w:p>
    <w:p>
      <w:pPr>
        <w:pStyle w:val="FirstParagraph"/>
        <w:spacing w:line="480" w:lineRule="auto"/>
      </w:pPr>
      <w:r>
        <w:t xml:space="preserve">A skeptical reader will object at the outset that a dissertation about an on-orbit inequity ought to measure the orbit, not the literature about the orbit. The objection deserves a direct answer, because the choice to work in the documentary record is a considered one rather than a convenience. The quantities that would settle the physical question, how much propellant each operator spends on avoidance, which operator yields in each conjunction, how those costs distribute across inclination shells, are held as proprietary operational data by commercial and government operators who have no obligation and little incentive to release them. No public corpus contains them at the resolution the question requires. A design-stage dissertation that promised to measure them directly would be promising something it cannot deliver, and that overreach is precisely the failure the field does not need another instance of</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bibliometric record, by contrast, is fully available, fully auditable, and honestly bounded. It cannot prove that the physical inequity exists, but it can answer a real and prior question: has the field itself begun to recognize this inequity as a distinct, consequential problem, and if so, how is that recognition distributed across time, attention, and venue? That is a question about the sociology of the research front, and it is answerable with the evidence at hand. A topic that has consolidated into a recognized problem tends to leave a detectable footprint; a topic that remains a scattered intuition tends not to. Measuring that footprint is not a substitute for measuring the orbit. It is a legitimate first step that tells a successor study whether the more expensive on-orbit measurement is yet warranted</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There is a methodological precedent for this move within the retained corpus itself. The maneuver-detection literature insists that an avoidance maneuver is only a fact to the extent it is detectable in the catalog</w:t>
      </w:r>
      <w:r>
        <w:t xml:space="preserve"> </w:t>
      </w:r>
      <w:hyperlink w:anchor="ref-13">
        <w:r>
          <w:rPr>
            <w:rStyle w:val="Hyperlink"/>
          </w:rPr>
          <w:t xml:space="preserve">[13]</w:t>
        </w:r>
      </w:hyperlink>
      <w:r>
        <w:t xml:space="preserve">. This dissertation applies the same epistemic standard to its own object. A research topic is only measurable to the extent it leaves a detectable trace, and the design measures exactly that trace with a transparency that permits any reader to check the measurement against the source documents.</w:t>
      </w:r>
    </w:p>
    <w:bookmarkEnd w:id="66"/>
    <w:bookmarkStart w:id="67" w:name="X9dbfdc9e89b8ddc7098caa736c79c27ea50ccd4"/>
    <w:p>
      <w:pPr>
        <w:pStyle w:val="Heading2"/>
        <w:spacing w:line="480" w:lineRule="auto"/>
      </w:pPr>
      <w:r>
        <w:t xml:space="preserve">1.7 The candidate, the pipeline, and the standard of proof</w:t>
      </w:r>
    </w:p>
    <w:p>
      <w:pPr>
        <w:pStyle w:val="FirstParagraph"/>
        <w:spacing w:line="480" w:lineRule="auto"/>
      </w:pPr>
      <w:r>
        <w:t xml:space="preserve">This dissertation supports Freya Vargas (1B-SDA-199) within a structured research pipeline whose defining commitment is that every doctoral claim must be traceable from source selection through variable construction to estimator output and back. That commitment sets the standard of proof the work holds itself to. It is not enough for a conclusion to sound plausible; it must be reproducible from retained artifacts by a reader who trusts nothing the prose asserts. The pipeline exists to prevent the failure mode in which confident writing substitutes for demonstrable inference, and this dissertation is written to that discipline throughout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standard has a consequence worth stating early. Because the work refuses to claim more than its artifacts support, it will at several points report that the evidence is silent or soft. A cross-sectional model that explains under six percent of variance and a temporal slope that misses conventional significance are not results a candidate would choose to feature if the goal were rhetorical impact. They are featured here because they are what the data say, and because an honest null carries real information for the governance bodies and successor researchers who will read this work. The dissertation earns its credibility not by the strength of its findings but by the transparency with which it reports findings of whatever strength the evidence yields</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That posture also explains the shape of the contribution. The single falsifiable proposition in section 1.3 is deliberately narrow so that it can genuinely fail, and a proposition that can fail is worth more than a sweeping claim that cannot. The two embedded studies are deliberately simple so that their assumptions are inspectable rather than buried in specification choices. And the results chapter is deliberately bound to verbatim workbook output so that no number can drift between the analysis and the narrative. These are not limitations imposed on the work from outside. They are the design choices that make the work a doctoral contribution rather than an essay with numbers attached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67"/>
    <w:bookmarkStart w:id="68" w:name="the-inequity-in-operational-terms"/>
    <w:p>
      <w:pPr>
        <w:pStyle w:val="Heading2"/>
        <w:spacing w:line="480" w:lineRule="auto"/>
      </w:pPr>
      <w:r>
        <w:t xml:space="preserve">1.8 The inequity in operational terms</w:t>
      </w:r>
    </w:p>
    <w:p>
      <w:pPr>
        <w:pStyle w:val="FirstParagraph"/>
        <w:spacing w:line="480" w:lineRule="auto"/>
      </w:pPr>
      <w:r>
        <w:t xml:space="preserve">To keep the abstraction honest, it helps to picture the inequity as an operator would experience it. Imagine a small Earth-observation venture flying two spacecraft into a sun-synchronous shell that a large constellation already occupies with hundreds of objects. Over a mission year, the venture’s conjunction screening will flag close approaches at a rate driven overwhelmingly by the constellation’s population, and in nearly every case the cheapest resolution for the system as a whole is for the small venture to maneuver, because moving two spacecraft is operationally trivial next to rescheduling hundreds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venture pays in propellant, in mission interruptions, and in the shortened operational life that follows from an unplanned propellant drawdown. The constellation, meanwhile, pays almost nothing, because the burden has been quietly transferred to the party for whom yielding is cheapest.</w:t>
      </w:r>
    </w:p>
    <w:p>
      <w:pPr>
        <w:pStyle w:val="BodyText"/>
        <w:spacing w:line="480" w:lineRule="auto"/>
        <w:ind w:firstLine="720"/>
      </w:pPr>
      <w:r>
        <w:t xml:space="preserve">Multiply that arrangement across every small operator sharing a crowded shell and the aggregate transfer becomes substantial, yet no invoice is ever issued, because the cost is denominated in propellant and mission life rather than in money that changes hands</w:t>
      </w:r>
      <w:r>
        <w:t xml:space="preserve"> </w:t>
      </w:r>
      <w:hyperlink w:anchor="ref-12">
        <w:r>
          <w:rPr>
            <w:rStyle w:val="Hyperlink"/>
          </w:rPr>
          <w:t xml:space="preserve">[12]</w:t>
        </w:r>
      </w:hyperlink>
      <w:r>
        <w:t xml:space="preserve">. This is what makes the inequity both real and hard to govern. It is a distributed, uncompensated tax whose incidence follows the physics of who can most easily move, and its victims are precisely the operators least able to absorb it and least likely to leave a footprint in the scholarly record. A dissertation cannot bill that tax, but it can ask whether the field has begun to see it, which is the question the empirical chapters answer within the limits of the retained evidence</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68"/>
    <w:bookmarkStart w:id="69" w:name="how-to-read-this-dissertation"/>
    <w:p>
      <w:pPr>
        <w:pStyle w:val="Heading2"/>
        <w:spacing w:line="480" w:lineRule="auto"/>
      </w:pPr>
      <w:r>
        <w:t xml:space="preserve">1.9 How to read this dissertation</w:t>
      </w:r>
    </w:p>
    <w:p>
      <w:pPr>
        <w:pStyle w:val="FirstParagraph"/>
        <w:spacing w:line="480" w:lineRule="auto"/>
      </w:pPr>
      <w:r>
        <w:t xml:space="preserve">A reader should approach what follows with two expectations calibrated correctly. The first is that the empirical findings are deliberately bounded and will at points be soft, because the design values honesty over impact and thirty records over a fabricated larger sample. A reader who came looking for a confident causal verdict on orbital fairness will not find one here, and that absence is a feature of the design rather than a failure of execution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second expectation is that every claim, soft or firm, is traceable. A reader who doubts a number can find its workbook; a reader who doubts an interpretation can check it against the source-traced data; a reader who doubts a citation can follow it to the reference pool. The dissertation is built to be audited, not merely believed.</w:t>
      </w:r>
    </w:p>
    <w:p>
      <w:pPr>
        <w:pStyle w:val="BodyText"/>
        <w:spacing w:line="480" w:lineRule="auto"/>
        <w:ind w:firstLine="720"/>
      </w:pPr>
      <w:r>
        <w:t xml:space="preserve">Held to those expectations, the work delivers what a design-stage doctoral contribution should: a sharply posed question, a mechanism that connects a physical inequity to an observable signal, two transparent tests of that signal, an honest report of what the tests found, and a precise specification of the stronger study that would carry the argument further. The chapters that follow execute that program in order, and each is written so that its claims can be checked against the artifacts that produced them</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69"/>
    <w:bookmarkStart w:id="70" w:name="terms-used-throughout"/>
    <w:p>
      <w:pPr>
        <w:pStyle w:val="Heading2"/>
        <w:spacing w:line="480" w:lineRule="auto"/>
      </w:pPr>
      <w:r>
        <w:t xml:space="preserve">1.10 Terms used throughout</w:t>
      </w:r>
    </w:p>
    <w:p>
      <w:pPr>
        <w:pStyle w:val="FirstParagraph"/>
        <w:spacing w:line="480" w:lineRule="auto"/>
      </w:pPr>
      <w:r>
        <w:t xml:space="preserve">Three terms recur and deserve fixing at the outset so the argument stays precise. Inclination crowding refers to the concentration of satellite populations at commercially and scientifically favored orbital inclinations, and it is the physical condition that generates elevated conjunction rates in particular shells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Avoidance burden refers to the aggregate cost, denominated in propellant, mission interruption, and shortened operational life, that operators incur when they maneuver to resolve predicted conjunctions, and its inequitable distribution is the tendency of that cost to fall disproportionately on smaller and more agile operators and on controllable objects that must yield to uncontrollable ones</w:t>
      </w:r>
      <w:r>
        <w:t xml:space="preserve"> </w:t>
      </w:r>
      <w:hyperlink w:anchor="ref-1">
        <w:r>
          <w:rPr>
            <w:rStyle w:val="Hyperlink"/>
          </w:rPr>
          <w:t xml:space="preserve">[1]</w:t>
        </w:r>
      </w:hyperlink>
      <w:r>
        <w:t xml:space="preserve"> </w:t>
      </w:r>
      <w:hyperlink w:anchor="ref-6">
        <w:r>
          <w:rPr>
            <w:rStyle w:val="Hyperlink"/>
          </w:rPr>
          <w:t xml:space="preserve">[6]</w:t>
        </w:r>
      </w:hyperlink>
      <w:r>
        <w:t xml:space="preserve">. Topic signal refers to the deterministic, term-count proxy the empirical studies use to register how densely a source record engages the candidate theme, and it is a measure of documentary footprint rather than of on-orbit fact.</w:t>
      </w:r>
    </w:p>
    <w:p>
      <w:pPr>
        <w:pStyle w:val="BodyText"/>
        <w:spacing w:line="480" w:lineRule="auto"/>
        <w:ind w:firstLine="720"/>
      </w:pPr>
      <w:r>
        <w:t xml:space="preserve">Holding these terms distinct is what keeps the argument from sliding between its physical and its bibliometric registers. The physical registers, inclination crowding and avoidance burden, name the real phenomenon the work is ultimately about. The bibliometric register, the topic signal and the attention measures built around it, names what the design can actually observe. The whole logic of the dissertation depends on keeping the two straight: the physical phenomenon motivates the inquiry, but only the bibliometric register is measured, and every conclusion is scoped to what the measured register supports rather than to what the motivating phenomenon might be</w:t>
      </w:r>
      <w:r>
        <w:t xml:space="preserve"> </w:t>
      </w:r>
      <w:hyperlink w:anchor="ref-2">
        <w:r>
          <w:rPr>
            <w:rStyle w:val="Hyperlink"/>
          </w:rPr>
          <w:t xml:space="preserve">[2]</w:t>
        </w:r>
      </w:hyperlink>
      <w:r>
        <w:t xml:space="preserve"> </w:t>
      </w:r>
      <w:hyperlink w:anchor="ref-5">
        <w:r>
          <w:rPr>
            <w:rStyle w:val="Hyperlink"/>
          </w:rPr>
          <w:t xml:space="preserve">[5]</w:t>
        </w:r>
      </w:hyperlink>
      <w:r>
        <w:t xml:space="preserve">. With the terms fixed and the design stated, the literature chapter turns to the scholarship from which the mechanism and the measures are drawn.</w:t>
      </w:r>
    </w:p>
    <w:bookmarkEnd w:id="70"/>
    <w:bookmarkEnd w:id="71"/>
    <w:bookmarkStart w:id="83" w:name="chapter-2.-literature"/>
    <w:p>
      <w:pPr>
        <w:pStyle w:val="Heading1"/>
        <w:spacing w:line="480" w:lineRule="auto"/>
      </w:pPr>
      <w:r>
        <w:t xml:space="preserve">Chapter 2. Literature</w:t>
      </w:r>
    </w:p>
    <w:bookmarkStart w:id="72" w:name="three-literatures-that-rarely-meet"/>
    <w:p>
      <w:pPr>
        <w:pStyle w:val="Heading2"/>
        <w:spacing w:line="480" w:lineRule="auto"/>
      </w:pPr>
      <w:r>
        <w:t xml:space="preserve">2.1 Three literatures that rarely meet</w:t>
      </w:r>
    </w:p>
    <w:p>
      <w:pPr>
        <w:pStyle w:val="FirstParagraph"/>
        <w:spacing w:line="480" w:lineRule="auto"/>
      </w:pPr>
      <w:r>
        <w:t xml:space="preserve">The problem this dissertation addresses sits at the intersection of three research communities that publish in different venues, use different vocabularies, and rarely cite one another with any regularity. The first is the technical literature on conjunction assessment and avoidance maneuver design. The second is the space situational awareness and space domain awareness community that supplies the observations those maneuvers depend on. The third is the governance and burden-sharing literature that asks who ought to bear the cost of coordination. Each community sees the congestion problem clearly through its own instrument, and each is largely silent on the parts the others handle. Reading them together is the first task of this chapter, because the inequity the dissertation studies lives precisely in the seams between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practical consequence of this fragmentation is that operational risk and institutional response evolve on separate clocks. Maneuver-design work advances quickly, driven by mission need and computational tractability. Governance vocabulary hardens slowly, driven by consensus among sovereign actors and commercial operators with divergent interests. A dissertation that wants to test whether an inequitable burden is emerging cannot rely on either literature alone. It has to read the whole retained corpus as a single structured object and ask where the topic actually shows up, in what venue, and at what point in time</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72"/>
    <w:bookmarkStart w:id="73" w:name="X292e2185080fafdece2104e29bfb789640fa838"/>
    <w:p>
      <w:pPr>
        <w:pStyle w:val="Heading2"/>
        <w:spacing w:line="480" w:lineRule="auto"/>
      </w:pPr>
      <w:r>
        <w:t xml:space="preserve">2.2 Conjunction management and avoidance maneuver design</w:t>
      </w:r>
    </w:p>
    <w:p>
      <w:pPr>
        <w:pStyle w:val="FirstParagraph"/>
        <w:spacing w:line="480" w:lineRule="auto"/>
      </w:pPr>
      <w:r>
        <w:t xml:space="preserve">The most mature strand of the retained corpus is the engineering literature on collision avoidance. A recent review of spacecraft collision avoidance maneuver design methods surveys the space of techniques from deterministic impulse planning to probabilistic and optimization-based formulations, and it makes plain that the design of a single avoidance maneuver is now a well-understood problem with many competing solutions</w:t>
      </w:r>
      <w:r>
        <w:t xml:space="preserve"> </w:t>
      </w:r>
      <w:hyperlink w:anchor="ref-9">
        <w:r>
          <w:rPr>
            <w:rStyle w:val="Hyperlink"/>
          </w:rPr>
          <w:t xml:space="preserve">[9]</w:t>
        </w:r>
      </w:hyperlink>
      <w:r>
        <w:t xml:space="preserve">. That maturity matters for this dissertation for an unexpected reason. When the physics of avoidance is well solved, the residual difficulty migrates from the maneuver itself to the allocation of who must perform it. A field does not argue about burden until the technical act of shouldering that burden is routine.</w:t>
      </w:r>
    </w:p>
    <w:p>
      <w:pPr>
        <w:pStyle w:val="BodyText"/>
        <w:spacing w:line="480" w:lineRule="auto"/>
        <w:ind w:firstLine="720"/>
      </w:pPr>
      <w:r>
        <w:t xml:space="preserve">Coordinated frameworks extend the single-spacecraft picture toward the multi-operator reality. Work characterizing a coordinated optimal avoidance maneuver framework for space traffic management treats avoidance as a joint problem across operators rather than a unilateral one, and in doing so it exposes the coordination question the governance literature will later have to answer</w:t>
      </w:r>
      <w:r>
        <w:t xml:space="preserve"> </w:t>
      </w:r>
      <w:hyperlink w:anchor="ref-1">
        <w:r>
          <w:rPr>
            <w:rStyle w:val="Hyperlink"/>
          </w:rPr>
          <w:t xml:space="preserve">[1]</w:t>
        </w:r>
      </w:hyperlink>
      <w:r>
        <w:t xml:space="preserve">. Constellation-scale conjunction management pushes further still. A webserver approach to conjunction management for large satellite constellations using a dynamic Voronoi diagram shows both the computational ambition and the operational necessity of managing many objects at once, precisely the regime in which inclination crowding concentrates avoidance obligation on whoever is not the large constellation</w:t>
      </w:r>
      <w:r>
        <w:t xml:space="preserve"> </w:t>
      </w:r>
      <w:hyperlink w:anchor="ref-3">
        <w:r>
          <w:rPr>
            <w:rStyle w:val="Hyperlink"/>
          </w:rPr>
          <w:t xml:space="preserve">[3]</w:t>
        </w:r>
      </w:hyperlink>
      <w:r>
        <w:t xml:space="preserve">. These works establish that the technical machinery for coordinated avoidance exists. They do not establish who pays for it.</w:t>
      </w:r>
    </w:p>
    <w:p>
      <w:pPr>
        <w:pStyle w:val="BodyText"/>
        <w:spacing w:line="480" w:lineRule="auto"/>
        <w:ind w:firstLine="720"/>
      </w:pPr>
      <w:r>
        <w:t xml:space="preserve">Detection and estimation of maneuvers for catalog maintenance closes an important loop. If avoidance is to be coordinated and its burden fairly allocated, the community must be able to observe when a spacecraft has in fact maneuvered, and work on maneuver detection for catalog maintenance addresses exactly that observability requirement</w:t>
      </w:r>
      <w:r>
        <w:t xml:space="preserve"> </w:t>
      </w:r>
      <w:hyperlink w:anchor="ref-13">
        <w:r>
          <w:rPr>
            <w:rStyle w:val="Hyperlink"/>
          </w:rPr>
          <w:t xml:space="preserve">[13]</w:t>
        </w:r>
      </w:hyperlink>
      <w:r>
        <w:t xml:space="preserve">. The methodological point carries into this dissertation’s own design. Burden allocation is only enforceable to the extent that maneuvers are detectable, and detectability is itself unevenly distributed across operators and orbital regimes. An operator whose maneuvers cannot be reliably observed is an operator whose burden cannot be verified.</w:t>
      </w:r>
    </w:p>
    <w:bookmarkEnd w:id="73"/>
    <w:bookmarkStart w:id="74" w:name="Xa15f0c89090bb4e3bbb5b325a82a20c1393c47c"/>
    <w:p>
      <w:pPr>
        <w:pStyle w:val="Heading2"/>
        <w:spacing w:line="480" w:lineRule="auto"/>
      </w:pPr>
      <w:r>
        <w:t xml:space="preserve">2.3 Space situational awareness as the evidentiary substrate</w:t>
      </w:r>
    </w:p>
    <w:p>
      <w:pPr>
        <w:pStyle w:val="FirstParagraph"/>
        <w:spacing w:line="480" w:lineRule="auto"/>
      </w:pPr>
      <w:r>
        <w:t xml:space="preserve">Avoidance depends on awareness, and the retained corpus includes a substantial body of work on how that awareness is produced. NASA’s Starling mission and its space situational awareness implications document a flight demonstration of distributed spacecraft operating in close proximity, which is the operational face of the crowding problem this dissertation abstracts into a bibliometric signal</w:t>
      </w:r>
      <w:r>
        <w:t xml:space="preserve"> </w:t>
      </w:r>
      <w:hyperlink w:anchor="ref-2">
        <w:r>
          <w:rPr>
            <w:rStyle w:val="Hyperlink"/>
          </w:rPr>
          <w:t xml:space="preserve">[2]</w:t>
        </w:r>
      </w:hyperlink>
      <w:r>
        <w:t xml:space="preserve">. Distributed operations are where inclination crowding stops being a statistical abstraction and becomes a concrete set of spacecraft that must actively coordinate to avoid one another.</w:t>
      </w:r>
    </w:p>
    <w:p>
      <w:pPr>
        <w:pStyle w:val="BodyText"/>
        <w:spacing w:line="480" w:lineRule="auto"/>
        <w:ind w:firstLine="720"/>
      </w:pPr>
      <w:r>
        <w:t xml:space="preserve">The sensing literature in the corpus spans several architectures. A stochastic unscented transform for robust state estimation targets the accuracy of the orbital state estimates on which all conjunction assessment rests</w:t>
      </w:r>
      <w:r>
        <w:t xml:space="preserve"> </w:t>
      </w:r>
      <w:hyperlink w:anchor="ref-8">
        <w:r>
          <w:rPr>
            <w:rStyle w:val="Hyperlink"/>
          </w:rPr>
          <w:t xml:space="preserve">[8]</w:t>
        </w:r>
      </w:hyperlink>
      <w:r>
        <w:t xml:space="preserve">. Survey design for small autonomous ground-based telescopes to detect uncontrolled and debris GEO objects addresses the coverage gap for uncontrolled objects that cannot themselves maneuver and therefore shift the entire avoidance burden onto controllable neighbors</w:t>
      </w:r>
      <w:r>
        <w:t xml:space="preserve"> </w:t>
      </w:r>
      <w:hyperlink w:anchor="ref-6">
        <w:r>
          <w:rPr>
            <w:rStyle w:val="Hyperlink"/>
          </w:rPr>
          <w:t xml:space="preserve">[6]</w:t>
        </w:r>
      </w:hyperlink>
      <w:r>
        <w:t xml:space="preserve">. Passive RF sensing in support of SSA broadens the sensing modality beyond optical and radar approaches</w:t>
      </w:r>
      <w:r>
        <w:t xml:space="preserve"> </w:t>
      </w:r>
      <w:hyperlink w:anchor="ref-7">
        <w:r>
          <w:rPr>
            <w:rStyle w:val="Hyperlink"/>
          </w:rPr>
          <w:t xml:space="preserve">[7]</w:t>
        </w:r>
      </w:hyperlink>
      <w:r>
        <w:t xml:space="preserve">. A proposed optical space surveillance and tracking constellation for LEO coverage sketches a space-based sensing architecture whose economics themselves raise burden-sharing questions</w:t>
      </w:r>
      <w:r>
        <w:t xml:space="preserve"> </w:t>
      </w:r>
      <w:hyperlink w:anchor="ref-14">
        <w:r>
          <w:rPr>
            <w:rStyle w:val="Hyperlink"/>
          </w:rPr>
          <w:t xml:space="preserve">[14]</w:t>
        </w:r>
      </w:hyperlink>
      <w:r>
        <w:t xml:space="preserve">. Read together, these works make a point the governance literature often assumes away. The awareness that makes fair avoidance possible is itself a costly, unevenly provided public good, and whoever funds the sensing tacitly subsidizes everyone whose maneuvers depend on it.</w:t>
      </w:r>
    </w:p>
    <w:bookmarkEnd w:id="74"/>
    <w:bookmarkStart w:id="75" w:name="X5e08e1b8fbe3bfe9f53a12a4ebae1beab6a9687"/>
    <w:p>
      <w:pPr>
        <w:pStyle w:val="Heading2"/>
        <w:spacing w:line="480" w:lineRule="auto"/>
      </w:pPr>
      <w:r>
        <w:t xml:space="preserve">2.4 Governance, burden sharing, and the political economy of orbit</w:t>
      </w:r>
    </w:p>
    <w:p>
      <w:pPr>
        <w:pStyle w:val="FirstParagraph"/>
        <w:spacing w:line="480" w:lineRule="auto"/>
      </w:pPr>
      <w:r>
        <w:t xml:space="preserve">The governance strand is where the dissertation’s central concept, the inequitable distribution of avoidance burden, finds its most direct antecedents. Work on Australia’s emerging space policy frames defense burden sharing in orbit and space situational awareness as an explicitly distributive problem among allied and commercial actors, which is the closest the retained corpus comes to naming the inequity this dissertation measures</w:t>
      </w:r>
      <w:r>
        <w:t xml:space="preserve"> </w:t>
      </w:r>
      <w:hyperlink w:anchor="ref-4">
        <w:r>
          <w:rPr>
            <w:rStyle w:val="Hyperlink"/>
          </w:rPr>
          <w:t xml:space="preserve">[4]</w:t>
        </w:r>
      </w:hyperlink>
      <w:r>
        <w:t xml:space="preserve">. A survey of the challenges in space traffic management catalogs the institutional, technical, and coordination obstacles that keep burden allocation informal and contested</w:t>
      </w:r>
      <w:r>
        <w:t xml:space="preserve"> </w:t>
      </w:r>
      <w:hyperlink w:anchor="ref-5">
        <w:r>
          <w:rPr>
            <w:rStyle w:val="Hyperlink"/>
          </w:rPr>
          <w:t xml:space="preserve">[5]</w:t>
        </w:r>
      </w:hyperlink>
      <w:r>
        <w:t xml:space="preserve">. These are the works that convert a physics problem into a policy problem.</w:t>
      </w:r>
    </w:p>
    <w:p>
      <w:pPr>
        <w:pStyle w:val="BodyText"/>
        <w:spacing w:line="480" w:lineRule="auto"/>
        <w:ind w:firstLine="720"/>
      </w:pPr>
      <w:r>
        <w:t xml:space="preserve">Space capacity management and its interaction with space traffic management supplies the conceptual bridge between congestion and coordination, treating orbital capacity as a managed resource whose allocation rules are still being written</w:t>
      </w:r>
      <w:r>
        <w:t xml:space="preserve"> </w:t>
      </w:r>
      <w:hyperlink w:anchor="ref-11">
        <w:r>
          <w:rPr>
            <w:rStyle w:val="Hyperlink"/>
          </w:rPr>
          <w:t xml:space="preserve">[11]</w:t>
        </w:r>
      </w:hyperlink>
      <w:r>
        <w:t xml:space="preserve">. A companion analysis of future activities in near-Earth space in the face of ever-increasing traffic supplies the growth premise that makes the burden question urgent rather than academic. If traffic rises without a burden-allocation rule, the aggregate cost of unfairness compounds faster than the traffic that produces it</w:t>
      </w:r>
      <w:r>
        <w:t xml:space="preserve"> </w:t>
      </w:r>
      <w:hyperlink w:anchor="ref-12">
        <w:r>
          <w:rPr>
            <w:rStyle w:val="Hyperlink"/>
          </w:rPr>
          <w:t xml:space="preserve">[12]</w:t>
        </w:r>
      </w:hyperlink>
      <w:r>
        <w:t xml:space="preserve">. The legal literature adds a further layer. Analysis of legal liability for artificial intelligence in outer space anticipates that autonomous avoidance decisions will raise liability and accountability questions that current frameworks are unready to answer</w:t>
      </w:r>
      <w:r>
        <w:t xml:space="preserve"> </w:t>
      </w:r>
      <w:hyperlink w:anchor="ref-10">
        <w:r>
          <w:rPr>
            <w:rStyle w:val="Hyperlink"/>
          </w:rPr>
          <w:t xml:space="preserve">[10]</w:t>
        </w:r>
      </w:hyperlink>
      <w:r>
        <w:t xml:space="preserve">. Prototyping operational autonomy for space traffic management shows the operational counterpart, an autonomy stack that would have to embed some burden-allocation logic whether or not that logic is fair</w:t>
      </w:r>
      <w:r>
        <w:t xml:space="preserve"> </w:t>
      </w:r>
      <w:hyperlink w:anchor="ref-16">
        <w:r>
          <w:rPr>
            <w:rStyle w:val="Hyperlink"/>
          </w:rPr>
          <w:t xml:space="preserve">[16]</w:t>
        </w:r>
      </w:hyperlink>
      <w:r>
        <w:t xml:space="preserve">.</w:t>
      </w:r>
    </w:p>
    <w:bookmarkEnd w:id="75"/>
    <w:bookmarkStart w:id="76" w:name="X6626ce4f19ed42295432248ed55980d68995508"/>
    <w:p>
      <w:pPr>
        <w:pStyle w:val="Heading2"/>
        <w:spacing w:line="480" w:lineRule="auto"/>
      </w:pPr>
      <w:r>
        <w:t xml:space="preserve">2.5 The measurement problem and the gap this dissertation occupies</w:t>
      </w:r>
    </w:p>
    <w:p>
      <w:pPr>
        <w:pStyle w:val="FirstParagraph"/>
        <w:spacing w:line="480" w:lineRule="auto"/>
      </w:pPr>
      <w:r>
        <w:t xml:space="preserve">Two gaps emerge from reading these literatures against one another. The first is between technical demonstration and institutional explanation. The corpus can show that coordinated avoidance is feasible and that awareness can be produced, but it does not explain why governance language around burden allocation remains loose while the technical capability tightens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second gap is between policy salience and measurement. Citation attention, publication recency, and venue family can reveal how a topic is distributed across a retrieved corpus, yet those signals require careful interpretation before they can support any claim about an on-orbit inequity</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also a methodological antecedent worth naming. The estimation and catalog-maintenance strand insists that a maneuver is only real when it is detectable</w:t>
      </w:r>
      <w:r>
        <w:t xml:space="preserve"> </w:t>
      </w:r>
      <w:hyperlink w:anchor="ref-13">
        <w:r>
          <w:rPr>
            <w:rStyle w:val="Hyperlink"/>
          </w:rPr>
          <w:t xml:space="preserve">[13]</w:t>
        </w:r>
      </w:hyperlink>
      <w:r>
        <w:t xml:space="preserve">, and this dissertation borrows that same insistence for its own object of study. A topic is only measurable when it leaves a detectable trace in the record. That is why the design converts the literature into an auditable object: source records become rows, variables are constructed from observable fields, and the interpretation stays inside the estimator output. This dissertation does not attempt to close both gaps. It attempts something narrower and verifiable, to measure whether the candidate topic is visible as structure in the retained bibliometric record, and to report that measurement honestly whether or not it supports a strong claim. That posture inherits directly from the governance works that name the burden problem</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r>
        <w:t xml:space="preserve">and from the capacity-management works that make it urgent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chapters that follow build the mechanism, the method, and the measurement in that spirit.</w:t>
      </w:r>
    </w:p>
    <w:bookmarkEnd w:id="76"/>
    <w:bookmarkStart w:id="77" w:name="Xe3ae8f100c2ec4e71e090af92ba147d09315b40"/>
    <w:p>
      <w:pPr>
        <w:pStyle w:val="Heading2"/>
        <w:spacing w:line="480" w:lineRule="auto"/>
      </w:pPr>
      <w:r>
        <w:t xml:space="preserve">2.6 The autonomy turn and its implications for burden</w:t>
      </w:r>
    </w:p>
    <w:p>
      <w:pPr>
        <w:pStyle w:val="FirstParagraph"/>
        <w:spacing w:line="480" w:lineRule="auto"/>
      </w:pPr>
      <w:r>
        <w:t xml:space="preserve">A distinct current in the recent literature deserves separate treatment because it reshapes the burden question rather than merely restating it. As avoidance decisions move from human operators to autonomous systems, the allocation of burden stops being purely an economic and diplomatic matter and becomes partly an engineering and legal one. Prototyping operational autonomy for space traffic management sketches an autonomy stack in which spacecraft or ground systems negotiate avoidance without human intervention at each step</w:t>
      </w:r>
      <w:r>
        <w:t xml:space="preserve"> </w:t>
      </w:r>
      <w:hyperlink w:anchor="ref-16">
        <w:r>
          <w:rPr>
            <w:rStyle w:val="Hyperlink"/>
          </w:rPr>
          <w:t xml:space="preserve">[16]</w:t>
        </w:r>
      </w:hyperlink>
      <w:r>
        <w:t xml:space="preserve">. The moment such a stack exists, the rule that decides which party yields is encoded in software, and whatever bias that rule carries, toward the smaller operator, toward the more maneuverable spacecraft, toward whoever coded the deconfliction logic, becomes systematic rather than case by case.</w:t>
      </w:r>
    </w:p>
    <w:p>
      <w:pPr>
        <w:pStyle w:val="BodyText"/>
        <w:spacing w:line="480" w:lineRule="auto"/>
        <w:ind w:firstLine="720"/>
      </w:pPr>
      <w:r>
        <w:t xml:space="preserve">The legal literature has begun to anticipate the consequences. Analysis of legal liability for artificial intelligence in outer space asks who is accountable when an autonomous avoidance decision goes wrong, and it exposes how poorly current frameworks map onto delegated, machine-speed coordination</w:t>
      </w:r>
      <w:r>
        <w:t xml:space="preserve"> </w:t>
      </w:r>
      <w:hyperlink w:anchor="ref-10">
        <w:r>
          <w:rPr>
            <w:rStyle w:val="Hyperlink"/>
          </w:rPr>
          <w:t xml:space="preserve">[10]</w:t>
        </w:r>
      </w:hyperlink>
      <w:r>
        <w:t xml:space="preserve">. For this dissertation the point is that an inequitable burden embedded in autonomous deconfliction logic would be harder to see and harder to contest than one negotiated openly between operators, because it would be distributed silently by systems whose decision rules are not published. The topic this dissertation measures is therefore not a static one. It is a problem whose character is shifting as the field automates, which is one reason a bibliometric measurement of how recently and how prominently the topic is being worked out has diagnostic value.</w:t>
      </w:r>
    </w:p>
    <w:bookmarkEnd w:id="77"/>
    <w:bookmarkStart w:id="78" w:name="Xff2b709eb16cadb9b3196d6414d74905206ca32"/>
    <w:p>
      <w:pPr>
        <w:pStyle w:val="Heading2"/>
        <w:spacing w:line="480" w:lineRule="auto"/>
      </w:pPr>
      <w:r>
        <w:t xml:space="preserve">2.7 Time-optimal transfer and the transportation frame</w:t>
      </w:r>
    </w:p>
    <w:p>
      <w:pPr>
        <w:pStyle w:val="FirstParagraph"/>
        <w:spacing w:line="480" w:lineRule="auto"/>
      </w:pPr>
      <w:r>
        <w:t xml:space="preserve">A further strand reframes crowding through the lens of in-space transportation rather than static station-keeping. Time-optimal trajectory design for distributed space systems treats the movement of spacecraft between orbital locations as an optimization problem in its own right, and it makes clear that as in-space logistics matures, spacecraft will transit through crowded regions rather than merely occupy them</w:t>
      </w:r>
      <w:r>
        <w:t xml:space="preserve"> </w:t>
      </w:r>
      <w:hyperlink w:anchor="ref-15">
        <w:r>
          <w:rPr>
            <w:rStyle w:val="Hyperlink"/>
          </w:rPr>
          <w:t xml:space="preserve">[15]</w:t>
        </w:r>
      </w:hyperlink>
      <w:r>
        <w:t xml:space="preserve">. Transit multiplies conjunction opportunities, because a transiting spacecraft crosses many shells and encounters many resident populations along the way, and the burden of avoiding those encounters again tends to fall on the mover.</w:t>
      </w:r>
    </w:p>
    <w:p>
      <w:pPr>
        <w:pStyle w:val="BodyText"/>
        <w:spacing w:line="480" w:lineRule="auto"/>
        <w:ind w:firstLine="720"/>
      </w:pPr>
      <w:r>
        <w:t xml:space="preserve">This transportation frame matters for how the burden question should be posed. If the future orbital environment is one of frequent transfers by distributed systems rather than static constellations in fixed shells, then the operator that transits, often a smaller servicing or logistics provider, absorbs avoidance obligations across every regime it crosses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retained corpus contains only early signals of this shift, which is itself informative: the topic sits at a frontier that the literature is still assembling, and the empirical chapters test whether that assembly has yet produced a detectable bibliometric structure.</w:t>
      </w:r>
    </w:p>
    <w:bookmarkEnd w:id="78"/>
    <w:bookmarkStart w:id="79" w:name="Xd1fe356c1af100a184d943e70f28ae9ae1cc355"/>
    <w:p>
      <w:pPr>
        <w:pStyle w:val="Heading2"/>
        <w:spacing w:line="480" w:lineRule="auto"/>
      </w:pPr>
      <w:r>
        <w:t xml:space="preserve">2.8 How the corpus positions this dissertation</w:t>
      </w:r>
    </w:p>
    <w:p>
      <w:pPr>
        <w:pStyle w:val="FirstParagraph"/>
        <w:spacing w:line="480" w:lineRule="auto"/>
      </w:pPr>
      <w:r>
        <w:t xml:space="preserve">Read as a whole, the retained corpus establishes three things that jointly position this dissertation. The technical capacity for coordinated, constellation-scale, and even autonomous avoidance is mature or maturing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 The awareness infrastructure that would make any burden rule enforceable is actively researched but unevenly funded</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And the governance literature has named burden sharing as a distributive problem without yet resolving how the burden should be allocated or measured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topic of an inequitable avoidance burden therefore sits at a confluence of well-developed literatures that have not yet fused into a dedicated research front.</w:t>
      </w:r>
    </w:p>
    <w:p>
      <w:pPr>
        <w:pStyle w:val="BodyText"/>
        <w:spacing w:line="480" w:lineRule="auto"/>
        <w:ind w:firstLine="720"/>
      </w:pPr>
      <w:r>
        <w:t xml:space="preserve">That positioning is exactly what makes a bibliometric test appropriate at this stage. If the confluence has begun to consolidate into a recognized problem, the consolidation should show as structure in publication timing, citation attention, and venue distribution. If it has not, the estimators should return weak associations, and the honest reading of that outcome is that the field is still assembling the problem rather than working a settled one. The measurement is thus not a detour from the substantive literature but a direct test of a question the literature raises and cannot answer from within any single strand</w:t>
      </w:r>
      <w:r>
        <w:t xml:space="preserve"> </w:t>
      </w:r>
      <w:hyperlink w:anchor="ref-2">
        <w:r>
          <w:rPr>
            <w:rStyle w:val="Hyperlink"/>
          </w:rPr>
          <w:t xml:space="preserve">[2]</w:t>
        </w:r>
      </w:hyperlink>
      <w:r>
        <w:t xml:space="preserve"> </w:t>
      </w:r>
      <w:hyperlink w:anchor="ref-13">
        <w:r>
          <w:rPr>
            <w:rStyle w:val="Hyperlink"/>
          </w:rPr>
          <w:t xml:space="preserve">[13]</w:t>
        </w:r>
      </w:hyperlink>
      <w:r>
        <w:t xml:space="preserve">.</w:t>
      </w:r>
    </w:p>
    <w:bookmarkEnd w:id="79"/>
    <w:bookmarkStart w:id="80" w:name="X6c611fb7eb81d87c7f56201af114ac00cd2e296"/>
    <w:p>
      <w:pPr>
        <w:pStyle w:val="Heading2"/>
        <w:spacing w:line="480" w:lineRule="auto"/>
      </w:pPr>
      <w:r>
        <w:t xml:space="preserve">2.9 The sensing economics the governance literature elides</w:t>
      </w:r>
    </w:p>
    <w:p>
      <w:pPr>
        <w:pStyle w:val="FirstParagraph"/>
        <w:spacing w:line="480" w:lineRule="auto"/>
      </w:pPr>
      <w:r>
        <w:t xml:space="preserve">One theme cuts across the sensing and governance strands and deserves to be drawn out, because it bears directly on the fairness question this dissertation studies. Every avoidance decision rests on an orbital state estimate, and every state estimate rests on sensing, and sensing is expensive and unevenly provided. The state-estimation literature works to squeeze accuracy from imperfect observations</w:t>
      </w:r>
      <w:r>
        <w:t xml:space="preserve"> </w:t>
      </w:r>
      <w:hyperlink w:anchor="ref-8">
        <w:r>
          <w:rPr>
            <w:rStyle w:val="Hyperlink"/>
          </w:rPr>
          <w:t xml:space="preserve">[8]</w:t>
        </w:r>
      </w:hyperlink>
      <w:r>
        <w:t xml:space="preserve">, the ground-based survey literature works to close coverage gaps for uncontrolled objects</w:t>
      </w:r>
      <w:r>
        <w:t xml:space="preserve"> </w:t>
      </w:r>
      <w:hyperlink w:anchor="ref-6">
        <w:r>
          <w:rPr>
            <w:rStyle w:val="Hyperlink"/>
          </w:rPr>
          <w:t xml:space="preserve">[6]</w:t>
        </w:r>
      </w:hyperlink>
      <w:r>
        <w:t xml:space="preserve">, and the passive and space-based sensing proposals work to extend the observational net by other means</w:t>
      </w:r>
      <w:r>
        <w:t xml:space="preserve"> </w:t>
      </w:r>
      <w:hyperlink w:anchor="ref-7">
        <w:r>
          <w:rPr>
            <w:rStyle w:val="Hyperlink"/>
          </w:rPr>
          <w:t xml:space="preserve">[7]</w:t>
        </w:r>
      </w:hyperlink>
      <w:r>
        <w:t xml:space="preserve"> </w:t>
      </w:r>
      <w:hyperlink w:anchor="ref-14">
        <w:r>
          <w:rPr>
            <w:rStyle w:val="Hyperlink"/>
          </w:rPr>
          <w:t xml:space="preserve">[14]</w:t>
        </w:r>
      </w:hyperlink>
      <w:r>
        <w:t xml:space="preserve">. What none of these can escape is that whoever pays for the sensing subsidizes everyone whose avoidance depends on it.</w:t>
      </w:r>
    </w:p>
    <w:p>
      <w:pPr>
        <w:pStyle w:val="BodyText"/>
        <w:spacing w:line="480" w:lineRule="auto"/>
        <w:ind w:firstLine="720"/>
      </w:pPr>
      <w:r>
        <w:t xml:space="preserve">This is a burden-sharing problem hiding inside a technical one. A government or large operator that funds a sensing capability confers a benefit on every small operator who reads the resulting catalog, and the small operators contribute little to the sensing cost while depending heavily on its output. The governance literature that frames burden sharing in orbit</w:t>
      </w:r>
      <w:r>
        <w:t xml:space="preserve"> </w:t>
      </w:r>
      <w:hyperlink w:anchor="ref-4">
        <w:r>
          <w:rPr>
            <w:rStyle w:val="Hyperlink"/>
          </w:rPr>
          <w:t xml:space="preserve">[4]</w:t>
        </w:r>
      </w:hyperlink>
      <w:r>
        <w:t xml:space="preserve"> </w:t>
      </w:r>
      <w:r>
        <w:t xml:space="preserve">rarely connects it to this sensing economics, yet the two are the same distributive question seen from two ends. For this dissertation the point is that the avoidance-burden inequity is entangled with a sensing-provision inequity, and a corpus that had consolidated the topic would be expected to treat them together. Whether it does is, again, an empirical question about the structure of the record.</w:t>
      </w:r>
    </w:p>
    <w:bookmarkEnd w:id="80"/>
    <w:bookmarkStart w:id="81" w:name="reading-the-corpus-as-a-maturing-front"/>
    <w:p>
      <w:pPr>
        <w:pStyle w:val="Heading2"/>
        <w:spacing w:line="480" w:lineRule="auto"/>
      </w:pPr>
      <w:r>
        <w:t xml:space="preserve">2.10 Reading the corpus as a maturing front</w:t>
      </w:r>
    </w:p>
    <w:p>
      <w:pPr>
        <w:pStyle w:val="FirstParagraph"/>
        <w:spacing w:line="480" w:lineRule="auto"/>
      </w:pPr>
      <w:r>
        <w:t xml:space="preserve">The final task of this chapter is to state, as a testable expectation, what a maturing research front on this topic should look like in the record, so that the empirical chapters have a clear target. A front in early consolidation should show its densest topical vocabulary at the operational and conference end of the venue spectrum, where new problems are first reported, rather than in archival journals, where consolidated results appear later</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should show its citation mass concentrated on recent contributions, because the front is actively reorganizing and the community is reading its newest work most closely</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And it should show, as yet, no strong cross-sectional organization of the topic signal, because a front that has not consolidated has not yet produced the regular structure that consolidation brings</w:t>
      </w:r>
      <w:r>
        <w:t xml:space="preserve"> </w:t>
      </w:r>
      <w:hyperlink w:anchor="ref-11">
        <w:r>
          <w:rPr>
            <w:rStyle w:val="Hyperlink"/>
          </w:rPr>
          <w:t xml:space="preserve">[11]</w:t>
        </w:r>
      </w:hyperlink>
      <w:r>
        <w:t xml:space="preserve">.</w:t>
      </w:r>
    </w:p>
    <w:p>
      <w:pPr>
        <w:pStyle w:val="BodyText"/>
        <w:spacing w:line="480" w:lineRule="auto"/>
        <w:ind w:firstLine="720"/>
      </w:pPr>
      <w:r>
        <w:t xml:space="preserve">These expectations are not idle. They are the predictions Chapter 3 formalizes and Chapter 6 tests, and they are drawn directly from reading the retained corpus as a body of work at a particular stage of development. The literature, in other words, does more than supply background. It supplies the shape of the result a design-stage test should anticipate if the mechanism is real and the front is young, and it thereby makes the eventual findings interpretable as evidence about maturity rather than as isolated correlations. That is the bridge from the literature to the empirical spine, and the next chapter builds the mechanism that crosses it</w:t>
      </w:r>
      <w:r>
        <w:t xml:space="preserve"> </w:t>
      </w:r>
      <w:hyperlink w:anchor="ref-4">
        <w:r>
          <w:rPr>
            <w:rStyle w:val="Hyperlink"/>
          </w:rPr>
          <w:t xml:space="preserve">[4]</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81"/>
    <w:bookmarkStart w:id="82" w:name="what-the-corpus-does-not-yet-contain"/>
    <w:p>
      <w:pPr>
        <w:pStyle w:val="Heading2"/>
        <w:spacing w:line="480" w:lineRule="auto"/>
      </w:pPr>
      <w:r>
        <w:t xml:space="preserve">2.11 What the corpus does not yet contain</w:t>
      </w:r>
    </w:p>
    <w:p>
      <w:pPr>
        <w:pStyle w:val="FirstParagraph"/>
        <w:spacing w:line="480" w:lineRule="auto"/>
      </w:pPr>
      <w:r>
        <w:t xml:space="preserve">A literature review earns its keep partly by naming absences, and this corpus has an instructive one. Across all thirty records there is no work that measures the avoidance burden as a distributed cost and asks how it is allocated across operator classes. The technical works measure maneuvers and frameworks</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sensing works measure detection and estimation</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governance works name burden sharing as a concern</w:t>
      </w:r>
      <w:r>
        <w:t xml:space="preserve"> </w:t>
      </w:r>
      <w:hyperlink w:anchor="ref-4">
        <w:r>
          <w:rPr>
            <w:rStyle w:val="Hyperlink"/>
          </w:rPr>
          <w:t xml:space="preserve">[4]</w:t>
        </w:r>
      </w:hyperlink>
      <w:r>
        <w:t xml:space="preserve"> </w:t>
      </w:r>
      <w:hyperlink w:anchor="ref-5">
        <w:r>
          <w:rPr>
            <w:rStyle w:val="Hyperlink"/>
          </w:rPr>
          <w:t xml:space="preserve">[5]</w:t>
        </w:r>
      </w:hyperlink>
      <w:r>
        <w:t xml:space="preserve">. But the specific quantitative question, who pays how much of the avoidance cost and why, is present as a concern and absent as a measured object. That absence is itself the gap the dissertation occupies, and it is visible only because the review read the strands together rather than in isolation.</w:t>
      </w:r>
    </w:p>
    <w:p>
      <w:pPr>
        <w:pStyle w:val="BodyText"/>
        <w:spacing w:line="480" w:lineRule="auto"/>
        <w:ind w:firstLine="720"/>
      </w:pPr>
      <w:r>
        <w:t xml:space="preserve">The absence also explains why a bibliometric test is the right instrument for this stage rather than a premature attempt at direct measurement. One cannot measure a distributed cost that no record reports, but one can measure whether the field has begun to organize around the question, and that organization is what the topic signal and the attention curve are built to detect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review thus closes by locating the dissertation precisely: at a gap the literature reveals but cannot fill from within, addressed by a measurement the literature’s own stage of development makes appropriate. The mechanism that connects the physical gap to the observable signal is the subject of the next chapter</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82"/>
    <w:bookmarkEnd w:id="83"/>
    <w:bookmarkStart w:id="96" w:name="chapter-3.-theory-and-hypotheses"/>
    <w:p>
      <w:pPr>
        <w:pStyle w:val="Heading1"/>
        <w:spacing w:line="480" w:lineRule="auto"/>
      </w:pPr>
      <w:r>
        <w:t xml:space="preserve">Chapter 3. Theory and Hypotheses</w:t>
      </w:r>
    </w:p>
    <w:bookmarkStart w:id="84" w:name="the-mechanism-in-physical-terms"/>
    <w:p>
      <w:pPr>
        <w:pStyle w:val="Heading2"/>
        <w:spacing w:line="480" w:lineRule="auto"/>
      </w:pPr>
      <w:r>
        <w:t xml:space="preserve">3.1 The mechanism in physical terms</w:t>
      </w:r>
    </w:p>
    <w:p>
      <w:pPr>
        <w:pStyle w:val="FirstParagraph"/>
        <w:spacing w:line="480" w:lineRule="auto"/>
      </w:pPr>
      <w:r>
        <w:t xml:space="preserve">Begin with the orbital physics, because the bibliometric test only makes sense as a shadow of something real. Satellites do not distribute themselves uniformly across the sky. They concentrate at inclinations that serve valuable purposes: sun-synchronous shells for Earth observation, particular inclinations for constellation coverage geometry, bands that minimize launch energy from favored spaceports. This concentration is inclination crowding. Where objects crowd, the rate of close approaches rises, and it rises nonlinearly, because the expected number of conjunctions between two populations scales with the product of their sizes rather than their sum</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Now add the coordination layer. When two operators face a predicted conjunction, one of them typically maneuvers. The physics of that maneuver is a solved problem with many available methods</w:t>
      </w:r>
      <w:r>
        <w:t xml:space="preserve"> </w:t>
      </w:r>
      <w:hyperlink w:anchor="ref-9">
        <w:r>
          <w:rPr>
            <w:rStyle w:val="Hyperlink"/>
          </w:rPr>
          <w:t xml:space="preserve">[9]</w:t>
        </w:r>
      </w:hyperlink>
      <w:r>
        <w:t xml:space="preserve">. The open question is which operator moves. In the absence of an enforced allocation rule, the answer tends to be decided by asymmetries of capability and count. A large constellation is the statistical center of gravity for conjunction events in its shell; a single maneuverable spacecraft that enters that shell will find itself repeatedly ceding right of way, because it is cheaper for one small operator to move than for a constellation operator to reschedule many spacecraft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avoidance burden therefore drifts toward the smaller, more agile, more frequently maneuvering operator. That drift is the inequity.</w:t>
      </w:r>
    </w:p>
    <w:p>
      <w:pPr>
        <w:pStyle w:val="BodyText"/>
        <w:spacing w:line="480" w:lineRule="auto"/>
        <w:ind w:firstLine="720"/>
      </w:pPr>
      <w:r>
        <w:t xml:space="preserve">The mechanism has a second edge. Uncontrolled objects and debris cannot maneuver at all, so every conjunction involving them is resolved entirely by the controllable neighbor</w:t>
      </w:r>
      <w:r>
        <w:t xml:space="preserve"> </w:t>
      </w:r>
      <w:hyperlink w:anchor="ref-6">
        <w:r>
          <w:rPr>
            <w:rStyle w:val="Hyperlink"/>
          </w:rPr>
          <w:t xml:space="preserve">[6]</w:t>
        </w:r>
      </w:hyperlink>
      <w:r>
        <w:t xml:space="preserve">. As the debris and uncontrolled population grows, the controllable operators absorb a rising share of an obligation they did not create. The burden is inequitable not only across operators of different sizes but across the boundary between those who can maneuver and those who cannot.</w:t>
      </w:r>
    </w:p>
    <w:bookmarkEnd w:id="84"/>
    <w:bookmarkStart w:id="85" w:name="X325a50a4d602728ec617399af39ac4588d56717"/>
    <w:p>
      <w:pPr>
        <w:pStyle w:val="Heading2"/>
        <w:spacing w:line="480" w:lineRule="auto"/>
      </w:pPr>
      <w:r>
        <w:t xml:space="preserve">3.2 From physical mechanism to observable signal</w:t>
      </w:r>
    </w:p>
    <w:p>
      <w:pPr>
        <w:pStyle w:val="FirstParagraph"/>
        <w:spacing w:line="480" w:lineRule="auto"/>
      </w:pPr>
      <w:r>
        <w:t xml:space="preserve">A dissertation at design stage cannot directly measure the propellant that operators spend dodging one another. Those figures are proprietary, inconsistently reported, and unavailable in any public corpus this candidate can retain. What is available is the documentary and scholarly record: the papers, reports, and policy documents in which the field works out its understanding of the problem. The theoretical claim of this chapter is that if the physical inequity described above is becoming a recognized, consequential problem, that recognition should leave measurable traces in the record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traces are threefold, and they map onto the predictors of the empirical models. Publication recency captures whether the topic is becoming more prominent over time, as a maturing problem draws increasing scholarly attention. Citation attention captures whether individual works on the topic are accruing recognition from the community, a proxy for whether the field treats them as consequential. Venue family captures where the topic is being worked out, because a problem discussed only in narrow technical proceedings has a different institutional standing than one that has migrated into archival journals and policy analysis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None of these traces is required to move in the same direction. The theory does not demand a tidy story. It demands only that each trace have a stated meaning, so that whatever the estimators return can be interpreted rather than explained away. A positive recency slope would suggest a topic gaining prominence; a flat one would suggest a topic that has not yet consolidated. A positive citation slope would suggest works the field finds consequential; a null one would suggest attention has not concentrated. A venue slope of either sign would suggest that where the topic appears is itself informative.</w:t>
      </w:r>
    </w:p>
    <w:bookmarkEnd w:id="85"/>
    <w:bookmarkStart w:id="86" w:name="the-cross-sectional-prediction"/>
    <w:p>
      <w:pPr>
        <w:pStyle w:val="Heading2"/>
        <w:spacing w:line="480" w:lineRule="auto"/>
      </w:pPr>
      <w:r>
        <w:t xml:space="preserve">3.3 The cross-sectional prediction</w:t>
      </w:r>
    </w:p>
    <w:p>
      <w:pPr>
        <w:pStyle w:val="FirstParagraph"/>
        <w:spacing w:line="480" w:lineRule="auto"/>
      </w:pPr>
      <w:r>
        <w:t xml:space="preserve">The first testable prediction concerns structure across the cross-section of retrieved records at a single moment. It is operationalized in Paper 1 through the outcome variable signal_score, a deterministic count of candidate-theme term hits in each source record, regressed on the recency index, the reported citation count, and the ordinal venue-family score.</w:t>
      </w:r>
    </w:p>
    <w:p>
      <w:pPr>
        <w:pStyle w:val="BodyText"/>
        <w:spacing w:line="480" w:lineRule="auto"/>
        <w:ind w:firstLine="720"/>
      </w:pPr>
      <w:r>
        <w:t xml:space="preserve">H0: the topic-signal score is unrelated to publication recency, citation attention, and venue family.</w:t>
      </w:r>
    </w:p>
    <w:p>
      <w:pPr>
        <w:pStyle w:val="BodyText"/>
        <w:spacing w:line="480" w:lineRule="auto"/>
        <w:ind w:firstLine="720"/>
      </w:pPr>
      <w:r>
        <w:t xml:space="preserve">H1: the topic-signal score increases with recency and citation attention.</w:t>
      </w:r>
    </w:p>
    <w:p>
      <w:pPr>
        <w:pStyle w:val="BodyText"/>
        <w:spacing w:line="480" w:lineRule="auto"/>
        <w:ind w:firstLine="720"/>
      </w:pPr>
      <w:r>
        <w:t xml:space="preserve">Under the mechanism, H1 is the interesting alternative, but the theory is explicit that failure to reject H0 is itself an informative outcome. If the signal shows no systematic relationship to recency, attention, or venue, the honest reading is that the topic has not yet consolidated into a structure the retained corpus can detect. That is a finding about the maturity of the evidence base, not a null result to be buried</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86"/>
    <w:bookmarkStart w:id="87" w:name="the-temporal-prediction"/>
    <w:p>
      <w:pPr>
        <w:pStyle w:val="Heading2"/>
        <w:spacing w:line="480" w:lineRule="auto"/>
      </w:pPr>
      <w:r>
        <w:t xml:space="preserve">3.4 The temporal prediction</w:t>
      </w:r>
    </w:p>
    <w:p>
      <w:pPr>
        <w:pStyle w:val="FirstParagraph"/>
        <w:spacing w:line="480" w:lineRule="auto"/>
      </w:pPr>
      <w:r>
        <w:t xml:space="preserve">The second prediction concerns accumulation over time rather than structure across venues. It is operationalized in Paper 2 through a log-log learning-curve specification: the log of citation count plus one, regressed on the log of an article-age index defined as 2026 minus publication year plus one.</w:t>
      </w:r>
    </w:p>
    <w:p>
      <w:pPr>
        <w:pStyle w:val="BodyText"/>
        <w:spacing w:line="480" w:lineRule="auto"/>
        <w:ind w:firstLine="720"/>
      </w:pPr>
      <w:r>
        <w:t xml:space="preserve">H0: citation accumulation is unrelated to article age in the retrieved topic literature.</w:t>
      </w:r>
    </w:p>
    <w:p>
      <w:pPr>
        <w:pStyle w:val="BodyText"/>
        <w:spacing w:line="480" w:lineRule="auto"/>
        <w:ind w:firstLine="720"/>
      </w:pPr>
      <w:r>
        <w:t xml:space="preserve">H1: citation accumulation follows a measurable age-based attention curve.</w:t>
      </w:r>
    </w:p>
    <w:p>
      <w:pPr>
        <w:pStyle w:val="BodyText"/>
        <w:spacing w:line="480" w:lineRule="auto"/>
        <w:ind w:firstLine="720"/>
      </w:pPr>
      <w:r>
        <w:t xml:space="preserve">The learning-curve form encodes a specific expectation. In many maturing research fronts, older works have had more time to accumulate citations, producing a positive age elasticity, while in a young or rapidly shifting front the newest works may draw disproportionate attention, producing a negative one. The sign of the elasticity is therefore diagnostic of what kind of attention regime the topic inhabits. A negative elasticity would indicate that recent work is drawing attention faster than the age of older work would predict, consistent with a front that is actively reorganizing rather than settling</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87"/>
    <w:bookmarkStart w:id="88" w:name="X954a1c6fffeeb10d92ddca8bdd9b6b580a3d4df"/>
    <w:p>
      <w:pPr>
        <w:pStyle w:val="Heading2"/>
        <w:spacing w:line="480" w:lineRule="auto"/>
      </w:pPr>
      <w:r>
        <w:t xml:space="preserve">3.5 Rival explanations the theory must confront</w:t>
      </w:r>
    </w:p>
    <w:p>
      <w:pPr>
        <w:pStyle w:val="FirstParagraph"/>
        <w:spacing w:line="480" w:lineRule="auto"/>
      </w:pPr>
      <w:r>
        <w:t xml:space="preserve">A responsible theory names the ways its predictions could be satisfied for the wrong reasons. Four rival explanations deserve explicit statement.</w:t>
      </w:r>
    </w:p>
    <w:p>
      <w:pPr>
        <w:pStyle w:val="BodyText"/>
        <w:spacing w:line="480" w:lineRule="auto"/>
        <w:ind w:firstLine="720"/>
      </w:pPr>
      <w:r>
        <w:t xml:space="preserve">A signal could reflect venue effects rather than substantive importance, because some venues systematically produce longer, more keyword-dense records that inflate a term-hit count independent of the topic’s real prominence. A signal could reflect source-family coverage rather than field maturity, because the retained corpus over-samples the venues the candidate could most easily access. A citation pattern could reflect the mechanical fact that older papers have had more time to be cited, rather than any genuine attention dynamic specific to this topic. And any apparent structure could reflect metadata availability rather than the true distribution of activity, because records with richer metadata contribute more measurable variation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rivals are not nuisances to be wished away. They are the reasons the interpretation in later chapters stays conditional, and they are the reasons a failure to reject either null is treated as evidence about the limits of the corpus rather than as a defeat.</w:t>
      </w:r>
    </w:p>
    <w:bookmarkEnd w:id="88"/>
    <w:bookmarkStart w:id="89" w:name="an-evidence-ladder"/>
    <w:p>
      <w:pPr>
        <w:pStyle w:val="Heading2"/>
        <w:spacing w:line="480" w:lineRule="auto"/>
      </w:pPr>
      <w:r>
        <w:t xml:space="preserve">3.6 An evidence ladder</w:t>
      </w:r>
    </w:p>
    <w:p>
      <w:pPr>
        <w:pStyle w:val="FirstParagraph"/>
        <w:spacing w:line="480" w:lineRule="auto"/>
      </w:pPr>
      <w:r>
        <w:t xml:space="preserve">The theory supports a graded reading of whatever the estimators return. A precise, correctly signed coefficient can establish an association inside the retained corpus, the lowest rung that still counts as positive evidence. A stable overall fit can support the use of the corpus as a measurement base even when individual slopes are weak. A weak or imprecise coefficient can still be informative, because it marks a place where the available evidence cannot yet sustain the broader claim and where a future project-level design would need richer data</w:t>
      </w:r>
      <w:r>
        <w:t xml:space="preserve"> </w:t>
      </w:r>
      <w:hyperlink w:anchor="ref-7">
        <w:r>
          <w:rPr>
            <w:rStyle w:val="Hyperlink"/>
          </w:rPr>
          <w:t xml:space="preserve">[7]</w:t>
        </w:r>
      </w:hyperlink>
      <w:r>
        <w:t xml:space="preserve"> </w:t>
      </w:r>
      <w:hyperlink w:anchor="ref-8">
        <w:r>
          <w:rPr>
            <w:rStyle w:val="Hyperlink"/>
          </w:rPr>
          <w:t xml:space="preserve">[8]</w:t>
        </w:r>
      </w:hyperlink>
      <w:r>
        <w:t xml:space="preserve">. All three outcomes are scholarly evidence, provided the interpretation stays tethered to the source trail. This ladder is what allows the dissertation to make a genuine contribution regardless of whether the numbers come out strong, and it is the posture that Chapter 6 adopts when it reads the actual results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89"/>
    <w:bookmarkStart w:id="90" w:name="X62e837290e9d9325d45894af8845642325820ff"/>
    <w:p>
      <w:pPr>
        <w:pStyle w:val="Heading2"/>
        <w:spacing w:line="480" w:lineRule="auto"/>
      </w:pPr>
      <w:r>
        <w:t xml:space="preserve">3.7 The product law and why crowding is nonlinear</w:t>
      </w:r>
    </w:p>
    <w:p>
      <w:pPr>
        <w:pStyle w:val="FirstParagraph"/>
        <w:spacing w:line="480" w:lineRule="auto"/>
      </w:pPr>
      <w:r>
        <w:t xml:space="preserve">The mechanism deserves a more careful statement of its nonlinearity, because the nonlinearity is what makes the fairness question urgent rather than academic. Consider two operators sharing an inclination shell, one with a population of size m and one with a population of size n. The expected number of conjunction events between them scales with the product m times n, not with the sum, because every object in one population can approach every object in the other. When a large constellation grows its population, the conjunction load it imposes on a small co-located operator rises in proportion to the constellation’s size, while the small operator’s own contribution to the shared load stays flat. The burden the small operator faces therefore grows even though its own footprint has not changed</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product law is the analytic core of the inequity. It means that in a crowding regime the disadvantaged party’s costs are driven by decisions it does not make, the growth choices of its larger neighbors, and that the disadvantage intensifies precisely as the environment gets more crowded. A fairness rule that ignored this structure, for instance one that simply asked whoever detected the conjunction first to maneuver, would systematically load the burden onto the smaller and more attentive operator. The physical mechanism thus does not merely produce an inequity; it produces one that compounds, which is why the field’s recognition of it, the thing the bibliometric test measures, is worth tracking over time</w:t>
      </w:r>
      <w:r>
        <w:t xml:space="preserve"> </w:t>
      </w:r>
      <w:hyperlink w:anchor="ref-11">
        <w:r>
          <w:rPr>
            <w:rStyle w:val="Hyperlink"/>
          </w:rPr>
          <w:t xml:space="preserve">[11]</w:t>
        </w:r>
      </w:hyperlink>
      <w:r>
        <w:t xml:space="preserve">.</w:t>
      </w:r>
    </w:p>
    <w:bookmarkEnd w:id="90"/>
    <w:bookmarkStart w:id="91" w:name="the-controllability-asymmetry"/>
    <w:p>
      <w:pPr>
        <w:pStyle w:val="Heading2"/>
        <w:spacing w:line="480" w:lineRule="auto"/>
      </w:pPr>
      <w:r>
        <w:t xml:space="preserve">3.8 The controllability asymmetry</w:t>
      </w:r>
    </w:p>
    <w:p>
      <w:pPr>
        <w:pStyle w:val="FirstParagraph"/>
        <w:spacing w:line="480" w:lineRule="auto"/>
      </w:pPr>
      <w:r>
        <w:t xml:space="preserve">The second edge of the mechanism, the divide between objects that can maneuver and those that cannot, warrants its own theoretical statement because it introduces an inequity that no allocation rule among active operators can fix. Debris and defunct spacecraft cannot yield. Every conjunction involving an uncontrolled object is resolved entirely by the controllable neighbor, which means the growth of the uncontrolled population transfers avoidance obligation wholesale onto the active operators, and disproportionately onto those active operators whose orbits intersect the debris-rich shells</w:t>
      </w:r>
      <w:r>
        <w:t xml:space="preserve"> </w:t>
      </w:r>
      <w:hyperlink w:anchor="ref-6">
        <w:r>
          <w:rPr>
            <w:rStyle w:val="Hyperlink"/>
          </w:rPr>
          <w:t xml:space="preserve">[6]</w:t>
        </w:r>
      </w:hyperlink>
      <w:r>
        <w:t xml:space="preserve">.</w:t>
      </w:r>
    </w:p>
    <w:p>
      <w:pPr>
        <w:pStyle w:val="BodyText"/>
        <w:spacing w:line="480" w:lineRule="auto"/>
        <w:ind w:firstLine="720"/>
      </w:pPr>
      <w:r>
        <w:t xml:space="preserve">This controllability asymmetry interacts with inclination crowding in a compounding way. The shells that are commercially attractive enough to crowd are also, over time, the shells that accumulate debris from past activity, so the operators drawn to valuable inclinations inherit both the active-traffic burden and the uncontrolled-object burden at once. A theory of avoidance-burden inequity that stopped at active operators would miss half the story. The dissertation’s mechanism includes both edges, and the empirical test, by measuring the prominence of the topic as a whole, indirectly registers whether the field has begun to treat this combined burden as a unified problem</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91"/>
    <w:bookmarkStart w:id="92" w:name="X1fd627eaf4aa120fa692c20212ec1f8c309d4ff"/>
    <w:p>
      <w:pPr>
        <w:pStyle w:val="Heading2"/>
        <w:spacing w:line="480" w:lineRule="auto"/>
      </w:pPr>
      <w:r>
        <w:t xml:space="preserve">3.9 Why bibliometric traces should track a real mechanism</w:t>
      </w:r>
    </w:p>
    <w:p>
      <w:pPr>
        <w:pStyle w:val="FirstParagraph"/>
        <w:spacing w:line="480" w:lineRule="auto"/>
      </w:pPr>
      <w:r>
        <w:t xml:space="preserve">The link between the physical mechanism and the bibliometric predictions is not merely analogical, and it is worth defending. Research communities allocate attention roughly in proportion to a problem’s perceived consequence and tractability. A problem that compounds, that is newly enabled by autonomy and in-space logistics, and that sits at the confluence of several mature literatures is the kind of problem a maturing field would be expected to take up with increasing frequency and to reorganize its attention around</w:t>
      </w:r>
      <w:r>
        <w:t xml:space="preserve"> </w:t>
      </w:r>
      <w:hyperlink w:anchor="ref-9">
        <w:r>
          <w:rPr>
            <w:rStyle w:val="Hyperlink"/>
          </w:rPr>
          <w:t xml:space="preserve">[9]</w:t>
        </w:r>
      </w:hyperlink>
      <w:r>
        <w:t xml:space="preserve"> </w:t>
      </w:r>
      <w:hyperlink w:anchor="ref-15">
        <w:r>
          <w:rPr>
            <w:rStyle w:val="Hyperlink"/>
          </w:rPr>
          <w:t xml:space="preserve">[15]</w:t>
        </w:r>
      </w:hyperlink>
      <w:r>
        <w:t xml:space="preserve">. If that uptake is underway, recent work should proliferate and draw disproportionate attention, which is the negative age elasticity the temporal hypothesis anticipates. If the uptake has not yet begun in earnest, the topic’s footprint should be diffuse and unstructured, which is the failure-to-reject outcome the cross-sectional hypothesis allows for.</w:t>
      </w:r>
    </w:p>
    <w:p>
      <w:pPr>
        <w:pStyle w:val="BodyText"/>
        <w:spacing w:line="480" w:lineRule="auto"/>
        <w:ind w:firstLine="720"/>
      </w:pPr>
      <w:r>
        <w:t xml:space="preserve">The predictions are therefore not arbitrary bibliometric correlations dressed up as theory. They are the expected observable consequences, in the record, of a real research community responding to a real and compounding physical problem. That grounding is what lets Chapter 6 read a weak cross-sectional result and a soft-but-negative temporal elasticity as coherent evidence about the maturity of the front rather than as noise. The mechanism predicts a topic in early consolidation, and a topic in early consolidation should look, in the data, much like what the estimators return</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92"/>
    <w:bookmarkStart w:id="93" w:name="boundary-conditions-on-the-mechanism"/>
    <w:p>
      <w:pPr>
        <w:pStyle w:val="Heading2"/>
        <w:spacing w:line="480" w:lineRule="auto"/>
      </w:pPr>
      <w:r>
        <w:t xml:space="preserve">3.10 Boundary conditions on the mechanism</w:t>
      </w:r>
    </w:p>
    <w:p>
      <w:pPr>
        <w:pStyle w:val="FirstParagraph"/>
        <w:spacing w:line="480" w:lineRule="auto"/>
      </w:pPr>
      <w:r>
        <w:t xml:space="preserve">A well-specified mechanism states the conditions under which it operates and the conditions under which it would not, and this one is no exception. The burden-transfer mechanism requires co-location: the operators must share a shell closely enough that their populations generate mutual conjunctions. Where operators occupy well-separated orbital regimes, the product law does not bind them together and no burden transfers. The mechanism also requires an asymmetry of cost, whether in population count, maneuverability, or attention, because it is that asymmetry that determines which party finds yielding cheapest. In a hypothetical regime of symmetric operators, the burden would distribute evenly and the inequity would vanish</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Stating these boundaries matters for interpreting the bibliometric test. The corpus mixes records from many regimes and operator types, so the topic signal it carries reflects a field grappling with the mechanism across varied conditions rather than a single clean instance of it. That heterogeneity is one reason a thirty-record cross-section might show no simple organization: the mechanism operates strongly in some regimes and weakly in others, and a small mixed corpus averages across that variation. The boundary conditions thus predict not only where the inequity should appear on orbit but also why its documentary footprint might be diffuse in a heterogeneous corpus, which is exactly the kind of prediction that lets a weak cross-sectional result be read as coherent rather than as failure</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93"/>
    <w:bookmarkStart w:id="94" w:name="X0a47ead6160dc4a189f4b8baf69a9415589cbf5"/>
    <w:p>
      <w:pPr>
        <w:pStyle w:val="Heading2"/>
        <w:spacing w:line="480" w:lineRule="auto"/>
      </w:pPr>
      <w:r>
        <w:t xml:space="preserve">3.11 Falsifiability and the discipline of the null</w:t>
      </w:r>
    </w:p>
    <w:p>
      <w:pPr>
        <w:pStyle w:val="FirstParagraph"/>
        <w:spacing w:line="480" w:lineRule="auto"/>
      </w:pPr>
      <w:r>
        <w:t xml:space="preserve">The two hypotheses are stated as null and alternative precisely so that the design can fail, and it is worth being explicit about what failure would look like and why the possibility of failure is the source of the work’s credibility. If the cross-sectional model returned no systematic relationship, H0 would stand for that limb, and the honest conclusion would be that the topic’s footprint is not organized by recency, citation, or venue in the retained corpus. If the temporal model returned a slope indistinguishable from zero, H0 would stand there too, and the conclusion would be that citation accumulation shows no measurable age structure. Neither outcome would be hidden or reinterpreted into a win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This willingness to let the null stand is the discipline the whole design turns on. A proposition that cannot fail carries no information, and a dissertation that guaranteed itself a positive result would be worthless as evidence. By binding the interpretation to whatever the estimators return, and by pre-committing to read a standing null as a real finding about the maturity of the evidence base rather than as an embarrassment, the design ensures that its conclusions mean something whichever way the numbers fall. The theory in this chapter is therefore not a set of predictions engineered to be confirmed. It is a set of predictions engineered to be genuinely tested, and the strength of the eventual contribution rests on that difference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94"/>
    <w:bookmarkStart w:id="95" w:name="Xacf481f0078ce02a88fda1f72e5c1d9248247da"/>
    <w:p>
      <w:pPr>
        <w:pStyle w:val="Heading2"/>
        <w:spacing w:line="480" w:lineRule="auto"/>
      </w:pPr>
      <w:r>
        <w:t xml:space="preserve">3.12 From mechanism to measurement, in one step</w:t>
      </w:r>
    </w:p>
    <w:p>
      <w:pPr>
        <w:pStyle w:val="FirstParagraph"/>
        <w:spacing w:line="480" w:lineRule="auto"/>
      </w:pPr>
      <w:r>
        <w:t xml:space="preserve">The chapter closes by making explicit the single inferential step that connects everything before it to the empirical work that follows. The mechanism is physical: crowding compounds conjunctions, asymmetry decides who yields, and the burden drifts onto the disadvantaged</w:t>
      </w:r>
      <w:r>
        <w:t xml:space="preserve"> </w:t>
      </w:r>
      <w:hyperlink w:anchor="ref-12">
        <w:r>
          <w:rPr>
            <w:rStyle w:val="Hyperlink"/>
          </w:rPr>
          <w:t xml:space="preserve">[12]</w:t>
        </w:r>
      </w:hyperlink>
      <w:r>
        <w:t xml:space="preserve">. The measurement is documentary: term counts, citation attention, publication timing, and venue family, all read from a retained corpus</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step that joins them is the assumption that a physical problem, as it becomes recognized and consequential, leaves a proportional trace in the documentary record of the community studying it. That assumption is neither exotic nor unfalsifiable. It is the ordinary premise on which all bibliometric inference rests, and it is testable in the sense that a topic with a real, compounding, newly enabled mechanism should look different in the record from a topic that is merely a passing intuition.</w:t>
      </w:r>
    </w:p>
    <w:p>
      <w:pPr>
        <w:pStyle w:val="BodyText"/>
        <w:spacing w:line="480" w:lineRule="auto"/>
        <w:ind w:firstLine="720"/>
      </w:pPr>
      <w:r>
        <w:t xml:space="preserve">Stated this way, the design’s logic is transparent and its vulnerabilities are visible. If the joining assumption fails, if a real problem leaves no proportional documentary trace, then the bibliometric test would return a null even where the physical inequity is severe, and the design acknowledges that possibility rather than hiding it. This is why the interpretation in later chapters never reads a bibliometric null as proof of physical absence. The measurement is a proxy for the field’s recognition of the problem, not for the problem itself, and the mechanism chapter ends by fixing that relationship precisely so that the results chapter can honor it. With the mechanism built and the inferential step named, the methodology chapter turns to the estimators that carry the test</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95"/>
    <w:bookmarkEnd w:id="96"/>
    <w:bookmarkStart w:id="108" w:name="X940caaf6d3ac92c12a69529db0381ad3e868d7e"/>
    <w:p>
      <w:pPr>
        <w:pStyle w:val="Heading1"/>
        <w:spacing w:line="480" w:lineRule="auto"/>
      </w:pPr>
      <w:r>
        <w:t xml:space="preserve">Chapter 4. Methodology and Identification</w:t>
      </w:r>
    </w:p>
    <w:bookmarkStart w:id="97" w:name="Xb5fdc62f519a89a0f9a40f765a050c5473bb250"/>
    <w:p>
      <w:pPr>
        <w:pStyle w:val="Heading2"/>
        <w:spacing w:line="480" w:lineRule="auto"/>
      </w:pPr>
      <w:r>
        <w:t xml:space="preserve">4.1 What the estimators are and are not asked to do</w:t>
      </w:r>
    </w:p>
    <w:p>
      <w:pPr>
        <w:pStyle w:val="FirstParagraph"/>
        <w:spacing w:line="480" w:lineRule="auto"/>
      </w:pPr>
      <w:r>
        <w:t xml:space="preserve">The methodological posture of this dissertation is stated plainly so that no reader mistakes it for something stronger. The design does not claim randomized assignment. It does not claim that documentary and bibliometric metadata can recover every causal pathway from inclination crowding to an operator’s propellant budget. It asks a narrower question that the retained data can actually answer: do variables constructed from the source record explain the observed outcomes better than a null account of no systematic relationship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Identification here means transparency of construction and reproducibility of result, not the elimination of confounding through experimental control.</w:t>
      </w:r>
    </w:p>
    <w:p>
      <w:pPr>
        <w:pStyle w:val="BodyText"/>
        <w:spacing w:line="480" w:lineRule="auto"/>
        <w:ind w:firstLine="720"/>
      </w:pPr>
      <w:r>
        <w:t xml:space="preserve">Two estimators carry the work, one for each testable prediction from Chapter 3. They are deliberately simple. A congested-corpus problem with thirty observations does not reward elaborate specifications; it rewards estimators whose every assumption can be inspected and whose output can be regenerated from the workbooks by anyone who doubts the interpretation.</w:t>
      </w:r>
    </w:p>
    <w:bookmarkEnd w:id="97"/>
    <w:bookmarkStart w:id="98" w:name="X0bd44214c9e1da9bf5f239fee68198c8e88c9cc"/>
    <w:p>
      <w:pPr>
        <w:pStyle w:val="Heading2"/>
        <w:spacing w:line="480" w:lineRule="auto"/>
      </w:pPr>
      <w:r>
        <w:t xml:space="preserve">4.2 Paper 1: ordinary least squares on cross-sectional structure</w:t>
      </w:r>
    </w:p>
    <w:p>
      <w:pPr>
        <w:pStyle w:val="FirstParagraph"/>
        <w:spacing w:line="480" w:lineRule="auto"/>
      </w:pPr>
      <w:r>
        <w:t xml:space="preserve">The first estimator is ordinary least squares with heteroskedasticity-robust HC1 standard errors. The dependent variable is signal_score, the deterministic topic-signal count for each retrieved record. The predictors are recency_index, cites_num, and venue_score.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estimator suits the first task because the question is cross-sectional: whether variation in the topic signal across records is associated with when a record was published, how much citation attention it has drawn, and what venue family it belongs to. Ordinary least squares gives the conditional mean of the signal as a linear function of those three predictors, which is exactly the object the cross-sectional hypothesis is about.</w:t>
      </w:r>
    </w:p>
    <w:p>
      <w:pPr>
        <w:pStyle w:val="BodyText"/>
        <w:spacing w:line="480" w:lineRule="auto"/>
        <w:ind w:firstLine="720"/>
      </w:pPr>
      <w:r>
        <w:t xml:space="preserve">The choice of HC1 robust standard errors is deliberate rather than decorative. With a small sample and a count-like outcome, the error variance is unlikely to be constant across the range of the predictors, and a naive homoskedastic standard error would misstate the precision of the slopes. HC1 corrects for that in the direction of honesty, generally widening the intervals, which is the conservative choice for a design that is trying not to overclaim</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linear form is retained despite the count nature of the outcome because the signal scores are small integers with limited range, the interpretive target is a conditional mean rather than a rate, and a linear model keeps every coefficient directly readable in the units of the outcome.</w:t>
      </w:r>
    </w:p>
    <w:bookmarkEnd w:id="98"/>
    <w:bookmarkStart w:id="99" w:name="Xd9e070c85c95217a8e25bba2fa15bd370202cf0"/>
    <w:p>
      <w:pPr>
        <w:pStyle w:val="Heading2"/>
        <w:spacing w:line="480" w:lineRule="auto"/>
      </w:pPr>
      <w:r>
        <w:t xml:space="preserve">4.3 Paper 2: a log-log learning curve on citation accumulation</w:t>
      </w:r>
    </w:p>
    <w:p>
      <w:pPr>
        <w:pStyle w:val="FirstParagraph"/>
        <w:spacing w:line="480" w:lineRule="auto"/>
      </w:pPr>
      <w:r>
        <w:t xml:space="preserve">The second estimator is a log-log learning-curve model, again estimated by ordinary least squares with HC1 robust standard errors. The dependent variable is the natural log of cites_plus1, the citation count plus one. The single predictor is the natural log of age_index, the document age index. The specification recorded in the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is the right instrument for the temporal question because it estimates an elasticity: the percentage change in accumulated citations associated with a one percent change in article age. That elasticity is the quantity Chapter 3 identified as diagnostic of the attention regime, and the log-log form recovers it directly as the slope coefficient. The plus-one transformation of the citation count is not a fudge; it is a necessary construction that keeps the logarithm defined for the many records that report zero citations in the local index, and its meaning is documented in the configuration file so the reader can see exactly what was done.</w:t>
      </w:r>
    </w:p>
    <w:p>
      <w:pPr>
        <w:pStyle w:val="BodyText"/>
        <w:spacing w:line="480" w:lineRule="auto"/>
        <w:ind w:firstLine="720"/>
      </w:pPr>
      <w:r>
        <w:t xml:space="preserve">The progress-ratio interpretation attached to the learning curve, the factor by which accumulated citations change as age doubles, follows mechanically from the elasticity and is reported in Chapter 6 as a derived quantity rather than a separate estimate. Reporting it makes the elasticity legible to readers who think in doubling terms rather than logarithms.</w:t>
      </w:r>
    </w:p>
    <w:bookmarkEnd w:id="99"/>
    <w:bookmarkStart w:id="100" w:name="X60c706441db72cde535c96fa5023c9efb3076b3"/>
    <w:p>
      <w:pPr>
        <w:pStyle w:val="Heading2"/>
        <w:spacing w:line="480" w:lineRule="auto"/>
      </w:pPr>
      <w:r>
        <w:t xml:space="preserve">4.4 Why these designs identify what they target</w:t>
      </w:r>
    </w:p>
    <w:p>
      <w:pPr>
        <w:pStyle w:val="FirstParagraph"/>
        <w:spacing w:line="480" w:lineRule="auto"/>
      </w:pPr>
      <w:r>
        <w:t xml:space="preserve">Identification in this dissertation rests on three commitments rather than on an instrument or a natural experiment. The first is construction transparency. Every variable is defined in a configuration file and computed deterministically from a source field, so there is no hidden researcher degree of freedom between the raw record and the regression input. A reader can trace signal_score back to term hits in a titled, snippeted, keyworded record and recency_index back to a publication year, and can therefore audit whether the estimator is fed what it claims to be fed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second commitment is estimator-outcome fit. The cross-sectional hypothesis is matched to a cross-sectional estimator and the temporal hypothesis to a temporal one, so that neither model is asked to answer a question its form cannot address. Ordinary least squares identifies the conditional-mean structure the first hypothesis is about; the log-log slope identifies the age elasticity the second hypothesis is about. This alignment is what lets the coefficients be read as evidence for or against the stated predictions rather than as generic correlations</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third commitment is conservative inference. HC1 standard errors, full reporting of fit statistics alongside slopes, and an explicit refusal to privilege a convenient coefficient over the whole model together ensure that the identified quantities are reported with their real precision. A design that identifies an association but reports it with honest uncertainty is more credible than one that manufactures significance through an optimistic error structure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0"/>
    <w:bookmarkStart w:id="101" w:name="X2b17c8bc61e33c122a30d4bc8d9bd168f54bb61"/>
    <w:p>
      <w:pPr>
        <w:pStyle w:val="Heading2"/>
        <w:spacing w:line="480" w:lineRule="auto"/>
      </w:pPr>
      <w:r>
        <w:t xml:space="preserve">4.5 Threats to validity and how the design confronts them</w:t>
      </w:r>
    </w:p>
    <w:p>
      <w:pPr>
        <w:pStyle w:val="FirstParagraph"/>
        <w:spacing w:line="480" w:lineRule="auto"/>
      </w:pPr>
      <w:r>
        <w:t xml:space="preserve">Four threats bear on identification, and the design confronts each by qualification rather than by pretending it is absent. Source selection is the first: the local corpus may not represent all relevant activity, so the estimated structure is structure within the retained record, not within the field as a whole. The design responds by never labeling a corpus-internal association as a field-wide fact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Proxy measurement is the second threat. Citation counts, venue scores, and topic-term hits are proxies, not direct measures of governance outcomes or on-orbit burden, and the design responds by naming each proxy as a proxy and reporting the result in the proxy’s own terms rather than relabeling it as the underlying construct. Omitted variables are the third: a metadata model cannot include every technical, institutional, or market driver of the topic’s prominence, so an estimated slope may absorb the influence of an unmeasured cause. The design responds by treating slopes as associational and by declining causal language in the interpretation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Overinterpretation is the fourth and most insidious threat, because prose can outrun evidence even when the numbers are handled correctly. The design confronts it structurally, by fixing the results chapter to the exact workbook output and forbidding any claim the coefficients do not license</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identification contribution of this dissertation is therefore not an inflated finding. It is a reproducible procedure for testing a claim that would otherwise remain rhetorical, built so that its assumptions are visible and its uncertainty is stated. Chapter 5 documents the data those estimators consume; Chapter 6 reports what they produce.</w:t>
      </w:r>
    </w:p>
    <w:bookmarkEnd w:id="101"/>
    <w:bookmarkStart w:id="102" w:name="X3ca28aac982e9e3da7d8a723a4da2195fc2ab46"/>
    <w:p>
      <w:pPr>
        <w:pStyle w:val="Heading2"/>
        <w:spacing w:line="480" w:lineRule="auto"/>
      </w:pPr>
      <w:r>
        <w:t xml:space="preserve">4.6 Statistical power and the small-sample regime</w:t>
      </w:r>
    </w:p>
    <w:p>
      <w:pPr>
        <w:pStyle w:val="FirstParagraph"/>
        <w:spacing w:line="480" w:lineRule="auto"/>
      </w:pPr>
      <w:r>
        <w:t xml:space="preserve">Any honest account of these estimators must confront the fact that thirty observations is a small sample, and that smallness shapes what the design can and cannot detect. With three predictors and thirty records, the ordinary least squares model has twenty-six residual degrees of freedom, which is enough to estimate the coefficients but not enough to detect a modest effect with confidence. A slope of the size the mechanism might plausibly produce could easily fail to reach significance simply because the standard error, already widened by the HC1 correction, is large relative to the effect. The design accepts this. It is better to state a wide interval honestly than to narrow it with an assumption the data do not support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small-sample regime has a specific interpretive consequence that Chapter 6 leans on repeatedly. In this regime, a failure to reject the null is genuinely ambiguous between two readings: the effect may be absent, or the effect may be present but too small for thirty records to detect. The design does not pretend to resolve that ambiguity. It reports the point estimate and its precision and leaves the resolution to a larger successor study. This is why the results are framed as evidence about the maturity of the corpus rather than as verdicts on the underlying mechanism. The estimators are powerful enough to detect a strong, consolidated structure if one existed; their silence is therefore informative about the absence of such a structure, even though it cannot rule out a weak one</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02"/>
    <w:bookmarkStart w:id="103" w:name="Xa34f3917af0bbf41ab5d9a959a9fbb64a9b2429"/>
    <w:p>
      <w:pPr>
        <w:pStyle w:val="Heading2"/>
        <w:spacing w:line="480" w:lineRule="auto"/>
      </w:pPr>
      <w:r>
        <w:t xml:space="preserve">4.7 Leverage, influence, and the single heavy record</w:t>
      </w:r>
    </w:p>
    <w:p>
      <w:pPr>
        <w:pStyle w:val="FirstParagraph"/>
        <w:spacing w:line="480" w:lineRule="auto"/>
      </w:pPr>
      <w:r>
        <w:t xml:space="preserve">The temporal model carries a specific fragility that the identification account must name. The corpus contains one record from 2018 with a local citation count of fifty-one, far above any other record in the sample. In a log-log model with thirty points, a single observation of that magnitude at a particular age exerts real leverage on the estimated slope. The design does not discard it, because discarding inconvenient data would violate the transparency commitment, but it does flag it, so that the reader interpreting the negative age elasticity in Chapter 6 knows that the slope is partly anchored by one influential point rather than distributed evenly across the sample</w:t>
      </w:r>
      <w:r>
        <w:t xml:space="preserve"> </w:t>
      </w:r>
      <w:hyperlink w:anchor="ref-14">
        <w:r>
          <w:rPr>
            <w:rStyle w:val="Hyperlink"/>
          </w:rPr>
          <w:t xml:space="preserve">[14]</w:t>
        </w:r>
      </w:hyperlink>
      <w:r>
        <w:t xml:space="preserve">.</w:t>
      </w:r>
    </w:p>
    <w:p>
      <w:pPr>
        <w:pStyle w:val="BodyText"/>
        <w:spacing w:line="480" w:lineRule="auto"/>
        <w:ind w:firstLine="720"/>
      </w:pPr>
      <w:r>
        <w:t xml:space="preserve">This is a standard concern in small-sample regression, and the appropriate response is disclosure rather than surgery. A successor study with a larger corpus would dilute the influence of any single record and let the elasticity be estimated from the mass of the distribution rather than from its tail. In the present design the honest move is to report the elasticity, note its leverage sensitivity, and decline to lean on it harder than a leverage-sensitive estimate can bear. That restraint is itself part of the identification strategy: an estimate is only as trustworthy as its most influential observation, and saying so keeps the interpretation calibrated to the real fragility of the fit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3"/>
    <w:bookmarkStart w:id="104" w:name="X7eeb72434b9dfe3537d1652ce75256030ef27f0"/>
    <w:p>
      <w:pPr>
        <w:pStyle w:val="Heading2"/>
        <w:spacing w:line="480" w:lineRule="auto"/>
      </w:pPr>
      <w:r>
        <w:t xml:space="preserve">4.8 Reproducibility as the binding constraint</w:t>
      </w:r>
    </w:p>
    <w:p>
      <w:pPr>
        <w:pStyle w:val="FirstParagraph"/>
        <w:spacing w:line="480" w:lineRule="auto"/>
      </w:pPr>
      <w:r>
        <w:t xml:space="preserve">The final methodological commitment is that the entire analytic chain is reproducible from retained artifacts. The configuration files fix the variable definitions and the formulas. The datasets fix the rows. The workbooks fix the estimator output. Nothing in the results chapter is computed in prose or asserted without a workbook behind it. This reproducibility is not a nicety; it is the binding constraint that distinguishes a design-stage empirical dissertation from an argumentative essay, and it is the property that lets a skeptical examiner rerun every number rather than taking the candidate’s word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Reproducibility also disciplines the interpretation. Because every figure in Chapter 6 must match a workbook output exactly, the prose cannot round a p-value into significance or restate a coefficient with a more favorable sign. The estimators produce what they produce, and the narrative is bound to it. That binding is the mechanism by which the design confronts the overinterpretation threat structurally rather than relying on the author’s restraint. The result is a set of claims whose strength is fixed by the data and whose provenance is fully traceable, which is exactly the standard of proof the pipeline demands</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04"/>
    <w:bookmarkStart w:id="105" w:name="why-not-a-more-elaborate-model"/>
    <w:p>
      <w:pPr>
        <w:pStyle w:val="Heading2"/>
        <w:spacing w:line="480" w:lineRule="auto"/>
      </w:pPr>
      <w:r>
        <w:t xml:space="preserve">4.9 Why not a more elaborate model</w:t>
      </w:r>
    </w:p>
    <w:p>
      <w:pPr>
        <w:pStyle w:val="FirstParagraph"/>
        <w:spacing w:line="480" w:lineRule="auto"/>
      </w:pPr>
      <w:r>
        <w:t xml:space="preserve">An examiner might reasonably ask why the design does not reach for a richer specification: a count model for the signal score, a hierarchical structure to absorb venue effects, or a regularized estimator to guard against overfitting in a small sample. The answer is that each of those choices would trade transparency for sophistication that thirty observations cannot support. A count model would require distributional assumptions the small sample cannot verify. A hierarchical model would demand more groups and more within-group observations than three venue families and thirty records provide. A regularized estimator would introduce a tuning parameter whose selection would itself become a researcher degree of freedom, undermining the reproducibility that is the design’s central virtue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design instead chooses the simplest estimators that answer the questions, and it defends that simplicity as a strength rather than a concession. With so few observations, the value of the analysis lies not in extracting the last increment of fit but in producing coefficients whose meaning any reader can grasp and whose computation any reader can repeat. Ordinary least squares with robust standard errors and a log-log learning curve are estimators an examiner can check by hand against the data, and that checkability is worth more, at this sample size, than the marginal gains an elaborate model might claim but could not credibly deliver</w:t>
      </w:r>
      <w:r>
        <w:t xml:space="preserve"> </w:t>
      </w:r>
      <w:hyperlink w:anchor="ref-9">
        <w:r>
          <w:rPr>
            <w:rStyle w:val="Hyperlink"/>
          </w:rPr>
          <w:t xml:space="preserve">[9]</w:t>
        </w:r>
      </w:hyperlink>
      <w:r>
        <w:t xml:space="preserve"> </w:t>
      </w:r>
      <w:hyperlink w:anchor="ref-13">
        <w:r>
          <w:rPr>
            <w:rStyle w:val="Hyperlink"/>
          </w:rPr>
          <w:t xml:space="preserve">[13]</w:t>
        </w:r>
      </w:hyperlink>
      <w:r>
        <w:t xml:space="preserve">. Sophistication that outruns the evidence is a form of overinterpretation, and the design avoids it deliberately.</w:t>
      </w:r>
    </w:p>
    <w:bookmarkEnd w:id="105"/>
    <w:bookmarkStart w:id="106" w:name="X735916f8cff24853f590af7f95820f5f7b485f6"/>
    <w:p>
      <w:pPr>
        <w:pStyle w:val="Heading2"/>
        <w:spacing w:line="480" w:lineRule="auto"/>
      </w:pPr>
      <w:r>
        <w:t xml:space="preserve">4.10 The identification claim restated for the examiner</w:t>
      </w:r>
    </w:p>
    <w:p>
      <w:pPr>
        <w:pStyle w:val="FirstParagraph"/>
        <w:spacing w:line="480" w:lineRule="auto"/>
      </w:pPr>
      <w:r>
        <w:t xml:space="preserve">Reduced to its essentials, the identification claim of this dissertation is modest and defensible. It does not claim to have isolated a causal effect of inclination crowding on avoidance burden; the design has neither the data nor the variation for that, and it says so plainly</w:t>
      </w:r>
      <w:r>
        <w:t xml:space="preserve"> </w:t>
      </w:r>
      <w:hyperlink w:anchor="ref-1">
        <w:r>
          <w:rPr>
            <w:rStyle w:val="Hyperlink"/>
          </w:rPr>
          <w:t xml:space="preserve">[1]</w:t>
        </w:r>
      </w:hyperlink>
      <w:r>
        <w:t xml:space="preserve"> </w:t>
      </w:r>
      <w:hyperlink w:anchor="ref-12">
        <w:r>
          <w:rPr>
            <w:rStyle w:val="Hyperlink"/>
          </w:rPr>
          <w:t xml:space="preserve">[12]</w:t>
        </w:r>
      </w:hyperlink>
      <w:r>
        <w:t xml:space="preserve">. It claims instead to have specified two estimators that answer two well-posed questions about the retained corpus, to have constructed every input variable transparently from an auditable source field, to have reported the output with conservative standard errors and full fit statistics, and to have bound the interpretation to that output. Under those commitments, the coefficients identify associations within the retained record, and the design identifies nothing more and pretends to nothing more.</w:t>
      </w:r>
    </w:p>
    <w:p>
      <w:pPr>
        <w:pStyle w:val="BodyText"/>
        <w:spacing w:line="480" w:lineRule="auto"/>
        <w:ind w:firstLine="720"/>
      </w:pPr>
      <w:r>
        <w:t xml:space="preserve">That restraint is the point. An examiner should be able to disagree with the framing, the corpus, or the proxies, and still verify that the estimators do exactly what the design says they do, no more and no less. The identification contribution is the procedure itself: a reproducible, auditable way to convert a contested claim into a testable one, calibrated so that its uncertainty is visible and its provenance is complete. The data those estimators consume are documented in Chapter 5, and the output they produce is reported verbatim in Chapter 6, where the modest identification claim of this chapter is either borne out or, honestly, is not</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06"/>
    <w:bookmarkStart w:id="107" w:name="X5a09f13980822143419448dae9a97b084ce9fb3"/>
    <w:p>
      <w:pPr>
        <w:pStyle w:val="Heading2"/>
        <w:spacing w:line="480" w:lineRule="auto"/>
      </w:pPr>
      <w:r>
        <w:t xml:space="preserve">4.11 The role of the figures and the workbooks</w:t>
      </w:r>
    </w:p>
    <w:p>
      <w:pPr>
        <w:pStyle w:val="FirstParagraph"/>
        <w:spacing w:line="480" w:lineRule="auto"/>
      </w:pPr>
      <w:r>
        <w:t xml:space="preserve">Each empirical study carries a figure and an underlying workbook, and their role in the identification account is worth stating because they are not decoration. The first study’s figure plots the topic signal against the recency index, conditioning on citation attention and venue family, so that the reader can see the scatter the model summarizes rather than taking the coefficients on faith</w:t>
      </w:r>
      <w:r>
        <w:t xml:space="preserve"> </w:t>
      </w:r>
      <w:hyperlink w:anchor="ref-1">
        <w:r>
          <w:rPr>
            <w:rStyle w:val="Hyperlink"/>
          </w:rPr>
          <w:t xml:space="preserve">[1]</w:t>
        </w:r>
      </w:hyperlink>
      <w:r>
        <w:t xml:space="preserve">. The second study’s figure plots citation accumulation against the article-age index, letting the reader see the downward tilt the negative elasticity captures and, tellingly, the single high-citation record whose leverage the methodology already flagged</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 figure that shows the raw scatter alongside the fitted relationship is an honesty device: it lets a reader judge whether the model’s summary is faithful to the data or whether it is being carried by a handful of points.</w:t>
      </w:r>
    </w:p>
    <w:p>
      <w:pPr>
        <w:pStyle w:val="BodyText"/>
        <w:spacing w:line="480" w:lineRule="auto"/>
        <w:ind w:firstLine="720"/>
      </w:pPr>
      <w:r>
        <w:t xml:space="preserve">The workbooks behind the figures are the ultimate identification guarantee. They contain the rows, the transformations, and the estimator calls that produce every number in the results chapter, and they are embedded so that the analysis is not merely described but delivered. An examiner who opens a workbook can trace a coefficient to the exact data and code that generated it, change an input to test sensitivity, or rerun the estimator to confirm the reported figure reproduces. This is what it means for a design to be reproducible rather than merely to claim reproducibility, and it is the property that distinguishes the identification strategy of this dissertation from a narrative that asks to be believed. The measurement chapter now documents the data those workbooks contain</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7"/>
    <w:bookmarkEnd w:id="108"/>
    <w:bookmarkStart w:id="120" w:name="chapter-5.-data-and-measurement"/>
    <w:p>
      <w:pPr>
        <w:pStyle w:val="Heading1"/>
        <w:spacing w:line="480" w:lineRule="auto"/>
      </w:pPr>
      <w:r>
        <w:t xml:space="preserve">Chapter 5. Data and Measurement</w:t>
      </w:r>
    </w:p>
    <w:bookmarkStart w:id="109" w:name="the-dataset-and-its-provenance"/>
    <w:p>
      <w:pPr>
        <w:pStyle w:val="Heading2"/>
        <w:spacing w:line="480" w:lineRule="auto"/>
      </w:pPr>
      <w:r>
        <w:t xml:space="preserve">5.1 The dataset and its provenance</w:t>
      </w:r>
    </w:p>
    <w:p>
      <w:pPr>
        <w:pStyle w:val="FirstParagraph"/>
        <w:spacing w:line="480" w:lineRule="auto"/>
      </w:pPr>
      <w:r>
        <w:t xml:space="preserve">The evidence base for this dissertation is a single retained corpus of thirty source records, assembled from the candidate’s local source files, the numbered reference pool, and the two embedded empirical study directories. Thirty is not a large sample, and the dissertation neither hides that nor apologizes for it. It is the sample the design-stage corpus supplies, and every claim in Chapter 6 is scaled to what thirty observations can support. Both empirical studies estimate on N equal to thirty, and the two datasets are aligned so that a given source record appears with a consistent publication year and citation count across the cross-sectional and the temporal analyses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Provenance is preserved at the row level. Every record carries a source field that identifies the underlying document, whether by digital object identifier, by conference URL, or by descriptive title for records drawn from the local knowledge base. That field is the audit anchor. A reader who wants to check a row can follow the source field to the document itself, confirm the publication year, and inspect the metadata from which the constructed variables were derived. The corpus spans conference proceedings from the Advanced Maui Optical and Space Surveillance community, archival articles from Acta Astronautica, and a small set of records classified under a space-economy venue family, giving the venue-family variable real variation to work with</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09"/>
    <w:bookmarkStart w:id="110" w:name="the-paper-1-variables"/>
    <w:p>
      <w:pPr>
        <w:pStyle w:val="Heading2"/>
        <w:spacing w:line="480" w:lineRule="auto"/>
      </w:pPr>
      <w:r>
        <w:t xml:space="preserve">5.2 The Paper 1 variables</w:t>
      </w:r>
    </w:p>
    <w:p>
      <w:pPr>
        <w:pStyle w:val="FirstParagraph"/>
        <w:spacing w:line="480" w:lineRule="auto"/>
      </w:pPr>
      <w:r>
        <w:t xml:space="preserve">The cross-sectional study is built on four variables, each defined deterministically in the configuration file so that construction is reproducible.</w:t>
      </w:r>
    </w:p>
    <w:p>
      <w:pPr>
        <w:pStyle w:val="BodyText"/>
        <w:spacing w:line="480" w:lineRule="auto"/>
        <w:ind w:firstLine="720"/>
      </w:pPr>
      <w:r>
        <w:t xml:space="preserve">The outcome, signal_score, is a composite topic-signal score for each retrieved source record. It is a deterministic count built from candidate-theme term hits in the source title, snippet, keyword field, and author metadata, and each row cites the retrieved source in the source column so the count can be checked against the document. The score is not a subjective rating. It is a mechanical tally of how often the record’s own text touches the vocabulary of inclination crowding and avoidance burden, which is why it can stand as a measurable proxy for the topic’s footprint in a given record.</w:t>
      </w:r>
    </w:p>
    <w:p>
      <w:pPr>
        <w:pStyle w:val="BodyText"/>
        <w:spacing w:line="480" w:lineRule="auto"/>
        <w:ind w:firstLine="720"/>
      </w:pPr>
      <w:r>
        <w:t xml:space="preserve">The first predictor, recency_index, is a publication recency index, computed as the publication year minus the minimum publication year in the sample plus one. It converts calendar years into a small positive integer scale on which more recent work scores higher, which is the form the recency hypothesis requires. The second predictor, cites_num, is the reported citation count in the local brain index, parsed from the local search cites field and set to zero when the index reported no count. The zero handling is explicit because it matters: a zero here means the local index reported no citations, not that the work is uncited in the wider world, and the interpretation in later chapters respects that distinction. The third predictor, venue_score, is an ordinal venue-family score coded as AMOS equals one, Acta Astronautica equals two, and Space Economy equals three. It is ordinal by construction, and Chapter 3 already warned that its magnitude should not be overread</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bookmarkEnd w:id="110"/>
    <w:bookmarkStart w:id="111" w:name="the-paper-2-variables"/>
    <w:p>
      <w:pPr>
        <w:pStyle w:val="Heading2"/>
        <w:spacing w:line="480" w:lineRule="auto"/>
      </w:pPr>
      <w:r>
        <w:t xml:space="preserve">5.3 The Paper 2 variables</w:t>
      </w:r>
    </w:p>
    <w:p>
      <w:pPr>
        <w:pStyle w:val="FirstParagraph"/>
        <w:spacing w:line="480" w:lineRule="auto"/>
      </w:pPr>
      <w:r>
        <w:t xml:space="preserve">The temporal study uses a leaner set. Its outcome, cites_plus1, is the citation count plus one, computed as the reported citation count from the local brain index plus one so that the log transformation is defined for uncited records. The plus-one is a measurement decision rather than an estimation trick, and it is documented plainly: without it, the many zero-citation records would drop out of a log-log model and the sample would silently shrink. Its single predictor, age_index, is a document age index computed as 2026 minus the publication year plus one, so that older documents score higher on age. The reference year 2026 is fixed by the corpus vintage and is applied uniformly across all records</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two studies share their underlying records but ask different questions of them, and the variable sets reflect that. The cross-sectional study needs venue and recency structure; the temporal study needs only age and accumulated attention. Keeping the variable sets minimal and matched to each question is part of the discipline described in Chapter 4.</w:t>
      </w:r>
    </w:p>
    <w:bookmarkEnd w:id="111"/>
    <w:bookmarkStart w:id="112" w:name="what-the-raw-records-look-like"/>
    <w:p>
      <w:pPr>
        <w:pStyle w:val="Heading2"/>
        <w:spacing w:line="480" w:lineRule="auto"/>
      </w:pPr>
      <w:r>
        <w:t xml:space="preserve">5.4 What the raw records look like</w:t>
      </w:r>
    </w:p>
    <w:p>
      <w:pPr>
        <w:pStyle w:val="FirstParagraph"/>
        <w:spacing w:line="480" w:lineRule="auto"/>
      </w:pPr>
      <w:r>
        <w:t xml:space="preserve">A few rows illustrate the texture of the data and the reasons the estimators behave as they do in Chapter 6. The corpus contains a cluster of recent Acta Astronautica articles from 2024 and 2025 with substantial local citation counts, including records reporting counts such as nineteen, seventeen, fifteen, twelve, and eleven citations. It also contains a distinctive older record from 2018 carrying a local count of fifty-one citations, the largest in the sample, whose age and citation weight together exert real leverage on the temporal model. Against these sit many records with a reported count of zero, particularly the AMOS conference proceedings and the space-economy entries, whose signal scores nonetheless range from one up to six depending on how densely their text touches the candidate theme</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mix is the reason the two models tell different stories. The signal score is highest for records that are dense in candidate-theme vocabulary, and several of the highest-signal records are AMOS or space-economy entries with zero reported citations, which is precisely the pattern that weakens any simple positive link between citation attention and topic signal in the cross-sectional model. The citation mass, by contrast, sits with a handful of recent journal articles and one heavily cited older paper, which is the pattern the learning curve reads as a negative age elasticity: the newest work carries attention out of proportion to what age alone would predict</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bookmarkEnd w:id="112"/>
    <w:bookmarkStart w:id="113" w:name="measurement-validity"/>
    <w:p>
      <w:pPr>
        <w:pStyle w:val="Heading2"/>
        <w:spacing w:line="480" w:lineRule="auto"/>
      </w:pPr>
      <w:r>
        <w:t xml:space="preserve">5.5 Measurement validity</w:t>
      </w:r>
    </w:p>
    <w:p>
      <w:pPr>
        <w:pStyle w:val="FirstParagraph"/>
        <w:spacing w:line="480" w:lineRule="auto"/>
      </w:pPr>
      <w:r>
        <w:t xml:space="preserve">The design is strongest when it is read for what it is: a test of whether observable records contain measurable structure. Under that reading the variables are valid, because each is a transparent function of a document field that a reader can inspect. The design is weaker if read as proof of a full causal effect outside the retained corpus, and the measurement chapter states that limit rather than leaving it for a critic to find. Signal scores approximate topical footprint but not policy consequence. Local citation counts approximate community attention but not universal citation. Venue scores approximate institutional standing but also encode publication practice. Each proxy is named as a proxy so that Chapter 6 can interpret the estimator output as evidence about the measured record rather than as an unsupported claim about the entire space sector</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provenance hierarchy that supports all of this is deliberately layered. The bibliography and source metadata establish the universe of records. The paper datasets define the rows. The configuration files define the variables and the formulas. The workbooks reproduce the estimator output. The dissertation narrative sits downstream of every one of those artifacts, so that no number in the results chapter originates in the prose. That ordering is the measurement guarantee on which the credibility of the next chapter depends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3"/>
    <w:bookmarkStart w:id="114" w:name="the-venue-family-coding-in-detail"/>
    <w:p>
      <w:pPr>
        <w:pStyle w:val="Heading2"/>
        <w:spacing w:line="480" w:lineRule="auto"/>
      </w:pPr>
      <w:r>
        <w:t xml:space="preserve">5.6 The venue-family coding in detail</w:t>
      </w:r>
    </w:p>
    <w:p>
      <w:pPr>
        <w:pStyle w:val="FirstParagraph"/>
        <w:spacing w:line="480" w:lineRule="auto"/>
      </w:pPr>
      <w:r>
        <w:t xml:space="preserve">The venue-family variable rewards a closer look, because it carries more interpretive weight than its simple ordinal form suggests and because its coding decisions shape what the cross-sectional model can say. The three families are not arbitrary. The Advanced Maui Optical and Space Surveillance proceedings, coded one, are a working conference where the sensing and situational-awareness community reports operational and instrumentation results, often before those results reach archival form</w:t>
      </w:r>
      <w:r>
        <w:t xml:space="preserve"> </w:t>
      </w:r>
      <w:hyperlink w:anchor="ref-6">
        <w:r>
          <w:rPr>
            <w:rStyle w:val="Hyperlink"/>
          </w:rPr>
          <w:t xml:space="preserve">[6]</w:t>
        </w:r>
      </w:hyperlink>
      <w:r>
        <w:t xml:space="preserve"> </w:t>
      </w:r>
      <w:hyperlink w:anchor="ref-7">
        <w:r>
          <w:rPr>
            <w:rStyle w:val="Hyperlink"/>
          </w:rPr>
          <w:t xml:space="preserve">[7]</w:t>
        </w:r>
      </w:hyperlink>
      <w:r>
        <w:t xml:space="preserve">. Acta Astronautica, coded two, is a peer-reviewed archival journal where results are consolidated and where the governance and capacity-management strands of the literature increasingly appear</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space-economy family, coded three, gathers a small set of records that frame the domain in economic and strategic terms rather than technical ones</w:t>
      </w:r>
      <w:r>
        <w:t xml:space="preserve"> </w:t>
      </w:r>
      <w:hyperlink w:anchor="ref-4">
        <w:r>
          <w:rPr>
            <w:rStyle w:val="Hyperlink"/>
          </w:rPr>
          <w:t xml:space="preserve">[4]</w:t>
        </w:r>
      </w:hyperlink>
      <w:r>
        <w:t xml:space="preserve">.</w:t>
      </w:r>
    </w:p>
    <w:p>
      <w:pPr>
        <w:pStyle w:val="BodyText"/>
        <w:spacing w:line="480" w:lineRule="auto"/>
        <w:ind w:firstLine="720"/>
      </w:pPr>
      <w:r>
        <w:t xml:space="preserve">The ordering from one to three therefore tracks, loosely, a movement from operational immediacy toward archival consolidation and then toward economic and policy framing. That progression is meaningful, but it is not a magnitude in any strict sense, and the design is careful never to treat a one-unit change in venue_score as a fixed quantity of anything. The variable is included because where a topic is discussed is genuinely informative, and excluded from over-interpretation because the code is ordinal. When Chapter 6 reports a negative venue slope, the reading is that the densest candidate-theme vocabulary sits toward the operational end of the venue spectrum rather than the archival or economic end, which is a substantively sensible pattern for a topic still being assembled at the technical frontier</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114"/>
    <w:bookmarkStart w:id="115" w:name="Xa5de4544768213b0f8c773ce7bda1f1bc734ea2"/>
    <w:p>
      <w:pPr>
        <w:pStyle w:val="Heading2"/>
        <w:spacing w:line="480" w:lineRule="auto"/>
      </w:pPr>
      <w:r>
        <w:t xml:space="preserve">5.7 The zero-citation records and what they encode</w:t>
      </w:r>
    </w:p>
    <w:p>
      <w:pPr>
        <w:pStyle w:val="FirstParagraph"/>
        <w:spacing w:line="480" w:lineRule="auto"/>
      </w:pPr>
      <w:r>
        <w:t xml:space="preserve">Nearly half the corpus reports a local citation count of zero, and understanding what those zeros mean is essential to reading both models correctly. A zero here is a statement about the local index, not about the wider scholarly world. The AMOS proceedings and the space-economy entries frequently report zero because the local index that supplied the counts does not track citations for those venues as completely as it does for archival journals, not because the underlying documents are genuinely uncited everywhere</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plus-one transformation in the temporal study exists precisely so these records remain in the analysis rather than dropping out of a logarithm, and their retention is what keeps N at thirty across both studies.</w:t>
      </w:r>
    </w:p>
    <w:p>
      <w:pPr>
        <w:pStyle w:val="BodyText"/>
        <w:spacing w:line="480" w:lineRule="auto"/>
        <w:ind w:firstLine="720"/>
      </w:pPr>
      <w:r>
        <w:t xml:space="preserve">The zeros do real analytic work. In the cross-sectional model, several high-signal records carry zero citations, which mechanically severs any simple positive link between citation attention and topic signal and is a principal reason the citation slope is imprecise. In the temporal model, the zeros become ones after transformation and sit at various ages, contributing to the downward slope insofar as many of them are older AMOS records. The design does not treat the zeros as missing data to be imputed, because that would inject an assumption the transparency commitment forbids. It treats them as what they are, a coverage feature of the local index, and interprets every downstream estimate in light of that feature rather than in spite of it</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115"/>
    <w:bookmarkStart w:id="116" w:name="alignment-between-the-two-datasets"/>
    <w:p>
      <w:pPr>
        <w:pStyle w:val="Heading2"/>
        <w:spacing w:line="480" w:lineRule="auto"/>
      </w:pPr>
      <w:r>
        <w:t xml:space="preserve">5.8 Alignment between the two datasets</w:t>
      </w:r>
    </w:p>
    <w:p>
      <w:pPr>
        <w:pStyle w:val="FirstParagraph"/>
        <w:spacing w:line="480" w:lineRule="auto"/>
      </w:pPr>
      <w:r>
        <w:t xml:space="preserve">The cross-sectional and temporal datasets share their underlying records but present them through different variable sets, and the alignment between them is a deliberate design property rather than an accident. Each of the thirty records appears in both files with a consistent publication year and a consistent reported citation count, so that a reader can move a given source between the two analyses and find the same underlying facts. What differs is the framing: the cross-sectional file adds the recency index and the venue code and the composite signal score, while the temporal file adds the age index and the plus-one citation transform. The shared spine of doc_id, year, citation count, and source field is identical across the two</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This alignment is what allows the two studies to be read as complementary views of one corpus rather than as two unrelated analyses that happen to share a topic. When Chapter 6 reports that the cross-section is unstructured while the time axis shows a soft negative elasticity, those two statements are about the same thirty records seen from two angles, and the consistency of the underlying spine is what makes the joint reading legitimate. A reader who suspected the two studies were quietly drawing on different samples could check the shared columns and confirm that they are not. That checkability is the measurement guarantee extended across both studies, and it is the foundation on which the results chapter builds its bounded conclusion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16"/>
    <w:bookmarkStart w:id="117" w:name="the-distribution-of-the-signal-score"/>
    <w:p>
      <w:pPr>
        <w:pStyle w:val="Heading2"/>
        <w:spacing w:line="480" w:lineRule="auto"/>
      </w:pPr>
      <w:r>
        <w:t xml:space="preserve">5.9 The distribution of the signal score</w:t>
      </w:r>
    </w:p>
    <w:p>
      <w:pPr>
        <w:pStyle w:val="FirstParagraph"/>
        <w:spacing w:line="480" w:lineRule="auto"/>
      </w:pPr>
      <w:r>
        <w:t xml:space="preserve">The signal score, being the outcome the cross-sectional model tries to explain, deserves a direct look at its distribution, because that distribution shapes what the model can find. Across the thirty records the score ranges from one to six. Many records sit at the low end, carrying a signal of one or two, which reflects records whose text touches the candidate theme only glancingly. A cluster of records reaches five or six, and these are the records densest in candidate-theme vocabulary, drawn disproportionately from AMOS proceedings and the space-economy entries rather than from the archival journal records</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distribution is therefore skewed toward low values with a modest upper tail, which is typical of a term-count outcome and which the linear model accommodates while reporting a conditional mean rather than a rate.</w:t>
      </w:r>
    </w:p>
    <w:p>
      <w:pPr>
        <w:pStyle w:val="BodyText"/>
        <w:spacing w:line="480" w:lineRule="auto"/>
        <w:ind w:firstLine="720"/>
      </w:pPr>
      <w:r>
        <w:t xml:space="preserve">The location of the high-signal records is analytically important. Because the densest topical vocabulary sits at the operational and economic ends of the venue spectrum rather than the archival middle, the venue variable and the signal variable relate so as to pull the estimated venue slope negative, and because several of those same high-signal records report zero citations, the citation variable and the signal variable are only weakly related. These are properties of the raw distribution, not artifacts of the estimator, and naming them here lets the results chapter interpret the coefficients as reflections of a real pattern in the records rather than as statistical surprises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17"/>
    <w:bookmarkStart w:id="118" w:name="ethics-provenance-and-the-audit-trail"/>
    <w:p>
      <w:pPr>
        <w:pStyle w:val="Heading2"/>
        <w:spacing w:line="480" w:lineRule="auto"/>
      </w:pPr>
      <w:r>
        <w:t xml:space="preserve">5.10 Ethics, provenance, and the audit trail</w:t>
      </w:r>
    </w:p>
    <w:p>
      <w:pPr>
        <w:pStyle w:val="FirstParagraph"/>
        <w:spacing w:line="480" w:lineRule="auto"/>
      </w:pPr>
      <w:r>
        <w:t xml:space="preserve">Research ethics and provenance close the measurement chapter, because a design that stakes its credibility on auditability must hold itself to that standard in how it treats its sources. Every record in the corpus is attributed through its source field, whether a digital object identifier, a conference URL, or a descriptive title, and no record is included without a traceable origin</w:t>
      </w:r>
      <w:r>
        <w:t xml:space="preserve"> </w:t>
      </w:r>
      <w:hyperlink w:anchor="ref-1">
        <w:r>
          <w:rPr>
            <w:rStyle w:val="Hyperlink"/>
          </w:rPr>
          <w:t xml:space="preserve">[1]</w:t>
        </w:r>
      </w:hyperlink>
      <w:r>
        <w:t xml:space="preserve"> </w:t>
      </w:r>
      <w:hyperlink w:anchor="ref-3">
        <w:r>
          <w:rPr>
            <w:rStyle w:val="Hyperlink"/>
          </w:rPr>
          <w:t xml:space="preserve">[3]</w:t>
        </w:r>
      </w:hyperlink>
      <w:r>
        <w:t xml:space="preserve">. Records drawn from a local knowledge base are marked plainly and are treated as context for the corpus structure rather than as independently citable scholarship, so that the reference pool remains a clean set of attributable works. This separation matters for integrity: the estimators run on a documented corpus, and the reference pool that supports the prose is distinct from the raw metadata rows that feed the models.</w:t>
      </w:r>
    </w:p>
    <w:p>
      <w:pPr>
        <w:pStyle w:val="BodyText"/>
        <w:spacing w:line="480" w:lineRule="auto"/>
        <w:ind w:firstLine="720"/>
      </w:pPr>
      <w:r>
        <w:t xml:space="preserve">The audit trail is complete by construction. A reader who wishes to verify the entire chain can begin at the reference pool, move to the source metadata, follow it into the paper datasets, read the variable definitions in the configuration files, and regenerate the estimator output from the workbooks, arriving at exactly the numbers Chapter 6 reports. Nothing in that chain requires trusting the author’s assertion, because every link is an inspectable artifact. That is the measurement guarantee stated as an ethical commitment rather than a technical one, and it is the standard against which the findings in the next chapter should be judged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8"/>
    <w:bookmarkStart w:id="119" w:name="the-corpus-vintage-and-its-consequences"/>
    <w:p>
      <w:pPr>
        <w:pStyle w:val="Heading2"/>
        <w:spacing w:line="480" w:lineRule="auto"/>
      </w:pPr>
      <w:r>
        <w:t xml:space="preserve">5.11 The corpus vintage and its consequences</w:t>
      </w:r>
    </w:p>
    <w:p>
      <w:pPr>
        <w:pStyle w:val="FirstParagraph"/>
        <w:spacing w:line="480" w:lineRule="auto"/>
      </w:pPr>
      <w:r>
        <w:t xml:space="preserve">The corpus is fixed to a particular vintage, and that fixity has consequences worth naming. The age index is computed against a reference year of 2026, and the records span publication years from the late 2010s through the corpus horizon, so the oldest records carry age-index values near ten while the newest carry values near one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Because the corpus is a snapshot rather than a live feed, the citation counts it records are the counts as of its assembly, and a record that gathers citations after the snapshot would not show that growth. This is a standard property of any fixed bibliometric sample, and the design accommodates it by interpreting the temporal model as a reading of accumulation up to the corpus vintage rather than as a live measure of an ongoing process.</w:t>
      </w:r>
    </w:p>
    <w:p>
      <w:pPr>
        <w:pStyle w:val="BodyText"/>
        <w:spacing w:line="480" w:lineRule="auto"/>
        <w:ind w:firstLine="720"/>
      </w:pPr>
      <w:r>
        <w:t xml:space="preserve">The vintage matters most for the newest records. A 2026 record has had almost no time to accumulate citations regardless of its eventual importance, so its low count reflects recency rather than obscurity, and the learning-curve model is built precisely to separate that age effect from genuine attention differences</w:t>
      </w:r>
      <w:r>
        <w:t xml:space="preserve"> </w:t>
      </w:r>
      <w:hyperlink w:anchor="ref-14">
        <w:r>
          <w:rPr>
            <w:rStyle w:val="Hyperlink"/>
          </w:rPr>
          <w:t xml:space="preserve">[14]</w:t>
        </w:r>
      </w:hyperlink>
      <w:r>
        <w:t xml:space="preserve">. A reader interpreting the negative elasticity should hold the vintage in mind: the finding that recent work carries disproportionate attention is a finding about the snapshot, and a later snapshot could revise it as today’s newest records either accumulate citations or fade. Naming the vintage is part of keeping the measurement honest, because a fixed corpus can only speak to the moment it captures, and the design says so rather than implying a permanence the data do not have</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119"/>
    <w:bookmarkEnd w:id="120"/>
    <w:bookmarkStart w:id="131" w:name="chapter-6.-results"/>
    <w:p>
      <w:pPr>
        <w:pStyle w:val="Heading1"/>
        <w:spacing w:line="480" w:lineRule="auto"/>
      </w:pPr>
      <w:r>
        <w:t xml:space="preserve">Chapter 6. Results</w:t>
      </w:r>
    </w:p>
    <w:bookmarkStart w:id="121" w:name="X53a7ab42ad4ae772352add4b9321f370c9c6fc3"/>
    <w:p>
      <w:pPr>
        <w:pStyle w:val="Heading2"/>
        <w:spacing w:line="480" w:lineRule="auto"/>
      </w:pPr>
      <w:r>
        <w:t xml:space="preserve">6.1 What this chapter reports and what it withholds</w:t>
      </w:r>
    </w:p>
    <w:p>
      <w:pPr>
        <w:pStyle w:val="FirstParagraph"/>
        <w:spacing w:line="480" w:lineRule="auto"/>
      </w:pPr>
      <w:r>
        <w:t xml:space="preserve">This chapter reports the exact output of the two embedded workbooks and interprets the signs, magnitudes, and precision of the estimates. It withholds any claim the coefficients do not license. Every number below is reproduced from the study configuration and prose files; none originates in this narrative. The reader who wants to verify a figure can open the corresponding workbook and regenerate it. The interpretive rule is the one set in Chapter 3: a precise, correctly signed coefficient is positive evidence of structure inside the retained corpus; an imprecise coefficient is evidence against a strong claim, not a result to be dressed up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21"/>
    <w:bookmarkStart w:id="122" w:name="Xfc3db0f447e7c081cb08e4e3da8f32fae76a105"/>
    <w:p>
      <w:pPr>
        <w:pStyle w:val="Heading2"/>
        <w:spacing w:line="480" w:lineRule="auto"/>
      </w:pPr>
      <w:r>
        <w:t xml:space="preserve">6.2 Paper 1: cross-sectional structure of the topic signal</w:t>
      </w:r>
    </w:p>
    <w:p>
      <w:pPr>
        <w:pStyle w:val="FirstParagraph"/>
        <w:spacing w:line="480" w:lineRule="auto"/>
      </w:pPr>
      <w:r>
        <w:t xml:space="preserve">Paper 1 estimates an ordinary least squares model with robust HC1 standard errors of signal_score on recency_index, cites_num, and venue_score. The overall fit is deliberately reported in full. N is 30. R-squared is 0.0569652545131345. Adjusted R-squared is -0.05184644688919615. The F-statistic is 0.5693720773565857 with an associated p-value of 0.6401632848473735.</w:t>
      </w:r>
    </w:p>
    <w:p>
      <w:pPr>
        <w:pStyle w:val="BodyText"/>
        <w:spacing w:line="480" w:lineRule="auto"/>
        <w:ind w:firstLine="720"/>
      </w:pPr>
      <w:r>
        <w:t xml:space="preserve">The term-level estimates are as follows. The constant has a coefficient of 3.9569033101573936 with a p-value of 0.0034987396294660577. The recency_index coefficient is -0.08060301698237252 with a p-value of 0.5387993091624061. The cites_num coefficient is 0.012525934646795703 with a p-value of 0.698992696222273. The venue_score coefficient is -0.5804501363917562 with a p-value of 0.22385708915033642.</w:t>
      </w:r>
    </w:p>
    <w:p>
      <w:pPr>
        <w:pStyle w:val="BodyText"/>
        <w:spacing w:line="480" w:lineRule="auto"/>
        <w:ind w:firstLine="720"/>
      </w:pPr>
      <w:r>
        <w:t xml:space="preserve">Read the fit first. An R-squared of roughly 0.057 means the three predictors together account for under six percent of the variation in the topic signal, and the adjusted R-squared of about -0.052 falls below zero, which is what happens when the predictors add so little explanatory power that the penalty for including them exceeds their contribution. The F-statistic of about 0.57 with a p-value of about 0.640 does not come close to conventional significance, so the model as a whole cannot reject the null that the three predictors are jointly unrelated to the signal. On the evidence ladder from Chapter 3, this is the rung that reads as evidence against a strong cross-sectional claim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term estimates fill in the texture. Only the constant is estimated precisely, with a p-value near 0.003, and it simply says that a record with all predictors at their baseline carries a topic signal of roughly four, which is a statement about the average density of candidate-theme vocabulary in the corpus rather than about any relationship. The recency slope is negative and small at about -0.081, with a p-value near 0.539, so there is no support for the hypothesis that more recent records carry a higher signal; if anything the point estimate leans the other way, but its imprecision forbids reading a direction into it. The citation slope is positive at about 0.013 but with a p-value near 0.699, the least precise term in the model, which means citation attention shows no reliable link to the topic signal in this corpus. The venue slope is the largest in magnitude at about -0.580, with a p-value near 0.224, suggesting that higher venue-family codes are associated with somewhat lower signal scores, but at that precision it remains suggestive rather than established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substantive reading is coherent with the raw data described in Chapter 5. Several of the highest-signal records are AMOS or space-economy entries with zero reported citations, which mechanically breaks any simple positive citation-to-signal link and pulls the venue slope negative, since the densest candidate-theme vocabulary sits in the lower venue codes rather than the higher ones. The model is not failing to find a signal because the estimator is weak. It is reporting, honestly, that the topic’s footprint in this thirty-record corpus is not organized along recency, citation, or venue in any way the data can pin down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22"/>
    <w:bookmarkStart w:id="123" w:name="Xf0d0093addec46281f16923b3396aedbad89c40"/>
    <w:p>
      <w:pPr>
        <w:pStyle w:val="Heading2"/>
        <w:spacing w:line="480" w:lineRule="auto"/>
      </w:pPr>
      <w:r>
        <w:t xml:space="preserve">6.3 Paper 2: temporal accumulation of citation attention</w:t>
      </w:r>
    </w:p>
    <w:p>
      <w:pPr>
        <w:pStyle w:val="FirstParagraph"/>
        <w:spacing w:line="480" w:lineRule="auto"/>
      </w:pPr>
      <w:r>
        <w:t xml:space="preserve">Paper 2 estimates a log-log learning-curve model with robust HC1 standard errors: the log of cites_plus1 on the log of age_index. The fit summary is as follows. N is 30. R-squared is 0.08653382693333578. The estimated elasticity, the slope on log age, is -0.5929415944587442, and the implied progress ratio at a doubling of age, two raised to that elasticity, is 0.662989719840697.</w:t>
      </w:r>
    </w:p>
    <w:p>
      <w:pPr>
        <w:pStyle w:val="BodyText"/>
        <w:spacing w:line="480" w:lineRule="auto"/>
        <w:ind w:firstLine="720"/>
      </w:pPr>
      <w:r>
        <w:t xml:space="preserve">The term-level estimates are these. The constant has a coefficient of 1.7547463021033227 with a p-value of 0.0035564191501272595. The log-age slope has a coefficient of -0.5929415944587442 with a p-value of 0.13411955975941092.</w:t>
      </w:r>
    </w:p>
    <w:p>
      <w:pPr>
        <w:pStyle w:val="BodyText"/>
        <w:spacing w:line="480" w:lineRule="auto"/>
        <w:ind w:firstLine="720"/>
      </w:pPr>
      <w:r>
        <w:t xml:space="preserve">The R-squared of about 0.087 means the single age predictor accounts for a little under nine percent of the variation in log citation counts, modestly better than the cross-sectional model but still leaving most variation unexplained. The elasticity is the substantive quantity, and its sign is the finding worth dwelling on. At about -0.593, the elasticity is negative, which means citation accumulation in this corpus runs opposite to the naive expectation that older documents, having had more time to be cited, should carry more citations. Here the newer documents carry the citation mass. The progress ratio of about 0.663 makes the magnitude concrete: as article age doubles, implied accumulated citations fall to roughly two-thirds of their prior level</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Precision tempers that reading. The log-age slope has a p-value of about 0.134, which does not clear the conventional five-percent threshold. The negative elasticity is therefore present in sign and non-trivial in magnitude, but it is not established at conventional significance. On the Chapter 3 ladder, this sits between the rungs: it is a signed, substantively interesting point estimate that a future study with a larger sample should test directly, not a confirmed attention curve. The constant, by contrast, is precise at a p-value near 0.004, anchoring the baseline of the curve. The raw data explain the sign cleanly. A cluster of recent Acta Astronautica articles from 2024 and 2025 carries the large local citation counts, while the older AMOS proceedings mostly report zero, so the fitted curve slopes down with age even though a single heavily cited 2018 record with fifty-one citations pushes against that slope</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23"/>
    <w:bookmarkStart w:id="124" w:name="reading-the-two-results-together"/>
    <w:p>
      <w:pPr>
        <w:pStyle w:val="Heading2"/>
        <w:spacing w:line="480" w:lineRule="auto"/>
      </w:pPr>
      <w:r>
        <w:t xml:space="preserve">6.4 Reading the two results together</w:t>
      </w:r>
    </w:p>
    <w:p>
      <w:pPr>
        <w:pStyle w:val="FirstParagraph"/>
        <w:spacing w:line="480" w:lineRule="auto"/>
      </w:pPr>
      <w:r>
        <w:t xml:space="preserve">The two studies answer different questions and, taken together, bound what the retained evidence supports. Paper 1 asks whether the topic signal is organized across the cross-section by recency, citation, or venue, and answers that it is not, at least not detectably in thirty records. Paper 2 asks whether citation attention has a temporal shape, and answers that it does have a shape, a negative age elasticity consistent with a young, recency-weighted attention front, but that the shape is not yet statistically firm</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Neither result proves the broad policy claim that inclination crowding produces an inequitable avoidance burden on orbit. That was never the promise. What the results deliver is the design-stage payoff Chapter 1 committed to: a demonstration that the topic can be tested against obtainable evidence, an honest map of where that evidence is silent (cross-sectional structure) and where it hints at something (recent work drawing disproportionate attention), and a clear specification of what a stronger dataset would need to resolve. The analysis is modest, and its modesty is the point. It tells future work which variables carry observable structure, which proxies are too weak to lean on, and which hypotheses deserve the richer, operator-level data the present corpus cannot supply</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124"/>
    <w:bookmarkStart w:id="125" w:name="Xa7244d14caca88aa8a78f91b380a64462506778"/>
    <w:p>
      <w:pPr>
        <w:pStyle w:val="Heading2"/>
        <w:spacing w:line="480" w:lineRule="auto"/>
      </w:pPr>
      <w:r>
        <w:t xml:space="preserve">6.5 A closer reading of the cross-sectional coefficients</w:t>
      </w:r>
    </w:p>
    <w:p>
      <w:pPr>
        <w:pStyle w:val="FirstParagraph"/>
        <w:spacing w:line="480" w:lineRule="auto"/>
      </w:pPr>
      <w:r>
        <w:t xml:space="preserve">It is worth returning to the Paper 1 estimates one at a time, because their individual magnitudes carry substantive meaning even where their precision forbids strong claims. The constant of 3.9569033101573936 is the model’s estimate of the topic signal for a hypothetical record at the baseline of all three predictors, and its precision, a p-value of 0.0034987396294660577, reflects that the corpus does carry a stable average level of candidate-theme vocabulary. This is the one thing the cross-sectional model establishes firmly: the topic is present in the corpus at a measurable average density of roughly four signal units per record. What the model cannot establish is that this density is organized by any of the three predictors.</w:t>
      </w:r>
    </w:p>
    <w:p>
      <w:pPr>
        <w:pStyle w:val="BodyText"/>
        <w:spacing w:line="480" w:lineRule="auto"/>
        <w:ind w:firstLine="720"/>
      </w:pPr>
      <w:r>
        <w:t xml:space="preserve">The recency slope of -0.08060301698237252 is the coefficient that most directly tests the recency limb of H1, which predicted that more recent records would carry a higher signal. The point estimate leans mildly negative, the opposite of the predicted direction, but with a p-value of 0.5387993091624061 it is far from any threshold that would justify reading a direction into it. The honest statement is that recency does not organize the signal in this corpus. The citation slope of 0.012525934646795703 is positive, consistent with the predicted direction, but with a p-value of 0.698992696222273 it is the least precise term in the model and supports no claim at all. The venue slope of -0.5804501363917562, with a p-value of 0.22385708915033642, is the largest in magnitude and the closest to precision, and its negative sign is substantively coherent: the densest candidate-theme vocabulary sits toward the operational end of the venue spectrum rather than the archival end, though even this reading remains suggestive rather than confirmed</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25"/>
    <w:bookmarkStart w:id="126" w:name="X09f357732390c210cbfd6313a836a65ef3bbe68"/>
    <w:p>
      <w:pPr>
        <w:pStyle w:val="Heading2"/>
        <w:spacing w:line="480" w:lineRule="auto"/>
      </w:pPr>
      <w:r>
        <w:t xml:space="preserve">6.6 A closer reading of the temporal elasticity</w:t>
      </w:r>
    </w:p>
    <w:p>
      <w:pPr>
        <w:pStyle w:val="FirstParagraph"/>
        <w:spacing w:line="480" w:lineRule="auto"/>
      </w:pPr>
      <w:r>
        <w:t xml:space="preserve">The Paper 2 estimates reward the same term-by-term attention. The constant of 1.7547463021033227, precise at a p-value of 0.0035564191501272595, anchors the baseline of the learning curve and confirms that the model has a stable intercept from which the age relationship departs. The substantive term is the log-age slope of -0.5929415944587442, the elasticity, whose p-value of 0.13411955975941092 places it in the ambiguous zone the design anticipated. It is directionally clear and non-trivial in magnitude but short of conventional significance.</w:t>
      </w:r>
    </w:p>
    <w:p>
      <w:pPr>
        <w:pStyle w:val="BodyText"/>
        <w:spacing w:line="480" w:lineRule="auto"/>
        <w:ind w:firstLine="720"/>
      </w:pPr>
      <w:r>
        <w:t xml:space="preserve">The progress ratio of 0.662989719840697 translates that elasticity into a form a program reader can hold: as an article’s age doubles, its implied accumulated citations fall to roughly two-thirds of the prior level. In a mature research front one would expect the opposite, older work accumulating more citations because it has had more time. The negative elasticity says the corpus runs the other way, with the newest work carrying attention out of proportion to its age. That is the signature of a young, recency-weighted front, which is precisely the condition Chapter 3’s mechanism predicted for a topic in early consolidation. The R-squared of 0.08653382693333578 confirms that age alone explains under nine percent of the variation in log citations, so the elasticity, even taken at face value, is one modest factor among many that shape attention in this corpus rather than a dominant organizing force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126"/>
    <w:bookmarkStart w:id="127" w:name="robustness-of-the-joint-reading"/>
    <w:p>
      <w:pPr>
        <w:pStyle w:val="Heading2"/>
        <w:spacing w:line="480" w:lineRule="auto"/>
      </w:pPr>
      <w:r>
        <w:t xml:space="preserve">6.7 Robustness of the joint reading</w:t>
      </w:r>
    </w:p>
    <w:p>
      <w:pPr>
        <w:pStyle w:val="FirstParagraph"/>
        <w:spacing w:line="480" w:lineRule="auto"/>
      </w:pPr>
      <w:r>
        <w:t xml:space="preserve">The two models were estimated independently, on aligned but distinct variable sets, and their results do not contradict one another. A corpus that is unstructured in cross-section but shows a soft negative age elasticity is internally consistent: it is a body of work in which the topic has a stable average presence, no strong organization by recency or venue, and a mild tendency for attention to concentrate on recent contributions. Nothing in Paper 1 undermines Paper 2 or vice versa, and the shared thirty-record spine documented in Chapter 5 guarantees that the two analyses are reading the same underlying data from two angles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robustness of the joint reading also rests on what does not change under scrutiny. The signs are stable features of the data rather than artifacts of a fragile specification: the venue slope is negative because the highest-signal records genuinely sit at the operational end of the venue spectrum, and the age elasticity is negative because the citation mass genuinely sits with recent journal articles. The imprecision is likewise a stable feature, driven by the small sample and the coverage pattern of the local citation index rather than by any single modeling choice. A reader who reran either model would recover the same coefficients to the last reported digit, because the workbooks are deterministic. The finding, then, is not that the topic is unimportant or that the field is booming, but that the topic is in an early, recency-weighted phase of consolidation whose bibliometric structure a thirty-record corpus can glimpse but not yet resolve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27"/>
    <w:bookmarkStart w:id="128" w:name="Xca293ba3d68cfcae1b3c92818ad01a3bfa42ed9"/>
    <w:p>
      <w:pPr>
        <w:pStyle w:val="Heading2"/>
        <w:spacing w:line="480" w:lineRule="auto"/>
      </w:pPr>
      <w:r>
        <w:t xml:space="preserve">6.8 Mapping the results back onto the hypotheses</w:t>
      </w:r>
    </w:p>
    <w:p>
      <w:pPr>
        <w:pStyle w:val="FirstParagraph"/>
        <w:spacing w:line="480" w:lineRule="auto"/>
      </w:pPr>
      <w:r>
        <w:t xml:space="preserve">It is worth closing the loop explicitly by mapping each estimate onto the hypotheses that motivated it, because a result is only meaningful in relation to the prediction it tests. For the cross-sectional pair, H1 predicted that the topic signal would increase with recency and citation attention. The recency slope of -0.08060301698237252 does not support that prediction, both because its sign is wrong and because its p-value of 0.5387993091624061 forbids reading a direction. The citation slope of 0.012525934646795703 carries the predicted positive sign but at a p-value of 0.698992696222273 it supports nothing. Across the whole model, the joint F-test of 0.5693720773565857 with a p-value of 0.6401632848473735 leaves H0 standing for the cross-sectional limb. The correct scientific statement is that the retained corpus provides no evidence against the null of no systematic cross-sectional organization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For the temporal pair, H1 predicted a measurable age-based attention curve, and here the mapping is more nuanced. The elasticity of -0.5929415944587442 is a measurable curve in the sense that it is signed, substantial, and interpretable through the progress ratio of 0.662989719840697, but its p-value of 0.13411955975941092 means the design cannot reject H0 at conventional levels. The honest mapping is that the temporal hypothesis receives directional but not statistically decisive support. That intermediate verdict is exactly what the evidence ladder in Chapter 3 was built to accommodate, and reporting it as intermediate, rather than rounding it up to confirmation or down to nothing, is the discipline the whole design was constructed to enforce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28"/>
    <w:bookmarkStart w:id="129" w:name="X6872fcc454f1bdf6675e3ebfa0dba011039b056"/>
    <w:p>
      <w:pPr>
        <w:pStyle w:val="Heading2"/>
        <w:spacing w:line="480" w:lineRule="auto"/>
      </w:pPr>
      <w:r>
        <w:t xml:space="preserve">6.9 What the numbers permit a reader to conclude</w:t>
      </w:r>
    </w:p>
    <w:p>
      <w:pPr>
        <w:pStyle w:val="FirstParagraph"/>
        <w:spacing w:line="480" w:lineRule="auto"/>
      </w:pPr>
      <w:r>
        <w:t xml:space="preserve">A reader is entitled to draw three conclusions from these results and no more. First, the candidate topic has a stable, measurable average presence in the retained corpus, established by the precise constants in both models, so the topic is not absent from the literature</w:t>
      </w:r>
      <w:r>
        <w:t xml:space="preserve"> </w:t>
      </w:r>
      <w:hyperlink w:anchor="ref-1">
        <w:r>
          <w:rPr>
            <w:rStyle w:val="Hyperlink"/>
          </w:rPr>
          <w:t xml:space="preserve">[1]</w:t>
        </w:r>
      </w:hyperlink>
      <w:r>
        <w:t xml:space="preserve"> </w:t>
      </w:r>
      <w:hyperlink w:anchor="ref-5">
        <w:r>
          <w:rPr>
            <w:rStyle w:val="Hyperlink"/>
          </w:rPr>
          <w:t xml:space="preserve">[5]</w:t>
        </w:r>
      </w:hyperlink>
      <w:r>
        <w:t xml:space="preserve">. Second, that presence is not organized by recency, citation attention, or venue family in any way a thirty-record cross-section can detect, so the topic has not consolidated into a structured cross-sectional pattern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Third, citation attention leans toward recent work with a negative age elasticity that is directionally consistent with a young front but is not statistically firm, so the temporal signal is suggestive rather than settled</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What a reader is not entitled to conclude is anything about the on-orbit inequity itself, about the field beyond the retained corpus, or about causation among the measured variables. Those conclusions exceed what the data and the design can bear, and the results chapter refuses them by construction. The worth of this chapter lies in the precision of its permitted conclusions and, equally, in the firmness of its refusals. It delivers a bounded, reproducible reading of a documented corpus, and it hands the discussion chapter a clear account of what that reading means and, with equal weight, what it cannot mean</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29"/>
    <w:bookmarkStart w:id="130" w:name="the-comparative-fit-of-the-two-models"/>
    <w:p>
      <w:pPr>
        <w:pStyle w:val="Heading2"/>
        <w:spacing w:line="480" w:lineRule="auto"/>
      </w:pPr>
      <w:r>
        <w:t xml:space="preserve">6.10 The comparative fit of the two models</w:t>
      </w:r>
    </w:p>
    <w:p>
      <w:pPr>
        <w:pStyle w:val="FirstParagraph"/>
        <w:spacing w:line="480" w:lineRule="auto"/>
      </w:pPr>
      <w:r>
        <w:t xml:space="preserve">A final comparison sharpens the reading. The cross-sectional model returns an R-squared of 0.0569652545131345 with three predictors, while the temporal model returns an R-squared of 0.08653382693333578 with a single predictor. The temporal model therefore explains more variance with fewer predictors, which tells us that article age is a more informative organizing variable for this corpus than the combination of recency, citation attention, and venue family is for the topic signal. That is a substantively meaningful comparison. It says the corpus is better organized along its time axis than across its cross-section, which is consistent with a young front whose defining structure is temporal, the concentration of attention on recent work, rather than cross-sectional</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Neither model explains much variance in absolute terms, and the comparison should not be overread into a claim that the temporal model is strong. It is not; its key slope misses conventional significance. The comparison establishes only a relative ordering: whatever structure this corpus contains is more temporal than cross-sectional, and a successor study with more data would do well to prioritize the temporal design, which showed the clearer, if still soft, signal</w:t>
      </w:r>
      <w:r>
        <w:t xml:space="preserve"> </w:t>
      </w:r>
      <w:hyperlink w:anchor="ref-14">
        <w:r>
          <w:rPr>
            <w:rStyle w:val="Hyperlink"/>
          </w:rPr>
          <w:t xml:space="preserve">[14]</w:t>
        </w:r>
      </w:hyperlink>
      <w:r>
        <w:t xml:space="preserve">. That prioritization is a concrete methodological handoff from the results to the future work, and it is the kind of specific guidance a design-stage results chapter is meant to produce. The discussion chapter now takes these findings and asks what they mean for the substantive question and for the governance audiences the work is meant to serve</w:t>
      </w:r>
      <w:r>
        <w:t xml:space="preserve"> </w:t>
      </w:r>
      <w:hyperlink w:anchor="ref-5">
        <w:r>
          <w:rPr>
            <w:rStyle w:val="Hyperlink"/>
          </w:rPr>
          <w:t xml:space="preserve">[5]</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30"/>
    <w:bookmarkEnd w:id="131"/>
    <w:bookmarkStart w:id="144" w:name="chapter-7.-discussion-and-limitations"/>
    <w:p>
      <w:pPr>
        <w:pStyle w:val="Heading1"/>
        <w:spacing w:line="480" w:lineRule="auto"/>
      </w:pPr>
      <w:r>
        <w:t xml:space="preserve">Chapter 7. Discussion and Limitations</w:t>
      </w:r>
    </w:p>
    <w:bookmarkStart w:id="132" w:name="what-the-findings-mean"/>
    <w:p>
      <w:pPr>
        <w:pStyle w:val="Heading2"/>
        <w:spacing w:line="480" w:lineRule="auto"/>
      </w:pPr>
      <w:r>
        <w:t xml:space="preserve">7.1 What the findings mean</w:t>
      </w:r>
    </w:p>
    <w:p>
      <w:pPr>
        <w:pStyle w:val="FirstParagraph"/>
        <w:spacing w:line="480" w:lineRule="auto"/>
      </w:pPr>
      <w:r>
        <w:t xml:space="preserve">The two studies together produce a result that is easy to misread in either direction, so it is worth stating carefully. The cross-sectional model found no detectable organization of the topic signal by recency, citation, or venue, and the temporal model found a negative but statistically soft age elasticity in citation accumulation. A careless reader might take the first as proof that the topic is unimportant, or the second as proof that the field is booming. Neither conclusion is licensed. What the findings actually mean is that the candidate topic, inclination crowding and the inequitable distribution of avoidance burden, is present in the retained corpus as a recognizable vocabulary but has not yet consolidated into a bibliometric structure firm enough for thirty records to resolve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is a genuine finding about the state of the evidence base, and it aligns with the substantive picture in the source literature. The technical machinery for coordinated avoidance is mature and heavily worked</w:t>
      </w:r>
      <w:r>
        <w:t xml:space="preserve"> </w:t>
      </w:r>
      <w:hyperlink w:anchor="ref-9">
        <w:r>
          <w:rPr>
            <w:rStyle w:val="Hyperlink"/>
          </w:rPr>
          <w:t xml:space="preserve">[9]</w:t>
        </w:r>
      </w:hyperlink>
      <w:r>
        <w:t xml:space="preserve">, the sensing infrastructure that would make burden allocation enforceable is actively researched</w:t>
      </w:r>
      <w:r>
        <w:t xml:space="preserve"> </w:t>
      </w:r>
      <w:hyperlink w:anchor="ref-6">
        <w:r>
          <w:rPr>
            <w:rStyle w:val="Hyperlink"/>
          </w:rPr>
          <w:t xml:space="preserve">[6]</w:t>
        </w:r>
      </w:hyperlink>
      <w:r>
        <w:t xml:space="preserve"> </w:t>
      </w:r>
      <w:hyperlink w:anchor="ref-8">
        <w:r>
          <w:rPr>
            <w:rStyle w:val="Hyperlink"/>
          </w:rPr>
          <w:t xml:space="preserve">[8]</w:t>
        </w:r>
      </w:hyperlink>
      <w:r>
        <w:t xml:space="preserve">, and the governance literature has begun to name burden sharing as a distributive problem</w:t>
      </w:r>
      <w:r>
        <w:t xml:space="preserve"> </w:t>
      </w:r>
      <w:hyperlink w:anchor="ref-4">
        <w:r>
          <w:rPr>
            <w:rStyle w:val="Hyperlink"/>
          </w:rPr>
          <w:t xml:space="preserve">[4]</w:t>
        </w:r>
      </w:hyperlink>
      <w:r>
        <w:t xml:space="preserve"> </w:t>
      </w:r>
      <w:hyperlink w:anchor="ref-5">
        <w:r>
          <w:rPr>
            <w:rStyle w:val="Hyperlink"/>
          </w:rPr>
          <w:t xml:space="preserve">[5]</w:t>
        </w:r>
      </w:hyperlink>
      <w:r>
        <w:t xml:space="preserve">. What the corpus does not yet show is a consolidated research front that treats the specific inequity of avoidance burden as a settled, citation-attracting object of study. The topic sits at the confluence of mature literatures without yet being a mature literature itself. The negative age elasticity, soft as it is, is consistent with exactly that condition: the attention is on the newest work, because the newest work is where the confluence is being worked out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32"/>
    <w:bookmarkStart w:id="133" w:name="the-value-of-a-modest-result"/>
    <w:p>
      <w:pPr>
        <w:pStyle w:val="Heading2"/>
        <w:spacing w:line="480" w:lineRule="auto"/>
      </w:pPr>
      <w:r>
        <w:t xml:space="preserve">7.2 The value of a modest result</w:t>
      </w:r>
    </w:p>
    <w:p>
      <w:pPr>
        <w:pStyle w:val="FirstParagraph"/>
        <w:spacing w:line="480" w:lineRule="auto"/>
      </w:pPr>
      <w:r>
        <w:t xml:space="preserve">A dissertation whose central estimates fail to reach conventional significance can still make a real contribution, and it is worth being explicit about why. The design’s promise was never a strong causal estimate. It was a reproducible test of whether the topic is visible as structure in obtainable evidence, reported honestly whichever way the numbers fell. Delivered against that promise, the result is informative. It tells a future investigator that citation attention is not a usable organizing variable for this topic in a corpus of this size, that venue family carries only a weak and imprecise association, and that the temporal signal, while directionally interesting, needs a larger sample before it can bear weight</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This is the disciplined form of governance evidence the project set out to demonstrate. A claim that survives source tracing, transparent variable construction, and conservative estimation is stronger than an impressionistic one, and a claim that fails those tests is useful precisely because it blocks premature confidence. An agency or standards body reasoning about avoidance-burden policy under partial data is better served by an honest null than by a manufactured significance, because the honest null tells them where the evidence is not yet ready to guide a rule</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33"/>
    <w:bookmarkStart w:id="134" w:name="threats-to-validity"/>
    <w:p>
      <w:pPr>
        <w:pStyle w:val="Heading2"/>
        <w:spacing w:line="480" w:lineRule="auto"/>
      </w:pPr>
      <w:r>
        <w:t xml:space="preserve">7.3 Threats to validity</w:t>
      </w:r>
    </w:p>
    <w:p>
      <w:pPr>
        <w:pStyle w:val="FirstParagraph"/>
        <w:spacing w:line="480" w:lineRule="auto"/>
      </w:pPr>
      <w:r>
        <w:t xml:space="preserve">Several threats bear on how far these findings can travel, and each was anticipated in the design rather than discovered after the fact.</w:t>
      </w:r>
    </w:p>
    <w:p>
      <w:pPr>
        <w:pStyle w:val="BodyText"/>
        <w:spacing w:line="480" w:lineRule="auto"/>
        <w:ind w:firstLine="720"/>
      </w:pPr>
      <w:r>
        <w:t xml:space="preserve">Source selection is the most consequential. The corpus is the candidate’s retained set of thirty records, not a census of the field, and it over-represents venues the candidate could readily access, particularly AMOS proceedings and a slice of Acta Astronautica. Any structure the models find, or fail to find, is structure within that retained set. A differently assembled corpus, weighted more heavily toward policy journals or operator technical reports, could plausibly return different associations, and nothing in these results forecloses that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Proxy measurement is the second threat. The signal score measures topical footprint in a record’s text, not policy consequence on orbit. The local citation count measures attention as recorded in one index, not universal citation, and its many zeros reflect index coverage as much as genuine obscurity. The venue score measures institutional family on an ordinal scale that also encodes publication practice. Each of these gaps between proxy and construct means the estimates speak to the measured record, and the interpretation has been kept in those terms throughout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Omitted variables form the third threat. A metadata model cannot include the technical, institutional, and market drivers that actually shape a topic’s prominence, so any slope may absorb the influence of an unmeasured cause. This is why the discussion declines causal language even where a point estimate is suggestive, as with the negative age elasticity. Sample size is the fourth threat and it interacts with all the others: thirty observations give the estimators little power, widen every interval, and let a single leverage point, such as the heavily cited 2018 record, exert visible influence on the temporal fit</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bookmarkEnd w:id="134"/>
    <w:bookmarkStart w:id="135" w:name="what-the-data-cannot-show"/>
    <w:p>
      <w:pPr>
        <w:pStyle w:val="Heading2"/>
        <w:spacing w:line="480" w:lineRule="auto"/>
      </w:pPr>
      <w:r>
        <w:t xml:space="preserve">7.4 What the data cannot show</w:t>
      </w:r>
    </w:p>
    <w:p>
      <w:pPr>
        <w:pStyle w:val="FirstParagraph"/>
        <w:spacing w:line="480" w:lineRule="auto"/>
      </w:pPr>
      <w:r>
        <w:t xml:space="preserve">It is as important to state what the corpus structurally cannot reveal as to state what it can. The data cannot measure the physical inequity itself. No row records how much propellant a small operator spent ceding right of way to a constellation, because those figures are proprietary and absent from any public corpus. The bibliometric test is a shadow of the on-orbit phenomenon, and a shadow can only ever be suggestive of the object that casts it</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data cannot establish causation. Even had the cross-sectional slopes been precise, they would show association within a retained corpus, not a causal pathway from crowding to burden. The data cannot speak to operators who do not appear in the literature, and the operators most likely to bear an unfair burden, small commercial actors without a publication footprint, are precisely those least represented in a scholarly corpus. And the data cannot resolve the temporal question on their own, because the age elasticity, though negative, is imprecise enough that a larger sample could move it toward zero or confirm it</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Naming these boundaries is not a retreat. It is the specification a successor study needs in order to build the design that would actually settle the question.</w:t>
      </w:r>
    </w:p>
    <w:bookmarkEnd w:id="135"/>
    <w:bookmarkStart w:id="136" w:name="toward-a-stronger-design"/>
    <w:p>
      <w:pPr>
        <w:pStyle w:val="Heading2"/>
        <w:spacing w:line="480" w:lineRule="auto"/>
      </w:pPr>
      <w:r>
        <w:t xml:space="preserve">7.5 Toward a stronger design</w:t>
      </w:r>
    </w:p>
    <w:p>
      <w:pPr>
        <w:pStyle w:val="FirstParagraph"/>
        <w:spacing w:line="480" w:lineRule="auto"/>
      </w:pPr>
      <w:r>
        <w:t xml:space="preserve">The limitations point directly at the shape of the next study. A stronger design would replace bibliometric proxies with operator-level and mission-level data: reported maneuver counts, propellant expenditure where disclosable, and conjunction records tied to specific inclination shells, so that the avoidance burden could be measured rather than inferred from the literature about it</w:t>
      </w:r>
      <w:r>
        <w:t xml:space="preserve"> </w:t>
      </w:r>
      <w:hyperlink w:anchor="ref-1">
        <w:r>
          <w:rPr>
            <w:rStyle w:val="Hyperlink"/>
          </w:rPr>
          <w:t xml:space="preserve">[1]</w:t>
        </w:r>
      </w:hyperlink>
      <w:r>
        <w:t xml:space="preserve"> </w:t>
      </w:r>
      <w:hyperlink w:anchor="ref-5">
        <w:r>
          <w:rPr>
            <w:rStyle w:val="Hyperlink"/>
          </w:rPr>
          <w:t xml:space="preserve">[5]</w:t>
        </w:r>
      </w:hyperlink>
      <w:r>
        <w:t xml:space="preserve">. It would expand the source universe well beyond thirty records and beyond the accessible venue families, to blunt the selection threat. It would add controls for the drivers a metadata model must omit, and it would use a longitudinal frame so that accumulation could be observed directly rather than reconstructed from an age index. The present dissertation is the first stage of that program, and it earns its place by making the later stages precise instead of pretending to have completed them.</w:t>
      </w:r>
    </w:p>
    <w:bookmarkEnd w:id="136"/>
    <w:bookmarkStart w:id="137" w:name="Xb1cca9ac4af08455c044cdbdf5a322ae2c75a23"/>
    <w:p>
      <w:pPr>
        <w:pStyle w:val="Heading2"/>
        <w:spacing w:line="480" w:lineRule="auto"/>
      </w:pPr>
      <w:r>
        <w:t xml:space="preserve">7.6 Situating the null against the substantive literature</w:t>
      </w:r>
    </w:p>
    <w:p>
      <w:pPr>
        <w:pStyle w:val="FirstParagraph"/>
        <w:spacing w:line="480" w:lineRule="auto"/>
      </w:pPr>
      <w:r>
        <w:t xml:space="preserve">It would be a mistake to read the cross-sectional null as evidence that the substantive problem does not exist, and the substantive literature is the reason. The technical works in the corpus demonstrate that coordinated and constellation-scale avoidance is not merely conceivable but actively engineered</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The governance works name burden sharing as a distributive problem with allied and commercial stakes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capacity-management works establish that the problem compounds as traffic grows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 physical inequity with that much surrounding literature is not plausibly absent; what the bibliometric null tells us is narrower and more precise, that the specific topic of avoidance-burden inequity has not yet crystallized into a dedicated, citation-attracting research front detectable in thirty records.</w:t>
      </w:r>
    </w:p>
    <w:p>
      <w:pPr>
        <w:pStyle w:val="BodyText"/>
        <w:spacing w:line="480" w:lineRule="auto"/>
        <w:ind w:firstLine="720"/>
      </w:pPr>
      <w:r>
        <w:t xml:space="preserve">This is a distinction the discussion must hold firmly, because collapsing it would betray the honesty the design was built to protect. The corpus is silent on cross-sectional structure not because the world is quiet but because the research community has not yet organized its attention around this particular framing. That reading is consistent with the soft negative age elasticity, which points to a front whose attention is on its newest contributions, the hallmark of a topic in the act of forming rather than one long settled. The two results, read together and against the substantive literature, converge on a coherent picture: a real and compounding problem that the field is beginning to take up but has not yet consolidated</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37"/>
    <w:bookmarkStart w:id="138" w:name="X8707afc2cf09dc562403aab661c894ceb1130b1"/>
    <w:p>
      <w:pPr>
        <w:pStyle w:val="Heading2"/>
        <w:spacing w:line="480" w:lineRule="auto"/>
      </w:pPr>
      <w:r>
        <w:t xml:space="preserve">7.7 Generalizability and the boundary of the claim</w:t>
      </w:r>
    </w:p>
    <w:p>
      <w:pPr>
        <w:pStyle w:val="FirstParagraph"/>
        <w:spacing w:line="480" w:lineRule="auto"/>
      </w:pPr>
      <w:r>
        <w:t xml:space="preserve">The generalizability of these findings is bounded, and the boundary deserves explicit statement. The results describe the candidate’s retained corpus of thirty records, and they describe nothing beyond it with certainty. A corpus assembled from a different venue mix, weighted toward policy journals or operator technical reports rather than conference proceedings and a slice of archival journals, could return different associations, and the design forecloses none of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estimates are internally valid for the retained record and externally suggestive at most.</w:t>
      </w:r>
    </w:p>
    <w:p>
      <w:pPr>
        <w:pStyle w:val="BodyText"/>
        <w:spacing w:line="480" w:lineRule="auto"/>
        <w:ind w:firstLine="720"/>
      </w:pPr>
      <w:r>
        <w:t xml:space="preserve">This boundary is not a weakness to be minimized but a scope condition to be respected. A dissertation that claimed its thirty-record findings generalized to the entire space sector would be committing precisely the overinterpretation the design was built to prevent. The appropriate claim is that within a transparently constructed, auditable corpus, the topic shows a stable average presence, no detectable cross-sectional organization, and a soft recency-weighted attention pattern, and that these within-corpus facts are informative about the maturity of the front while remaining silent about the sector as a whole. Holding that boundary is what makes the modest findings trustworthy, and trustworthiness within a stated scope is worth more than breadth purchased with unsupported extrapolation</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bookmarkEnd w:id="138"/>
    <w:bookmarkStart w:id="139" w:name="what-a-critic-could-still-object"/>
    <w:p>
      <w:pPr>
        <w:pStyle w:val="Heading2"/>
        <w:spacing w:line="480" w:lineRule="auto"/>
      </w:pPr>
      <w:r>
        <w:t xml:space="preserve">7.8 What a critic could still object</w:t>
      </w:r>
    </w:p>
    <w:p>
      <w:pPr>
        <w:pStyle w:val="FirstParagraph"/>
        <w:spacing w:line="480" w:lineRule="auto"/>
      </w:pPr>
      <w:r>
        <w:t xml:space="preserve">A fair-minded critic could press three further objections, and each deserves a direct answer. First, a critic might argue that the signal score is too crude a proxy, that a mechanical term count cannot capture whether a record genuinely engages the avoidance-burden problem or merely mentions its vocabulary. The design concedes the point and responds that a crude but transparent proxy is preferable to a subtle but unauditable one, and that the successor study should replace term counts with hand-coded engagement measures</w:t>
      </w:r>
      <w:r>
        <w:t xml:space="preserve"> </w:t>
      </w:r>
      <w:hyperlink w:anchor="ref-6">
        <w:r>
          <w:rPr>
            <w:rStyle w:val="Hyperlink"/>
          </w:rPr>
          <w:t xml:space="preserve">[6]</w:t>
        </w:r>
      </w:hyperlink>
      <w:r>
        <w:t xml:space="preserve">. Second, a critic might argue that thirty records is simply too few to conclude anything, to which the design responds that it concludes little by design, reporting the estimates as first-stage evidence rather than verdicts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Third, a critic might object that the venue coding conflates publication practice with substantive standing, which the design already flagged in Chapter 5 and which it handles by declining to overread the venue slope. None of these objections is fatal, because none of them is denied; each instead marks a specific improvement the next study should make, which is exactly the function a design-stage dissertation is meant to serve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9"/>
    <w:bookmarkStart w:id="140" w:name="X3cc43ee2961685cb16554455ca2ccb71a4cbdc5"/>
    <w:p>
      <w:pPr>
        <w:pStyle w:val="Heading2"/>
        <w:spacing w:line="480" w:lineRule="auto"/>
      </w:pPr>
      <w:r>
        <w:t xml:space="preserve">7.9 Implications for how governance evidence is built</w:t>
      </w:r>
    </w:p>
    <w:p>
      <w:pPr>
        <w:pStyle w:val="FirstParagraph"/>
        <w:spacing w:line="480" w:lineRule="auto"/>
      </w:pPr>
      <w:r>
        <w:t xml:space="preserve">Step back from the specific findings and a broader implication comes into view about how evidence for space governance ought to be assembled. The field’s recurring temptation is to reason from confident narrative when data are thin, and the recurring cost of that temptation is that weak inference hides behind strong prose until a decision built on it fails. This dissertation models an alternative. It takes a claim that would ordinarily circulate as intuition, states it so it can fail, tests it against the evidence actually available, and reports the result with its uncertainty intact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value of that model does not depend on the findings being strong. It depends on the procedure being honest and reproducible, and it is transferable to any governance question that begins with partial records.</w:t>
      </w:r>
    </w:p>
    <w:p>
      <w:pPr>
        <w:pStyle w:val="BodyText"/>
        <w:spacing w:line="480" w:lineRule="auto"/>
        <w:ind w:firstLine="720"/>
      </w:pPr>
      <w:r>
        <w:t xml:space="preserve">For a standards body or an agency, the practical implication is a posture rather than a policy. When the evidence for a burden-allocation rule is at the maturity this corpus reveals, stable topical presence but no consolidated structure and only a soft temporal signal, the appropriate move is to fund the next stage of measurement rather than to legislate on the strength of a narrative. A design-stage finding that is honest about its limits is more useful to that decision than an overconfident finding that pretends to settle what it cannot, because the honest finding tells the decision maker exactly where the evidence is not yet ready</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That is the governance contribution the discussion offers, and it generalizes well beyond the specific topic of avoidance burden.</w:t>
      </w:r>
    </w:p>
    <w:bookmarkEnd w:id="140"/>
    <w:bookmarkStart w:id="141" w:name="the-limits-stated-as-a-research-agenda"/>
    <w:p>
      <w:pPr>
        <w:pStyle w:val="Heading2"/>
        <w:spacing w:line="480" w:lineRule="auto"/>
      </w:pPr>
      <w:r>
        <w:t xml:space="preserve">7.10 The limits stated as a research agenda</w:t>
      </w:r>
    </w:p>
    <w:p>
      <w:pPr>
        <w:pStyle w:val="FirstParagraph"/>
        <w:spacing w:line="480" w:lineRule="auto"/>
      </w:pPr>
      <w:r>
        <w:t xml:space="preserve">The limitations catalogued through this chapter are best read not as apologies but as an agenda, because each names a specific improvement a successor could make. The proxy limitation becomes a call for hand-coded engagement measures and, ultimately, for operator-level outcome data such as maneuver counts and propellant expenditure tied to inclination shells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selection limitation becomes a call for an expanded, more representative corpus drawn from beyond the accessible venue families</w:t>
      </w:r>
      <w:r>
        <w:t xml:space="preserve"> </w:t>
      </w:r>
      <w:hyperlink w:anchor="ref-4">
        <w:r>
          <w:rPr>
            <w:rStyle w:val="Hyperlink"/>
          </w:rPr>
          <w:t xml:space="preserve">[4]</w:t>
        </w:r>
      </w:hyperlink>
      <w:r>
        <w:t xml:space="preserve">. The omitted-variable limitation becomes a call for controls on the technical, institutional, and market drivers a metadata model cannot see</w:t>
      </w:r>
      <w:r>
        <w:t xml:space="preserve"> </w:t>
      </w:r>
      <w:hyperlink w:anchor="ref-11">
        <w:r>
          <w:rPr>
            <w:rStyle w:val="Hyperlink"/>
          </w:rPr>
          <w:t xml:space="preserve">[11]</w:t>
        </w:r>
      </w:hyperlink>
      <w:r>
        <w:t xml:space="preserve">. The sample-size and leverage limitations become a call for a larger corpus in which no single record can dominate a fit</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Assembled, these calls describe a coherent three-stage program: a first stage that establishes measurability from public records, which this dissertation completes; a second stage that adds direct outcome data and controls; and a third stage that tests whether the associations survive stronger identification and a longitudinal frame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discussion thus ends where a design-stage dissertation should, having interpreted its bounded findings honestly, mapped their threats to validity, marked what the data structurally cannot show, and converted every limitation into a precise next step. The conclusion that follows draws these threads into a statement of contribution and relevance.</w:t>
      </w:r>
    </w:p>
    <w:bookmarkEnd w:id="141"/>
    <w:bookmarkStart w:id="142" w:name="X1d9b60e28f3baf0a1d18370226f8be865f0357b"/>
    <w:p>
      <w:pPr>
        <w:pStyle w:val="Heading2"/>
        <w:spacing w:line="480" w:lineRule="auto"/>
      </w:pPr>
      <w:r>
        <w:t xml:space="preserve">7.11 The asymmetry between what strengthens and what weakens the claim</w:t>
      </w:r>
    </w:p>
    <w:p>
      <w:pPr>
        <w:pStyle w:val="FirstParagraph"/>
        <w:spacing w:line="480" w:lineRule="auto"/>
      </w:pPr>
      <w:r>
        <w:t xml:space="preserve">A subtle point about interpretation earns its own treatment, because it governs how the two results should be weighed. The cross-sectional null and the soft temporal elasticity are not symmetric in what they license. A null on cross-sectional structure is a weak instrument for any positive claim, because failure to reject can arise from a genuinely absent effect or from a real effect that thirty records cannot detect. The design reads it accordingly, as evidence that the topic has not consolidated rather than as proof it never will</w:t>
      </w:r>
      <w:r>
        <w:t xml:space="preserve"> </w:t>
      </w:r>
      <w:hyperlink w:anchor="ref-2">
        <w:r>
          <w:rPr>
            <w:rStyle w:val="Hyperlink"/>
          </w:rPr>
          <w:t xml:space="preserve">[2]</w:t>
        </w:r>
      </w:hyperlink>
      <w:r>
        <w:t xml:space="preserve"> </w:t>
      </w:r>
      <w:hyperlink w:anchor="ref-9">
        <w:r>
          <w:rPr>
            <w:rStyle w:val="Hyperlink"/>
          </w:rPr>
          <w:t xml:space="preserve">[9]</w:t>
        </w:r>
      </w:hyperlink>
      <w:r>
        <w:t xml:space="preserve">. A signed but imprecise elasticity, by contrast, carries directional information the null does not: its sign is stable in the data and coherent with the mechanism, even though its precision falls short. The two findings therefore contribute asymmetrically, and the discussion weighs them by that difference rather than treating them as equal.</w:t>
      </w:r>
    </w:p>
    <w:p>
      <w:pPr>
        <w:pStyle w:val="BodyText"/>
        <w:spacing w:line="480" w:lineRule="auto"/>
        <w:ind w:firstLine="720"/>
      </w:pPr>
      <w:r>
        <w:t xml:space="preserve">This asymmetry has a practical upshot for the successor study. Because the temporal design produced the clearer, if softer, signal, and because a null cross-section is inherently harder to interpret at small N, the next study should invest first in the temporal question, expanding the corpus and lengthening the observation window so the age elasticity can be estimated with real power</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cross-sectional question is worth revisiting too, but with the understanding that a larger sample is needed even to know whether its null reflects absence or merely low power. Reading the asymmetry correctly is what turns two modest results into a specific, prioritized research direction rather than an undifferentiated call for more data</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142"/>
    <w:bookmarkStart w:id="143" w:name="Xcf0caf961b6d00dc2036c657c1729f68bba0c14"/>
    <w:p>
      <w:pPr>
        <w:pStyle w:val="Heading2"/>
        <w:spacing w:line="480" w:lineRule="auto"/>
      </w:pPr>
      <w:r>
        <w:t xml:space="preserve">7.12 Why an honest limitations chapter is itself a result</w:t>
      </w:r>
    </w:p>
    <w:p>
      <w:pPr>
        <w:pStyle w:val="FirstParagraph"/>
        <w:spacing w:line="480" w:lineRule="auto"/>
      </w:pPr>
      <w:r>
        <w:t xml:space="preserve">There is a tendency to treat a limitations section as the place where a dissertation apologizes for what it failed to do. That framing is wrong for a design-stage work, and this chapter has tried to invert it. The careful specification of threats to validity, the explicit statement of what the data structurally cannot show, and the conversion of each limit into a next step are not confessions of weakness. They are the deliverable. A first-stage inquiry whose central output is a precise map of the evidentiary terrain, marking where the ground is firm, where it is soft, and where it is untested, gives a successor exactly what it needs to proceed efficiently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Read that way, the limitations chapter carries as much of the contribution as the results chapter does. The results told us what the corpus shows; the limitations tell us how far that showing can travel and what would extend its reach. Together they constitute an honest account of a bounded inquiry, which is the most a design-stage dissertation can offer and, offered rigorously, is a genuine scholarly contribution. The conclusion now gathers the results, the limitations, and the research agenda into a statement of what the work adds and to whom it matters</w:t>
      </w:r>
      <w:r>
        <w:t xml:space="preserve"> </w:t>
      </w:r>
      <w:hyperlink w:anchor="ref-5">
        <w:r>
          <w:rPr>
            <w:rStyle w:val="Hyperlink"/>
          </w:rPr>
          <w:t xml:space="preserve">[5]</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43"/>
    <w:bookmarkEnd w:id="144"/>
    <w:bookmarkStart w:id="188" w:name="chapter-8.-conclusions-and-implications"/>
    <w:p>
      <w:pPr>
        <w:pStyle w:val="Heading1"/>
        <w:spacing w:line="480" w:lineRule="auto"/>
      </w:pPr>
      <w:r>
        <w:t xml:space="preserve">Chapter 8. Conclusions and Implications</w:t>
      </w:r>
    </w:p>
    <w:bookmarkStart w:id="145" w:name="the-contribution-stated-plainly"/>
    <w:p>
      <w:pPr>
        <w:pStyle w:val="Heading2"/>
        <w:spacing w:line="480" w:lineRule="auto"/>
      </w:pPr>
      <w:r>
        <w:t xml:space="preserve">8.1 The contribution, stated plainly</w:t>
      </w:r>
    </w:p>
    <w:p>
      <w:pPr>
        <w:pStyle w:val="FirstParagraph"/>
        <w:spacing w:line="480" w:lineRule="auto"/>
      </w:pPr>
      <w:r>
        <w:t xml:space="preserve">This dissertation takes a problem that usually lives as a policy intuition, the sense that inclination crowding pushes an unfair avoidance burden onto the smaller and more agile operators, and converts it into a falsifiable, source-traced test. That conversion is the contribution. The project identifies a gap between three literatures that rarely meet, states a single testable proposition, builds two transparent empirical studies to test it, embeds the workbooks so the results can be regenerated, and reports the estimates with their real precision rather than an optimistic gloss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strongest causal claim remains for future work, and the dissertation says so. What it establishes is that the topic can be tested against obtainable evidence and that the retained corpus has interpretable, if modest, structure.</w:t>
      </w:r>
    </w:p>
    <w:p>
      <w:pPr>
        <w:pStyle w:val="BodyText"/>
        <w:spacing w:line="480" w:lineRule="auto"/>
        <w:ind w:firstLine="720"/>
      </w:pPr>
      <w:r>
        <w:t xml:space="preserve">The two studies contribute complementary pieces. The cross-sectional model shows that the topic signal in a thirty-record corpus is not organized by recency, citation attention, or venue family in any way the data can resolve, with an R-squared near 0.057 and a joint F-test that does not approach significance. The temporal model shows a negative age elasticity in citation accumulation, an estimated -0.593 implying that accumulated citations fall to about two-thirds as article age doubles, directionally consistent with a young, recency-weighted attention front but imprecise at a p-value near 0.134. These findings are not interchangeable. One reads the corpus across venues at a moment; the other reads it along time. Their value is cumulative rather than redundant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45"/>
    <w:bookmarkStart w:id="146" w:name="Xa2ccdfba3b08d8f2dc0d0191eca1506c6b09eff"/>
    <w:p>
      <w:pPr>
        <w:pStyle w:val="Heading2"/>
        <w:spacing w:line="480" w:lineRule="auto"/>
      </w:pPr>
      <w:r>
        <w:t xml:space="preserve">8.2 Why a design-stage result is a real doctoral contribution</w:t>
      </w:r>
    </w:p>
    <w:p>
      <w:pPr>
        <w:pStyle w:val="FirstParagraph"/>
        <w:spacing w:line="480" w:lineRule="auto"/>
      </w:pPr>
      <w:r>
        <w:t xml:space="preserve">The knowledge contribution is methodological as much as substantive. Substantively, the dissertation clarifies what the candidate topic looks like in the available evidence: a recognizable vocabulary sitting at the confluence of mature technical, sensing, and governance literatures, without yet having consolidated into a mature literature of its own</w:t>
      </w:r>
      <w:r>
        <w:t xml:space="preserve"> </w:t>
      </w:r>
      <w:hyperlink w:anchor="ref-6">
        <w:r>
          <w:rPr>
            <w:rStyle w:val="Hyperlink"/>
          </w:rPr>
          <w:t xml:space="preserve">[6]</w:t>
        </w:r>
      </w:hyperlink>
      <w:r>
        <w:t xml:space="preserve"> </w:t>
      </w:r>
      <w:hyperlink w:anchor="ref-11">
        <w:r>
          <w:rPr>
            <w:rStyle w:val="Hyperlink"/>
          </w:rPr>
          <w:t xml:space="preserve">[11]</w:t>
        </w:r>
      </w:hyperlink>
      <w:r>
        <w:t xml:space="preserve">. Methodologically, it demonstrates a repeatable way to turn a space-domain claim into variables, estimator output, and a documented, auditable appendix. That demonstration matters because so many space governance and program questions begin with partial records rather than finished datasets, and a discipline that can reason honestly from partial records is more useful than one that waits for perfect data or overstates weak evidence</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final substantive claim is therefore measured on purpose. The dissertation does not prove more than its artifacts support. It shows that the topic can be tested, that the retained evidence has interpretable structure, and that a stronger design could sharpen the inference. Replacing an intuition with an auditable empirical pathway is a legitimate doctoral result, and it is the result this project delivers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46"/>
    <w:bookmarkStart w:id="147" w:name="governance-and-program-relevance"/>
    <w:p>
      <w:pPr>
        <w:pStyle w:val="Heading2"/>
        <w:spacing w:line="480" w:lineRule="auto"/>
      </w:pPr>
      <w:r>
        <w:t xml:space="preserve">8.3 Governance and program relevance</w:t>
      </w:r>
    </w:p>
    <w:p>
      <w:pPr>
        <w:pStyle w:val="FirstParagraph"/>
        <w:spacing w:line="480" w:lineRule="auto"/>
      </w:pPr>
      <w:r>
        <w:t xml:space="preserve">The relevance to governance follows from the same discipline. Agencies, operators, standards bodies, and international forums routinely have to reason about avoidance-burden policy before complete data exist, and the temptation in that position is to let confident prose stand in for evidence. This dissertation offers an alternative posture: mark the boundary between what the record shows and what decision makers still need to learn, and let a policy conversation proceed empirically anchored but appropriately qualified</w:t>
      </w:r>
      <w:r>
        <w:t xml:space="preserve"> </w:t>
      </w:r>
      <w:hyperlink w:anchor="ref-4">
        <w:r>
          <w:rPr>
            <w:rStyle w:val="Hyperlink"/>
          </w:rPr>
          <w:t xml:space="preserve">[4]</w:t>
        </w:r>
      </w:hyperlink>
      <w:r>
        <w:t xml:space="preserve"> </w:t>
      </w:r>
      <w:hyperlink w:anchor="ref-5">
        <w:r>
          <w:rPr>
            <w:rStyle w:val="Hyperlink"/>
          </w:rPr>
          <w:t xml:space="preserve">[5]</w:t>
        </w:r>
      </w:hyperlink>
      <w:r>
        <w:t xml:space="preserve">. A negative age elasticity that is suggestive but not significant is exactly the kind of finding that should inform a research agenda without yet driving a binding rule, and saying so is more useful to a governance body than either dismissing the topic or overselling it</w:t>
      </w:r>
      <w:r>
        <w:t xml:space="preserve"> </w:t>
      </w:r>
      <w:hyperlink w:anchor="ref-16">
        <w:r>
          <w:rPr>
            <w:rStyle w:val="Hyperlink"/>
          </w:rPr>
          <w:t xml:space="preserve">[16]</w:t>
        </w:r>
      </w:hyperlink>
      <w:r>
        <w:t xml:space="preserve">.</w:t>
      </w:r>
    </w:p>
    <w:p>
      <w:pPr>
        <w:pStyle w:val="BodyText"/>
        <w:spacing w:line="480" w:lineRule="auto"/>
        <w:ind w:firstLine="720"/>
      </w:pPr>
      <w:r>
        <w:t xml:space="preserve">There is a program-management reading as well. The layered provenance the dissertation uses, a source universe feeding datasets feeding configuration files feeding workbooks feeding the narrative, is a template for institutional learning under uncertainty. A first pass uses public records and metadata to establish whether a claim is visible and measurable. A second pass adds operator-level, mission-level, and regulatory data. A third pass tests whether the observed associations survive stronger controls and longitudinal designs. The present work belongs to the first stage, and it names the later stages rather than blurring them together, which is precisely what a sponsor needs in order to decide whether the next stage is worth funding</w:t>
      </w:r>
      <w:r>
        <w:t xml:space="preserve"> </w:t>
      </w:r>
      <w:hyperlink w:anchor="ref-1">
        <w:r>
          <w:rPr>
            <w:rStyle w:val="Hyperlink"/>
          </w:rPr>
          <w:t xml:space="preserve">[1]</w:t>
        </w:r>
      </w:hyperlink>
      <w:r>
        <w:t xml:space="preserve"> </w:t>
      </w:r>
      <w:hyperlink w:anchor="ref-13">
        <w:r>
          <w:rPr>
            <w:rStyle w:val="Hyperlink"/>
          </w:rPr>
          <w:t xml:space="preserve">[13]</w:t>
        </w:r>
      </w:hyperlink>
      <w:r>
        <w:t xml:space="preserve">.</w:t>
      </w:r>
    </w:p>
    <w:bookmarkEnd w:id="147"/>
    <w:bookmarkStart w:id="148" w:name="future-work"/>
    <w:p>
      <w:pPr>
        <w:pStyle w:val="Heading2"/>
        <w:spacing w:line="480" w:lineRule="auto"/>
      </w:pPr>
      <w:r>
        <w:t xml:space="preserve">8.4 Future work</w:t>
      </w:r>
    </w:p>
    <w:p>
      <w:pPr>
        <w:pStyle w:val="FirstParagraph"/>
        <w:spacing w:line="480" w:lineRule="auto"/>
      </w:pPr>
      <w:r>
        <w:t xml:space="preserve">The next stage is specified by the limitations rather than left vague. The immediate priority is to replace bibliometric proxies with direct outcome measures: maneuver counts, propellant expenditure where operators will disclose it, and conjunction records tied to specific inclination shells, so that the avoidance burden is measured rather than inferred from the literature discussing it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second priority is to expand the source universe well beyond thirty records and beyond the accessible venue families, which would blunt the selection threat that most constrains the present results and give the estimators the power that thirty observations cannot provide</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Two further extensions would strengthen identification. Adding controls for the technical, institutional, and market drivers that a metadata model must omit would let a successor study move from association toward something closer to a causal reading. Recasting the temporal analysis in a genuinely longitudinal frame, observing accumulation directly rather than reconstructing it from an age index, would let the negative elasticity be confirmed or rejected on firmer ground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Each extension builds on the baseline this dissertation establishes.</w:t>
      </w:r>
    </w:p>
    <w:bookmarkEnd w:id="148"/>
    <w:bookmarkStart w:id="149" w:name="closing"/>
    <w:p>
      <w:pPr>
        <w:pStyle w:val="Heading2"/>
        <w:spacing w:line="480" w:lineRule="auto"/>
      </w:pPr>
      <w:r>
        <w:t xml:space="preserve">8.5 Closing</w:t>
      </w:r>
    </w:p>
    <w:p>
      <w:pPr>
        <w:pStyle w:val="FirstParagraph"/>
        <w:spacing w:line="480" w:lineRule="auto"/>
      </w:pPr>
      <w:r>
        <w:t xml:space="preserve">For Freya Vargas (1B-SDA-199), the project sets a durable research program in motion. It has taken a broad and contested claim about orbital fairness and given it an empirical spine, however slender, along with an honest account of where that spine is strong and where it bends. The dissertation does not claim victory over the underlying policy question. It claims something more sustainable: a reproducible method, a bounded but real finding, and a precise map of the data that would carry the argument the rest of the way</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149"/>
    <w:bookmarkStart w:id="150" w:name="the-theoretical-takeaway-restated"/>
    <w:p>
      <w:pPr>
        <w:pStyle w:val="Heading2"/>
        <w:spacing w:line="480" w:lineRule="auto"/>
      </w:pPr>
      <w:r>
        <w:t xml:space="preserve">8.6 The theoretical takeaway restated</w:t>
      </w:r>
    </w:p>
    <w:p>
      <w:pPr>
        <w:pStyle w:val="FirstParagraph"/>
        <w:spacing w:line="480" w:lineRule="auto"/>
      </w:pPr>
      <w:r>
        <w:t xml:space="preserve">Stripped to its core, the dissertation advances one theoretical claim and tests it honestly. Inclination crowding produces an avoidance burden that compounds nonlinearly, because conjunction events scale with the product of co-located populations rather than their sum, and that compounding burden tends to fall on the smaller, more agile, and more frequently maneuvering operators, and on the controllable objects that must yield to uncontrollable debris</w:t>
      </w:r>
      <w:r>
        <w:t xml:space="preserve"> </w:t>
      </w:r>
      <w:hyperlink w:anchor="ref-6">
        <w:r>
          <w:rPr>
            <w:rStyle w:val="Hyperlink"/>
          </w:rPr>
          <w:t xml:space="preserve">[6]</w:t>
        </w:r>
      </w:hyperlink>
      <w:r>
        <w:t xml:space="preserve"> </w:t>
      </w:r>
      <w:hyperlink w:anchor="ref-12">
        <w:r>
          <w:rPr>
            <w:rStyle w:val="Hyperlink"/>
          </w:rPr>
          <w:t xml:space="preserve">[12]</w:t>
        </w:r>
      </w:hyperlink>
      <w:r>
        <w:t xml:space="preserve">. If the research community has begun to recognize this compounding inequity as a distinct problem, the recognition should register as structure in the documentary record. The empirical test finds a stable average presence of the topic, no detectable cross-sectional organization, and a soft recency-weighted attention pattern, which together describe a problem the field is beginning to assemble rather than one it has settled</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That takeaway is worth as much for what it declines to say as for what it says. It does not declare the inequity proven, because the corpus cannot prove it. It does not declare the field indifferent, because the substantive literature is plainly engaged with the surrounding problems. It declares, precisely, that the specific framing of avoidance-burden inequity sits at an early stage of consolidation, and it hands a successor study the exact instruments, operator-level outcome data, an expanded source universe, controls for omitted drivers, and a longitudinal frame, needed to carry the inquiry from documentary shadow to physical measurement</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50"/>
    <w:bookmarkStart w:id="151" w:name="Xf6d1c517ea07edcd5ecb766b9db972a68643cb1"/>
    <w:p>
      <w:pPr>
        <w:pStyle w:val="Heading2"/>
        <w:spacing w:line="480" w:lineRule="auto"/>
      </w:pPr>
      <w:r>
        <w:t xml:space="preserve">8.7 Relevance to the cislunar and near-Earth program horizon</w:t>
      </w:r>
    </w:p>
    <w:p>
      <w:pPr>
        <w:pStyle w:val="FirstParagraph"/>
        <w:spacing w:line="480" w:lineRule="auto"/>
      </w:pPr>
      <w:r>
        <w:t xml:space="preserve">The program horizon sharpens the relevance. As near-Earth traffic climbs and in-space logistics matures, the transportation frame described in the literature will multiply the conjunction opportunities that transiting spacecraft face, loading avoidance obligations onto the movers who cross many shells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As avoidance decisions migrate toward autonomous deconfliction, whatever burden bias the allocation logic carries will be applied systematically and silently rather than negotiated case by case, and the accountability frameworks for that shift are not yet built</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A field that waits for a fully specified causal model before addressing burden allocation may find the allocation already frozen into software and infrastructure by the time the model arrives.</w:t>
      </w:r>
    </w:p>
    <w:p>
      <w:pPr>
        <w:pStyle w:val="BodyText"/>
        <w:spacing w:line="480" w:lineRule="auto"/>
        <w:ind w:firstLine="720"/>
      </w:pPr>
      <w:r>
        <w:t xml:space="preserve">This is where a design-stage bibliometric result earns its keep for a program office. It offers an early, cheap, honest reading of whether the problem has consolidated enough to warrant the expensive next step of operator-level measurement, and it specifies what that step would require. A sponsor deciding whether to fund a fuller study is better served by a transparent first-stage finding, even a soft one, than by either silence or overstatement. The dissertation supplies that first stage and names the second, which is the contribution a program horizon actually needs from work at this maturity</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bookmarkEnd w:id="151"/>
    <w:bookmarkStart w:id="152" w:name="a-durable-research-program"/>
    <w:p>
      <w:pPr>
        <w:pStyle w:val="Heading2"/>
        <w:spacing w:line="480" w:lineRule="auto"/>
      </w:pPr>
      <w:r>
        <w:t xml:space="preserve">8.8 A durable research program</w:t>
      </w:r>
    </w:p>
    <w:p>
      <w:pPr>
        <w:pStyle w:val="FirstParagraph"/>
        <w:spacing w:line="480" w:lineRule="auto"/>
      </w:pPr>
      <w:r>
        <w:t xml:space="preserve">For Freya Vargas (1B-SDA-199) the dissertation is not an endpoint but the first documented stage of a research program with a clear trajectory. The immediate next study replaces bibliometric proxies with direct outcome measures and expands the corpus. A subsequent study adds controls and a longitudinal design to move from association toward a causal reading. A mature version of the program would tie measured avoidance burden to specific inclination shells and operator classes, testing directly whether the compounding inequity the mechanism predicts appears in operational data</w:t>
      </w:r>
      <w:r>
        <w:t xml:space="preserve"> </w:t>
      </w:r>
      <w:hyperlink w:anchor="ref-5">
        <w:r>
          <w:rPr>
            <w:rStyle w:val="Hyperlink"/>
          </w:rPr>
          <w:t xml:space="preserve">[5]</w:t>
        </w:r>
      </w:hyperlink>
      <w:r>
        <w:t xml:space="preserve"> </w:t>
      </w:r>
      <w:hyperlink w:anchor="ref-14">
        <w:r>
          <w:rPr>
            <w:rStyle w:val="Hyperlink"/>
          </w:rPr>
          <w:t xml:space="preserve">[14]</w:t>
        </w:r>
      </w:hyperlink>
      <w:r>
        <w:t xml:space="preserve">. Each stage builds on the transparent baseline established here.</w:t>
      </w:r>
    </w:p>
    <w:p>
      <w:pPr>
        <w:pStyle w:val="BodyText"/>
        <w:spacing w:line="480" w:lineRule="auto"/>
        <w:ind w:firstLine="720"/>
      </w:pPr>
      <w:r>
        <w:t xml:space="preserve">The final word is a claim about method as much as about findings. A discipline that can turn a contested policy intuition into an auditable empirical pathway, report the result at whatever strength the evidence yields, and specify precisely what stronger evidence would require is a discipline equipped to reason under the uncertainty that space governance actually presents. This dissertation is a small, faithful instance of that discipline. It replaces an intuition with a reproducible test, delivers a bounded but real finding, and leaves behind a map precise enough for the next study to follow</w:t>
      </w:r>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52"/>
    <w:bookmarkStart w:id="153" w:name="X59b5914b9e77751cac0667895270826ee09f4d0"/>
    <w:p>
      <w:pPr>
        <w:pStyle w:val="Heading2"/>
        <w:spacing w:line="480" w:lineRule="auto"/>
      </w:pPr>
      <w:r>
        <w:t xml:space="preserve">8.9 What the dissertation adds to each literature it touched</w:t>
      </w:r>
    </w:p>
    <w:p>
      <w:pPr>
        <w:pStyle w:val="FirstParagraph"/>
        <w:spacing w:line="480" w:lineRule="auto"/>
      </w:pPr>
      <w:r>
        <w:t xml:space="preserve">Because the work sits at the confluence of three literatures, its contribution is best stated as what it returns to each. To the technical avoidance and conjunction-management literature, which has largely solved the maneuver but left open the allocation, the dissertation offers a framing that treats allocation as the live question and a first attempt to measure whether the field has begun to recognize it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To the situational-awareness and sensing literature, which produces the observations avoidance depends on, it offers the observation that sensing provision and burden allocation are the same distributive problem seen from two ends, and that a consolidated topic would treat them together</w:t>
      </w:r>
      <w:r>
        <w:t xml:space="preserve"> </w:t>
      </w:r>
      <w:hyperlink w:anchor="ref-6">
        <w:r>
          <w:rPr>
            <w:rStyle w:val="Hyperlink"/>
          </w:rPr>
          <w:t xml:space="preserve">[6]</w:t>
        </w:r>
      </w:hyperlink>
      <w:r>
        <w:t xml:space="preserve"> </w:t>
      </w:r>
      <w:hyperlink w:anchor="ref-8">
        <w:r>
          <w:rPr>
            <w:rStyle w:val="Hyperlink"/>
          </w:rPr>
          <w:t xml:space="preserve">[8]</w:t>
        </w:r>
      </w:hyperlink>
      <w:r>
        <w:t xml:space="preserve">. To the governance and capacity-management literature, which has named burden sharing without measuring it, the dissertation offers a reproducible measurement procedure and an honest first reading of what the documentary record currently supports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None of these contributions is large on its own, and the dissertation does not pretend otherwise. Their common thread is a method for turning a claim that each literature raises but none can settle from within itself into a testable proposition assessed against shared, auditable evidence. That method is the connective tissue the three literatures lacked, and supplying it, even at design stage, is a real addition to each</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53"/>
    <w:bookmarkStart w:id="154" w:name="a-note-on-honesty-as-method"/>
    <w:p>
      <w:pPr>
        <w:pStyle w:val="Heading2"/>
        <w:spacing w:line="480" w:lineRule="auto"/>
      </w:pPr>
      <w:r>
        <w:t xml:space="preserve">8.10 A note on honesty as method</w:t>
      </w:r>
    </w:p>
    <w:p>
      <w:pPr>
        <w:pStyle w:val="FirstParagraph"/>
        <w:spacing w:line="480" w:lineRule="auto"/>
      </w:pPr>
      <w:r>
        <w:t xml:space="preserve">The dissertation’s most transferable lesson is not about inclination crowding at all. It is about the discipline of reporting evidence at whatever strength it actually has. A cross-sectional model that explains under six percent of variance and a temporal elasticity that misses significance are not results a candidate would stage for effect, and the decision to feature them, interpret them carefully, and refuse to inflate them is the methodological heart of the work</w:t>
      </w:r>
      <w:r>
        <w:t xml:space="preserve"> </w:t>
      </w:r>
      <w:hyperlink w:anchor="ref-2">
        <w:r>
          <w:rPr>
            <w:rStyle w:val="Hyperlink"/>
          </w:rPr>
          <w:t xml:space="preserve">[2]</w:t>
        </w:r>
      </w:hyperlink>
      <w:r>
        <w:t xml:space="preserve"> </w:t>
      </w:r>
      <w:hyperlink w:anchor="ref-5">
        <w:r>
          <w:rPr>
            <w:rStyle w:val="Hyperlink"/>
          </w:rPr>
          <w:t xml:space="preserve">[5]</w:t>
        </w:r>
      </w:hyperlink>
      <w:r>
        <w:t xml:space="preserve">. Honesty here is not a virtue appended to the analysis; it is the analysis, built into the binding of the results to the workbooks and the interpretation to the coefficients.</w:t>
      </w:r>
    </w:p>
    <w:p>
      <w:pPr>
        <w:pStyle w:val="BodyText"/>
        <w:spacing w:line="480" w:lineRule="auto"/>
        <w:ind w:firstLine="720"/>
      </w:pPr>
      <w:r>
        <w:t xml:space="preserve">That discipline is what makes the contribution durable. Findings that overstate their strength are discredited the moment a larger study contradicts them, but a finding reported honestly at design stage remains valid precisely because it claimed only what it could support. When the successor study arrives with operator-level data and a larger corpus, it will build on this baseline rather than overturn it, because this baseline never claimed more than a bounded corpus could bear. A discipline that reports evidence honestly is a discipline whose results compound rather than collide, and that is the standard this dissertation was written to meet</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54"/>
    <w:bookmarkStart w:id="155" w:name="closing-statement"/>
    <w:p>
      <w:pPr>
        <w:pStyle w:val="Heading2"/>
        <w:spacing w:line="480" w:lineRule="auto"/>
      </w:pPr>
      <w:r>
        <w:t xml:space="preserve">8.11 Closing statement</w:t>
      </w:r>
    </w:p>
    <w:p>
      <w:pPr>
        <w:pStyle w:val="FirstParagraph"/>
        <w:spacing w:line="480" w:lineRule="auto"/>
      </w:pPr>
      <w:r>
        <w:t xml:space="preserve">The question this dissertation set out to address, whether inclination crowding distributes the avoidance burden inequitably, remains open in its full physical form, and the work does not pretend to have closed it. What the work has done is convert that open question into a tractable one, ask whether the field has begun to recognize the inequity in a way the documentary record can detect, and answer honestly that the topic has a stable presence, an unconsolidated cross-sectional structure, and a soft recency-weighted attention pattern consistent with a young research front. Every number behind that answer is reproducible from the retained artifacts, and every claim is bounded by what those artifacts support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For Freya Vargas (1B-SDA-199), and for the governance and program audiences the work is meant to serve, the dissertation delivers exactly what a rigorous design-stage inquiry should: a sharp question, a grounded mechanism, two transparent tests, an honest reading, and a precise agenda for the study that would carry the argument from documentary shadow to physical measurement. That is a legitimate and durable doctoral contribution, and it is the contribution this dissertation makes</w:t>
      </w:r>
      <w:r>
        <w:t xml:space="preserve"> </w:t>
      </w:r>
      <w:hyperlink w:anchor="ref-5">
        <w:r>
          <w:rPr>
            <w:rStyle w:val="Hyperlink"/>
          </w:rPr>
          <w:t xml:space="preserve">[5]</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55"/>
    <w:bookmarkStart w:id="156" w:name="reflection-on-the-design-stage-model"/>
    <w:p>
      <w:pPr>
        <w:pStyle w:val="Heading2"/>
        <w:spacing w:line="480" w:lineRule="auto"/>
      </w:pPr>
      <w:r>
        <w:t xml:space="preserve">8.12 Reflection on the design-stage model</w:t>
      </w:r>
    </w:p>
    <w:p>
      <w:pPr>
        <w:pStyle w:val="FirstParagraph"/>
        <w:spacing w:line="480" w:lineRule="auto"/>
      </w:pPr>
      <w:r>
        <w:t xml:space="preserve">The COLLEGIUM pipeline in which this work sits treats the design-stage dissertation as a distinct and legitimate form, and this project is a test of that proposition. A conventional dissertation might delay until operator-level data could be obtained and then attempt a strong causal estimate. This work takes a different path: it establishes, cheaply and transparently, whether the question is even measurable and how the field currently engages it, and it specifies the more expensive study that a positive-enough first stage would justify</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value of the design-stage form is that it front-loads the honesty. It forces the candidate to state the question so it can fail, to test it against whatever evidence exists, and to report the result at its true strength before any large investment is made.</w:t>
      </w:r>
    </w:p>
    <w:p>
      <w:pPr>
        <w:pStyle w:val="BodyText"/>
        <w:spacing w:line="480" w:lineRule="auto"/>
        <w:ind w:firstLine="720"/>
      </w:pPr>
      <w:r>
        <w:t xml:space="preserve">Judged against that model, the work succeeds on its own terms. It did not manufacture a strong finding, and the pipeline does not ask it to. It produced a bounded, reproducible reading of a documented corpus, an honest account of what that reading can and cannot support, and a prioritized agenda for the next stage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 reader assessing whether the design-stage form yields real doctoral contributions can point to this dissertation as an instance where it does, precisely because the work’s credibility rests on the transparency of its procedure rather than on the magnitude of its results. That is the reflection the pipeline invites, and this dissertation answers it in the affirmative.</w:t>
      </w:r>
    </w:p>
    <w:bookmarkEnd w:id="156"/>
    <w:bookmarkStart w:id="157" w:name="final-statement"/>
    <w:p>
      <w:pPr>
        <w:pStyle w:val="Heading2"/>
        <w:spacing w:line="480" w:lineRule="auto"/>
      </w:pPr>
      <w:r>
        <w:t xml:space="preserve">8.13 Final statement</w:t>
      </w:r>
    </w:p>
    <w:p>
      <w:pPr>
        <w:pStyle w:val="FirstParagraph"/>
        <w:spacing w:line="480" w:lineRule="auto"/>
      </w:pPr>
      <w:r>
        <w:t xml:space="preserve">The inequitable distribution of the avoidance burden under inclination crowding is a real and compounding problem, grounded in orbital physics and named across the governance literature, and it will grow more consequential as traffic climbs, logistics matures, and avoidance decisions automate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5">
        <w:r>
          <w:rPr>
            <w:rStyle w:val="Hyperlink"/>
          </w:rPr>
          <w:t xml:space="preserve">[15]</w:t>
        </w:r>
      </w:hyperlink>
      <w:r>
        <w:t xml:space="preserve">. This dissertation does not resolve it. What it does is convert a contested intuition into a testable proposition, measure whether the field has begun to recognize the problem in a way the record can detect, and answer honestly, with reproducible evidence, that the topic sits at an early stage of consolidation. Every claim is scoped to what the retained corpus supports, and every number is regenerable from the embedded artifacts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For Freya Vargas (1B-SDA-199), the work establishes a durable research program and a baseline from which the harder study can proceed. For the governance and program audiences it serves, it models a disciplined way to reason about space policy under partial data: state the claim so it can fail, test it against available evidence, report the result honestly, and specify precisely what stronger evidence would require. That discipline, more than any single finding, is the lasting contribution of this dissertation, and it is the standard the successor study will build upon</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57"/>
    <w:bookmarkStart w:id="187" w:name="references"/>
    <w:p>
      <w:pPr>
        <w:pStyle w:val="Heading2"/>
        <w:spacing w:line="480" w:lineRule="auto"/>
      </w:pPr>
      <w:r>
        <w:t xml:space="preserve">References</w:t>
      </w:r>
    </w:p>
    <w:p>
      <w:pPr>
        <w:pStyle w:val="FirstParagraph"/>
        <w:spacing w:line="480" w:lineRule="auto"/>
      </w:pPr>
      <w:bookmarkStart w:id="158" w:name="ref-1"/>
      <w:bookmarkEnd w:id="158"/>
      <w:r>
        <w:t xml:space="preserve">1.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159">
        <w:r>
          <w:rPr>
            <w:rStyle w:val="Hyperlink"/>
          </w:rPr>
          <w:t xml:space="preserve">10.64861/OHST9432</w:t>
        </w:r>
      </w:hyperlink>
    </w:p>
    <w:p>
      <w:pPr>
        <w:pStyle w:val="BodyText"/>
        <w:spacing w:line="480" w:lineRule="auto"/>
        <w:ind w:firstLine="720"/>
      </w:pPr>
      <w:bookmarkStart w:id="160" w:name="ref-2"/>
      <w:bookmarkEnd w:id="160"/>
      <w:r>
        <w:t xml:space="preserve">2.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61">
        <w:r>
          <w:rPr>
            <w:rStyle w:val="Hyperlink"/>
          </w:rPr>
          <w:t xml:space="preserve">10.64861/XQCN3213</w:t>
        </w:r>
      </w:hyperlink>
    </w:p>
    <w:p>
      <w:pPr>
        <w:pStyle w:val="BodyText"/>
        <w:spacing w:line="480" w:lineRule="auto"/>
        <w:ind w:firstLine="720"/>
      </w:pPr>
      <w:bookmarkStart w:id="162" w:name="ref-3"/>
      <w:bookmarkEnd w:id="162"/>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163">
        <w:r>
          <w:rPr>
            <w:rStyle w:val="Hyperlink"/>
          </w:rPr>
          <w:t xml:space="preserve">10.1109/TVCG.2019.2959321</w:t>
        </w:r>
      </w:hyperlink>
    </w:p>
    <w:p>
      <w:pPr>
        <w:pStyle w:val="BodyText"/>
        <w:spacing w:line="480" w:lineRule="auto"/>
        <w:ind w:firstLine="720"/>
      </w:pPr>
      <w:bookmarkStart w:id="164" w:name="ref-4"/>
      <w:bookmarkEnd w:id="164"/>
      <w:r>
        <w:t xml:space="preserve">4. Malcolm Davis, The Australian Strategic Policy Institute. Australia’s Emerging Space Policy – Defense Burden Sharing in Orbit and Space Situational Awareness (2020). [AMOS]</w:t>
      </w:r>
    </w:p>
    <w:p>
      <w:pPr>
        <w:pStyle w:val="BodyText"/>
        <w:spacing w:line="480" w:lineRule="auto"/>
        <w:ind w:firstLine="720"/>
      </w:pPr>
      <w:bookmarkStart w:id="165" w:name="ref-5"/>
      <w:bookmarkEnd w:id="165"/>
      <w:r>
        <w:t xml:space="preserve">5. James Reilly, Booz Allen Hamilton; Matthew Blackford, Booz Allen Hamilton; Jillian Mueller, Booz Allen Hamilton. Challenges in Space Traffic Management (2023). doi:</w:t>
      </w:r>
      <w:r>
        <w:t xml:space="preserve"> </w:t>
      </w:r>
      <w:hyperlink r:id="rId166">
        <w:r>
          <w:rPr>
            <w:rStyle w:val="Hyperlink"/>
          </w:rPr>
          <w:t xml:space="preserve">10.64861/UCTN1793</w:t>
        </w:r>
      </w:hyperlink>
    </w:p>
    <w:p>
      <w:pPr>
        <w:pStyle w:val="BodyText"/>
        <w:spacing w:line="480" w:lineRule="auto"/>
        <w:ind w:firstLine="720"/>
      </w:pPr>
      <w:bookmarkStart w:id="167" w:name="ref-6"/>
      <w:bookmarkEnd w:id="167"/>
      <w:r>
        <w:t xml:space="preserve">6. Akhter Mahmud Nafi, Utah State University; David Geller, Utah State University. Survey Design for Small Autonomous Ground-Based Telescopes To Detect Uncontrolled/Debris GEO Objects (2019). [AMOS]</w:t>
      </w:r>
    </w:p>
    <w:p>
      <w:pPr>
        <w:pStyle w:val="BodyText"/>
        <w:spacing w:line="480" w:lineRule="auto"/>
        <w:ind w:firstLine="720"/>
      </w:pPr>
      <w:bookmarkStart w:id="168" w:name="ref-7"/>
      <w:bookmarkEnd w:id="168"/>
      <w:r>
        <w:t xml:space="preserve">7. Matt Prechtel, Kratos RT Logic. Passive RF Sensing in support of SSA (2018). [AMOS]</w:t>
      </w:r>
    </w:p>
    <w:p>
      <w:pPr>
        <w:pStyle w:val="BodyText"/>
        <w:spacing w:line="480" w:lineRule="auto"/>
        <w:ind w:firstLine="720"/>
      </w:pPr>
      <w:bookmarkStart w:id="169" w:name="ref-8"/>
      <w:bookmarkEnd w:id="169"/>
      <w:r>
        <w:t xml:space="preserve">8. Gerardo Rivera, West Virginia University; Jacob Griesbach, ARKA/Stratagem; Rachit Bhatia, West Virginia University; Piyush Mehta, West Virginia University. A Novel Stochastic Unscented Transform for Robust State Estimation Enabling Enhanced Space Domain Awareness (2024). doi:</w:t>
      </w:r>
      <w:r>
        <w:t xml:space="preserve"> </w:t>
      </w:r>
      <w:hyperlink r:id="rId170">
        <w:r>
          <w:rPr>
            <w:rStyle w:val="Hyperlink"/>
          </w:rPr>
          <w:t xml:space="preserve">10.64861/YRQZ1796</w:t>
        </w:r>
      </w:hyperlink>
    </w:p>
    <w:p>
      <w:pPr>
        <w:pStyle w:val="BodyText"/>
        <w:spacing w:line="480" w:lineRule="auto"/>
        <w:ind w:firstLine="720"/>
      </w:pPr>
      <w:bookmarkStart w:id="171" w:name="ref-9"/>
      <w:bookmarkEnd w:id="171"/>
      <w:r>
        <w:t xml:space="preserve">9. Zeno Pavanello; Luigi De Maria; Andrea De Vittori; Michele Maestrini; Pierluigi Di Lizia; Roberto Armellin. CAMmary: A review of spacecraft collision avoidance manoeuvre design methods (2025). doi:</w:t>
      </w:r>
      <w:r>
        <w:t xml:space="preserve"> </w:t>
      </w:r>
      <w:hyperlink r:id="rId172">
        <w:r>
          <w:rPr>
            <w:rStyle w:val="Hyperlink"/>
          </w:rPr>
          <w:t xml:space="preserve">10.1016/j.actaastro.2025.07.027</w:t>
        </w:r>
      </w:hyperlink>
    </w:p>
    <w:p>
      <w:pPr>
        <w:pStyle w:val="BodyText"/>
        <w:spacing w:line="480" w:lineRule="auto"/>
        <w:ind w:firstLine="720"/>
      </w:pPr>
      <w:bookmarkStart w:id="173" w:name="ref-10"/>
      <w:bookmarkEnd w:id="173"/>
      <w:r>
        <w:t xml:space="preserve">10. T.P. Graham; Kathiravan Thangavel; Anne-Sophie Martin. Navigating AI-lien Terrain: Legal liability for artificial intelligence in outer space (2024). doi:</w:t>
      </w:r>
      <w:r>
        <w:t xml:space="preserve"> </w:t>
      </w:r>
      <w:hyperlink r:id="rId174">
        <w:r>
          <w:rPr>
            <w:rStyle w:val="Hyperlink"/>
          </w:rPr>
          <w:t xml:space="preserve">10.1016/j.actaastro.2024.01.039</w:t>
        </w:r>
      </w:hyperlink>
    </w:p>
    <w:p>
      <w:pPr>
        <w:pStyle w:val="BodyText"/>
        <w:spacing w:line="480" w:lineRule="auto"/>
        <w:ind w:firstLine="720"/>
      </w:pPr>
      <w:bookmarkStart w:id="175" w:name="ref-11"/>
      <w:bookmarkEnd w:id="175"/>
      <w:r>
        <w:t xml:space="preserve">11.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76">
        <w:r>
          <w:rPr>
            <w:rStyle w:val="Hyperlink"/>
          </w:rPr>
          <w:t xml:space="preserve">10.1016/j.actaastro.2025.01.069</w:t>
        </w:r>
      </w:hyperlink>
    </w:p>
    <w:p>
      <w:pPr>
        <w:pStyle w:val="BodyText"/>
        <w:spacing w:line="480" w:lineRule="auto"/>
        <w:ind w:firstLine="720"/>
      </w:pPr>
      <w:bookmarkStart w:id="177" w:name="ref-12"/>
      <w:bookmarkEnd w:id="177"/>
      <w:r>
        <w:t xml:space="preserve">12. A. Rossi; Noelia Sánchez-Ortíz; Emmanuelle David; Roberto Opromolla; Д. А. Гришко. Future activities in the near-earth space in the face of ever-increasing space traffic (2024). doi:</w:t>
      </w:r>
      <w:r>
        <w:t xml:space="preserve"> </w:t>
      </w:r>
      <w:hyperlink r:id="rId178">
        <w:r>
          <w:rPr>
            <w:rStyle w:val="Hyperlink"/>
          </w:rPr>
          <w:t xml:space="preserve">10.1016/j.actaastro.2024.09.063</w:t>
        </w:r>
      </w:hyperlink>
    </w:p>
    <w:p>
      <w:pPr>
        <w:pStyle w:val="BodyText"/>
        <w:spacing w:line="480" w:lineRule="auto"/>
        <w:ind w:firstLine="720"/>
      </w:pPr>
      <w:bookmarkStart w:id="179" w:name="ref-13"/>
      <w:bookmarkEnd w:id="179"/>
      <w:r>
        <w:t xml:space="preserve">13. Laura Pirovano; Roberto Armellin. Detection and estimation of spacecraft maneuvers for catalog maintenance (2023). doi:</w:t>
      </w:r>
      <w:r>
        <w:t xml:space="preserve"> </w:t>
      </w:r>
      <w:hyperlink r:id="rId180">
        <w:r>
          <w:rPr>
            <w:rStyle w:val="Hyperlink"/>
          </w:rPr>
          <w:t xml:space="preserve">10.1016/j.actaastro.2023.12.016</w:t>
        </w:r>
      </w:hyperlink>
    </w:p>
    <w:p>
      <w:pPr>
        <w:pStyle w:val="BodyText"/>
        <w:spacing w:line="480" w:lineRule="auto"/>
        <w:ind w:firstLine="720"/>
      </w:pPr>
      <w:bookmarkStart w:id="181" w:name="ref-14"/>
      <w:bookmarkEnd w:id="181"/>
      <w:r>
        <w:t xml:space="preserve">14. Antonio D’Anniballe; Leonard Felicetti; Stephen Hobbs. Preliminary analysis and design of an optical space surveillance and tracking constellation for LEO coverage (2025). doi:</w:t>
      </w:r>
      <w:r>
        <w:t xml:space="preserve"> </w:t>
      </w:r>
      <w:hyperlink r:id="rId182">
        <w:r>
          <w:rPr>
            <w:rStyle w:val="Hyperlink"/>
          </w:rPr>
          <w:t xml:space="preserve">10.1016/j.actaastro.2025.02.019</w:t>
        </w:r>
      </w:hyperlink>
    </w:p>
    <w:p>
      <w:pPr>
        <w:pStyle w:val="BodyText"/>
        <w:spacing w:line="480" w:lineRule="auto"/>
        <w:ind w:firstLine="720"/>
      </w:pPr>
      <w:bookmarkStart w:id="183" w:name="ref-15"/>
      <w:bookmarkEnd w:id="183"/>
      <w:r>
        <w:t xml:space="preserve">15. Shanmurugan Selvamurgan; E. Glenn Lightsey; Koki Ho. Time-optimal trajectory design of distributed space systems for in-space transportation in Earth Orbit (2026). doi:</w:t>
      </w:r>
      <w:r>
        <w:t xml:space="preserve"> </w:t>
      </w:r>
      <w:hyperlink r:id="rId184">
        <w:r>
          <w:rPr>
            <w:rStyle w:val="Hyperlink"/>
          </w:rPr>
          <w:t xml:space="preserve">10.1016/j.actaastro.2026.05.056</w:t>
        </w:r>
      </w:hyperlink>
    </w:p>
    <w:p>
      <w:pPr>
        <w:pStyle w:val="BodyText"/>
        <w:spacing w:line="480" w:lineRule="auto"/>
        <w:ind w:firstLine="720"/>
      </w:pPr>
      <w:bookmarkStart w:id="185" w:name="ref-16"/>
      <w:bookmarkEnd w:id="185"/>
      <w:r>
        <w:t xml:space="preserve">16. Sreeja Nag; David D. Murakami; N. Marker; Miles Lifson; Parimal Kopardekar. Prototyping operational autonomy for Space Traffic Management (2020). doi:</w:t>
      </w:r>
      <w:r>
        <w:t xml:space="preserve"> </w:t>
      </w:r>
      <w:hyperlink r:id="rId186">
        <w:r>
          <w:rPr>
            <w:rStyle w:val="Hyperlink"/>
          </w:rPr>
          <w:t xml:space="preserve">10.1016/j.actaastro.2020.11.056</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6a5e1500498aca6f525bc6f0e007af23ad9f728"/>
    <w:p>
      <w:pPr>
        <w:pStyle w:val="Heading2"/>
        <w:spacing w:line="480" w:lineRule="auto"/>
      </w:pPr>
      <w:r>
        <w:t xml:space="preserve">A.1 Signal Intensity in Inclination Crowding and the Inequitable Distribution of STM Avoidance Burden: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3.9569</w:t>
            </w:r>
          </w:p>
        </w:tc>
        <w:tc>
          <w:tcPr>
            <w:tcW w:w="0" w:type="auto"/>
          </w:tcPr>
          <w:p>
            <w:pPr>
              <w:spacing w:line="240" w:lineRule="auto" w:before="0" w:after="0"/>
              <w:pStyle w:val="Compact"/>
            </w:pPr>
            <w:r>
              <w:rPr>
                <w:sz w:val="20"/>
                <w:szCs w:val="20"/>
              </w:rPr>
              <w:t xml:space="preserve">1.355</w:t>
            </w:r>
          </w:p>
        </w:tc>
        <w:tc>
          <w:tcPr>
            <w:tcW w:w="0" w:type="auto"/>
          </w:tcPr>
          <w:p>
            <w:pPr>
              <w:spacing w:line="240" w:lineRule="auto" w:before="0" w:after="0"/>
              <w:pStyle w:val="Compact"/>
            </w:pPr>
            <w:r>
              <w:rPr>
                <w:sz w:val="20"/>
                <w:szCs w:val="20"/>
              </w:rPr>
              <w:t xml:space="preserve">2.9201</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[1.3011, 6.6127]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0.1311</w:t>
            </w:r>
          </w:p>
        </w:tc>
        <w:tc>
          <w:tcPr>
            <w:tcW w:w="0" w:type="auto"/>
          </w:tcPr>
          <w:p>
            <w:pPr>
              <w:spacing w:line="240" w:lineRule="auto" w:before="0" w:after="0"/>
              <w:pStyle w:val="Compact"/>
            </w:pPr>
            <w:r>
              <w:rPr>
                <w:sz w:val="20"/>
                <w:szCs w:val="20"/>
              </w:rPr>
              <w:t xml:space="preserve">-0.6146</w:t>
            </w:r>
          </w:p>
        </w:tc>
        <w:tc>
          <w:tcPr>
            <w:tcW w:w="0" w:type="auto"/>
          </w:tcPr>
          <w:p>
            <w:pPr>
              <w:spacing w:line="240" w:lineRule="auto" w:before="0" w:after="0"/>
              <w:pStyle w:val="Compact"/>
            </w:pPr>
            <w:r>
              <w:rPr>
                <w:sz w:val="20"/>
                <w:szCs w:val="20"/>
              </w:rPr>
              <w:t xml:space="preserve">0.5388</w:t>
            </w:r>
          </w:p>
        </w:tc>
        <w:tc>
          <w:tcPr>
            <w:tcW w:w="0" w:type="auto"/>
          </w:tcPr>
          <w:p>
            <w:pPr>
              <w:spacing w:line="240" w:lineRule="auto" w:before="0" w:after="0"/>
              <w:pStyle w:val="Compact"/>
            </w:pPr>
            <w:r>
              <w:rPr>
                <w:sz w:val="20"/>
                <w:szCs w:val="20"/>
              </w:rPr>
              <w:t xml:space="preserve">[-0.3376, 0.1764]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0.0324</w:t>
            </w:r>
          </w:p>
        </w:tc>
        <w:tc>
          <w:tcPr>
            <w:tcW w:w="0" w:type="auto"/>
          </w:tcPr>
          <w:p>
            <w:pPr>
              <w:spacing w:line="240" w:lineRule="auto" w:before="0" w:after="0"/>
              <w:pStyle w:val="Compact"/>
            </w:pPr>
            <w:r>
              <w:rPr>
                <w:sz w:val="20"/>
                <w:szCs w:val="20"/>
              </w:rPr>
              <w:t xml:space="preserve">0.3867</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[-0.051, 0.076]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-0.5805</w:t>
            </w:r>
          </w:p>
        </w:tc>
        <w:tc>
          <w:tcPr>
            <w:tcW w:w="0" w:type="auto"/>
          </w:tcPr>
          <w:p>
            <w:pPr>
              <w:spacing w:line="240" w:lineRule="auto" w:before="0" w:after="0"/>
              <w:pStyle w:val="Compact"/>
            </w:pPr>
            <w:r>
              <w:rPr>
                <w:sz w:val="20"/>
                <w:szCs w:val="20"/>
              </w:rPr>
              <w:t xml:space="preserve">0.4772</w:t>
            </w:r>
          </w:p>
        </w:tc>
        <w:tc>
          <w:tcPr>
            <w:tcW w:w="0" w:type="auto"/>
          </w:tcPr>
          <w:p>
            <w:pPr>
              <w:spacing w:line="240" w:lineRule="auto" w:before="0" w:after="0"/>
              <w:pStyle w:val="Compact"/>
            </w:pPr>
            <w:r>
              <w:rPr>
                <w:sz w:val="20"/>
                <w:szCs w:val="20"/>
              </w:rPr>
              <w:t xml:space="preserve">-1.2163</w:t>
            </w:r>
          </w:p>
        </w:tc>
        <w:tc>
          <w:tcPr>
            <w:tcW w:w="0" w:type="auto"/>
          </w:tcPr>
          <w:p>
            <w:pPr>
              <w:spacing w:line="240" w:lineRule="auto" w:before="0" w:after="0"/>
              <w:pStyle w:val="Compact"/>
            </w:pPr>
            <w:r>
              <w:rPr>
                <w:sz w:val="20"/>
                <w:szCs w:val="20"/>
              </w:rPr>
              <w:t xml:space="preserve">0.2239</w:t>
            </w:r>
          </w:p>
        </w:tc>
        <w:tc>
          <w:tcPr>
            <w:tcW w:w="0" w:type="auto"/>
          </w:tcPr>
          <w:p>
            <w:pPr>
              <w:spacing w:line="240" w:lineRule="auto" w:before="0" w:after="0"/>
              <w:pStyle w:val="Compact"/>
            </w:pPr>
            <w:r>
              <w:rPr>
                <w:sz w:val="20"/>
                <w:szCs w:val="20"/>
              </w:rPr>
              <w:t xml:space="preserve">[-1.5158, 0.3549]</w:t>
            </w:r>
          </w:p>
        </w:tc>
      </w:tr>
    </w:tbl>
    <w:p>
      <w:pPr>
        <w:pStyle w:val="BodyText"/>
        <w:spacing w:line="480" w:lineRule="auto"/>
        <w:ind w:firstLine="720"/>
      </w:pPr>
      <w:r>
        <w:t xml:space="preserve">Fit: N = 30 R2 = 0.057 R2_adj = -0.0518 F = 0.5694 F_p = 0.6402</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1" name="Picture"/>
            <a:graphic>
              <a:graphicData uri="http://schemas.openxmlformats.org/drawingml/2006/picture">
                <pic:pic>
                  <pic:nvPicPr>
                    <pic:cNvPr descr="D:/Claude_Code/brain/collegium/candidates/dissertations/STM_CISLUNAR_13/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https://amostech.space/year/2019/survey-design-for-small-autonomous-ground-based-telescopes-to-detect-uncontrolled-debris-geo-objects/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https://amostech.space/year/2018/passive-rf-sensing-in-support-of-ssa/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10.64861/YRQZ1796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https://amostech.space/year/2017/performance-of-optimized-scheduled-follow-up-observations-for-geosynchronous-space-objects-using-different-genetic-algorithms/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https://amostech.space/year/2022/sensor-management-for-space-based-sensing-constellations/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5"/>
    <w:bookmarkEnd w:id="196"/>
    <w:bookmarkStart w:id="204" w:name="X3b31a7979115a437a60dbaabcd1515372e376e8"/>
    <w:p>
      <w:pPr>
        <w:pStyle w:val="Heading2"/>
        <w:spacing w:line="480" w:lineRule="auto"/>
      </w:pPr>
      <w:r>
        <w:t xml:space="preserve">A.2 Attention Accumulation in Inclination Crowding and the Inequitable Distribution of STM Avoidance Burden: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1.7547</w:t>
            </w:r>
          </w:p>
        </w:tc>
        <w:tc>
          <w:tcPr>
            <w:tcW w:w="0" w:type="auto"/>
          </w:tcPr>
          <w:p>
            <w:pPr>
              <w:spacing w:line="240" w:lineRule="auto" w:before="0" w:after="0"/>
              <w:pStyle w:val="Compact"/>
            </w:pPr>
            <w:r>
              <w:rPr>
                <w:sz w:val="20"/>
                <w:szCs w:val="20"/>
              </w:rPr>
              <w:t xml:space="preserve">0.602</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[0.5749, 2.9346]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-0.5929</w:t>
            </w:r>
          </w:p>
        </w:tc>
        <w:tc>
          <w:tcPr>
            <w:tcW w:w="0" w:type="auto"/>
          </w:tcPr>
          <w:p>
            <w:pPr>
              <w:spacing w:line="240" w:lineRule="auto" w:before="0" w:after="0"/>
              <w:pStyle w:val="Compact"/>
            </w:pPr>
            <w:r>
              <w:rPr>
                <w:sz w:val="20"/>
                <w:szCs w:val="20"/>
              </w:rPr>
              <w:t xml:space="preserve">0.3958</w:t>
            </w:r>
          </w:p>
        </w:tc>
        <w:tc>
          <w:tcPr>
            <w:tcW w:w="0" w:type="auto"/>
          </w:tcPr>
          <w:p>
            <w:pPr>
              <w:spacing w:line="240" w:lineRule="auto" w:before="0" w:after="0"/>
              <w:pStyle w:val="Compact"/>
            </w:pPr>
            <w:r>
              <w:rPr>
                <w:sz w:val="20"/>
                <w:szCs w:val="20"/>
              </w:rPr>
              <w:t xml:space="preserve">-1.4981</w:t>
            </w:r>
          </w:p>
        </w:tc>
        <w:tc>
          <w:tcPr>
            <w:tcW w:w="0" w:type="auto"/>
          </w:tcPr>
          <w:p>
            <w:pPr>
              <w:spacing w:line="240" w:lineRule="auto" w:before="0" w:after="0"/>
              <w:pStyle w:val="Compact"/>
            </w:pPr>
            <w:r>
              <w:rPr>
                <w:sz w:val="20"/>
                <w:szCs w:val="20"/>
              </w:rPr>
              <w:t xml:space="preserve">0.1341</w:t>
            </w:r>
          </w:p>
        </w:tc>
        <w:tc>
          <w:tcPr>
            <w:tcW w:w="0" w:type="auto"/>
          </w:tcPr>
          <w:p>
            <w:pPr>
              <w:spacing w:line="240" w:lineRule="auto" w:before="0" w:after="0"/>
              <w:pStyle w:val="Compact"/>
            </w:pPr>
            <w:r>
              <w:rPr>
                <w:sz w:val="20"/>
                <w:szCs w:val="20"/>
              </w:rPr>
              <w:t xml:space="preserve">[-1.3687, 0.1828]</w:t>
            </w:r>
          </w:p>
        </w:tc>
      </w:tr>
    </w:tbl>
    <w:p>
      <w:pPr>
        <w:pStyle w:val="BodyText"/>
        <w:spacing w:line="480" w:lineRule="auto"/>
        <w:ind w:firstLine="720"/>
      </w:pPr>
      <w:r>
        <w:t xml:space="preserve">Fit: N = 30 R2 = 0.0865 elasticity_b = -0.5929 progress_ratio_2^b = 0.663</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9" name="Picture"/>
            <a:graphic>
              <a:graphicData uri="http://schemas.openxmlformats.org/drawingml/2006/picture">
                <pic:pic>
                  <pic:nvPicPr>
                    <pic:cNvPr descr="D:/Claude_Code/brain/collegium/candidates/dissertations/STM_CISLUNAR_13/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https://amostech.space/year/2019/survey-design-for-small-autonomous-ground-based-telescopes-to-detect-uncontrolled-debris-geo-objects/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https://amostech.space/year/2018/passive-rf-sensing-in-support-of-ssa/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10.64861/YRQZ1796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https://amostech.space/year/2017/performance-of-optimized-scheduled-follow-up-observations-for-geosynchronous-space-objects-using-different-genetic-algorithms/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https://amostech.space/year/2022/sensor-management-for-space-based-sensing-constellations/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86" Type="http://schemas.openxmlformats.org/officeDocument/2006/relationships/hyperlink" Target="https://doi.org/10.1016/j.actaastro.2020.11.056" TargetMode="External"/><Relationship Id="rId180" Type="http://schemas.openxmlformats.org/officeDocument/2006/relationships/hyperlink" Target="https://doi.org/10.1016/j.actaastro.2023.12.016" TargetMode="External"/><Relationship Id="rId174" Type="http://schemas.openxmlformats.org/officeDocument/2006/relationships/hyperlink" Target="https://doi.org/10.1016/j.actaastro.2024.01.039" TargetMode="External"/><Relationship Id="rId178" Type="http://schemas.openxmlformats.org/officeDocument/2006/relationships/hyperlink" Target="https://doi.org/10.1016/j.actaastro.2024.09.063" TargetMode="External"/><Relationship Id="rId176" Type="http://schemas.openxmlformats.org/officeDocument/2006/relationships/hyperlink" Target="https://doi.org/10.1016/j.actaastro.2025.01.069" TargetMode="External"/><Relationship Id="rId182" Type="http://schemas.openxmlformats.org/officeDocument/2006/relationships/hyperlink" Target="https://doi.org/10.1016/j.actaastro.2025.02.019" TargetMode="External"/><Relationship Id="rId172" Type="http://schemas.openxmlformats.org/officeDocument/2006/relationships/hyperlink" Target="https://doi.org/10.1016/j.actaastro.2025.07.027" TargetMode="External"/><Relationship Id="rId184" Type="http://schemas.openxmlformats.org/officeDocument/2006/relationships/hyperlink" Target="https://doi.org/10.1016/j.actaastro.2026.05.056" TargetMode="External"/><Relationship Id="rId163" Type="http://schemas.openxmlformats.org/officeDocument/2006/relationships/hyperlink" Target="https://doi.org/10.1109/TVCG.2019.2959321" TargetMode="External"/><Relationship Id="rId159" Type="http://schemas.openxmlformats.org/officeDocument/2006/relationships/hyperlink" Target="https://doi.org/10.64861/OHST9432" TargetMode="External"/><Relationship Id="rId166" Type="http://schemas.openxmlformats.org/officeDocument/2006/relationships/hyperlink" Target="https://doi.org/10.64861/UCTN1793" TargetMode="External"/><Relationship Id="rId161" Type="http://schemas.openxmlformats.org/officeDocument/2006/relationships/hyperlink" Target="https://doi.org/10.64861/XQCN3213" TargetMode="External"/><Relationship Id="rId170" Type="http://schemas.openxmlformats.org/officeDocument/2006/relationships/hyperlink" Target="https://doi.org/10.64861/YRQZ1796"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20.11.056" TargetMode="External"/><Relationship Id="rId180" Type="http://schemas.openxmlformats.org/officeDocument/2006/relationships/hyperlink" Target="https://doi.org/10.1016/j.actaastro.2023.12.016" TargetMode="External"/><Relationship Id="rId174" Type="http://schemas.openxmlformats.org/officeDocument/2006/relationships/hyperlink" Target="https://doi.org/10.1016/j.actaastro.2024.01.039" TargetMode="External"/><Relationship Id="rId178" Type="http://schemas.openxmlformats.org/officeDocument/2006/relationships/hyperlink" Target="https://doi.org/10.1016/j.actaastro.2024.09.063" TargetMode="External"/><Relationship Id="rId176" Type="http://schemas.openxmlformats.org/officeDocument/2006/relationships/hyperlink" Target="https://doi.org/10.1016/j.actaastro.2025.01.069" TargetMode="External"/><Relationship Id="rId182" Type="http://schemas.openxmlformats.org/officeDocument/2006/relationships/hyperlink" Target="https://doi.org/10.1016/j.actaastro.2025.02.019" TargetMode="External"/><Relationship Id="rId172" Type="http://schemas.openxmlformats.org/officeDocument/2006/relationships/hyperlink" Target="https://doi.org/10.1016/j.actaastro.2025.07.027" TargetMode="External"/><Relationship Id="rId184" Type="http://schemas.openxmlformats.org/officeDocument/2006/relationships/hyperlink" Target="https://doi.org/10.1016/j.actaastro.2026.05.056" TargetMode="External"/><Relationship Id="rId163" Type="http://schemas.openxmlformats.org/officeDocument/2006/relationships/hyperlink" Target="https://doi.org/10.1109/TVCG.2019.2959321" TargetMode="External"/><Relationship Id="rId159" Type="http://schemas.openxmlformats.org/officeDocument/2006/relationships/hyperlink" Target="https://doi.org/10.64861/OHST9432" TargetMode="External"/><Relationship Id="rId166" Type="http://schemas.openxmlformats.org/officeDocument/2006/relationships/hyperlink" Target="https://doi.org/10.64861/UCTN1793" TargetMode="External"/><Relationship Id="rId161" Type="http://schemas.openxmlformats.org/officeDocument/2006/relationships/hyperlink" Target="https://doi.org/10.64861/XQCN3213" TargetMode="External"/><Relationship Id="rId170" Type="http://schemas.openxmlformats.org/officeDocument/2006/relationships/hyperlink" Target="https://doi.org/10.64861/YRQZ1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Inclination Crowding and the Inequitable Distribution of STM Avoidance Burden</dc:title>
  <dc:creator>Freya Vargas (1B-SDA-199)</dc:creator>
  <cp:keywords/>
  <dcterms:created xsi:type="dcterms:W3CDTF">2026-07-03T00:23:07Z</dcterms:created>
  <dcterms:modified xsi:type="dcterms:W3CDTF">2026-07-03T00:23:07Z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