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5" w:name="X6480ecad242c4deab2cbcdac6ac5faa3d7d7724"/>
    <w:p>
      <w:pPr>
        <w:pStyle w:val="Heading1"/>
      </w:pPr>
      <w:r>
        <w:t xml:space="preserve">The Capability Elasticity of Cumulative SSA Investment: A Learning-Curve Test of Budget Signals as Custody-Capacity Forecasts</w:t>
      </w:r>
    </w:p>
    <w:bookmarkStart w:id="61" w:name="introduction"/>
    <w:p>
      <w:pPr>
        <w:pStyle w:val="Heading2"/>
      </w:pPr>
      <w:r>
        <w:t xml:space="preserve">1. Introduction</w:t>
      </w:r>
    </w:p>
    <w:p>
      <w:pPr>
        <w:pStyle w:val="FirstParagraph"/>
      </w:pPr>
      <w:r>
        <w:t xml:space="preserve">Policymakers and net assessors routinely read appropriations as a forecast of capability. When a government commits dollars to space situational awareness, observers infer that a corresponding gain in demonstrated awareness will follow. The companion study in this dissertation tests that inference in its dynamic, year-over-year form, asking whether lagged movement in cislunar SSA funding leads movement in an achievable custody-capacity frontier. This paper asks a complementary and structurally different question. Rather than tracking annual increments, it asks whether the entire accumulated stock of investment in space surveillance behaves like an experience base, such that demonstrated custody capacity scales as a stable power of cumulative spend.</w:t>
      </w:r>
    </w:p>
    <w:p>
      <w:pPr>
        <w:pStyle w:val="BodyText"/>
      </w:pPr>
      <w:r>
        <w:t xml:space="preserve">The reframing matters because experience curves, not annual-increment regressions, are the canonical instrument for relating cumulative investment to realized engineering output. If demonstrated custody capacity follows a learning curve in cumulative SSA dollars, then a single elasticity parameter summarizes how reliably budget converts into awareness, and that parameter becomes a forecasting tool of its own. The cislunar SDA architecture literature has matured to the point where capability is treated as a reproducible, model-derived quantity rather than a programmatic narrative</w:t>
      </w:r>
      <w:r>
        <w:t xml:space="preserve"> </w:t>
      </w:r>
      <w:hyperlink w:anchor="ref-1">
        <m:oMathPara>
          <m:oMathParaPr>
            <m:jc m:val="center"/>
          </m:oMathParaPr>
          <m:oMath>
            <m:r>
              <m:t>1</m:t>
            </m:r>
          </m:oMath>
        </m:oMathPara>
      </w:hyperlink>
      <w:r>
        <w:t xml:space="preserve">[2][4], and the broader space-domain-awareness community has begun to quantify how sensor allocations convert into observable coverage</w:t>
      </w:r>
      <w:r>
        <w:t xml:space="preserve"> </w:t>
      </w:r>
      <w:hyperlink w:anchor="ref-5">
        <m:oMathPara>
          <m:oMathParaPr>
            <m:jc m:val="center"/>
          </m:oMathParaPr>
          <m:oMath>
            <m:r>
              <m:t>5</m:t>
            </m:r>
          </m:oMath>
        </m:oMathPara>
      </w:hyperlink>
      <w:r>
        <w:t xml:space="preserve">[6]. That maturation invites a quantitative test of whether the accumulated budget that funds these architectures predicts the custody capacity actually held in the catalog.</w:t>
      </w:r>
    </w:p>
    <w:p>
      <w:pPr>
        <w:pStyle w:val="FirstParagraph"/>
      </w:pPr>
      <w:r>
        <w:t xml:space="preserve">This paper supplies that test using a log-log learning-curve specification over a twenty-two-year annual panel pairing the cataloged resident-space-object count with cumulative US SSA and SDA investment.</w:t>
      </w:r>
    </w:p>
    <w:bookmarkEnd w:id="61"/>
    <w:bookmarkStart w:id="62" w:name="theory-and-hypotheses"/>
    <w:p>
      <w:pPr>
        <w:pStyle w:val="Heading2"/>
      </w:pPr>
      <w:r>
        <w:t xml:space="preserve">2. Theory and Hypotheses</w:t>
      </w:r>
    </w:p>
    <w:p>
      <w:pPr>
        <w:pStyle w:val="FirstParagraph"/>
      </w:pPr>
      <w:r>
        <w:t xml:space="preserve">The learning-curve, or experience-curve, framing rests on a simple regularity: in many engineering enterprises, output capability rises as a power-law function of cumulative effort or cumulative investment, so that each doubling of the experience base yields a constant proportional gain. Applied here, the experience base is the cumulative real-dollar investment in space surveillance, and the capability output is the demonstrated custody capacity expressed as the number of resident space objects held in the public catalog. The catalog count is an attractive output measure because it is the realized, fielded analog of the achievable custody capacity that the cislunar architecture-optimization literature derives in model form</w:t>
      </w:r>
      <w:r>
        <w:t xml:space="preserve"> </w:t>
      </w:r>
      <w:hyperlink w:anchor="ref-1">
        <m:oMathPara>
          <m:oMathParaPr>
            <m:jc m:val="center"/>
          </m:oMathParaPr>
          <m:oMath>
            <m:r>
              <m:t>1</m:t>
            </m:r>
          </m:oMath>
        </m:oMathPara>
      </w:hyperlink>
      <w:r>
        <w:t xml:space="preserve">[4]; where that literature reports what an architecture could hold, the catalog reports what the deployed network does hold.</w:t>
      </w:r>
    </w:p>
    <w:p>
      <w:pPr>
        <w:pStyle w:val="FirstParagraph"/>
      </w:pPr>
      <w:r>
        <w:t xml:space="preserve">Two theoretical channels motivate a positive elasticity. First, the architecture literature shows that custody capacity is an explicit, optimizable function of sensor allocation, and that allocation is what budget buys</w:t>
      </w:r>
      <w:r>
        <w:t xml:space="preserve"> </w:t>
      </w:r>
      <w:hyperlink w:anchor="ref-2">
        <m:oMathPara>
          <m:oMathParaPr>
            <m:jc m:val="center"/>
          </m:oMathParaPr>
          <m:oMath>
            <m:r>
              <m:t>2</m:t>
            </m:r>
          </m:oMath>
        </m:oMathPara>
      </w:hyperlink>
      <w:r>
        <w:t xml:space="preserve">[4]. As cumulative investment grows, the deployed sensor base grows, and the catalog should expand. Second, the institutional literature on awareness infrastructure observes that the budget-to-capability transmission is real but frictional, mediated by program bottlenecks that smear investment into capability over time</w:t>
      </w:r>
      <w:r>
        <w:t xml:space="preserve"> </w:t>
      </w:r>
      <w:hyperlink w:anchor="ref-7">
        <m:oMathPara>
          <m:oMathParaPr>
            <m:jc m:val="center"/>
          </m:oMathParaPr>
          <m:oMath>
            <m:r>
              <m:t>7</m:t>
            </m:r>
          </m:oMath>
        </m:oMathPara>
      </w:hyperlink>
      <w:r>
        <w:t xml:space="preserve">. A cumulative specification is the natural way to absorb that smearing, because cumulating the budget integrates over the lag structure that defeats a purely contemporaneous regression.</w:t>
      </w:r>
    </w:p>
    <w:p>
      <w:pPr>
        <w:pStyle w:val="FirstParagraph"/>
      </w:pPr>
      <w:r>
        <w:t xml:space="preserve">This yields the paper’s hypotheses. Under the alternative, H1, the elasticity of log custody capacity with respect to log cumulative SSA investment is positive and statistically distinguishable from zero, so that cumulative budget signals carry forecastable information about realized custody capability. Under the null, H0, the elasticity is zero and accumulated spending is uninformative about the catalog the network actually holds. A positive, precisely estimated elasticity below unity would be consistent with a maturing enterprise exhibiting diminishing but real returns to accumulated investment, the pattern the institutional account anticipates</w:t>
      </w:r>
      <w:r>
        <w:t xml:space="preserve"> </w:t>
      </w:r>
      <w:hyperlink w:anchor="ref-7">
        <m:oMathPara>
          <m:oMathParaPr>
            <m:jc m:val="center"/>
          </m:oMathParaPr>
          <m:oMath>
            <m:r>
              <m:t>7</m:t>
            </m:r>
          </m:oMath>
        </m:oMathPara>
      </w:hyperlink>
      <w:r>
        <w:t xml:space="preserve">.</w:t>
      </w:r>
    </w:p>
    <w:bookmarkEnd w:id="62"/>
    <w:bookmarkStart w:id="63" w:name="data"/>
    <w:p>
      <w:pPr>
        <w:pStyle w:val="Heading2"/>
      </w:pPr>
      <w:r>
        <w:t xml:space="preserve">3. Data</w:t>
      </w:r>
    </w:p>
    <w:p>
      <w:pPr>
        <w:pStyle w:val="FirstParagraph"/>
      </w:pPr>
      <w:r>
        <w:t xml:space="preserve">The analysis uses an annual panel of twenty-two observations spanning 2004 through 2025, with each row paired to a named source in the dataset’s final column. The dependent variable is the count of cataloged resident space objects, drawn from the ESA Space Environment Reports for the recent years</w:t>
      </w:r>
      <w:r>
        <w:t xml:space="preserve"> </w:t>
      </w:r>
      <w:hyperlink w:anchor="ref-9">
        <m:oMathPara>
          <m:oMathParaPr>
            <m:jc m:val="center"/>
          </m:oMathParaPr>
          <m:oMath>
            <m:r>
              <m:t>9</m:t>
            </m:r>
          </m:oMath>
        </m:oMathPara>
      </w:hyperlink>
      <w:r>
        <w:t xml:space="preserve">[10], from US Space Surveillance Network historical reporting for the earlier years</w:t>
      </w:r>
      <w:r>
        <w:t xml:space="preserve"> </w:t>
      </w:r>
      <w:hyperlink w:anchor="ref-8">
        <m:oMathPara>
          <m:oMathParaPr>
            <m:jc m:val="center"/>
          </m:oMathParaPr>
          <m:oMath>
            <m:r>
              <m:t>8</m:t>
            </m:r>
          </m:oMath>
        </m:oMathPara>
      </w:hyperlink>
      <w:r>
        <w:t xml:space="preserve">, and cross-checked against CelesTrak surveillance reporting</w:t>
      </w:r>
      <w:r>
        <w:t xml:space="preserve"> </w:t>
      </w:r>
      <w:hyperlink w:anchor="ref-11">
        <m:oMathPara>
          <m:oMathParaPr>
            <m:jc m:val="center"/>
          </m:oMathParaPr>
          <m:oMath>
            <m:r>
              <m:t>11</m:t>
            </m:r>
          </m:oMath>
        </m:oMathPara>
      </w:hyperlink>
      <w:r>
        <w:t xml:space="preserve">. The catalog grows from roughly 9,300 objects in 2004 to roughly 38,500 in 2025, reflecting both expanded sensing and the fragmentation events of 2007 and 2009.</w:t>
      </w:r>
    </w:p>
    <w:p>
      <w:pPr>
        <w:pStyle w:val="FirstParagraph"/>
      </w:pPr>
      <w:r>
        <w:t xml:space="preserve">The experience variable is cumulative US SSA and SDA investment in millions of real dollars, constructed by summing an annual budget signal. The annual signal is anchored on documented figures: the Government Accountability Office reports that SSA core efforts averaged about one billion dollars per year across fiscal years 2015 through 2020</w:t>
      </w:r>
      <w:r>
        <w:t xml:space="preserve"> </w:t>
      </w:r>
      <w:hyperlink w:anchor="ref-12">
        <m:oMathPara>
          <m:oMathParaPr>
            <m:jc m:val="center"/>
          </m:oMathParaPr>
          <m:oMath>
            <m:r>
              <m:t>12</m:t>
            </m:r>
          </m:oMath>
        </m:oMathPara>
      </w:hyperlink>
      <w:r>
        <w:t xml:space="preserve">, and recent space-domain-awareness appropriations are documented at roughly 373 million dollars in the early-2020s request cycle</w:t>
      </w:r>
      <w:r>
        <w:t xml:space="preserve"> </w:t>
      </w:r>
      <w:hyperlink w:anchor="ref-13">
        <m:oMathPara>
          <m:oMathParaPr>
            <m:jc m:val="center"/>
          </m:oMathParaPr>
          <m:oMath>
            <m:r>
              <m:t>13</m:t>
            </m:r>
          </m:oMath>
        </m:oMathPara>
      </w:hyperlink>
      <w:r>
        <w:t xml:space="preserve"> </w:t>
      </w:r>
      <w:r>
        <w:t xml:space="preserve">rising to roughly 484 and 738 million dollars in the subsequent Space Force budget cycles</w:t>
      </w:r>
      <w:r>
        <w:t xml:space="preserve"> </w:t>
      </w:r>
      <w:hyperlink w:anchor="ref-14">
        <m:oMathPara>
          <m:oMathParaPr>
            <m:jc m:val="center"/>
          </m:oMathParaPr>
          <m:oMath>
            <m:r>
              <m:t>14</m:t>
            </m:r>
          </m:oMath>
        </m:oMathPara>
      </w:hyperlink>
      <w:r>
        <w:t xml:space="preserve">. Years before the GAO baseline window are back-cast below that one-billion-dollar level; three early rows, 2004 through 2006, carry an explicit illustrative marker for the back-cast budget figure and constitute under fourteen percent of the panel. Every catalog observation traces to a published surveillance report, and every budget anchor traces to a GAO product, a Space Foundation brief, or Space Force budget reporting.</w:t>
      </w:r>
    </w:p>
    <w:bookmarkEnd w:id="63"/>
    <w:bookmarkStart w:id="64" w:name="method"/>
    <w:p>
      <w:pPr>
        <w:pStyle w:val="Heading2"/>
      </w:pPr>
      <w:r>
        <w:t xml:space="preserve">4. Method</w:t>
      </w:r>
    </w:p>
    <w:p>
      <w:pPr>
        <w:pStyle w:val="FirstParagraph"/>
      </w:pPr>
      <w:r>
        <w:t xml:space="preserve">The estimator is a log-log ordinary-least-squares learning curve. The natural log of the cataloged-object count is regressed on a constant and the natural log of cumulative SSA investment, with heteroskedasticity-robust standard errors. The single slope coefficient is the capability elasticity: the percentage change in demonstrated custody capacity associated with a one-percent change in cumulative investment. The implied progress ratio, two raised to the slope, expresses the proportional custody gain per doubling of the cumulative experience base, which is the standard summary statistic of the experience-curve tradition.</w:t>
      </w:r>
    </w:p>
    <w:p>
      <w:pPr>
        <w:pStyle w:val="BodyText"/>
      </w:pPr>
      <w:r>
        <w:t xml:space="preserve">This design is deliberately distinct from the dynamic lagged-panel specification that carries the dissertation’s central identification claim. Where that specification isolates the marginal predictive content of annual budget changes net of a trend, the learning curve asks whether the accumulated stock of investment and the realized catalog stand in a stable power-law relationship across the full history. The two are complementary tests of the same underlying proposition that budget signals forecast capability, approached through different functional forms so that a finding robust to both is more credible than either alone.</w:t>
      </w:r>
    </w:p>
    <w:bookmarkEnd w:id="64"/>
    <w:bookmarkStart w:id="65" w:name="findings"/>
    <w:p>
      <w:pPr>
        <w:pStyle w:val="Heading2"/>
      </w:pPr>
      <w:r>
        <w:t xml:space="preserve">5. Findings</w:t>
      </w:r>
    </w:p>
    <w:p>
      <w:pPr>
        <w:pStyle w:val="FirstParagraph"/>
      </w:pPr>
      <w:r>
        <w:t xml:space="preserve">The estimated capability elasticity is positive, large, and precisely determined. The slope on log cumulative SSA investment is 0.686, with a robust standard error of 0.060, a t-statistic of 11.5, and a p-value below one in a million; the 95 percent confidence interval runs from 0.569 to 0.804. The null of a zero elasticity is rejected decisively. The intercept is 3.424 with a standard error of 0.532 and its own confidence interval from 2.381 to 4.467. The model explains a substantial share of the variation in log custody capacity, with an R-squared of 0.869 across the twenty-two annual observations.</w:t>
      </w:r>
    </w:p>
    <w:p>
      <w:pPr>
        <w:pStyle w:val="BodyText"/>
      </w:pPr>
      <w:r>
        <w:t xml:space="preserve">Read substantively, the elasticity of 0.686 says that a one-percent rise in cumulative SSA investment is associated with roughly a two-thirds-percent rise in the cataloged-object count. The corresponding progress ratio is 1.61, meaning that each doubling of the cumulative experience base is associated with about a 61 percent increase in demonstrated custody capacity. Because the elasticity sits well below unity, and the upper confidence bound of 0.804 stays below one, the data describe a regime of positive but diminishing returns: accumulated dollars do convert into a larger held catalog, but each successive doubling of spend buys proportionally less new custody than the last. That pattern is exactly what the institutional-bottleneck account predicts for a budget-to-capability transmission that is genuine yet frictional</w:t>
      </w:r>
      <w:r>
        <w:t xml:space="preserve"> </w:t>
      </w:r>
      <w:hyperlink w:anchor="ref-7">
        <m:oMathPara>
          <m:oMathParaPr>
            <m:jc m:val="center"/>
          </m:oMathParaPr>
          <m:oMath>
            <m:r>
              <m:t>7</m:t>
            </m:r>
          </m:oMath>
        </m:oMathPara>
      </w:hyperlink>
      <w:r>
        <w:t xml:space="preserve">.</w:t>
      </w:r>
    </w:p>
    <w:p>
      <w:pPr>
        <w:pStyle w:val="FirstParagraph"/>
      </w:pPr>
      <w:r>
        <w:t xml:space="preserve">The result therefore supports H1 and rejects H0 within this functional form. Cumulative SSA investment is a strongly informative predictor of realized custody capacity, and the relationship is tight enough, with nearly 87 percent of variance explained, that the single elasticity parameter functions as a usable forecasting summary.</w:t>
      </w:r>
    </w:p>
    <w:bookmarkEnd w:id="65"/>
    <w:bookmarkStart w:id="66" w:name="discussion"/>
    <w:p>
      <w:pPr>
        <w:pStyle w:val="Heading2"/>
      </w:pPr>
      <w:r>
        <w:t xml:space="preserve">6. Discussion</w:t>
      </w:r>
    </w:p>
    <w:p>
      <w:pPr>
        <w:pStyle w:val="FirstParagraph"/>
      </w:pPr>
      <w:r>
        <w:t xml:space="preserve">Two readings of these findings bear on the dissertation’s central question. The first is confirmatory. The learning-curve test and the dynamic lagged-panel test approach the budget-to-capability link through different functional forms, and both point the same direction: budget signals carry forecastable information about demonstrated SDA capability. A net assessor reading appropriations as a capability proxy is not, on this evidence, committing a category error, at least at the level of the realized catalog.</w:t>
      </w:r>
    </w:p>
    <w:p>
      <w:pPr>
        <w:pStyle w:val="BodyText"/>
      </w:pPr>
      <w:r>
        <w:t xml:space="preserve">The second reading is a caution about the currency of the forecast. The elasticity below unity means the conversion is lossy and decelerating, so a linear reading of dollars into capability will overstate the marginal return of additional spend. This is the quantitative shape of the institutional friction that the awareness-infrastructure literature describes qualitatively</w:t>
      </w:r>
      <w:r>
        <w:t xml:space="preserve"> </w:t>
      </w:r>
      <w:hyperlink w:anchor="ref-7">
        <m:oMathPara>
          <m:oMathParaPr>
            <m:jc m:val="center"/>
          </m:oMathParaPr>
          <m:oMath>
            <m:r>
              <m:t>7</m:t>
            </m:r>
          </m:oMath>
        </m:oMathPara>
      </w:hyperlink>
      <w:r>
        <w:t xml:space="preserve">, and it is the shape that should temper any straight-line extrapolation of cislunar SDA capability from a planned budget line.</w:t>
      </w:r>
    </w:p>
    <w:p>
      <w:pPr>
        <w:pStyle w:val="FirstParagraph"/>
      </w:pPr>
      <w:r>
        <w:t xml:space="preserve">Three limitations frame the result. The custody output here is the general resident-space-object catalog, which is dominated by the near-Earth regime rather than the cislunar volume that is the dissertation’s ultimate target; the catalog is the best available fielded analog of custody capacity, but it is an analog, and the cislunar-specific custody frontier remains a modeled rather than a fielded quantity</w:t>
      </w:r>
      <w:r>
        <w:t xml:space="preserve"> </w:t>
      </w:r>
      <w:hyperlink w:anchor="ref-1">
        <m:oMathPara>
          <m:oMathParaPr>
            <m:jc m:val="center"/>
          </m:oMathParaPr>
          <m:oMath>
            <m:r>
              <m:t>1</m:t>
            </m:r>
          </m:oMath>
        </m:oMathPara>
      </w:hyperlink>
      <w:r>
        <w:t xml:space="preserve">[4]. The budget series attributes spending to SSA and SDA across program elements and back-casts the earliest years, so the cumulative experience axis is measured with the attribution judgment its sources permit</w:t>
      </w:r>
      <w:r>
        <w:t xml:space="preserve"> </w:t>
      </w:r>
      <w:hyperlink w:anchor="ref-12">
        <m:oMathPara>
          <m:oMathParaPr>
            <m:jc m:val="center"/>
          </m:oMathParaPr>
          <m:oMath>
            <m:r>
              <m:t>12</m:t>
            </m:r>
          </m:oMath>
        </m:oMathPara>
      </w:hyperlink>
      <w:r>
        <w:t xml:space="preserve">[13][14]. And the log-log form, while standard, imposes a constant elasticity that cannot capture a structural break should the cislunar mission introduce a genuinely new sensing regime. Each limitation is a direction for the cislunar-specific extension that the dissertation’s modeled custody frontier makes possible</w:t>
      </w:r>
      <w:r>
        <w:t xml:space="preserve"> </w:t>
      </w:r>
      <w:hyperlink w:anchor="ref-2">
        <m:oMathPara>
          <m:oMathParaPr>
            <m:jc m:val="center"/>
          </m:oMathParaPr>
          <m:oMath>
            <m:r>
              <m:t>2</m:t>
            </m:r>
          </m:oMath>
        </m:oMathPara>
      </w:hyperlink>
      <w:r>
        <w:t xml:space="preserve">[4][5].</w:t>
      </w:r>
    </w:p>
    <w:bookmarkEnd w:id="66"/>
    <w:bookmarkStart w:id="85" w:name="references"/>
    <w:p>
      <w:pPr>
        <w:pStyle w:val="Heading2"/>
      </w:pPr>
      <w:r>
        <w:t xml:space="preserve">References</w:t>
      </w:r>
    </w:p>
    <w:p>
      <w:pPr>
        <w:pStyle w:val="FirstParagraph"/>
      </w:pPr>
      <w:bookmarkStart w:id="67" w:name="ref-1"/>
      <w:bookmarkEnd w:id="67"/>
      <w:r>
        <w:t xml:space="preserve">1. N. Owens Fahrner, J. Correa, and J. Wysack,</w:t>
      </w:r>
      <w:r>
        <w:t xml:space="preserve"> </w:t>
      </w:r>
      <w:r>
        <w:t xml:space="preserve">“Capacity-based Cislunar Space Domain Awareness Architecture Optimization,”</w:t>
      </w:r>
      <w:r>
        <w:t xml:space="preserve"> </w:t>
      </w:r>
      <w:r>
        <w:t xml:space="preserve">Proc. Advanced Maui Optical and Space Surveillance Technologies (AMOS) Conference, 2022.</w:t>
      </w:r>
    </w:p>
    <w:p>
      <w:pPr>
        <w:pStyle w:val="BodyText"/>
      </w:pPr>
      <w:bookmarkStart w:id="68" w:name="ref-2"/>
      <w:bookmarkEnd w:id="68"/>
      <w:r>
        <w:t xml:space="preserve">2. M. Klonowski, N. Owens Fahrner, C. Heidrich, and M. Holzinger,</w:t>
      </w:r>
      <w:r>
        <w:t xml:space="preserve"> </w:t>
      </w:r>
      <w:r>
        <w:t xml:space="preserve">“Robust Cislunar Architecture Design Optimization for Cooperative Agents,”</w:t>
      </w:r>
      <w:r>
        <w:t xml:space="preserve"> </w:t>
      </w:r>
      <w:r>
        <w:t xml:space="preserve">Proc. Advanced Maui Optical and Space Surveillance Technologies (AMOS) Conference, 2023. doi:</w:t>
      </w:r>
      <w:r>
        <w:t xml:space="preserve"> </w:t>
      </w:r>
      <w:hyperlink r:id="rId69">
        <w:r>
          <w:rPr>
            <w:rStyle w:val="Hyperlink"/>
          </w:rPr>
          <w:t xml:space="preserve">10.64861/XSZN4297</w:t>
        </w:r>
      </w:hyperlink>
    </w:p>
    <w:p>
      <w:pPr>
        <w:pStyle w:val="BodyText"/>
      </w:pPr>
      <w:bookmarkStart w:id="70" w:name="ref-4"/>
      <w:bookmarkEnd w:id="70"/>
      <w:r>
        <w:t xml:space="preserve">4. J. Kim and N. Owens Fahrner,</w:t>
      </w:r>
      <w:r>
        <w:t xml:space="preserve"> </w:t>
      </w:r>
      <w:r>
        <w:t xml:space="preserve">“A Comprehensive Approach to Optimized Cislunar Architecture Design Utilizing Capacity,”</w:t>
      </w:r>
      <w:r>
        <w:t xml:space="preserve"> </w:t>
      </w:r>
      <w:r>
        <w:t xml:space="preserve">Proc. Advanced Maui Optical and Space Surveillance Technologies (AMOS) Conference, 2024. doi:</w:t>
      </w:r>
      <w:r>
        <w:t xml:space="preserve"> </w:t>
      </w:r>
      <w:hyperlink r:id="rId71">
        <w:r>
          <w:rPr>
            <w:rStyle w:val="Hyperlink"/>
          </w:rPr>
          <w:t xml:space="preserve">10.64861/ESVN6806</w:t>
        </w:r>
      </w:hyperlink>
    </w:p>
    <w:p>
      <w:pPr>
        <w:pStyle w:val="BodyText"/>
      </w:pPr>
      <w:bookmarkStart w:id="72" w:name="ref-5"/>
      <w:bookmarkEnd w:id="72"/>
      <w:r>
        <w:t xml:space="preserve">5. M. Kirshner and E. Pearce,</w:t>
      </w:r>
      <w:r>
        <w:t xml:space="preserve"> </w:t>
      </w:r>
      <w:r>
        <w:t xml:space="preserve">“Developing Optical Sensor Constellation Architectures for Space Domain Awareness through Model-Based Trade Studies,”</w:t>
      </w:r>
      <w:r>
        <w:t xml:space="preserve"> </w:t>
      </w:r>
      <w:r>
        <w:t xml:space="preserve">Proc. Advanced Maui Optical and Space Surveillance Technologies (AMOS) Conference, 2024. doi:</w:t>
      </w:r>
      <w:r>
        <w:t xml:space="preserve"> </w:t>
      </w:r>
      <w:hyperlink r:id="rId73">
        <w:r>
          <w:rPr>
            <w:rStyle w:val="Hyperlink"/>
          </w:rPr>
          <w:t xml:space="preserve">10.64861/FHSX9637</w:t>
        </w:r>
      </w:hyperlink>
    </w:p>
    <w:p>
      <w:pPr>
        <w:pStyle w:val="BodyText"/>
      </w:pPr>
      <w:bookmarkStart w:id="74" w:name="ref-6"/>
      <w:bookmarkEnd w:id="74"/>
      <w:r>
        <w:t xml:space="preserve">6. J. Correa, J. Ware, M. Akella, and B. Jones,</w:t>
      </w:r>
      <w:r>
        <w:t xml:space="preserve"> </w:t>
      </w:r>
      <w:r>
        <w:t xml:space="preserve">“Adaptive Sensor Tasking Strategies for Tracking Non-Cooperative Cislunar Space Objects,”</w:t>
      </w:r>
      <w:r>
        <w:t xml:space="preserve"> </w:t>
      </w:r>
      <w:r>
        <w:t xml:space="preserve">Proc. Advanced Maui Optical and Space Surveillance Technologies (AMOS) Conference, 2024. doi:</w:t>
      </w:r>
      <w:r>
        <w:t xml:space="preserve"> </w:t>
      </w:r>
      <w:hyperlink r:id="rId75">
        <w:r>
          <w:rPr>
            <w:rStyle w:val="Hyperlink"/>
          </w:rPr>
          <w:t xml:space="preserve">10.64861/NAKM9168</w:t>
        </w:r>
      </w:hyperlink>
    </w:p>
    <w:p>
      <w:pPr>
        <w:pStyle w:val="BodyText"/>
      </w:pPr>
      <w:bookmarkStart w:id="76" w:name="ref-7"/>
      <w:bookmarkEnd w:id="76"/>
      <w:r>
        <w:t xml:space="preserve">7. J. Long and W. Chen,</w:t>
      </w:r>
      <w:r>
        <w:t xml:space="preserve"> </w:t>
      </w:r>
      <w:r>
        <w:t xml:space="preserve">“Laser utilization in outer space: Institutional bottleneck and prospects,”</w:t>
      </w:r>
      <w:r>
        <w:t xml:space="preserve"> </w:t>
      </w:r>
      <w:r>
        <w:t xml:space="preserve">Acta Astronautica, vol. 229, 2025. doi:</w:t>
      </w:r>
      <w:r>
        <w:t xml:space="preserve"> </w:t>
      </w:r>
      <w:hyperlink r:id="rId77">
        <w:r>
          <w:rPr>
            <w:rStyle w:val="Hyperlink"/>
          </w:rPr>
          <w:t xml:space="preserve">10.1016/j.actaastro.2025.01.061</w:t>
        </w:r>
      </w:hyperlink>
    </w:p>
    <w:p>
      <w:pPr>
        <w:pStyle w:val="BodyText"/>
      </w:pPr>
      <w:bookmarkStart w:id="78" w:name="ref-8"/>
      <w:bookmarkEnd w:id="78"/>
      <w:r>
        <w:t xml:space="preserve">8. United States Space Surveillance Network, historical tracked-object counts, en.wikipedia.org/wiki/United_States_Space_Surveillance_Network (sourced to USSTRATCOM/USSPACECOM reporting), retrieved 2026.</w:t>
      </w:r>
    </w:p>
    <w:p>
      <w:pPr>
        <w:pStyle w:val="BodyText"/>
      </w:pPr>
      <w:bookmarkStart w:id="79" w:name="ref-9"/>
      <w:bookmarkEnd w:id="79"/>
      <w:r>
        <w:t xml:space="preserve">9. European Space Agency,</w:t>
      </w:r>
      <w:r>
        <w:t xml:space="preserve"> </w:t>
      </w:r>
      <w:r>
        <w:t xml:space="preserve">“ESA Space Environment Report 2024,”</w:t>
      </w:r>
      <w:r>
        <w:t xml:space="preserve"> </w:t>
      </w:r>
      <w:r>
        <w:t xml:space="preserve">esa.int/Space_Safety/Space_Debris/ESA_Space_Environment_Report_2024, retrieved 2026.</w:t>
      </w:r>
    </w:p>
    <w:p>
      <w:pPr>
        <w:pStyle w:val="BodyText"/>
      </w:pPr>
      <w:bookmarkStart w:id="80" w:name="ref-10"/>
      <w:bookmarkEnd w:id="80"/>
      <w:r>
        <w:t xml:space="preserve">10. European Space Agency,</w:t>
      </w:r>
      <w:r>
        <w:t xml:space="preserve"> </w:t>
      </w:r>
      <w:r>
        <w:t xml:space="preserve">“ESA Space Environment Report 2025,”</w:t>
      </w:r>
      <w:r>
        <w:t xml:space="preserve"> </w:t>
      </w:r>
      <w:r>
        <w:t xml:space="preserve">esa.int/Space_Safety/Space_Debris/ESA_Space_Environment_Report_2025, retrieved 2026.</w:t>
      </w:r>
    </w:p>
    <w:p>
      <w:pPr>
        <w:pStyle w:val="BodyText"/>
      </w:pPr>
      <w:bookmarkStart w:id="81" w:name="ref-11"/>
      <w:bookmarkEnd w:id="81"/>
      <w:r>
        <w:t xml:space="preserve">11. CelesTrak,</w:t>
      </w:r>
      <w:r>
        <w:t xml:space="preserve"> </w:t>
      </w:r>
      <w:r>
        <w:t xml:space="preserve">“Space Surveillance,”</w:t>
      </w:r>
      <w:r>
        <w:t xml:space="preserve"> </w:t>
      </w:r>
      <w:r>
        <w:t xml:space="preserve">celestrak.org, retrieved 2026.</w:t>
      </w:r>
    </w:p>
    <w:p>
      <w:pPr>
        <w:pStyle w:val="BodyText"/>
      </w:pPr>
      <w:bookmarkStart w:id="82" w:name="ref-12"/>
      <w:bookmarkEnd w:id="82"/>
      <w:r>
        <w:t xml:space="preserve">12. U.S. Government Accountability Office,</w:t>
      </w:r>
      <w:r>
        <w:t xml:space="preserve"> </w:t>
      </w:r>
      <w:r>
        <w:t xml:space="preserve">“Space Situational Awareness: Status of Efforts and Planned Budgets,”</w:t>
      </w:r>
      <w:r>
        <w:t xml:space="preserve"> </w:t>
      </w:r>
      <w:r>
        <w:t xml:space="preserve">GAO-16-6R, gao.gov/products/gao-16-6r, 2015.</w:t>
      </w:r>
    </w:p>
    <w:p>
      <w:pPr>
        <w:pStyle w:val="BodyText"/>
      </w:pPr>
      <w:bookmarkStart w:id="83" w:name="ref-13"/>
      <w:bookmarkEnd w:id="83"/>
      <w:r>
        <w:t xml:space="preserve">13. Space Foundation,</w:t>
      </w:r>
      <w:r>
        <w:t xml:space="preserve"> </w:t>
      </w:r>
      <w:r>
        <w:t xml:space="preserve">“Space Situational Awareness”</w:t>
      </w:r>
      <w:r>
        <w:t xml:space="preserve"> </w:t>
      </w:r>
      <w:r>
        <w:t xml:space="preserve">space brief, spacefoundation.org, retrieved 2026.</w:t>
      </w:r>
    </w:p>
    <w:p>
      <w:pPr>
        <w:pStyle w:val="BodyText"/>
      </w:pPr>
      <w:bookmarkStart w:id="84" w:name="ref-14"/>
      <w:bookmarkEnd w:id="84"/>
      <w:r>
        <w:t xml:space="preserve">14. Space Force space-domain-awareness budget reporting, airandspaceforces.com and defensescoop.com, retrieved 2026.</w:t>
      </w:r>
    </w:p>
    <w:bookmarkEnd w:id="85"/>
    <w:bookmarkStart w:id="86"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cataloged_objects</m:t>
              </m:r>
            </m:e>
            <m:sub>
              <m:r>
                <m:t>t</m:t>
              </m:r>
            </m:sub>
          </m:sSub>
          <m:r>
            <m:rPr>
              <m:sty m:val="p"/>
            </m:rPr>
            <m:t>)</m:t>
          </m:r>
          <m:r>
            <m:rPr>
              <m:sty m:val="p"/>
            </m:rPr>
            <m:t>=</m:t>
          </m:r>
          <m:r>
            <m:t>α</m:t>
          </m:r>
          <m:r>
            <m:rPr>
              <m:sty m:val="p"/>
            </m:rPr>
            <m:t>+</m:t>
          </m:r>
          <m:r>
            <m:t>β</m:t>
          </m:r>
          <m:r>
            <m:t> </m:t>
          </m:r>
          <m:r>
            <m:rPr>
              <m:sty m:val="p"/>
            </m:rPr>
            <m:t>ln</m:t>
          </m:r>
          <m:r>
            <m:rPr>
              <m:sty m:val="p"/>
            </m:rPr>
            <m:t>(</m:t>
          </m:r>
          <m:sSub>
            <m:e>
              <m:r>
                <m:rPr>
                  <m:nor/>
                  <m:sty m:val="p"/>
                </m:rPr>
                <m:t>cumulative_ssa_budget</m:t>
              </m:r>
            </m:e>
            <m:sub>
              <m:r>
                <m:t>t</m:t>
              </m:r>
            </m:sub>
          </m:sSub>
          <m:r>
            <m:rPr>
              <m:sty m:val="p"/>
            </m:rPr>
            <m:t>)</m:t>
          </m:r>
          <m:r>
            <m:rPr>
              <m:sty m:val="p"/>
            </m:rPr>
            <m:t>+</m:t>
          </m:r>
          <m:sSub>
            <m:e>
              <m:r>
                <m:t>ε</m:t>
              </m:r>
            </m:e>
            <m:sub>
              <m:r>
                <m:t>t</m:t>
              </m:r>
            </m:sub>
          </m:sSub>
        </m:oMath>
      </m:oMathPara>
    </w:p>
    <w:bookmarkEnd w:id="86"/>
    <w:bookmarkStart w:id="90"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3.4241</w:t>
            </w:r>
          </w:p>
        </w:tc>
        <w:tc>
          <w:tcPr>
            <w:tcW w:w="0" w:type="auto"/>
          </w:tcPr>
          <w:p>
            <w:pPr>
              <w:spacing w:line="240" w:lineRule="auto" w:before="0" w:after="0"/>
              <w:pStyle w:val="Compact"/>
            </w:pPr>
            <w:r>
              <w:rPr>
                <w:sz w:val="20"/>
                <w:szCs w:val="20"/>
              </w:rPr>
              <w:t xml:space="preserve">0.5322</w:t>
            </w:r>
          </w:p>
        </w:tc>
        <w:tc>
          <w:tcPr>
            <w:tcW w:w="0" w:type="auto"/>
          </w:tcPr>
          <w:p>
            <w:pPr>
              <w:spacing w:line="240" w:lineRule="auto" w:before="0" w:after="0"/>
              <w:pStyle w:val="Compact"/>
            </w:pPr>
            <w:r>
              <w:rPr>
                <w:sz w:val="20"/>
                <w:szCs w:val="20"/>
              </w:rPr>
              <w:t xml:space="preserve">6.4342</w:t>
            </w:r>
          </w:p>
        </w:tc>
        <w:tc>
          <w:tcPr>
            <w:tcW w:w="0" w:type="auto"/>
          </w:tcPr>
          <w:p>
            <w:pPr>
              <w:spacing w:line="240" w:lineRule="auto" w:before="0" w:after="0"/>
              <w:pStyle w:val="Compact"/>
            </w:pPr>
            <w:r>
              <w:rPr>
                <w:sz w:val="20"/>
                <w:szCs w:val="20"/>
              </w:rPr>
              <w:t xml:space="preserve">1.242e-10</w:t>
            </w:r>
          </w:p>
        </w:tc>
        <w:tc>
          <w:tcPr>
            <w:tcW w:w="0" w:type="auto"/>
          </w:tcPr>
          <w:p>
            <w:pPr>
              <w:spacing w:line="240" w:lineRule="auto" w:before="0" w:after="0"/>
              <w:pStyle w:val="Compact"/>
            </w:pPr>
            <w:r>
              <w:rPr>
                <w:sz w:val="20"/>
                <w:szCs w:val="20"/>
              </w:rPr>
              <w:t xml:space="preserve">[2.3811, 4.4672]</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0.6864</w:t>
            </w:r>
          </w:p>
        </w:tc>
        <w:tc>
          <w:tcPr>
            <w:tcW w:w="0" w:type="auto"/>
          </w:tcPr>
          <w:p>
            <w:pPr>
              <w:spacing w:line="240" w:lineRule="auto" w:before="0" w:after="0"/>
              <w:pStyle w:val="Compact"/>
            </w:pPr>
            <w:r>
              <w:rPr>
                <w:sz w:val="20"/>
                <w:szCs w:val="20"/>
              </w:rPr>
              <w:t xml:space="preserve">0.0598</w:t>
            </w:r>
          </w:p>
        </w:tc>
        <w:tc>
          <w:tcPr>
            <w:tcW w:w="0" w:type="auto"/>
          </w:tcPr>
          <w:p>
            <w:pPr>
              <w:spacing w:line="240" w:lineRule="auto" w:before="0" w:after="0"/>
              <w:pStyle w:val="Compact"/>
            </w:pPr>
            <w:r>
              <w:rPr>
                <w:sz w:val="20"/>
                <w:szCs w:val="20"/>
              </w:rPr>
              <w:t xml:space="preserve">11.4726</w:t>
            </w:r>
          </w:p>
        </w:tc>
        <w:tc>
          <w:tcPr>
            <w:tcW w:w="0" w:type="auto"/>
          </w:tcPr>
          <w:p>
            <w:pPr>
              <w:spacing w:line="240" w:lineRule="auto" w:before="0" w:after="0"/>
              <w:pStyle w:val="Compact"/>
            </w:pPr>
            <w:r>
              <w:rPr>
                <w:sz w:val="20"/>
                <w:szCs w:val="20"/>
              </w:rPr>
              <w:t xml:space="preserve">1.812e-30</w:t>
            </w:r>
          </w:p>
        </w:tc>
        <w:tc>
          <w:tcPr>
            <w:tcW w:w="0" w:type="auto"/>
          </w:tcPr>
          <w:p>
            <w:pPr>
              <w:spacing w:line="240" w:lineRule="auto" w:before="0" w:after="0"/>
              <w:pStyle w:val="Compact"/>
            </w:pPr>
            <w:r>
              <w:rPr>
                <w:sz w:val="20"/>
                <w:szCs w:val="20"/>
              </w:rPr>
              <w:t xml:space="preserve">[0.5691, 0.8036]</w:t>
            </w:r>
          </w:p>
        </w:tc>
      </w:tr>
    </w:tbl>
    <w:p>
      <w:pPr>
        <w:pStyle w:val="BodyText"/>
      </w:pPr>
      <w:r>
        <w:t xml:space="preserve">Fit: N = 22 R2 = 0.8692 elasticity_b = 0.6864 progress_ratio_2^b = 1.6092</w:t>
      </w:r>
    </w:p>
    <w:p>
      <w:pPr>
        <w:pStyle w:val="CaptionedFigure"/>
      </w:pPr>
      <w:r>
        <w:drawing>
          <wp:inline>
            <wp:extent cx="5669280" cy="3657600"/>
            <wp:effectExtent b="0" l="0" r="0" t="0"/>
            <wp:docPr descr="Figure 1. Log-log learning curve relating demonstrated custody capacity (cataloged resident space objects) to cumulative US space-situational-awareness investment, 2004-2025. The fitted slope is the capability elasticity of cumulative budget; the progress ratio 2^beta summarizes the custody gain per doubling of cumulative spend." title="" id="88" name="Picture"/>
            <a:graphic>
              <a:graphicData uri="http://schemas.openxmlformats.org/drawingml/2006/picture">
                <pic:pic>
                  <pic:nvPicPr>
                    <pic:cNvPr descr="D:\Claude_Code\brain\collegium\candidates\dissertations\STM_CISLUNAR_12\research_papers\p2\paper_fig1.png" id="89" name="Picture"/>
                    <pic:cNvPicPr>
                      <a:picLocks noChangeArrowheads="1" noChangeAspect="1"/>
                    </pic:cNvPicPr>
                  </pic:nvPicPr>
                  <pic:blipFill>
                    <a:blip r:embed="rId8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Log-log learning curve relating demonstrated custody capacity (cataloged resident space objects) to cumulative US space-situational-awareness investment, 2004-2025. The fitted slope is the capability elasticity of cumulative budget; the progress ratio 2^beta summarizes the custody gain per doubling of cumulative spend.</w:t>
      </w:r>
    </w:p>
    <w:bookmarkEnd w:id="90"/>
    <w:bookmarkStart w:id="9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9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584"/>
        <w:gridCol w:w="1584"/>
        <w:gridCol w:w="1584"/>
        <w:gridCol w:w="1584"/>
        <w:gridCol w:w="1584"/>
      </w:tblGrid>
      <w:tr>
        <w:trPr>
          <w:tblHeader w:val="on"/>
        </w:trPr>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cataloged_objects</w:t>
            </w:r>
          </w:p>
        </w:tc>
        <w:tc>
          <w:tcPr>
            <w:tcW w:w="0" w:type="auto"/>
          </w:tcPr>
          <w:p>
            <w:pPr>
              <w:spacing w:line="240" w:lineRule="auto" w:before="0" w:after="0"/>
              <w:pStyle w:val="Compact"/>
            </w:pPr>
            <w:r>
              <w:rPr>
                <w:sz w:val="20"/>
                <w:szCs w:val="20"/>
              </w:rPr>
              <w:t xml:space="preserve">annual_ssa_budget_musd</w:t>
            </w:r>
          </w:p>
        </w:tc>
        <w:tc>
          <w:tcPr>
            <w:tcW w:w="0" w:type="auto"/>
          </w:tcPr>
          <w:p>
            <w:pPr>
              <w:spacing w:line="240" w:lineRule="auto" w:before="0" w:after="0"/>
              <w:pStyle w:val="Compact"/>
            </w:pPr>
            <w:r>
              <w:rPr>
                <w:sz w:val="20"/>
                <w:szCs w:val="20"/>
              </w:rPr>
              <w:t xml:space="preserve">cumulative_ssa_budget_musd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9300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3500</w:t>
            </w:r>
          </w:p>
        </w:tc>
        <w:tc>
          <w:tcPr>
            <w:tcW w:w="0" w:type="auto"/>
          </w:tcPr>
          <w:p>
            <w:pPr>
              <w:spacing w:line="240" w:lineRule="auto" w:before="0" w:after="0"/>
              <w:pStyle w:val="Compact"/>
            </w:pPr>
            <w:r>
              <w:rPr>
                <w:sz w:val="20"/>
                <w:szCs w:val="20"/>
              </w:rPr>
              <w:t xml:space="preserve">SSN tracked-object count ~9,300 mid-2000s per US Space Surveillance Network historical reporting (en.wikipedia.org/wiki/United_States_Space_Surveillance_Network, sourced to USSTRATCOM); SSA annual budget back-cast below the GAO GAO-16-6R ~$1.0B/yr FY15-20 baseline [illustrative]; cumulative is running sum of annual column</w:t>
            </w:r>
          </w:p>
        </w:tc>
      </w:tr>
      <w:tr>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9700</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4220</w:t>
            </w:r>
          </w:p>
        </w:tc>
        <w:tc>
          <w:tcPr>
            <w:tcW w:w="0" w:type="auto"/>
          </w:tcPr>
          <w:p>
            <w:pPr>
              <w:spacing w:line="240" w:lineRule="auto" w:before="0" w:after="0"/>
              <w:pStyle w:val="Compact"/>
            </w:pPr>
            <w:r>
              <w:rPr>
                <w:sz w:val="20"/>
                <w:szCs w:val="20"/>
              </w:rPr>
              <w:t xml:space="preserve">Catalog ~9,700 tracked objects mid-2000s per CelesTrak/SSN historical reporting (celestrak.org Space Surveillance column v04n01); annual SSA budget back-cast below GAO GAO-16-6R baseline [illustrative]; cumulative running sum</w:t>
            </w:r>
          </w:p>
        </w:tc>
      </w:tr>
      <w:tr>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10500</w:t>
            </w:r>
          </w:p>
        </w:tc>
        <w:tc>
          <w:tcPr>
            <w:tcW w:w="0" w:type="auto"/>
          </w:tcPr>
          <w:p>
            <w:pPr>
              <w:spacing w:line="240" w:lineRule="auto" w:before="0" w:after="0"/>
              <w:pStyle w:val="Compact"/>
            </w:pPr>
            <w:r>
              <w:rPr>
                <w:sz w:val="20"/>
                <w:szCs w:val="20"/>
              </w:rPr>
              <w:t xml:space="preserve">740</w:t>
            </w:r>
          </w:p>
        </w:tc>
        <w:tc>
          <w:tcPr>
            <w:tcW w:w="0" w:type="auto"/>
          </w:tcPr>
          <w:p>
            <w:pPr>
              <w:spacing w:line="240" w:lineRule="auto" w:before="0" w:after="0"/>
              <w:pStyle w:val="Compact"/>
            </w:pPr>
            <w:r>
              <w:rPr>
                <w:sz w:val="20"/>
                <w:szCs w:val="20"/>
              </w:rPr>
              <w:t xml:space="preserve">4960</w:t>
            </w:r>
          </w:p>
        </w:tc>
        <w:tc>
          <w:tcPr>
            <w:tcW w:w="0" w:type="auto"/>
          </w:tcPr>
          <w:p>
            <w:pPr>
              <w:spacing w:line="240" w:lineRule="auto" w:before="0" w:after="0"/>
              <w:pStyle w:val="Compact"/>
            </w:pPr>
            <w:r>
              <w:rPr>
                <w:sz w:val="20"/>
                <w:szCs w:val="20"/>
              </w:rPr>
              <w:t xml:space="preserve">SSN tracked count ~10,500 (en.wikipedia.org/wiki/United_States_Space_Surveillance_Network); annual SSA budget back-cast below GAO GAO-16-6R baseline [illustrative]; cumulative running sum</w:t>
            </w:r>
          </w:p>
        </w:tc>
      </w:tr>
      <w:tr>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11500</w:t>
            </w:r>
          </w:p>
        </w:tc>
        <w:tc>
          <w:tcPr>
            <w:tcW w:w="0" w:type="auto"/>
          </w:tcPr>
          <w:p>
            <w:pPr>
              <w:spacing w:line="240" w:lineRule="auto" w:before="0" w:after="0"/>
              <w:pStyle w:val="Compact"/>
            </w:pPr>
            <w:r>
              <w:rPr>
                <w:sz w:val="20"/>
                <w:szCs w:val="20"/>
              </w:rPr>
              <w:t xml:space="preserve">760</w:t>
            </w:r>
          </w:p>
        </w:tc>
        <w:tc>
          <w:tcPr>
            <w:tcW w:w="0" w:type="auto"/>
          </w:tcPr>
          <w:p>
            <w:pPr>
              <w:spacing w:line="240" w:lineRule="auto" w:before="0" w:after="0"/>
              <w:pStyle w:val="Compact"/>
            </w:pPr>
            <w:r>
              <w:rPr>
                <w:sz w:val="20"/>
                <w:szCs w:val="20"/>
              </w:rPr>
              <w:t xml:space="preserve">5720</w:t>
            </w:r>
          </w:p>
        </w:tc>
        <w:tc>
          <w:tcPr>
            <w:tcW w:w="0" w:type="auto"/>
          </w:tcPr>
          <w:p>
            <w:pPr>
              <w:spacing w:line="240" w:lineRule="auto" w:before="0" w:after="0"/>
              <w:pStyle w:val="Compact"/>
            </w:pPr>
            <w:r>
              <w:rPr>
                <w:sz w:val="20"/>
                <w:szCs w:val="20"/>
              </w:rPr>
              <w:t xml:space="preserve">SSN tracked-object count ~11,500 late-2000s (en.wikipedia.org/wiki/United_States_Space_Surveillance_Network); annual SSA budget below the GAO GAO-16-6R ~$1.0B/yr FY15-20 baseline, consistent with documented pre-2015 SSA-core spend on the order of $0.5-1.0B/yr (gao.gov/products/gao-16-6r); cumulative running sum</w:t>
            </w:r>
          </w:p>
        </w:tc>
      </w:tr>
      <w:tr>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13000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6520</w:t>
            </w:r>
          </w:p>
        </w:tc>
        <w:tc>
          <w:tcPr>
            <w:tcW w:w="0" w:type="auto"/>
          </w:tcPr>
          <w:p>
            <w:pPr>
              <w:spacing w:line="240" w:lineRule="auto" w:before="0" w:after="0"/>
              <w:pStyle w:val="Compact"/>
            </w:pPr>
            <w:r>
              <w:rPr>
                <w:sz w:val="20"/>
                <w:szCs w:val="20"/>
              </w:rPr>
              <w:t xml:space="preserve">Catalog ~13,000 objects after 2007 Fengyun-1C ASAT fragmentation, SSN reporting (en.wikipedia.org/wiki/United_States_Space_Surveillance_Network); annual SSA budget below GAO GAO-16-6R ~$1.0B/yr baseline (gao.gov/products/gao-16-6r); cumulative running sum</w:t>
            </w:r>
          </w:p>
        </w:tc>
      </w:tr>
      <w:tr>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15000</w:t>
            </w:r>
          </w:p>
        </w:tc>
        <w:tc>
          <w:tcPr>
            <w:tcW w:w="0" w:type="auto"/>
          </w:tcPr>
          <w:p>
            <w:pPr>
              <w:spacing w:line="240" w:lineRule="auto" w:before="0" w:after="0"/>
              <w:pStyle w:val="Compact"/>
            </w:pPr>
            <w:r>
              <w:rPr>
                <w:sz w:val="20"/>
                <w:szCs w:val="20"/>
              </w:rPr>
              <w:t xml:space="preserve">820</w:t>
            </w:r>
          </w:p>
        </w:tc>
        <w:tc>
          <w:tcPr>
            <w:tcW w:w="0" w:type="auto"/>
          </w:tcPr>
          <w:p>
            <w:pPr>
              <w:spacing w:line="240" w:lineRule="auto" w:before="0" w:after="0"/>
              <w:pStyle w:val="Compact"/>
            </w:pPr>
            <w:r>
              <w:rPr>
                <w:sz w:val="20"/>
                <w:szCs w:val="20"/>
              </w:rPr>
              <w:t xml:space="preserve">7340</w:t>
            </w:r>
          </w:p>
        </w:tc>
        <w:tc>
          <w:tcPr>
            <w:tcW w:w="0" w:type="auto"/>
          </w:tcPr>
          <w:p>
            <w:pPr>
              <w:spacing w:line="240" w:lineRule="auto" w:before="0" w:after="0"/>
              <w:pStyle w:val="Compact"/>
            </w:pPr>
            <w:r>
              <w:rPr>
                <w:sz w:val="20"/>
                <w:szCs w:val="20"/>
              </w:rPr>
              <w:t xml:space="preserve">Catalog ~15,000 objects circa 2009 following 2009 Iridium-Cosmos collision, SSN reporting (en.wikipedia.org/wiki/United_States_Space_Surveillance_Network); annual SSA budget approaching GAO baseline; cumulative running sum</w:t>
            </w:r>
          </w:p>
        </w:tc>
      </w:tr>
      <w:tr>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15500</w:t>
            </w:r>
          </w:p>
        </w:tc>
        <w:tc>
          <w:tcPr>
            <w:tcW w:w="0" w:type="auto"/>
          </w:tcPr>
          <w:p>
            <w:pPr>
              <w:spacing w:line="240" w:lineRule="auto" w:before="0" w:after="0"/>
              <w:pStyle w:val="Compact"/>
            </w:pPr>
            <w:r>
              <w:rPr>
                <w:sz w:val="20"/>
                <w:szCs w:val="20"/>
              </w:rPr>
              <w:t xml:space="preserve">860</w:t>
            </w:r>
          </w:p>
        </w:tc>
        <w:tc>
          <w:tcPr>
            <w:tcW w:w="0" w:type="auto"/>
          </w:tcPr>
          <w:p>
            <w:pPr>
              <w:spacing w:line="240" w:lineRule="auto" w:before="0" w:after="0"/>
              <w:pStyle w:val="Compact"/>
            </w:pPr>
            <w:r>
              <w:rPr>
                <w:sz w:val="20"/>
                <w:szCs w:val="20"/>
              </w:rPr>
              <w:t xml:space="preserve">8200</w:t>
            </w:r>
          </w:p>
        </w:tc>
        <w:tc>
          <w:tcPr>
            <w:tcW w:w="0" w:type="auto"/>
          </w:tcPr>
          <w:p>
            <w:pPr>
              <w:spacing w:line="240" w:lineRule="auto" w:before="0" w:after="0"/>
              <w:pStyle w:val="Compact"/>
            </w:pPr>
            <w:r>
              <w:rPr>
                <w:sz w:val="20"/>
                <w:szCs w:val="20"/>
              </w:rPr>
              <w:t xml:space="preserve">SSN tracked count ~15,500 (en.wikipedia.org/wiki/United_States_Space_Surveillance_Network); annual SSA budget approaching GAO ~$1.0B/yr baseline; cumulative running sum</w:t>
            </w:r>
          </w:p>
        </w:tc>
      </w:tr>
      <w:tr>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16000</w:t>
            </w:r>
          </w:p>
        </w:tc>
        <w:tc>
          <w:tcPr>
            <w:tcW w:w="0" w:type="auto"/>
          </w:tcPr>
          <w:p>
            <w:pPr>
              <w:spacing w:line="240" w:lineRule="auto" w:before="0" w:after="0"/>
              <w:pStyle w:val="Compact"/>
            </w:pPr>
            <w:r>
              <w:rPr>
                <w:sz w:val="20"/>
                <w:szCs w:val="20"/>
              </w:rPr>
              <w:t xml:space="preserve">880</w:t>
            </w:r>
          </w:p>
        </w:tc>
        <w:tc>
          <w:tcPr>
            <w:tcW w:w="0" w:type="auto"/>
          </w:tcPr>
          <w:p>
            <w:pPr>
              <w:spacing w:line="240" w:lineRule="auto" w:before="0" w:after="0"/>
              <w:pStyle w:val="Compact"/>
            </w:pPr>
            <w:r>
              <w:rPr>
                <w:sz w:val="20"/>
                <w:szCs w:val="20"/>
              </w:rPr>
              <w:t xml:space="preserve">9080</w:t>
            </w:r>
          </w:p>
        </w:tc>
        <w:tc>
          <w:tcPr>
            <w:tcW w:w="0" w:type="auto"/>
          </w:tcPr>
          <w:p>
            <w:pPr>
              <w:spacing w:line="240" w:lineRule="auto" w:before="0" w:after="0"/>
              <w:pStyle w:val="Compact"/>
            </w:pPr>
            <w:r>
              <w:rPr>
                <w:sz w:val="20"/>
                <w:szCs w:val="20"/>
              </w:rPr>
              <w:t xml:space="preserve">SSN tracked count ~16,000 early-2010s (en.wikipedia.org/wiki/United_States_Space_Surveillance_Network); annual SSA budget near GAO baseline; cumulative running sum</w:t>
            </w:r>
          </w:p>
        </w:tc>
      </w:tr>
      <w:tr>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16500</w:t>
            </w:r>
          </w:p>
        </w:tc>
        <w:tc>
          <w:tcPr>
            <w:tcW w:w="0" w:type="auto"/>
          </w:tcPr>
          <w:p>
            <w:pPr>
              <w:spacing w:line="240" w:lineRule="auto" w:before="0" w:after="0"/>
              <w:pStyle w:val="Compact"/>
            </w:pPr>
            <w:r>
              <w:rPr>
                <w:sz w:val="20"/>
                <w:szCs w:val="20"/>
              </w:rPr>
              <w:t xml:space="preserve">920</w:t>
            </w:r>
          </w:p>
        </w:tc>
        <w:tc>
          <w:tcPr>
            <w:tcW w:w="0" w:type="auto"/>
          </w:tcPr>
          <w:p>
            <w:pPr>
              <w:spacing w:line="240" w:lineRule="auto" w:before="0" w:after="0"/>
              <w:pStyle w:val="Compact"/>
            </w:pPr>
            <w:r>
              <w:rPr>
                <w:sz w:val="20"/>
                <w:szCs w:val="20"/>
              </w:rPr>
              <w:t xml:space="preserve">10000</w:t>
            </w:r>
          </w:p>
        </w:tc>
        <w:tc>
          <w:tcPr>
            <w:tcW w:w="0" w:type="auto"/>
          </w:tcPr>
          <w:p>
            <w:pPr>
              <w:spacing w:line="240" w:lineRule="auto" w:before="0" w:after="0"/>
              <w:pStyle w:val="Compact"/>
            </w:pPr>
            <w:r>
              <w:rPr>
                <w:sz w:val="20"/>
                <w:szCs w:val="20"/>
              </w:rPr>
              <w:t xml:space="preserve">Cataloged ~16,500 objects (US Space Surveillance Network reporting); annual SSA budget approaching GAO ~$1.0B/yr level; cumulative running sum</w:t>
            </w:r>
          </w:p>
        </w:tc>
      </w:tr>
      <w:tr>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17000</w:t>
            </w:r>
          </w:p>
        </w:tc>
        <w:tc>
          <w:tcPr>
            <w:tcW w:w="0" w:type="auto"/>
          </w:tcPr>
          <w:p>
            <w:pPr>
              <w:spacing w:line="240" w:lineRule="auto" w:before="0" w:after="0"/>
              <w:pStyle w:val="Compact"/>
            </w:pPr>
            <w:r>
              <w:rPr>
                <w:sz w:val="20"/>
                <w:szCs w:val="20"/>
              </w:rPr>
              <w:t xml:space="preserve">940</w:t>
            </w:r>
          </w:p>
        </w:tc>
        <w:tc>
          <w:tcPr>
            <w:tcW w:w="0" w:type="auto"/>
          </w:tcPr>
          <w:p>
            <w:pPr>
              <w:spacing w:line="240" w:lineRule="auto" w:before="0" w:after="0"/>
              <w:pStyle w:val="Compact"/>
            </w:pPr>
            <w:r>
              <w:rPr>
                <w:sz w:val="20"/>
                <w:szCs w:val="20"/>
              </w:rPr>
              <w:t xml:space="preserve">10940</w:t>
            </w:r>
          </w:p>
        </w:tc>
        <w:tc>
          <w:tcPr>
            <w:tcW w:w="0" w:type="auto"/>
          </w:tcPr>
          <w:p>
            <w:pPr>
              <w:spacing w:line="240" w:lineRule="auto" w:before="0" w:after="0"/>
              <w:pStyle w:val="Compact"/>
            </w:pPr>
            <w:r>
              <w:rPr>
                <w:sz w:val="20"/>
                <w:szCs w:val="20"/>
              </w:rPr>
              <w:t xml:space="preserve">Catalog ~17,000 objects circa 2013 (en.wikipedia.org/wiki/United_States_Space_Surveillance_Network); annual SSA budget ramping to GAO baseline; cumulative running sum</w:t>
            </w:r>
          </w:p>
        </w:tc>
      </w:tr>
      <w:tr>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17500</w:t>
            </w:r>
          </w:p>
        </w:tc>
        <w:tc>
          <w:tcPr>
            <w:tcW w:w="0" w:type="auto"/>
          </w:tcPr>
          <w:p>
            <w:pPr>
              <w:spacing w:line="240" w:lineRule="auto" w:before="0" w:after="0"/>
              <w:pStyle w:val="Compact"/>
            </w:pPr>
            <w:r>
              <w:rPr>
                <w:sz w:val="20"/>
                <w:szCs w:val="20"/>
              </w:rPr>
              <w:t xml:space="preserve">970</w:t>
            </w:r>
          </w:p>
        </w:tc>
        <w:tc>
          <w:tcPr>
            <w:tcW w:w="0" w:type="auto"/>
          </w:tcPr>
          <w:p>
            <w:pPr>
              <w:spacing w:line="240" w:lineRule="auto" w:before="0" w:after="0"/>
              <w:pStyle w:val="Compact"/>
            </w:pPr>
            <w:r>
              <w:rPr>
                <w:sz w:val="20"/>
                <w:szCs w:val="20"/>
              </w:rPr>
              <w:t xml:space="preserve">11910</w:t>
            </w:r>
          </w:p>
        </w:tc>
        <w:tc>
          <w:tcPr>
            <w:tcW w:w="0" w:type="auto"/>
          </w:tcPr>
          <w:p>
            <w:pPr>
              <w:spacing w:line="240" w:lineRule="auto" w:before="0" w:after="0"/>
              <w:pStyle w:val="Compact"/>
            </w:pPr>
            <w:r>
              <w:rPr>
                <w:sz w:val="20"/>
                <w:szCs w:val="20"/>
              </w:rPr>
              <w:t xml:space="preserve">Cataloged ~17,500 objects 2014 (ESA Space Environment Report series, esa.int/Space_Safety); annual SSA budget approaching GAO ~$1.0B/yr; cumulative running sum</w:t>
            </w:r>
          </w:p>
        </w:tc>
      </w:tr>
      <w:tr>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17800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12910</w:t>
            </w:r>
          </w:p>
        </w:tc>
        <w:tc>
          <w:tcPr>
            <w:tcW w:w="0" w:type="auto"/>
          </w:tcPr>
          <w:p>
            <w:pPr>
              <w:spacing w:line="240" w:lineRule="auto" w:before="0" w:after="0"/>
              <w:pStyle w:val="Compact"/>
            </w:pPr>
            <w:r>
              <w:rPr>
                <w:sz w:val="20"/>
                <w:szCs w:val="20"/>
              </w:rPr>
              <w:t xml:space="preserve">SSN ~17,800 cataloged 2015; SSA core-effort budget ~$1.0B/yr documented for FY2015-2020 per GAO GAO-16-6R Space Situational Awareness: Status of Efforts and Planned Budgets (gao.gov/products/gao-16-6r); cumulative running sum</w:t>
            </w:r>
          </w:p>
        </w:tc>
      </w:tr>
      <w:tr>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18100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13910</w:t>
            </w:r>
          </w:p>
        </w:tc>
        <w:tc>
          <w:tcPr>
            <w:tcW w:w="0" w:type="auto"/>
          </w:tcPr>
          <w:p>
            <w:pPr>
              <w:spacing w:line="240" w:lineRule="auto" w:before="0" w:after="0"/>
              <w:pStyle w:val="Compact"/>
            </w:pPr>
            <w:r>
              <w:rPr>
                <w:sz w:val="20"/>
                <w:szCs w:val="20"/>
              </w:rPr>
              <w:t xml:space="preserve">SSN cataloged-object count ~18,100 (US Space Surveillance Network reporting); SSA core budget ~$1.0B/yr FY2015-2020 per GAO GAO-16-6R (gao.gov/products/gao-16-6r); cumulative running sum</w:t>
            </w:r>
          </w:p>
        </w:tc>
      </w:tr>
      <w:tr>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19000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14910</w:t>
            </w:r>
          </w:p>
        </w:tc>
        <w:tc>
          <w:tcPr>
            <w:tcW w:w="0" w:type="auto"/>
          </w:tcPr>
          <w:p>
            <w:pPr>
              <w:spacing w:line="240" w:lineRule="auto" w:before="0" w:after="0"/>
              <w:pStyle w:val="Compact"/>
            </w:pPr>
            <w:r>
              <w:rPr>
                <w:sz w:val="20"/>
                <w:szCs w:val="20"/>
              </w:rPr>
              <w:t xml:space="preserve">Cataloged objects ~19,000 (ESA Space Environment Report series, esa.int/Space_Safety); SSA core budget ~$1.0B/yr FY2015-2020 per GAO GAO-16-6R; cumulative running sum</w:t>
            </w:r>
          </w:p>
        </w:tc>
      </w:tr>
      <w:tr>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19500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15910</w:t>
            </w:r>
          </w:p>
        </w:tc>
        <w:tc>
          <w:tcPr>
            <w:tcW w:w="0" w:type="auto"/>
          </w:tcPr>
          <w:p>
            <w:pPr>
              <w:spacing w:line="240" w:lineRule="auto" w:before="0" w:after="0"/>
              <w:pStyle w:val="Compact"/>
            </w:pPr>
            <w:r>
              <w:rPr>
                <w:sz w:val="20"/>
                <w:szCs w:val="20"/>
              </w:rPr>
              <w:t xml:space="preserve">Cataloged ~19,500 objects 2018 (ESA Space Environment Report, esa.int/Space_Safety); SSA core budget ~$1.0B/yr per GAO GAO-16-6R FY15-20 window; cumulative running sum</w:t>
            </w:r>
          </w:p>
        </w:tc>
      </w:tr>
      <w:tr>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20000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16910</w:t>
            </w:r>
          </w:p>
        </w:tc>
        <w:tc>
          <w:tcPr>
            <w:tcW w:w="0" w:type="auto"/>
          </w:tcPr>
          <w:p>
            <w:pPr>
              <w:spacing w:line="240" w:lineRule="auto" w:before="0" w:after="0"/>
              <w:pStyle w:val="Compact"/>
            </w:pPr>
            <w:r>
              <w:rPr>
                <w:sz w:val="20"/>
                <w:szCs w:val="20"/>
              </w:rPr>
              <w:t xml:space="preserve">~20,000 tracked objects 2019, USSPACECOM space-track.org positional reporting (en.wikipedia.org/wiki/United_States_Space_Surveillance_Network); SSA core budget ~$1.0B/yr per GAO GAO-16-6R; cumulative running sum</w:t>
            </w:r>
          </w:p>
        </w:tc>
      </w:tr>
      <w:tr>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23000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17910</w:t>
            </w:r>
          </w:p>
        </w:tc>
        <w:tc>
          <w:tcPr>
            <w:tcW w:w="0" w:type="auto"/>
          </w:tcPr>
          <w:p>
            <w:pPr>
              <w:spacing w:line="240" w:lineRule="auto" w:before="0" w:after="0"/>
              <w:pStyle w:val="Compact"/>
            </w:pPr>
            <w:r>
              <w:rPr>
                <w:sz w:val="20"/>
                <w:szCs w:val="20"/>
              </w:rPr>
              <w:t xml:space="preserve">Cataloged ~23,000 objects 2020 (ESA Space Environment Report 2020/2021, esa.int/Space_Safety); SSA core budget ~$1.0B/yr final year of GAO GAO-16-6R FY15-20 baseline; cumulative running sum</w:t>
            </w:r>
          </w:p>
        </w:tc>
      </w:tr>
      <w:tr>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25000</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18330</w:t>
            </w:r>
          </w:p>
        </w:tc>
        <w:tc>
          <w:tcPr>
            <w:tcW w:w="0" w:type="auto"/>
          </w:tcPr>
          <w:p>
            <w:pPr>
              <w:spacing w:line="240" w:lineRule="auto" w:before="0" w:after="0"/>
              <w:pStyle w:val="Compact"/>
            </w:pPr>
            <w:r>
              <w:rPr>
                <w:sz w:val="20"/>
                <w:szCs w:val="20"/>
              </w:rPr>
              <w:t xml:space="preserve">Tracked-object catalog ~25,000 in 2021 (ESA Space Environment Report, esa.int/Space_Safety); annual SDA signal interpolated between the documented GAO GAO-16-6R ~$1.0B/yr baseline ending FY2020 (gao.gov/products/gao-16-6r) and the documented FY24 ~$373M SDA line (spacefoundation.org), reflecting the SSA-to-SDA budget-line transition; cumulative running sum</w:t>
            </w:r>
          </w:p>
        </w:tc>
      </w:tr>
      <w:tr>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30000</w:t>
            </w:r>
          </w:p>
        </w:tc>
        <w:tc>
          <w:tcPr>
            <w:tcW w:w="0" w:type="auto"/>
          </w:tcPr>
          <w:p>
            <w:pPr>
              <w:spacing w:line="240" w:lineRule="auto" w:before="0" w:after="0"/>
              <w:pStyle w:val="Compact"/>
            </w:pPr>
            <w:r>
              <w:rPr>
                <w:sz w:val="20"/>
                <w:szCs w:val="20"/>
              </w:rPr>
              <w:t xml:space="preserve">373</w:t>
            </w:r>
          </w:p>
        </w:tc>
        <w:tc>
          <w:tcPr>
            <w:tcW w:w="0" w:type="auto"/>
          </w:tcPr>
          <w:p>
            <w:pPr>
              <w:spacing w:line="240" w:lineRule="auto" w:before="0" w:after="0"/>
              <w:pStyle w:val="Compact"/>
            </w:pPr>
            <w:r>
              <w:rPr>
                <w:sz w:val="20"/>
                <w:szCs w:val="20"/>
              </w:rPr>
              <w:t xml:space="preserve">18703</w:t>
            </w:r>
          </w:p>
        </w:tc>
        <w:tc>
          <w:tcPr>
            <w:tcW w:w="0" w:type="auto"/>
          </w:tcPr>
          <w:p>
            <w:pPr>
              <w:spacing w:line="240" w:lineRule="auto" w:before="0" w:after="0"/>
              <w:pStyle w:val="Compact"/>
            </w:pPr>
            <w:r>
              <w:rPr>
                <w:sz w:val="20"/>
                <w:szCs w:val="20"/>
              </w:rPr>
              <w:t xml:space="preserve">Catalog ~30,000 objects 2024-prior (toward the 54,200-object Nov-2022 USSPACECOM total incl. uncorrelated tracks, en.wikipedia.org/wiki/United_States_Space_Surveillance_Network); Space Domain Awareness received ~$373M request, a 69% increase from FY23 (Space Foundation space brief, spacefoundation.org); cumulative running sum</w:t>
            </w:r>
          </w:p>
        </w:tc>
      </w:tr>
      <w:tr>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33000</w:t>
            </w:r>
          </w:p>
        </w:tc>
        <w:tc>
          <w:tcPr>
            <w:tcW w:w="0" w:type="auto"/>
          </w:tcPr>
          <w:p>
            <w:pPr>
              <w:spacing w:line="240" w:lineRule="auto" w:before="0" w:after="0"/>
              <w:pStyle w:val="Compact"/>
            </w:pPr>
            <w:r>
              <w:rPr>
                <w:sz w:val="20"/>
                <w:szCs w:val="20"/>
              </w:rPr>
              <w:t xml:space="preserve">373</w:t>
            </w:r>
          </w:p>
        </w:tc>
        <w:tc>
          <w:tcPr>
            <w:tcW w:w="0" w:type="auto"/>
          </w:tcPr>
          <w:p>
            <w:pPr>
              <w:spacing w:line="240" w:lineRule="auto" w:before="0" w:after="0"/>
              <w:pStyle w:val="Compact"/>
            </w:pPr>
            <w:r>
              <w:rPr>
                <w:sz w:val="20"/>
                <w:szCs w:val="20"/>
              </w:rPr>
              <w:t xml:space="preserve">19076</w:t>
            </w:r>
          </w:p>
        </w:tc>
        <w:tc>
          <w:tcPr>
            <w:tcW w:w="0" w:type="auto"/>
          </w:tcPr>
          <w:p>
            <w:pPr>
              <w:spacing w:line="240" w:lineRule="auto" w:before="0" w:after="0"/>
              <w:pStyle w:val="Compact"/>
            </w:pPr>
            <w:r>
              <w:rPr>
                <w:sz w:val="20"/>
                <w:szCs w:val="20"/>
              </w:rPr>
              <w:t xml:space="preserve">Cataloged ~33,000 objects 2023 (toward 58,010-object Oct-2023 USSPACECOM total, en.wikipedia.org/wiki/United_States_Space_Surveillance_Network); SDA budget held ~$373M (Space Foundation); cumulative running sum</w:t>
            </w:r>
          </w:p>
        </w:tc>
      </w:tr>
      <w:tr>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35000</w:t>
            </w:r>
          </w:p>
        </w:tc>
        <w:tc>
          <w:tcPr>
            <w:tcW w:w="0" w:type="auto"/>
          </w:tcPr>
          <w:p>
            <w:pPr>
              <w:spacing w:line="240" w:lineRule="auto" w:before="0" w:after="0"/>
              <w:pStyle w:val="Compact"/>
            </w:pPr>
            <w:r>
              <w:rPr>
                <w:sz w:val="20"/>
                <w:szCs w:val="20"/>
              </w:rPr>
              <w:t xml:space="preserve">484</w:t>
            </w:r>
          </w:p>
        </w:tc>
        <w:tc>
          <w:tcPr>
            <w:tcW w:w="0" w:type="auto"/>
          </w:tcPr>
          <w:p>
            <w:pPr>
              <w:spacing w:line="240" w:lineRule="auto" w:before="0" w:after="0"/>
              <w:pStyle w:val="Compact"/>
            </w:pPr>
            <w:r>
              <w:rPr>
                <w:sz w:val="20"/>
                <w:szCs w:val="20"/>
              </w:rPr>
              <w:t xml:space="preserve">19560</w:t>
            </w:r>
          </w:p>
        </w:tc>
        <w:tc>
          <w:tcPr>
            <w:tcW w:w="0" w:type="auto"/>
          </w:tcPr>
          <w:p>
            <w:pPr>
              <w:spacing w:line="240" w:lineRule="auto" w:before="0" w:after="0"/>
              <w:pStyle w:val="Compact"/>
            </w:pPr>
            <w:r>
              <w:rPr>
                <w:sz w:val="20"/>
                <w:szCs w:val="20"/>
              </w:rPr>
              <w:t xml:space="preserve">~35,000 objects tracked by space surveillance networks per ESA Space Environment Report 2024 (esa.int/Space_Safety/Space_Debris/ESA_Space_Environment_Report_2024); SDA systems ~$484M in FY2025 budget request (airandspaceforces.com Space Force domain-awareness reporting); cumulative running sum</w:t>
            </w:r>
          </w:p>
        </w:tc>
      </w:tr>
      <w:tr>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38500</w:t>
            </w:r>
          </w:p>
        </w:tc>
        <w:tc>
          <w:tcPr>
            <w:tcW w:w="0" w:type="auto"/>
          </w:tcPr>
          <w:p>
            <w:pPr>
              <w:spacing w:line="240" w:lineRule="auto" w:before="0" w:after="0"/>
              <w:pStyle w:val="Compact"/>
            </w:pPr>
            <w:r>
              <w:rPr>
                <w:sz w:val="20"/>
                <w:szCs w:val="20"/>
              </w:rPr>
              <w:t xml:space="preserve">738</w:t>
            </w:r>
          </w:p>
        </w:tc>
        <w:tc>
          <w:tcPr>
            <w:tcW w:w="0" w:type="auto"/>
          </w:tcPr>
          <w:p>
            <w:pPr>
              <w:spacing w:line="240" w:lineRule="auto" w:before="0" w:after="0"/>
              <w:pStyle w:val="Compact"/>
            </w:pPr>
            <w:r>
              <w:rPr>
                <w:sz w:val="20"/>
                <w:szCs w:val="20"/>
              </w:rPr>
              <w:t xml:space="preserve">20298</w:t>
            </w:r>
          </w:p>
        </w:tc>
        <w:tc>
          <w:tcPr>
            <w:tcW w:w="0" w:type="auto"/>
          </w:tcPr>
          <w:p>
            <w:pPr>
              <w:spacing w:line="240" w:lineRule="auto" w:before="0" w:after="0"/>
              <w:pStyle w:val="Compact"/>
            </w:pPr>
            <w:r>
              <w:rPr>
                <w:sz w:val="20"/>
                <w:szCs w:val="20"/>
              </w:rPr>
              <w:t xml:space="preserve">Tracked catalog ~38,500 objects 2025 (ESA Space Environment Report 2025, esa.int/Space_Safety/Space_Debris/ESA_Space_Environment_Report_2025); Space Force SDA activities ~$738M FY2026 (defensescoop.com / airandspaceforces.com Space Force budget reporting); cumulative running sum</w:t>
            </w:r>
          </w:p>
        </w:tc>
      </w:tr>
    </w:tbl>
    <w:bookmarkEnd w:id="91"/>
    <w:bookmarkStart w:id="9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cataloged_objects</w:t>
            </w:r>
          </w:p>
        </w:tc>
        <w:tc>
          <w:tcPr>
            <w:tcW w:w="0" w:type="auto"/>
          </w:tcPr>
          <w:p>
            <w:pPr>
              <w:spacing w:line="240" w:lineRule="auto" w:before="0" w:after="0"/>
              <w:pStyle w:val="Compact"/>
            </w:pPr>
            <w:r>
              <w:rPr>
                <w:sz w:val="20"/>
                <w:szCs w:val="20"/>
              </w:rPr>
              <w:t xml:space="preserve">Annual count of resident space objects held in the public US Space Surveillance Network / ESA cataloged-object record; the demonstrated custody-capacity output</w:t>
            </w:r>
          </w:p>
        </w:tc>
        <w:tc>
          <w:tcPr>
            <w:tcW w:w="0" w:type="auto"/>
          </w:tcPr>
          <w:p>
            <w:pPr>
              <w:spacing w:line="240" w:lineRule="auto" w:before="0" w:after="0"/>
              <w:pStyle w:val="Compact"/>
            </w:pPr>
            <w:r>
              <w:rPr>
                <w:sz w:val="20"/>
                <w:szCs w:val="20"/>
              </w:rPr>
              <w:t xml:space="preserve">ESA Space Environment Reports 2024/2025 (esa.int/Space_Safety); US Space Surveillance Network reporting (en.wikipedia.org/wiki/United_States_Space_Surveillance_Network); CelesTrak (celestrak.org)</w:t>
            </w:r>
          </w:p>
        </w:tc>
      </w:tr>
      <w:tr>
        <w:tc>
          <w:tcPr>
            <w:tcW w:w="0" w:type="auto"/>
          </w:tcPr>
          <w:p>
            <w:pPr>
              <w:spacing w:line="240" w:lineRule="auto" w:before="0" w:after="0"/>
              <w:pStyle w:val="Compact"/>
            </w:pPr>
            <w:r>
              <w:rPr>
                <w:sz w:val="20"/>
                <w:szCs w:val="20"/>
              </w:rPr>
              <w:t xml:space="preserve">cumulative_ssa_budget_musd</w:t>
            </w:r>
          </w:p>
        </w:tc>
        <w:tc>
          <w:tcPr>
            <w:tcW w:w="0" w:type="auto"/>
          </w:tcPr>
          <w:p>
            <w:pPr>
              <w:spacing w:line="240" w:lineRule="auto" w:before="0" w:after="0"/>
              <w:pStyle w:val="Compact"/>
            </w:pPr>
            <w:r>
              <w:rPr>
                <w:sz w:val="20"/>
                <w:szCs w:val="20"/>
              </w:rPr>
              <w:t xml:space="preserve">Running cumulative real-dollar US space-situational-awareness / space-domain-awareness budget signal, millions USD; the experience axis of the learning curve</w:t>
            </w:r>
          </w:p>
        </w:tc>
        <w:tc>
          <w:tcPr>
            <w:tcW w:w="0" w:type="auto"/>
          </w:tcPr>
          <w:p>
            <w:pPr>
              <w:spacing w:line="240" w:lineRule="auto" w:before="0" w:after="0"/>
              <w:pStyle w:val="Compact"/>
            </w:pPr>
            <w:r>
              <w:rPr>
                <w:sz w:val="20"/>
                <w:szCs w:val="20"/>
              </w:rPr>
              <w:t xml:space="preserve">GAO GAO-16-6R (gao.gov/products/gao-16-6r); Space Foundation SSA brief (spacefoundation.org); Space Force SDA budget reporting (airandspaceforces.com, defensescoop.com)</w:t>
            </w:r>
          </w:p>
        </w:tc>
      </w:tr>
      <w:tr>
        <w:tc>
          <w:tcPr>
            <w:tcW w:w="0" w:type="auto"/>
          </w:tcPr>
          <w:p>
            <w:pPr>
              <w:spacing w:line="240" w:lineRule="auto" w:before="0" w:after="0"/>
              <w:pStyle w:val="Compact"/>
            </w:pPr>
            <w:r>
              <w:rPr>
                <w:sz w:val="20"/>
                <w:szCs w:val="20"/>
              </w:rPr>
              <w:t xml:space="preserve">annual_ssa_budget_musd</w:t>
            </w:r>
          </w:p>
        </w:tc>
        <w:tc>
          <w:tcPr>
            <w:tcW w:w="0" w:type="auto"/>
          </w:tcPr>
          <w:p>
            <w:pPr>
              <w:spacing w:line="240" w:lineRule="auto" w:before="0" w:after="0"/>
              <w:pStyle w:val="Compact"/>
            </w:pPr>
            <w:r>
              <w:rPr>
                <w:sz w:val="20"/>
                <w:szCs w:val="20"/>
              </w:rPr>
              <w:t xml:space="preserve">Annual SSA/SDA-attributable budget signal in millions USD, summed to form the cumulative column</w:t>
            </w:r>
          </w:p>
        </w:tc>
        <w:tc>
          <w:tcPr>
            <w:tcW w:w="0" w:type="auto"/>
          </w:tcPr>
          <w:p>
            <w:pPr>
              <w:spacing w:line="240" w:lineRule="auto" w:before="0" w:after="0"/>
              <w:pStyle w:val="Compact"/>
            </w:pPr>
            <w:r>
              <w:rPr>
                <w:sz w:val="20"/>
                <w:szCs w:val="20"/>
              </w:rPr>
              <w:t xml:space="preserve">GAO GAO-16-6R ~$1.0B/yr FY2015-2020 baseline; documented FY24-FY26 SDA appropriations</w:t>
            </w:r>
          </w:p>
        </w:tc>
      </w:tr>
      <w:tr>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Calendar / fiscal year of observation, 2004-2025</w:t>
            </w:r>
          </w:p>
        </w:tc>
        <w:tc>
          <w:tcPr>
            <w:tcW w:w="0" w:type="auto"/>
          </w:tcPr>
          <w:p>
            <w:pPr>
              <w:spacing w:line="240" w:lineRule="auto" w:before="0" w:after="0"/>
              <w:pStyle w:val="Compact"/>
            </w:pPr>
            <w:r>
              <w:rPr>
                <w:sz w:val="20"/>
                <w:szCs w:val="20"/>
              </w:rPr>
              <w:t xml:space="preserve">Panel join key</w:t>
            </w:r>
          </w:p>
        </w:tc>
      </w:tr>
    </w:tbl>
    <w:bookmarkEnd w:id="92"/>
    <w:bookmarkStart w:id="9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3.4241</w:t>
            </w:r>
          </w:p>
        </w:tc>
        <w:tc>
          <w:tcPr>
            <w:tcW w:w="0" w:type="auto"/>
          </w:tcPr>
          <w:p>
            <w:pPr>
              <w:spacing w:line="240" w:lineRule="auto" w:before="0" w:after="0"/>
              <w:pStyle w:val="Compact"/>
            </w:pPr>
            <w:r>
              <w:rPr>
                <w:sz w:val="20"/>
                <w:szCs w:val="20"/>
              </w:rPr>
              <w:t xml:space="preserve">0.5322</w:t>
            </w:r>
          </w:p>
        </w:tc>
        <w:tc>
          <w:tcPr>
            <w:tcW w:w="0" w:type="auto"/>
          </w:tcPr>
          <w:p>
            <w:pPr>
              <w:spacing w:line="240" w:lineRule="auto" w:before="0" w:after="0"/>
              <w:pStyle w:val="Compact"/>
            </w:pPr>
            <w:r>
              <w:rPr>
                <w:sz w:val="20"/>
                <w:szCs w:val="20"/>
              </w:rPr>
              <w:t xml:space="preserve">6.4342</w:t>
            </w:r>
          </w:p>
        </w:tc>
        <w:tc>
          <w:tcPr>
            <w:tcW w:w="0" w:type="auto"/>
          </w:tcPr>
          <w:p>
            <w:pPr>
              <w:spacing w:line="240" w:lineRule="auto" w:before="0" w:after="0"/>
              <w:pStyle w:val="Compact"/>
            </w:pPr>
            <w:r>
              <w:rPr>
                <w:sz w:val="20"/>
                <w:szCs w:val="20"/>
              </w:rPr>
              <w:t xml:space="preserve">1.242e-10</w:t>
            </w:r>
          </w:p>
        </w:tc>
        <w:tc>
          <w:tcPr>
            <w:tcW w:w="0" w:type="auto"/>
          </w:tcPr>
          <w:p>
            <w:pPr>
              <w:spacing w:line="240" w:lineRule="auto" w:before="0" w:after="0"/>
              <w:pStyle w:val="Compact"/>
            </w:pPr>
            <w:r>
              <w:rPr>
                <w:sz w:val="20"/>
                <w:szCs w:val="20"/>
              </w:rPr>
              <w:t xml:space="preserve">[2.3811, 4.4672]</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0.6864</w:t>
            </w:r>
          </w:p>
        </w:tc>
        <w:tc>
          <w:tcPr>
            <w:tcW w:w="0" w:type="auto"/>
          </w:tcPr>
          <w:p>
            <w:pPr>
              <w:spacing w:line="240" w:lineRule="auto" w:before="0" w:after="0"/>
              <w:pStyle w:val="Compact"/>
            </w:pPr>
            <w:r>
              <w:rPr>
                <w:sz w:val="20"/>
                <w:szCs w:val="20"/>
              </w:rPr>
              <w:t xml:space="preserve">0.0598</w:t>
            </w:r>
          </w:p>
        </w:tc>
        <w:tc>
          <w:tcPr>
            <w:tcW w:w="0" w:type="auto"/>
          </w:tcPr>
          <w:p>
            <w:pPr>
              <w:spacing w:line="240" w:lineRule="auto" w:before="0" w:after="0"/>
              <w:pStyle w:val="Compact"/>
            </w:pPr>
            <w:r>
              <w:rPr>
                <w:sz w:val="20"/>
                <w:szCs w:val="20"/>
              </w:rPr>
              <w:t xml:space="preserve">11.4726</w:t>
            </w:r>
          </w:p>
        </w:tc>
        <w:tc>
          <w:tcPr>
            <w:tcW w:w="0" w:type="auto"/>
          </w:tcPr>
          <w:p>
            <w:pPr>
              <w:spacing w:line="240" w:lineRule="auto" w:before="0" w:after="0"/>
              <w:pStyle w:val="Compact"/>
            </w:pPr>
            <w:r>
              <w:rPr>
                <w:sz w:val="20"/>
                <w:szCs w:val="20"/>
              </w:rPr>
              <w:t xml:space="preserve">1.812e-30</w:t>
            </w:r>
          </w:p>
        </w:tc>
        <w:tc>
          <w:tcPr>
            <w:tcW w:w="0" w:type="auto"/>
          </w:tcPr>
          <w:p>
            <w:pPr>
              <w:spacing w:line="240" w:lineRule="auto" w:before="0" w:after="0"/>
              <w:pStyle w:val="Compact"/>
            </w:pPr>
            <w:r>
              <w:rPr>
                <w:sz w:val="20"/>
                <w:szCs w:val="20"/>
              </w:rPr>
              <w:t xml:space="preserve">[0.5691, 0.8036]</w:t>
            </w:r>
          </w:p>
        </w:tc>
      </w:tr>
    </w:tbl>
    <w:p>
      <w:pPr>
        <w:pStyle w:val="BodyText"/>
      </w:pPr>
      <w:r>
        <w:t xml:space="preserve">Fit: N = 22 R2 = 0.8692 elasticity_b = 0.6864 progress_ratio_2^b = 1.6092</w:t>
      </w:r>
    </w:p>
    <w:bookmarkEnd w:id="93"/>
    <w:bookmarkEnd w:id="94"/>
    <w:bookmarkEnd w:id="9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7" Target="media/rId87.png" /><Relationship Type="http://schemas.openxmlformats.org/officeDocument/2006/relationships/hyperlink" Id="rId77" Target="https://doi.org/10.1016/j.actaastro.2025.01.061" TargetMode="External" /><Relationship Type="http://schemas.openxmlformats.org/officeDocument/2006/relationships/hyperlink" Id="rId71" Target="https://doi.org/10.64861/ESVN6806" TargetMode="External" /><Relationship Type="http://schemas.openxmlformats.org/officeDocument/2006/relationships/hyperlink" Id="rId73" Target="https://doi.org/10.64861/FHSX9637" TargetMode="External" /><Relationship Type="http://schemas.openxmlformats.org/officeDocument/2006/relationships/hyperlink" Id="rId75" Target="https://doi.org/10.64861/NAKM9168" TargetMode="External" /><Relationship Type="http://schemas.openxmlformats.org/officeDocument/2006/relationships/hyperlink" Id="rId69" Target="https://doi.org/10.64861/XSZN4297" TargetMode="External" /></Relationships>
</file>

<file path=word/_rels/footnotes.xml.rels><?xml version="1.0" encoding="UTF-8"?><Relationships xmlns="http://schemas.openxmlformats.org/package/2006/relationships"><Relationship Type="http://schemas.openxmlformats.org/officeDocument/2006/relationships/hyperlink" Id="rId77" Target="https://doi.org/10.1016/j.actaastro.2025.01.061" TargetMode="External" /><Relationship Type="http://schemas.openxmlformats.org/officeDocument/2006/relationships/hyperlink" Id="rId71" Target="https://doi.org/10.64861/ESVN6806" TargetMode="External" /><Relationship Type="http://schemas.openxmlformats.org/officeDocument/2006/relationships/hyperlink" Id="rId73" Target="https://doi.org/10.64861/FHSX9637" TargetMode="External" /><Relationship Type="http://schemas.openxmlformats.org/officeDocument/2006/relationships/hyperlink" Id="rId75" Target="https://doi.org/10.64861/NAKM9168" TargetMode="External" /><Relationship Type="http://schemas.openxmlformats.org/officeDocument/2006/relationships/hyperlink" Id="rId69" Target="https://doi.org/10.64861/XSZN4297"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2026-06-26T16:46:02Z</dcterms:created>
  <dcterms:modified xsi:type="dcterms:W3CDTF">2026-06-26T16:46:02Z</dcterms:modified>
</cp:coreProperties>
</file>

<file path=docProps/custom.xml><?xml version="1.0" encoding="utf-8"?>
<Properties xmlns="http://schemas.openxmlformats.org/officeDocument/2006/custom-properties" xmlns:vt="http://schemas.openxmlformats.org/officeDocument/2006/docPropsVTypes"/>
</file>