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115a5d72252d228df653bcef3d4034f080f709b"/>
    <w:p>
      <w:pPr>
        <w:pStyle w:val="Heading1"/>
      </w:pPr>
      <w:r>
        <w:t xml:space="preserve">Budget Signals as Capability Forecasts: Does Resource Scale in Cislunar Space Domain Awareness Architectures Predict Coverage Capability?</w:t>
      </w:r>
    </w:p>
    <w:bookmarkStart w:id="61" w:name="introduction"/>
    <w:p>
      <w:pPr>
        <w:pStyle w:val="Heading2"/>
      </w:pPr>
      <w:r>
        <w:t xml:space="preserve">1. Introduction</w:t>
      </w:r>
    </w:p>
    <w:p>
      <w:pPr>
        <w:pStyle w:val="FirstParagraph"/>
      </w:pPr>
      <w:r>
        <w:t xml:space="preserve">The cislunar volume between geosynchronous orbit and the lunar surface is moving from a scientific curiosity to a contested operating region, and the United States is now standing up its first dedicated cislunar space domain awareness (SDA) capabilities to watch it</w:t>
      </w:r>
      <w:r>
        <w:t xml:space="preserve"> </w:t>
      </w:r>
      <w:hyperlink w:anchor="ref-1">
        <m:oMathPara>
          <m:oMathParaPr>
            <m:jc m:val="center"/>
          </m:oMathParaPr>
          <m:oMath>
            <m:r>
              <m:t>1</m:t>
            </m:r>
          </m:oMath>
        </m:oMathPara>
      </w:hyperlink>
      <w:r>
        <w:t xml:space="preserve">. Decision makers who appropriate money for these systems face a forecasting problem. When a program receives a larger budget, or when an architecture commits to a larger sensor footprint, how much additional capability should the funder expect to realize? If the answer is reliably positive and reasonably proportional, then a budget figure becomes a usable forecast of future capability, and the appropriations record can be read as a capability roadmap. If the answer is weak or swamped by design choices, then budget signals are poor predictors and capability planning must look past the topline.</w:t>
      </w:r>
    </w:p>
    <w:p>
      <w:pPr>
        <w:pStyle w:val="FirstParagraph"/>
      </w:pPr>
      <w:r>
        <w:t xml:space="preserve">This paper tests whether the resource scale committed to a cislunar SDA architecture forecasts the coverage capability that architecture delivers. It assembles a cross-section of published cislunar and lunar SDA trade studies together with anchors from fielded and funded programs, and it estimates a robust ordinary least squares model relating a normalized resource-scale budget signal to modeled coverage, while holding sensor placement and aperture constant. The contribution is a first empirical calibration of the budget-to-capability relationship in this young domain, expressed in units a programmer can use.</w:t>
      </w:r>
    </w:p>
    <w:bookmarkEnd w:id="61"/>
    <w:bookmarkStart w:id="62" w:name="theory-and-hypotheses"/>
    <w:p>
      <w:pPr>
        <w:pStyle w:val="Heading2"/>
      </w:pPr>
      <w:r>
        <w:t xml:space="preserve">2. Theory and Hypotheses</w:t>
      </w:r>
    </w:p>
    <w:p>
      <w:pPr>
        <w:pStyle w:val="FirstParagraph"/>
      </w:pPr>
      <w:r>
        <w:t xml:space="preserve">The architecture-optimization literature for cislunar SDA treats sensor count and placement as the primary levers on capability, and it consistently reports diminishing-returns coverage curves as more sensor nodes are added</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Because the marginal cost of a cislunar SDA architecture scales closely with the number and class of sensor nodes, the committed sensor-resource scale operates as a budget signal: it is what a funder is buying when an appropriation rises. Capacity-based and cost-metric-based optimizations of these architectures find that coverage and custody rise with the deployed resource base, though the placement of sensors in periodic and halo orbits, and the aperture of each node, mediate how efficiently money converts into capability</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broader space-economy literature frames government budgets as the instrument through which states sponsor the development of new capabilities, which motivates reading appropriations as forward signals rather than as sunk accounting</w:t>
      </w:r>
      <w:r>
        <w:t xml:space="preserve"> </w:t>
      </w:r>
      <w:hyperlink w:anchor="ref-6">
        <m:oMathPara>
          <m:oMathParaPr>
            <m:jc m:val="center"/>
          </m:oMathParaPr>
          <m:oMath>
            <m:r>
              <m:t>6</m:t>
            </m:r>
          </m:oMath>
        </m:oMathPara>
      </w:hyperlink>
      <w:r>
        <w:t xml:space="preserve">. If that framing holds in cislunar SDA, then the resource-scale signal should carry independent predictive weight after design covariates are controlled.</w:t>
      </w:r>
    </w:p>
    <w:p>
      <w:pPr>
        <w:pStyle w:val="FirstParagraph"/>
      </w:pPr>
      <w:r>
        <w:t xml:space="preserve">H1: The resource-scale budget signal is positively and significantly associated with modeled cislunar coverage capability, holding sensor placement and aperture constant.</w:t>
      </w:r>
    </w:p>
    <w:bookmarkEnd w:id="62"/>
    <w:bookmarkStart w:id="63" w:name="data"/>
    <w:p>
      <w:pPr>
        <w:pStyle w:val="Heading2"/>
      </w:pPr>
      <w:r>
        <w:t xml:space="preserve">3. Data</w:t>
      </w:r>
    </w:p>
    <w:p>
      <w:pPr>
        <w:pStyle w:val="FirstParagraph"/>
      </w:pPr>
      <w:r>
        <w:t xml:space="preserve">The dataset comprises 24 architecture observations. Most rows are configurations drawn from published cislunar and lunar SDA trade studies presented at the Advanced Maui Optical and Space Surveillance Technologies Conference, including distributed space-based network optimizations under operational cost metrics</w:t>
      </w:r>
      <w:r>
        <w:t xml:space="preserve"> </w:t>
      </w:r>
      <w:hyperlink w:anchor="ref-2">
        <m:oMathPara>
          <m:oMathParaPr>
            <m:jc m:val="center"/>
          </m:oMathParaPr>
          <m:oMath>
            <m:r>
              <m:t>2</m:t>
            </m:r>
          </m:oMath>
        </m:oMathPara>
      </w:hyperlink>
      <w:r>
        <w:t xml:space="preserve">, capacity-based architecture optimization</w:t>
      </w:r>
      <w:r>
        <w:t xml:space="preserve"> </w:t>
      </w:r>
      <w:hyperlink w:anchor="ref-3">
        <m:oMathPara>
          <m:oMathParaPr>
            <m:jc m:val="center"/>
          </m:oMathParaPr>
          <m:oMath>
            <m:r>
              <m:t>3</m:t>
            </m:r>
          </m:oMath>
        </m:oMathPara>
      </w:hyperlink>
      <w:r>
        <w:t xml:space="preserve">, model-based optical-constellation trade studies</w:t>
      </w:r>
      <w:r>
        <w:t xml:space="preserve"> </w:t>
      </w:r>
      <w:hyperlink w:anchor="ref-4">
        <m:oMathPara>
          <m:oMathParaPr>
            <m:jc m:val="center"/>
          </m:oMathParaPr>
          <m:oMath>
            <m:r>
              <m:t>4</m:t>
            </m:r>
          </m:oMath>
        </m:oMathPara>
      </w:hyperlink>
      <w:r>
        <w:t xml:space="preserve">, near-rectilinear-halo-orbit surveillance using cislunar periodic orbits</w:t>
      </w:r>
      <w:r>
        <w:t xml:space="preserve"> </w:t>
      </w:r>
      <w:hyperlink w:anchor="ref-5">
        <m:oMathPara>
          <m:oMathParaPr>
            <m:jc m:val="center"/>
          </m:oMathParaPr>
          <m:oMath>
            <m:r>
              <m:t>5</m:t>
            </m:r>
          </m:oMath>
        </m:oMathPara>
      </w:hyperlink>
      <w:r>
        <w:t xml:space="preserve">, sensor-rich lunar and cislunar solutions</w:t>
      </w:r>
      <w:r>
        <w:t xml:space="preserve"> </w:t>
      </w:r>
      <w:hyperlink w:anchor="ref-7">
        <m:oMathPara>
          <m:oMathParaPr>
            <m:jc m:val="center"/>
          </m:oMathParaPr>
          <m:oMath>
            <m:r>
              <m:t>7</m:t>
            </m:r>
          </m:oMath>
        </m:oMathPara>
      </w:hyperlink>
      <w:r>
        <w:t xml:space="preserve">, and hybrid lunar-surface and space-domain methods</w:t>
      </w:r>
      <w:r>
        <w:t xml:space="preserve"> </w:t>
      </w:r>
      <w:hyperlink w:anchor="ref-8">
        <m:oMathPara>
          <m:oMathParaPr>
            <m:jc m:val="center"/>
          </m:oMathParaPr>
          <m:oMath>
            <m:r>
              <m:t>8</m:t>
            </m:r>
          </m:oMath>
        </m:oMathPara>
      </w:hyperlink>
      <w:r>
        <w:t xml:space="preserve">. Program anchors include the AFRL Oracle (formerly the Cislunar Highway Patrol System) single-spacecraft demonstrator and Office of Space Commerce Traffic Coordination System for Space funding lines for fiscal years 2024 and 2025</w:t>
      </w:r>
      <w:r>
        <w:t xml:space="preserve"> </w:t>
      </w:r>
      <w:hyperlink w:anchor="ref-1">
        <m:oMathPara>
          <m:oMathParaPr>
            <m:jc m:val="center"/>
          </m:oMathParaPr>
          <m:oMath>
            <m:r>
              <m:t>1</m:t>
            </m:r>
          </m:oMath>
        </m:oMathPara>
      </w:hyperlink>
      <w:r>
        <w:t xml:space="preserve">,</w:t>
      </w:r>
      <w:r>
        <w:t xml:space="preserve"> </w:t>
      </w:r>
      <w:hyperlink w:anchor="ref-9">
        <m:oMathPara>
          <m:oMathParaPr>
            <m:jc m:val="center"/>
          </m:oMathParaPr>
          <m:oMath>
            <m:r>
              <m:t>9</m:t>
            </m:r>
          </m:oMath>
        </m:oMathPara>
      </w:hyperlink>
      <w:r>
        <w:t xml:space="preserve">.</w:t>
      </w:r>
    </w:p>
    <w:p>
      <w:pPr>
        <w:pStyle w:val="FirstParagraph"/>
      </w:pPr>
      <w:r>
        <w:t xml:space="preserve">For each architecture the record captures the number of sensor nodes, a representative aperture, a binary indicator for space-based versus ground or hybrid placement, a normalized resource-scale budget signal built from the reported sensor base, and a modeled coverage capability. The final column of the dataset cites the source for every row. Where a study reported a coverage-cost frontier but did not print an exact value at an intermediate point, the value is interpolated from the published frontier and marked illustrative; such rows are held to a small share of the sample.</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Coverage capability in percent is regressed on the resource-scale budget signal, the space-based indicator, and aperture in meters. The robust covariance guards against the non-constant error variance expected when small and large architectures are pooled, and the design covariates isolate the budget signal from confounding through placement and optics.</w:t>
      </w:r>
    </w:p>
    <w:bookmarkEnd w:id="64"/>
    <w:bookmarkStart w:id="65" w:name="findings"/>
    <w:p>
      <w:pPr>
        <w:pStyle w:val="Heading2"/>
      </w:pPr>
      <w:r>
        <w:t xml:space="preserve">5. Findings</w:t>
      </w:r>
    </w:p>
    <w:p>
      <w:pPr>
        <w:pStyle w:val="FirstParagraph"/>
      </w:pPr>
      <w:r>
        <w:t xml:space="preserve">The model explains a substantial share of variation in coverage capability, with an R-squared of 0.79 across the 24 observations and an overall F-statistic of 24.87 that is significant well beyond the one-percent level. The central result supports H1. The coefficient on the resource-scale budget signal is 7.45 with a robust standard error of 1.56 and a p-value below 0.001. Read in the model’s units, each additional unit of committed resource scale, roughly one additional small-aperture sensor node, is associated with about 7.4 percentage points of additional modeled coverage, holding placement and aperture fixed. The signal is both statistically strong and large enough to matter operationally, which is the condition under which a budget figure becomes a usable capability forecast.</w:t>
      </w:r>
    </w:p>
    <w:p>
      <w:pPr>
        <w:pStyle w:val="BodyText"/>
      </w:pPr>
      <w:r>
        <w:t xml:space="preserve">The space-based indicator carries a positive coefficient of 7.78 with a robust standard error of 3.55 and a p-value of 0.028, indicating that space-based placement adds capability beyond what the resource count alone buys, consistent with the geometry advantages reported in the trade-study literature. The aperture coefficient is negative, at -31.36 with a robust standard error of 7.57 and a p-value below 0.001. This sign should not be read as larger optics reducing capability in a physical sense; within this cross-section the largest-aperture rows are the sparse single-asset and ground-baseline anchors that field few nodes, so aperture is acting in part as a marker for resource-thin configurations once node count is controlled. The intercept of 40.24 is the model’s baseline for a ground-based, zero-resource reference and is itself precisely estimated.</w:t>
      </w:r>
    </w:p>
    <w:bookmarkEnd w:id="65"/>
    <w:bookmarkStart w:id="66" w:name="discussion"/>
    <w:p>
      <w:pPr>
        <w:pStyle w:val="Heading2"/>
      </w:pPr>
      <w:r>
        <w:t xml:space="preserve">6. Discussion</w:t>
      </w:r>
    </w:p>
    <w:p>
      <w:pPr>
        <w:pStyle w:val="FirstParagraph"/>
      </w:pPr>
      <w:r>
        <w:t xml:space="preserve">The estimates give appropriators a defensible first answer to the forecasting question. Within the cislunar SDA architectures studied to date, committed resource scale forecasts coverage capability with a clear positive slope and tight precision, so the budget signal is informative rather than noise. The practical reading is that a roughly proportional capability dividend follows from scaling the sensor base, but that the dividend is conditioned by where the sensors sit and how the program is composed, since placement carries independent weight and the aperture term flags that resource-thin, large-optic configurations underperform denser fields. Two cautions bound the claim. The sample mixes modeled trade-study points with a handful of program anchors, so the coverage outcome is a planning proxy rather than measured on-orbit performance, and the diminishing-returns shape reported in the underlying studies means the linear slope is a local average that will flatten at high resource scale. Extending the panel with realized custody data as Oracle and the Office of Space Commerce systems mature is the natural next step, and it would let a survival or learning-curve treatment test whether the budget-to-capability mapping holds out of sample.</w:t>
      </w:r>
    </w:p>
    <w:bookmarkEnd w:id="66"/>
    <w:bookmarkStart w:id="76" w:name="references"/>
    <w:p>
      <w:pPr>
        <w:pStyle w:val="Heading2"/>
      </w:pPr>
      <w:r>
        <w:t xml:space="preserve">References</w:t>
      </w:r>
    </w:p>
    <w:p>
      <w:pPr>
        <w:pStyle w:val="FirstParagraph"/>
      </w:pPr>
      <w:bookmarkStart w:id="67" w:name="ref-1"/>
      <w:bookmarkEnd w:id="67"/>
      <w:r>
        <w:t xml:space="preserve">1. Air Force Research Laboratory and Advanced Space, LLC, Oracle (formerly Cislunar Highway Patrol System) cislunar space situational awareness program records, 2022-2024.</w:t>
      </w:r>
    </w:p>
    <w:p>
      <w:pPr>
        <w:pStyle w:val="BodyText"/>
      </w:pPr>
      <w:bookmarkStart w:id="68" w:name="ref-2"/>
      <w:bookmarkEnd w:id="68"/>
      <w:r>
        <w:t xml:space="preserve">2. G. Badura et al.,</w:t>
      </w:r>
      <w:r>
        <w:t xml:space="preserve"> </w:t>
      </w:r>
      <w:r>
        <w:t xml:space="preserve">“Optimizing Distributed Space-Based Networks for Cislunar Space Domain Awareness in the Context of Operational Cost Metrics,”</w:t>
      </w:r>
      <w:r>
        <w:t xml:space="preserve"> </w:t>
      </w:r>
      <w:r>
        <w:t xml:space="preserve">Proc. Advanced Maui Optical and Space Surveillance Technologies (AMOS) Conference, 2023, DOI 10.64861/IMSI4025.</w:t>
      </w:r>
    </w:p>
    <w:p>
      <w:pPr>
        <w:pStyle w:val="BodyText"/>
      </w:pPr>
      <w:bookmarkStart w:id="69" w:name="ref-3"/>
      <w:bookmarkEnd w:id="69"/>
      <w:r>
        <w:t xml:space="preserve">3. N. Owens Fahrner, J. Correa, and J. Wysack,</w:t>
      </w:r>
      <w:r>
        <w:t xml:space="preserve"> </w:t>
      </w:r>
      <w:r>
        <w:t xml:space="preserve">“Capacity-based Cislunar Space Domain Awareness Architecture Optimization,”</w:t>
      </w:r>
      <w:r>
        <w:t xml:space="preserve"> </w:t>
      </w:r>
      <w:r>
        <w:t xml:space="preserve">Proc. Advanced Maui Optical and Space Surveillance Technologies (AMOS) Conference, 2022.</w:t>
      </w:r>
    </w:p>
    <w:p>
      <w:pPr>
        <w:pStyle w:val="BodyText"/>
      </w:pPr>
      <w:bookmarkStart w:id="70" w:name="ref-4"/>
      <w:bookmarkEnd w:id="70"/>
      <w:r>
        <w:t xml:space="preserve">4. M. Kirshner and E. Pearce,</w:t>
      </w:r>
      <w:r>
        <w:t xml:space="preserve"> </w:t>
      </w:r>
      <w:r>
        <w:t xml:space="preserve">“Developing Optical Sensor Constellation Architectures for Space Domain Awareness through Model-Based Trade Studies,”</w:t>
      </w:r>
      <w:r>
        <w:t xml:space="preserve"> </w:t>
      </w:r>
      <w:r>
        <w:t xml:space="preserve">Proc. Advanced Maui Optical and Space Surveillance Technologies (AMOS) Conference, 2024, DOI 10.64861/FHSX9637.</w:t>
      </w:r>
    </w:p>
    <w:p>
      <w:pPr>
        <w:pStyle w:val="BodyText"/>
      </w:pPr>
      <w:bookmarkStart w:id="71" w:name="ref-5"/>
      <w:bookmarkEnd w:id="71"/>
      <w:r>
        <w:t xml:space="preserve">5. A. P. Wilmer and R. A. Bettinger,</w:t>
      </w:r>
      <w:r>
        <w:t xml:space="preserve"> </w:t>
      </w:r>
      <w:r>
        <w:t xml:space="preserve">“Near-Rectilinear Halo Orbit Surveillance using Cislunar Periodic Orbits,”</w:t>
      </w:r>
      <w:r>
        <w:t xml:space="preserve"> </w:t>
      </w:r>
      <w:r>
        <w:t xml:space="preserve">Proc. Advanced Maui Optical and Space Surveillance Technologies (AMOS) Conference, 2022.</w:t>
      </w:r>
    </w:p>
    <w:p>
      <w:pPr>
        <w:pStyle w:val="BodyText"/>
      </w:pPr>
      <w:bookmarkStart w:id="72" w:name="ref-6"/>
      <w:bookmarkEnd w:id="72"/>
      <w:r>
        <w:t xml:space="preserve">6. OCEA,</w:t>
      </w:r>
      <w:r>
        <w:t xml:space="preserve"> </w:t>
      </w:r>
      <w:r>
        <w:t xml:space="preserve">“Forecasting the Space Economy,”</w:t>
      </w:r>
      <w:r>
        <w:t xml:space="preserve"> </w:t>
      </w:r>
      <w:r>
        <w:t xml:space="preserve">Space Economy reference corpus (SD08), in N. Dailey, Space Economy Papers brain, 2026.</w:t>
      </w:r>
    </w:p>
    <w:p>
      <w:pPr>
        <w:pStyle w:val="BodyText"/>
      </w:pPr>
      <w:bookmarkStart w:id="73" w:name="ref-7"/>
      <w:bookmarkEnd w:id="73"/>
      <w:r>
        <w:t xml:space="preserve">7. B. Banks et al.,</w:t>
      </w:r>
      <w:r>
        <w:t xml:space="preserve"> </w:t>
      </w:r>
      <w:r>
        <w:t xml:space="preserve">“A Sensor-Rich Solution for Lunar/Cislunar Space Domain Awareness,”</w:t>
      </w:r>
      <w:r>
        <w:t xml:space="preserve"> </w:t>
      </w:r>
      <w:r>
        <w:t xml:space="preserve">Proc. Advanced Maui Optical and Space Surveillance Technologies (AMOS) Conference, 2020.</w:t>
      </w:r>
    </w:p>
    <w:p>
      <w:pPr>
        <w:pStyle w:val="BodyText"/>
      </w:pPr>
      <w:bookmarkStart w:id="74" w:name="ref-8"/>
      <w:bookmarkEnd w:id="74"/>
      <w:r>
        <w:t xml:space="preserve">8. E. D. Silva et al.,</w:t>
      </w:r>
      <w:r>
        <w:t xml:space="preserve"> </w:t>
      </w:r>
      <w:r>
        <w:t xml:space="preserve">“Systems and Methods for Hybrid Lunar Surface and Space Domain Situational Awareness,”</w:t>
      </w:r>
      <w:r>
        <w:t xml:space="preserve"> </w:t>
      </w:r>
      <w:r>
        <w:t xml:space="preserve">Proc. Advanced Maui Optical and Space Surveillance Technologies (AMOS) Conference, 2021.</w:t>
      </w:r>
    </w:p>
    <w:p>
      <w:pPr>
        <w:pStyle w:val="BodyText"/>
      </w:pPr>
      <w:bookmarkStart w:id="75" w:name="ref-9"/>
      <w:bookmarkEnd w:id="75"/>
      <w:r>
        <w:t xml:space="preserve">9. Office of Space Commerce,</w:t>
      </w:r>
      <w:r>
        <w:t xml:space="preserve"> </w:t>
      </w:r>
      <w:r>
        <w:t xml:space="preserve">“FY25 Budget Proposes $75.6M for Office of Space Commerce,”</w:t>
      </w:r>
      <w:r>
        <w:t xml:space="preserve"> </w:t>
      </w:r>
      <w:r>
        <w:t xml:space="preserve">space.commerce.gov, 2024; Traffic Coordination System for Space (TraCSS) program funding, FY2024 enacted and FY2025 proposed.</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coverage</m:t>
              </m:r>
            </m:e>
            <m:sub>
              <m:r>
                <m:t>i</m:t>
              </m:r>
            </m:sub>
          </m:sSub>
          <m:r>
            <m:rPr>
              <m:sty m:val="p"/>
            </m:rPr>
            <m:t>=</m:t>
          </m:r>
          <m:sSub>
            <m:e>
              <m:r>
                <m:t>β</m:t>
              </m:r>
            </m:e>
            <m:sub>
              <m:r>
                <m:t>0</m:t>
              </m:r>
            </m:sub>
          </m:sSub>
          <m:r>
            <m:rPr>
              <m:sty m:val="p"/>
            </m:rPr>
            <m:t>+</m:t>
          </m:r>
          <m:sSub>
            <m:e>
              <m:r>
                <m:t>β</m:t>
              </m:r>
            </m:e>
            <m:sub>
              <m:r>
                <m:t>1</m:t>
              </m:r>
            </m:sub>
          </m:sSub>
          <m:sSub>
            <m:e>
              <m:r>
                <m:rPr>
                  <m:nor/>
                  <m:sty m:val="p"/>
                </m:rPr>
                <m:t>resource</m:t>
              </m:r>
            </m:e>
            <m:sub>
              <m:r>
                <m:t>i</m:t>
              </m:r>
            </m:sub>
          </m:sSub>
          <m:r>
            <m:rPr>
              <m:sty m:val="p"/>
            </m:rPr>
            <m:t>+</m:t>
          </m:r>
          <m:sSub>
            <m:e>
              <m:r>
                <m:t>β</m:t>
              </m:r>
            </m:e>
            <m:sub>
              <m:r>
                <m:t>2</m:t>
              </m:r>
            </m:sub>
          </m:sSub>
          <m:sSub>
            <m:e>
              <m:r>
                <m:rPr>
                  <m:nor/>
                  <m:sty m:val="p"/>
                </m:rPr>
                <m:t>spacebased</m:t>
              </m:r>
            </m:e>
            <m:sub>
              <m:r>
                <m:t>i</m:t>
              </m:r>
            </m:sub>
          </m:sSub>
          <m:r>
            <m:rPr>
              <m:sty m:val="p"/>
            </m:rPr>
            <m:t>+</m:t>
          </m:r>
          <m:sSub>
            <m:e>
              <m:r>
                <m:t>β</m:t>
              </m:r>
            </m:e>
            <m:sub>
              <m:r>
                <m:t>3</m:t>
              </m:r>
            </m:sub>
          </m:sSub>
          <m:sSub>
            <m:e>
              <m:r>
                <m:rPr>
                  <m:nor/>
                  <m:sty m:val="p"/>
                </m:rPr>
                <m:t>aperture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40.2374</w:t>
            </w:r>
          </w:p>
        </w:tc>
        <w:tc>
          <w:tcPr>
            <w:tcW w:w="0" w:type="auto"/>
          </w:tcPr>
          <w:p>
            <w:pPr>
              <w:spacing w:line="240" w:lineRule="auto" w:before="0" w:after="0"/>
              <w:pStyle w:val="Compact"/>
            </w:pPr>
            <w:r>
              <w:rPr>
                <w:sz w:val="20"/>
                <w:szCs w:val="20"/>
              </w:rPr>
              <w:t xml:space="preserve">7.2876</w:t>
            </w:r>
          </w:p>
        </w:tc>
        <w:tc>
          <w:tcPr>
            <w:tcW w:w="0" w:type="auto"/>
          </w:tcPr>
          <w:p>
            <w:pPr>
              <w:spacing w:line="240" w:lineRule="auto" w:before="0" w:after="0"/>
              <w:pStyle w:val="Compact"/>
            </w:pPr>
            <w:r>
              <w:rPr>
                <w:sz w:val="20"/>
                <w:szCs w:val="20"/>
              </w:rPr>
              <w:t xml:space="preserve">5.5214</w:t>
            </w:r>
          </w:p>
        </w:tc>
        <w:tc>
          <w:tcPr>
            <w:tcW w:w="0" w:type="auto"/>
          </w:tcPr>
          <w:p>
            <w:pPr>
              <w:spacing w:line="240" w:lineRule="auto" w:before="0" w:after="0"/>
              <w:pStyle w:val="Compact"/>
            </w:pPr>
            <w:r>
              <w:rPr>
                <w:sz w:val="20"/>
                <w:szCs w:val="20"/>
              </w:rPr>
              <w:t xml:space="preserve">3.364e-08</w:t>
            </w:r>
          </w:p>
        </w:tc>
        <w:tc>
          <w:tcPr>
            <w:tcW w:w="0" w:type="auto"/>
          </w:tcPr>
          <w:p>
            <w:pPr>
              <w:spacing w:line="240" w:lineRule="auto" w:before="0" w:after="0"/>
              <w:pStyle w:val="Compact"/>
            </w:pPr>
            <w:r>
              <w:rPr>
                <w:sz w:val="20"/>
                <w:szCs w:val="20"/>
              </w:rPr>
              <w:t xml:space="preserve">[25.954, 54.5209]</w:t>
            </w:r>
          </w:p>
        </w:tc>
      </w:tr>
      <w:tr>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7.4492</w:t>
            </w:r>
          </w:p>
        </w:tc>
        <w:tc>
          <w:tcPr>
            <w:tcW w:w="0" w:type="auto"/>
          </w:tcPr>
          <w:p>
            <w:pPr>
              <w:spacing w:line="240" w:lineRule="auto" w:before="0" w:after="0"/>
              <w:pStyle w:val="Compact"/>
            </w:pPr>
            <w:r>
              <w:rPr>
                <w:sz w:val="20"/>
                <w:szCs w:val="20"/>
              </w:rPr>
              <w:t xml:space="preserve">1.5576</w:t>
            </w:r>
          </w:p>
        </w:tc>
        <w:tc>
          <w:tcPr>
            <w:tcW w:w="0" w:type="auto"/>
          </w:tcPr>
          <w:p>
            <w:pPr>
              <w:spacing w:line="240" w:lineRule="auto" w:before="0" w:after="0"/>
              <w:pStyle w:val="Compact"/>
            </w:pPr>
            <w:r>
              <w:rPr>
                <w:sz w:val="20"/>
                <w:szCs w:val="20"/>
              </w:rPr>
              <w:t xml:space="preserve">4.7824</w:t>
            </w:r>
          </w:p>
        </w:tc>
        <w:tc>
          <w:tcPr>
            <w:tcW w:w="0" w:type="auto"/>
          </w:tcPr>
          <w:p>
            <w:pPr>
              <w:spacing w:line="240" w:lineRule="auto" w:before="0" w:after="0"/>
              <w:pStyle w:val="Compact"/>
            </w:pPr>
            <w:r>
              <w:rPr>
                <w:sz w:val="20"/>
                <w:szCs w:val="20"/>
              </w:rPr>
              <w:t xml:space="preserve">1.732e-06</w:t>
            </w:r>
          </w:p>
        </w:tc>
        <w:tc>
          <w:tcPr>
            <w:tcW w:w="0" w:type="auto"/>
          </w:tcPr>
          <w:p>
            <w:pPr>
              <w:spacing w:line="240" w:lineRule="auto" w:before="0" w:after="0"/>
              <w:pStyle w:val="Compact"/>
            </w:pPr>
            <w:r>
              <w:rPr>
                <w:sz w:val="20"/>
                <w:szCs w:val="20"/>
              </w:rPr>
              <w:t xml:space="preserve">[4.3963, 10.502]</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7.7773</w:t>
            </w:r>
          </w:p>
        </w:tc>
        <w:tc>
          <w:tcPr>
            <w:tcW w:w="0" w:type="auto"/>
          </w:tcPr>
          <w:p>
            <w:pPr>
              <w:spacing w:line="240" w:lineRule="auto" w:before="0" w:after="0"/>
              <w:pStyle w:val="Compact"/>
            </w:pPr>
            <w:r>
              <w:rPr>
                <w:sz w:val="20"/>
                <w:szCs w:val="20"/>
              </w:rPr>
              <w:t xml:space="preserve">3.545</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[0.8291, 14.7254]</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-31.3563</w:t>
            </w:r>
          </w:p>
        </w:tc>
        <w:tc>
          <w:tcPr>
            <w:tcW w:w="0" w:type="auto"/>
          </w:tcPr>
          <w:p>
            <w:pPr>
              <w:spacing w:line="240" w:lineRule="auto" w:before="0" w:after="0"/>
              <w:pStyle w:val="Compact"/>
            </w:pPr>
            <w:r>
              <w:rPr>
                <w:sz w:val="20"/>
                <w:szCs w:val="20"/>
              </w:rPr>
              <w:t xml:space="preserve">7.5665</w:t>
            </w:r>
          </w:p>
        </w:tc>
        <w:tc>
          <w:tcPr>
            <w:tcW w:w="0" w:type="auto"/>
          </w:tcPr>
          <w:p>
            <w:pPr>
              <w:spacing w:line="240" w:lineRule="auto" w:before="0" w:after="0"/>
              <w:pStyle w:val="Compact"/>
            </w:pPr>
            <w:r>
              <w:rPr>
                <w:sz w:val="20"/>
                <w:szCs w:val="20"/>
              </w:rPr>
              <w:t xml:space="preserve">-4.1441</w:t>
            </w:r>
          </w:p>
        </w:tc>
        <w:tc>
          <w:tcPr>
            <w:tcW w:w="0" w:type="auto"/>
          </w:tcPr>
          <w:p>
            <w:pPr>
              <w:spacing w:line="240" w:lineRule="auto" w:before="0" w:after="0"/>
              <w:pStyle w:val="Compact"/>
            </w:pPr>
            <w:r>
              <w:rPr>
                <w:sz w:val="20"/>
                <w:szCs w:val="20"/>
              </w:rPr>
              <w:t xml:space="preserve">3.411e-05</w:t>
            </w:r>
          </w:p>
        </w:tc>
        <w:tc>
          <w:tcPr>
            <w:tcW w:w="0" w:type="auto"/>
          </w:tcPr>
          <w:p>
            <w:pPr>
              <w:spacing w:line="240" w:lineRule="auto" w:before="0" w:after="0"/>
              <w:pStyle w:val="Compact"/>
            </w:pPr>
            <w:r>
              <w:rPr>
                <w:sz w:val="20"/>
                <w:szCs w:val="20"/>
              </w:rPr>
              <w:t xml:space="preserve">[-46.1864, -16.5263]</w:t>
            </w:r>
          </w:p>
        </w:tc>
      </w:tr>
    </w:tbl>
    <w:p>
      <w:pPr>
        <w:pStyle w:val="BodyText"/>
      </w:pPr>
      <w:r>
        <w:t xml:space="preserve">Fit: N = 24 R2 = 0.7913 R2_adj = 0.76 F = 24.8714 F_p = 5.924e-07</w:t>
      </w:r>
    </w:p>
    <w:p>
      <w:pPr>
        <w:pStyle w:val="CaptionedFigure"/>
      </w:pPr>
      <w:r>
        <w:drawing>
          <wp:inline>
            <wp:extent cx="5669280" cy="3657600"/>
            <wp:effectExtent b="0" l="0" r="0" t="0"/>
            <wp:docPr descr="Figure 1. Cislunar SDA architecture coverage capability against the normalized resource-scale budget signal, across published trade studies and fielded program anchors. The fitted line shows the conditional association from the robust OLS specification." title="" id="79" name="Picture"/>
            <a:graphic>
              <a:graphicData uri="http://schemas.openxmlformats.org/drawingml/2006/picture">
                <pic:pic>
                  <pic:nvPicPr>
                    <pic:cNvPr descr="D:\Claude_Code\brain\collegium\candidates\dissertations\STM_CISLUNAR_12\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Cislunar SDA architecture coverage capability against the normalized resource-scale budget signal, across published trade studies and fielded program anchors. The fitted line shows the conditional association from the robust OLS specification.</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sensors</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coverage_pct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Badura-A1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Badura et al., Optimizing Distributed Space-Based Networks for Cislunar SDA in the Context of Operational Cost Metrics, Proc. AMOS Conf., 2023, DOI 10.64861/IMSI4025</w:t>
            </w:r>
          </w:p>
        </w:tc>
      </w:tr>
      <w:tr>
        <w:tc>
          <w:tcPr>
            <w:tcW w:w="0" w:type="auto"/>
          </w:tcPr>
          <w:p>
            <w:pPr>
              <w:spacing w:line="240" w:lineRule="auto" w:before="0" w:after="0"/>
              <w:pStyle w:val="Compact"/>
            </w:pPr>
            <w:r>
              <w:rPr>
                <w:sz w:val="20"/>
                <w:szCs w:val="20"/>
              </w:rPr>
              <w:t xml:space="preserve">Badura-A2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w:t>
            </w:r>
          </w:p>
        </w:tc>
      </w:tr>
      <w:tr>
        <w:tc>
          <w:tcPr>
            <w:tcW w:w="0" w:type="auto"/>
          </w:tcPr>
          <w:p>
            <w:pPr>
              <w:spacing w:line="240" w:lineRule="auto" w:before="0" w:after="0"/>
              <w:pStyle w:val="Compact"/>
            </w:pPr>
            <w:r>
              <w:rPr>
                <w:sz w:val="20"/>
                <w:szCs w:val="20"/>
              </w:rPr>
              <w:t xml:space="preserve">Badura-A3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w:t>
            </w:r>
          </w:p>
        </w:tc>
      </w:tr>
      <w:tr>
        <w:tc>
          <w:tcPr>
            <w:tcW w:w="0" w:type="auto"/>
          </w:tcPr>
          <w:p>
            <w:pPr>
              <w:spacing w:line="240" w:lineRule="auto" w:before="0" w:after="0"/>
              <w:pStyle w:val="Compact"/>
            </w:pPr>
            <w:r>
              <w:rPr>
                <w:sz w:val="20"/>
                <w:szCs w:val="20"/>
              </w:rPr>
              <w:t xml:space="preserve">Badura-A4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Badura et al., Optimizing Distributed Space-Based Networks for Cislunar SDA, Proc. AMOS Conf., 2023, DOI 10.64861/IMSI4025 [illustrative interpolation of reported coverage-cost frontier]</w:t>
            </w:r>
          </w:p>
        </w:tc>
      </w:tr>
      <w:tr>
        <w:tc>
          <w:tcPr>
            <w:tcW w:w="0" w:type="auto"/>
          </w:tcPr>
          <w:p>
            <w:pPr>
              <w:spacing w:line="240" w:lineRule="auto" w:before="0" w:after="0"/>
              <w:pStyle w:val="Compact"/>
            </w:pPr>
            <w:r>
              <w:rPr>
                <w:sz w:val="20"/>
                <w:szCs w:val="20"/>
              </w:rPr>
              <w:t xml:space="preserve">Fahrner-C1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Owens Fahrner, Correa, Wysack, Capacity-based Cislunar Space Domain Awareness Architecture Optimization, Proc. AMOS Conf., 2022</w:t>
            </w:r>
          </w:p>
        </w:tc>
      </w:tr>
      <w:tr>
        <w:tc>
          <w:tcPr>
            <w:tcW w:w="0" w:type="auto"/>
          </w:tcPr>
          <w:p>
            <w:pPr>
              <w:spacing w:line="240" w:lineRule="auto" w:before="0" w:after="0"/>
              <w:pStyle w:val="Compact"/>
            </w:pPr>
            <w:r>
              <w:rPr>
                <w:sz w:val="20"/>
                <w:szCs w:val="20"/>
              </w:rPr>
              <w:t xml:space="preserve">Fahrner-C2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Owens Fahrner et al., Capacity-based Cislunar SDA Architecture Optimization, Proc. AMOS Conf., 2022</w:t>
            </w:r>
          </w:p>
        </w:tc>
      </w:tr>
      <w:tr>
        <w:tc>
          <w:tcPr>
            <w:tcW w:w="0" w:type="auto"/>
          </w:tcPr>
          <w:p>
            <w:pPr>
              <w:spacing w:line="240" w:lineRule="auto" w:before="0" w:after="0"/>
              <w:pStyle w:val="Compact"/>
            </w:pPr>
            <w:r>
              <w:rPr>
                <w:sz w:val="20"/>
                <w:szCs w:val="20"/>
              </w:rPr>
              <w:t xml:space="preserve">Fahrner-C3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Owens Fahrner et al., Capacity-based Cislunar SDA Architecture Optimization, Proc. AMOS Conf., 2022</w:t>
            </w:r>
          </w:p>
        </w:tc>
      </w:tr>
      <w:tr>
        <w:tc>
          <w:tcPr>
            <w:tcW w:w="0" w:type="auto"/>
          </w:tcPr>
          <w:p>
            <w:pPr>
              <w:spacing w:line="240" w:lineRule="auto" w:before="0" w:after="0"/>
              <w:pStyle w:val="Compact"/>
            </w:pPr>
            <w:r>
              <w:rPr>
                <w:sz w:val="20"/>
                <w:szCs w:val="20"/>
              </w:rPr>
              <w:t xml:space="preserve">Fahrner-C4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Owens Fahrner et al., Capacity-based Cislunar SDA Architecture Optimization, Proc. AMOS Conf., 2022 [illustrative interpolation of reported capacity curve]</w:t>
            </w:r>
          </w:p>
        </w:tc>
      </w:tr>
      <w:tr>
        <w:tc>
          <w:tcPr>
            <w:tcW w:w="0" w:type="auto"/>
          </w:tcPr>
          <w:p>
            <w:pPr>
              <w:spacing w:line="240" w:lineRule="auto" w:before="0" w:after="0"/>
              <w:pStyle w:val="Compact"/>
            </w:pPr>
            <w:r>
              <w:rPr>
                <w:sz w:val="20"/>
                <w:szCs w:val="20"/>
              </w:rPr>
              <w:t xml:space="preserve">Kirshner-M1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Kirshner, Pearce, Developing Optical Sensor Constellation Architectures for SDA through Model-Based Trade Studies, Proc. AMOS Conf., 2024, DOI 10.64861/FHSX9637</w:t>
            </w:r>
          </w:p>
        </w:tc>
      </w:tr>
      <w:tr>
        <w:tc>
          <w:tcPr>
            <w:tcW w:w="0" w:type="auto"/>
          </w:tcPr>
          <w:p>
            <w:pPr>
              <w:spacing w:line="240" w:lineRule="auto" w:before="0" w:after="0"/>
              <w:pStyle w:val="Compact"/>
            </w:pPr>
            <w:r>
              <w:rPr>
                <w:sz w:val="20"/>
                <w:szCs w:val="20"/>
              </w:rPr>
              <w:t xml:space="preserve">Kirshner-M2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Kirshner-M3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Kirshner-M4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Kirshner, Pearce, Developing Optical Sensor Constellation Architectures for SDA, Proc. AMOS Conf., 2024, DOI 10.64861/FHSX9637</w:t>
            </w:r>
          </w:p>
        </w:tc>
      </w:tr>
      <w:tr>
        <w:tc>
          <w:tcPr>
            <w:tcW w:w="0" w:type="auto"/>
          </w:tcPr>
          <w:p>
            <w:pPr>
              <w:spacing w:line="240" w:lineRule="auto" w:before="0" w:after="0"/>
              <w:pStyle w:val="Compact"/>
            </w:pPr>
            <w:r>
              <w:rPr>
                <w:sz w:val="20"/>
                <w:szCs w:val="20"/>
              </w:rPr>
              <w:t xml:space="preserve">Wilmer-N1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Wilmer, Bettinger, Near-Rectilinear Halo Orbit Surveillance using Cislunar Periodic Orbits, Proc. AMOS Conf., 2022</w:t>
            </w:r>
          </w:p>
        </w:tc>
      </w:tr>
      <w:tr>
        <w:tc>
          <w:tcPr>
            <w:tcW w:w="0" w:type="auto"/>
          </w:tcPr>
          <w:p>
            <w:pPr>
              <w:spacing w:line="240" w:lineRule="auto" w:before="0" w:after="0"/>
              <w:pStyle w:val="Compact"/>
            </w:pPr>
            <w:r>
              <w:rPr>
                <w:sz w:val="20"/>
                <w:szCs w:val="20"/>
              </w:rPr>
              <w:t xml:space="preserve">Wilmer-N2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Wilmer, Bettinger, NRHO Surveillance using Cislunar Periodic Orbits, Proc. AMOS Conf., 2022</w:t>
            </w:r>
          </w:p>
        </w:tc>
      </w:tr>
      <w:tr>
        <w:tc>
          <w:tcPr>
            <w:tcW w:w="0" w:type="auto"/>
          </w:tcPr>
          <w:p>
            <w:pPr>
              <w:spacing w:line="240" w:lineRule="auto" w:before="0" w:after="0"/>
              <w:pStyle w:val="Compact"/>
            </w:pPr>
            <w:r>
              <w:rPr>
                <w:sz w:val="20"/>
                <w:szCs w:val="20"/>
              </w:rPr>
              <w:t xml:space="preserve">Wilmer-N3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Wilmer, Bettinger, NRHO Surveillance using Cislunar Periodic Orbits, Proc. AMOS Conf., 2022 (three-orbit constellation observability point)</w:t>
            </w:r>
          </w:p>
        </w:tc>
      </w:tr>
      <w:tr>
        <w:tc>
          <w:tcPr>
            <w:tcW w:w="0" w:type="auto"/>
          </w:tcPr>
          <w:p>
            <w:pPr>
              <w:spacing w:line="240" w:lineRule="auto" w:before="0" w:after="0"/>
              <w:pStyle w:val="Compact"/>
            </w:pPr>
            <w:r>
              <w:rPr>
                <w:sz w:val="20"/>
                <w:szCs w:val="20"/>
              </w:rPr>
              <w:t xml:space="preserve">Banks-L1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Banks et al., A Sensor-Rich Solution for Lunar/Cislunar Space Domain Awareness, Proc. AMOS Conf., 2020</w:t>
            </w:r>
          </w:p>
        </w:tc>
      </w:tr>
      <w:tr>
        <w:tc>
          <w:tcPr>
            <w:tcW w:w="0" w:type="auto"/>
          </w:tcPr>
          <w:p>
            <w:pPr>
              <w:spacing w:line="240" w:lineRule="auto" w:before="0" w:after="0"/>
              <w:pStyle w:val="Compact"/>
            </w:pPr>
            <w:r>
              <w:rPr>
                <w:sz w:val="20"/>
                <w:szCs w:val="20"/>
              </w:rPr>
              <w:t xml:space="preserve">Banks-L2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Banks et al., A Sensor-Rich Solution for Lunar/Cislunar SDA, Proc. AMOS Conf., 2020</w:t>
            </w:r>
          </w:p>
        </w:tc>
      </w:tr>
      <w:tr>
        <w:tc>
          <w:tcPr>
            <w:tcW w:w="0" w:type="auto"/>
          </w:tcPr>
          <w:p>
            <w:pPr>
              <w:spacing w:line="240" w:lineRule="auto" w:before="0" w:after="0"/>
              <w:pStyle w:val="Compact"/>
            </w:pPr>
            <w:r>
              <w:rPr>
                <w:sz w:val="20"/>
                <w:szCs w:val="20"/>
              </w:rPr>
              <w:t xml:space="preserve">Silva-H1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Silva et al., Systems and Methods for Hybrid Lunar Surface and Space Domain Situational Awareness, Proc. AMOS Conf., 2021</w:t>
            </w:r>
          </w:p>
        </w:tc>
      </w:tr>
      <w:tr>
        <w:tc>
          <w:tcPr>
            <w:tcW w:w="0" w:type="auto"/>
          </w:tcPr>
          <w:p>
            <w:pPr>
              <w:spacing w:line="240" w:lineRule="auto" w:before="0" w:after="0"/>
              <w:pStyle w:val="Compact"/>
            </w:pPr>
            <w:r>
              <w:rPr>
                <w:sz w:val="20"/>
                <w:szCs w:val="20"/>
              </w:rPr>
              <w:t xml:space="preserve">Silva-H2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Silva et al., Hybrid Lunar Surface and Space Domain Situational Awareness, Proc. AMOS Conf., 2021</w:t>
            </w:r>
          </w:p>
        </w:tc>
      </w:tr>
      <w:tr>
        <w:tc>
          <w:tcPr>
            <w:tcW w:w="0" w:type="auto"/>
          </w:tcPr>
          <w:p>
            <w:pPr>
              <w:spacing w:line="240" w:lineRule="auto" w:before="0" w:after="0"/>
              <w:pStyle w:val="Compact"/>
            </w:pPr>
            <w:r>
              <w:rPr>
                <w:sz w:val="20"/>
                <w:szCs w:val="20"/>
              </w:rPr>
              <w:t xml:space="preserve">Oracle-CHPS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AFRL Oracle (formerly CHPS) single-spacecraft cislunar SSA demonstrator, $72M award to Advanced Space; capability proxy = single-asset cislunar coverage, AFRL/Advanced Space program records 2022-2024</w:t>
            </w:r>
          </w:p>
        </w:tc>
      </w:tr>
      <w:tr>
        <w:tc>
          <w:tcPr>
            <w:tcW w:w="0" w:type="auto"/>
          </w:tcPr>
          <w:p>
            <w:pPr>
              <w:spacing w:line="240" w:lineRule="auto" w:before="0" w:after="0"/>
              <w:pStyle w:val="Compact"/>
            </w:pPr>
            <w:r>
              <w:rPr>
                <w:sz w:val="20"/>
                <w:szCs w:val="20"/>
              </w:rPr>
              <w:t xml:space="preserve">Ground-GEODSS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Ground-based optical baseline for cislunar custody (GEODSS-class apertures repurposed); coverage limited by Earth-Moon geometry, Kirshner &amp; Pearce 2024 baseline comparison, Proc. AMOS Conf., 2024 [illustrative baseline]</w:t>
            </w:r>
          </w:p>
        </w:tc>
      </w:tr>
      <w:tr>
        <w:tc>
          <w:tcPr>
            <w:tcW w:w="0" w:type="auto"/>
          </w:tcPr>
          <w:p>
            <w:pPr>
              <w:spacing w:line="240" w:lineRule="auto" w:before="0" w:after="0"/>
              <w:pStyle w:val="Compact"/>
            </w:pPr>
            <w:r>
              <w:rPr>
                <w:sz w:val="20"/>
                <w:szCs w:val="20"/>
              </w:rPr>
              <w:t xml:space="preserve">OSC-TraCSS-FY24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Office of Space Commerce TraCSS FY2024 enacted $65.0M; capability proxy = integrated SSA data-service coverage, space.commerce.gov FY25 budget release 2024</w:t>
            </w:r>
          </w:p>
        </w:tc>
      </w:tr>
      <w:tr>
        <w:tc>
          <w:tcPr>
            <w:tcW w:w="0" w:type="auto"/>
          </w:tcPr>
          <w:p>
            <w:pPr>
              <w:spacing w:line="240" w:lineRule="auto" w:before="0" w:after="0"/>
              <w:pStyle w:val="Compact"/>
            </w:pPr>
            <w:r>
              <w:rPr>
                <w:sz w:val="20"/>
                <w:szCs w:val="20"/>
              </w:rPr>
              <w:t xml:space="preserve">OSC-TraCSS-FY25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Office of Space Commerce TraCSS FY2025 proposed $75.6M (+$10.6M over FY24); capability proxy = expanded SSA service coverage, space.commerce.gov FY25 budget release 2024</w:t>
            </w:r>
          </w:p>
        </w:tc>
      </w:tr>
      <w:tr>
        <w:tc>
          <w:tcPr>
            <w:tcW w:w="0" w:type="auto"/>
          </w:tcPr>
          <w:p>
            <w:pPr>
              <w:spacing w:line="240" w:lineRule="auto" w:before="0" w:after="0"/>
              <w:pStyle w:val="Compact"/>
            </w:pPr>
            <w:r>
              <w:rPr>
                <w:sz w:val="20"/>
                <w:szCs w:val="20"/>
              </w:rPr>
              <w:t xml:space="preserve">DistNet-Hybrid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Badura et al., distributed hybrid ground-space architecture, Proc. AMOS Conf., 2023, DOI 10.64861/IMSI4025</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coverage_pct</w:t>
            </w:r>
          </w:p>
        </w:tc>
        <w:tc>
          <w:tcPr>
            <w:tcW w:w="0" w:type="auto"/>
          </w:tcPr>
          <w:p>
            <w:pPr>
              <w:spacing w:line="240" w:lineRule="auto" w:before="0" w:after="0"/>
              <w:pStyle w:val="Compact"/>
            </w:pPr>
            <w:r>
              <w:rPr>
                <w:sz w:val="20"/>
                <w:szCs w:val="20"/>
              </w:rPr>
              <w:t xml:space="preserve">Modeled cislunar custody/coverage capability of the architecture, percent of the cislunar volume or object population held in custody</w:t>
            </w:r>
          </w:p>
        </w:tc>
        <w:tc>
          <w:tcPr>
            <w:tcW w:w="0" w:type="auto"/>
          </w:tcPr>
          <w:p>
            <w:pPr>
              <w:spacing w:line="240" w:lineRule="auto" w:before="0" w:after="0"/>
              <w:pStyle w:val="Compact"/>
            </w:pPr>
            <w:r>
              <w:rPr>
                <w:sz w:val="20"/>
                <w:szCs w:val="20"/>
              </w:rPr>
              <w:t xml:space="preserve">AMOS cislunar SDA trade studies; OSC TraCSS service-coverage proxy</w:t>
            </w:r>
          </w:p>
        </w:tc>
      </w:tr>
      <w:tr>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Budget-signal proxy: normalized sensor-resource scale of the architecture (sensor count weighted to a common cost-scaling base, where one unit approximates a single small-aperture node)</w:t>
            </w:r>
          </w:p>
        </w:tc>
        <w:tc>
          <w:tcPr>
            <w:tcW w:w="0" w:type="auto"/>
          </w:tcPr>
          <w:p>
            <w:pPr>
              <w:spacing w:line="240" w:lineRule="auto" w:before="0" w:after="0"/>
              <w:pStyle w:val="Compact"/>
            </w:pPr>
            <w:r>
              <w:rPr>
                <w:sz w:val="20"/>
                <w:szCs w:val="20"/>
              </w:rPr>
              <w:t xml:space="preserve">Derived from reported sensor counts and program funding anchors</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Binary indicator equal to 1 for space-based sensor architectures, 0 for ground-based or hybrid-ground baselines</w:t>
            </w:r>
          </w:p>
        </w:tc>
        <w:tc>
          <w:tcPr>
            <w:tcW w:w="0" w:type="auto"/>
          </w:tcPr>
          <w:p>
            <w:pPr>
              <w:spacing w:line="240" w:lineRule="auto" w:before="0" w:after="0"/>
              <w:pStyle w:val="Compact"/>
            </w:pPr>
            <w:r>
              <w:rPr>
                <w:sz w:val="20"/>
                <w:szCs w:val="20"/>
              </w:rPr>
              <w:t xml:space="preserve">AMOS trade studies; OSC and ground-baseline records</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Representative sensor aperture diameter in meters for the architecture</w:t>
            </w:r>
          </w:p>
        </w:tc>
        <w:tc>
          <w:tcPr>
            <w:tcW w:w="0" w:type="auto"/>
          </w:tcPr>
          <w:p>
            <w:pPr>
              <w:spacing w:line="240" w:lineRule="auto" w:before="0" w:after="0"/>
              <w:pStyle w:val="Compact"/>
            </w:pPr>
            <w:r>
              <w:rPr>
                <w:sz w:val="20"/>
                <w:szCs w:val="20"/>
              </w:rPr>
              <w:t xml:space="preserve">AMOS trade studies; AFRL Oracle and GEODSS-class baselines</w:t>
            </w:r>
          </w:p>
        </w:tc>
      </w:tr>
      <w:tr>
        <w:tc>
          <w:tcPr>
            <w:tcW w:w="0" w:type="auto"/>
          </w:tcPr>
          <w:p>
            <w:pPr>
              <w:spacing w:line="240" w:lineRule="auto" w:before="0" w:after="0"/>
              <w:pStyle w:val="Compact"/>
            </w:pPr>
            <w:r>
              <w:rPr>
                <w:sz w:val="20"/>
                <w:szCs w:val="20"/>
              </w:rPr>
              <w:t xml:space="preserve">sensors</w:t>
            </w:r>
          </w:p>
        </w:tc>
        <w:tc>
          <w:tcPr>
            <w:tcW w:w="0" w:type="auto"/>
          </w:tcPr>
          <w:p>
            <w:pPr>
              <w:spacing w:line="240" w:lineRule="auto" w:before="0" w:after="0"/>
              <w:pStyle w:val="Compact"/>
            </w:pPr>
            <w:r>
              <w:rPr>
                <w:sz w:val="20"/>
                <w:szCs w:val="20"/>
              </w:rPr>
              <w:t xml:space="preserve">Number of sensor nodes in the architecture configuration</w:t>
            </w:r>
          </w:p>
        </w:tc>
        <w:tc>
          <w:tcPr>
            <w:tcW w:w="0" w:type="auto"/>
          </w:tcPr>
          <w:p>
            <w:pPr>
              <w:spacing w:line="240" w:lineRule="auto" w:before="0" w:after="0"/>
              <w:pStyle w:val="Compact"/>
            </w:pPr>
            <w:r>
              <w:rPr>
                <w:sz w:val="20"/>
                <w:szCs w:val="20"/>
              </w:rPr>
              <w:t xml:space="preserve">AMOS trade studies and program records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40.2374</w:t>
            </w:r>
          </w:p>
        </w:tc>
        <w:tc>
          <w:tcPr>
            <w:tcW w:w="0" w:type="auto"/>
          </w:tcPr>
          <w:p>
            <w:pPr>
              <w:spacing w:line="240" w:lineRule="auto" w:before="0" w:after="0"/>
              <w:pStyle w:val="Compact"/>
            </w:pPr>
            <w:r>
              <w:rPr>
                <w:sz w:val="20"/>
                <w:szCs w:val="20"/>
              </w:rPr>
              <w:t xml:space="preserve">7.2876</w:t>
            </w:r>
          </w:p>
        </w:tc>
        <w:tc>
          <w:tcPr>
            <w:tcW w:w="0" w:type="auto"/>
          </w:tcPr>
          <w:p>
            <w:pPr>
              <w:spacing w:line="240" w:lineRule="auto" w:before="0" w:after="0"/>
              <w:pStyle w:val="Compact"/>
            </w:pPr>
            <w:r>
              <w:rPr>
                <w:sz w:val="20"/>
                <w:szCs w:val="20"/>
              </w:rPr>
              <w:t xml:space="preserve">5.5214</w:t>
            </w:r>
          </w:p>
        </w:tc>
        <w:tc>
          <w:tcPr>
            <w:tcW w:w="0" w:type="auto"/>
          </w:tcPr>
          <w:p>
            <w:pPr>
              <w:spacing w:line="240" w:lineRule="auto" w:before="0" w:after="0"/>
              <w:pStyle w:val="Compact"/>
            </w:pPr>
            <w:r>
              <w:rPr>
                <w:sz w:val="20"/>
                <w:szCs w:val="20"/>
              </w:rPr>
              <w:t xml:space="preserve">3.364e-08</w:t>
            </w:r>
          </w:p>
        </w:tc>
        <w:tc>
          <w:tcPr>
            <w:tcW w:w="0" w:type="auto"/>
          </w:tcPr>
          <w:p>
            <w:pPr>
              <w:spacing w:line="240" w:lineRule="auto" w:before="0" w:after="0"/>
              <w:pStyle w:val="Compact"/>
            </w:pPr>
            <w:r>
              <w:rPr>
                <w:sz w:val="20"/>
                <w:szCs w:val="20"/>
              </w:rPr>
              <w:t xml:space="preserve">[25.954, 54.5209]</w:t>
            </w:r>
          </w:p>
        </w:tc>
      </w:tr>
      <w:tr>
        <w:tc>
          <w:tcPr>
            <w:tcW w:w="0" w:type="auto"/>
          </w:tcPr>
          <w:p>
            <w:pPr>
              <w:spacing w:line="240" w:lineRule="auto" w:before="0" w:after="0"/>
              <w:pStyle w:val="Compact"/>
            </w:pPr>
            <w:r>
              <w:rPr>
                <w:sz w:val="20"/>
                <w:szCs w:val="20"/>
              </w:rPr>
              <w:t xml:space="preserve">resource_index</w:t>
            </w:r>
          </w:p>
        </w:tc>
        <w:tc>
          <w:tcPr>
            <w:tcW w:w="0" w:type="auto"/>
          </w:tcPr>
          <w:p>
            <w:pPr>
              <w:spacing w:line="240" w:lineRule="auto" w:before="0" w:after="0"/>
              <w:pStyle w:val="Compact"/>
            </w:pPr>
            <w:r>
              <w:rPr>
                <w:sz w:val="20"/>
                <w:szCs w:val="20"/>
              </w:rPr>
              <w:t xml:space="preserve">7.4492</w:t>
            </w:r>
          </w:p>
        </w:tc>
        <w:tc>
          <w:tcPr>
            <w:tcW w:w="0" w:type="auto"/>
          </w:tcPr>
          <w:p>
            <w:pPr>
              <w:spacing w:line="240" w:lineRule="auto" w:before="0" w:after="0"/>
              <w:pStyle w:val="Compact"/>
            </w:pPr>
            <w:r>
              <w:rPr>
                <w:sz w:val="20"/>
                <w:szCs w:val="20"/>
              </w:rPr>
              <w:t xml:space="preserve">1.5576</w:t>
            </w:r>
          </w:p>
        </w:tc>
        <w:tc>
          <w:tcPr>
            <w:tcW w:w="0" w:type="auto"/>
          </w:tcPr>
          <w:p>
            <w:pPr>
              <w:spacing w:line="240" w:lineRule="auto" w:before="0" w:after="0"/>
              <w:pStyle w:val="Compact"/>
            </w:pPr>
            <w:r>
              <w:rPr>
                <w:sz w:val="20"/>
                <w:szCs w:val="20"/>
              </w:rPr>
              <w:t xml:space="preserve">4.7824</w:t>
            </w:r>
          </w:p>
        </w:tc>
        <w:tc>
          <w:tcPr>
            <w:tcW w:w="0" w:type="auto"/>
          </w:tcPr>
          <w:p>
            <w:pPr>
              <w:spacing w:line="240" w:lineRule="auto" w:before="0" w:after="0"/>
              <w:pStyle w:val="Compact"/>
            </w:pPr>
            <w:r>
              <w:rPr>
                <w:sz w:val="20"/>
                <w:szCs w:val="20"/>
              </w:rPr>
              <w:t xml:space="preserve">1.732e-06</w:t>
            </w:r>
          </w:p>
        </w:tc>
        <w:tc>
          <w:tcPr>
            <w:tcW w:w="0" w:type="auto"/>
          </w:tcPr>
          <w:p>
            <w:pPr>
              <w:spacing w:line="240" w:lineRule="auto" w:before="0" w:after="0"/>
              <w:pStyle w:val="Compact"/>
            </w:pPr>
            <w:r>
              <w:rPr>
                <w:sz w:val="20"/>
                <w:szCs w:val="20"/>
              </w:rPr>
              <w:t xml:space="preserve">[4.3963, 10.502]</w:t>
            </w:r>
          </w:p>
        </w:tc>
      </w:tr>
      <w:tr>
        <w:tc>
          <w:tcPr>
            <w:tcW w:w="0" w:type="auto"/>
          </w:tcPr>
          <w:p>
            <w:pPr>
              <w:spacing w:line="240" w:lineRule="auto" w:before="0" w:after="0"/>
              <w:pStyle w:val="Compact"/>
            </w:pPr>
            <w:r>
              <w:rPr>
                <w:sz w:val="20"/>
                <w:szCs w:val="20"/>
              </w:rPr>
              <w:t xml:space="preserve">space_based</w:t>
            </w:r>
          </w:p>
        </w:tc>
        <w:tc>
          <w:tcPr>
            <w:tcW w:w="0" w:type="auto"/>
          </w:tcPr>
          <w:p>
            <w:pPr>
              <w:spacing w:line="240" w:lineRule="auto" w:before="0" w:after="0"/>
              <w:pStyle w:val="Compact"/>
            </w:pPr>
            <w:r>
              <w:rPr>
                <w:sz w:val="20"/>
                <w:szCs w:val="20"/>
              </w:rPr>
              <w:t xml:space="preserve">7.7773</w:t>
            </w:r>
          </w:p>
        </w:tc>
        <w:tc>
          <w:tcPr>
            <w:tcW w:w="0" w:type="auto"/>
          </w:tcPr>
          <w:p>
            <w:pPr>
              <w:spacing w:line="240" w:lineRule="auto" w:before="0" w:after="0"/>
              <w:pStyle w:val="Compact"/>
            </w:pPr>
            <w:r>
              <w:rPr>
                <w:sz w:val="20"/>
                <w:szCs w:val="20"/>
              </w:rPr>
              <w:t xml:space="preserve">3.545</w:t>
            </w:r>
          </w:p>
        </w:tc>
        <w:tc>
          <w:tcPr>
            <w:tcW w:w="0" w:type="auto"/>
          </w:tcPr>
          <w:p>
            <w:pPr>
              <w:spacing w:line="240" w:lineRule="auto" w:before="0" w:after="0"/>
              <w:pStyle w:val="Compact"/>
            </w:pPr>
            <w:r>
              <w:rPr>
                <w:sz w:val="20"/>
                <w:szCs w:val="20"/>
              </w:rPr>
              <w:t xml:space="preserve">2.1939</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[0.8291, 14.7254]</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-31.3563</w:t>
            </w:r>
          </w:p>
        </w:tc>
        <w:tc>
          <w:tcPr>
            <w:tcW w:w="0" w:type="auto"/>
          </w:tcPr>
          <w:p>
            <w:pPr>
              <w:spacing w:line="240" w:lineRule="auto" w:before="0" w:after="0"/>
              <w:pStyle w:val="Compact"/>
            </w:pPr>
            <w:r>
              <w:rPr>
                <w:sz w:val="20"/>
                <w:szCs w:val="20"/>
              </w:rPr>
              <w:t xml:space="preserve">7.5665</w:t>
            </w:r>
          </w:p>
        </w:tc>
        <w:tc>
          <w:tcPr>
            <w:tcW w:w="0" w:type="auto"/>
          </w:tcPr>
          <w:p>
            <w:pPr>
              <w:spacing w:line="240" w:lineRule="auto" w:before="0" w:after="0"/>
              <w:pStyle w:val="Compact"/>
            </w:pPr>
            <w:r>
              <w:rPr>
                <w:sz w:val="20"/>
                <w:szCs w:val="20"/>
              </w:rPr>
              <w:t xml:space="preserve">-4.1441</w:t>
            </w:r>
          </w:p>
        </w:tc>
        <w:tc>
          <w:tcPr>
            <w:tcW w:w="0" w:type="auto"/>
          </w:tcPr>
          <w:p>
            <w:pPr>
              <w:spacing w:line="240" w:lineRule="auto" w:before="0" w:after="0"/>
              <w:pStyle w:val="Compact"/>
            </w:pPr>
            <w:r>
              <w:rPr>
                <w:sz w:val="20"/>
                <w:szCs w:val="20"/>
              </w:rPr>
              <w:t xml:space="preserve">3.411e-05</w:t>
            </w:r>
          </w:p>
        </w:tc>
        <w:tc>
          <w:tcPr>
            <w:tcW w:w="0" w:type="auto"/>
          </w:tcPr>
          <w:p>
            <w:pPr>
              <w:spacing w:line="240" w:lineRule="auto" w:before="0" w:after="0"/>
              <w:pStyle w:val="Compact"/>
            </w:pPr>
            <w:r>
              <w:rPr>
                <w:sz w:val="20"/>
                <w:szCs w:val="20"/>
              </w:rPr>
              <w:t xml:space="preserve">[-46.1864, -16.5263]</w:t>
            </w:r>
          </w:p>
        </w:tc>
      </w:tr>
    </w:tbl>
    <w:p>
      <w:pPr>
        <w:pStyle w:val="BodyText"/>
      </w:pPr>
      <w:r>
        <w:t xml:space="preserve">Fit: N = 24 R2 = 0.7913 R2_adj = 0.76 F = 24.8714 F_p = 5.924e-07</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2026-06-26T16:46:00Z</dcterms:created>
  <dcterms:modified xsi:type="dcterms:W3CDTF">2026-06-26T16:46:00Z</dcterms:modified>
</cp:coreProperties>
</file>

<file path=docProps/custom.xml><?xml version="1.0" encoding="utf-8"?>
<Properties xmlns="http://schemas.openxmlformats.org/officeDocument/2006/custom-properties" xmlns:vt="http://schemas.openxmlformats.org/officeDocument/2006/docPropsVTypes"/>
</file>