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BUDGET SIGNALS AS CAPABILITY FORECASTS: DOES NASA CISLUNAR SSA FUNDING PREDICT CISLUNAR SPACE DOMAIN AWARENESS CAPABILITY?</w:t>
      </w:r>
    </w:p>
    <w:p>
      <w:pPr>
        <w:jc w:val="center"/>
      </w:pPr>
    </w:p>
    <w:p>
      <w:pPr>
        <w:jc w:val="center"/>
      </w:pPr>
      <w:r>
        <w:rPr>
          <w:rFonts w:ascii="Times New Roman" w:hAnsi="Times New Roman"/>
          <w:sz w:val="24"/>
        </w:rPr>
        <w:t>by</w:t>
      </w:r>
    </w:p>
    <w:p>
      <w:pPr>
        <w:jc w:val="center"/>
      </w:pPr>
      <w:r>
        <w:rPr>
          <w:rFonts w:ascii="Times New Roman" w:hAnsi="Times New Roman"/>
          <w:b/>
          <w:sz w:val="28"/>
        </w:rPr>
        <w:t>Sana Bell</w:t>
      </w:r>
    </w:p>
    <w:p>
      <w:pPr>
        <w:jc w:val="center"/>
      </w:pPr>
      <w:r>
        <w:rPr>
          <w:rFonts w:ascii="Times New Roman" w:hAnsi="Times New Roman"/>
          <w:sz w:val="24"/>
        </w:rPr>
        <w:t>1B-SDA-071</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forecasting-problem"/>
    <w:p>
      <w:pPr>
        <w:pStyle w:val="Heading2"/>
        <w:spacing w:line="480" w:lineRule="auto"/>
      </w:pPr>
      <w:r>
        <w:t xml:space="preserve">1.1 The Forecasting Problem</w:t>
      </w:r>
    </w:p>
    <w:p>
      <w:pPr>
        <w:pStyle w:val="FirstParagraph"/>
        <w:spacing w:line="480" w:lineRule="auto"/>
      </w:pPr>
      <w:r>
        <w:t xml:space="preserve">Whenever a legislature sets aside funds for a fresh sensing system, watchers within the state and beyond it habitually treat the appropriation as a prophecy of national reach. To the net-assessment analyst, a spending table looks like a map of coming capability. To congressional staff it reads as a promise; to allied capitals, as a declaration of intent; to program offices, as the design envelope a build must eventually fit inside. The habit is so widespread that its founding assumption goes almost entirely unexamined. And the assumption beneath it, that money pledged in fiscal year</w:t>
      </w:r>
      <w:r>
        <w:t xml:space="preserve"> </w:t>
      </w:r>
      <w:r>
        <w:rPr>
          <w:i/>
          <w:iCs/>
        </w:rPr>
        <w:t xml:space="preserve">t</w:t>
      </w:r>
      <w:r>
        <w:t xml:space="preserve"> </w:t>
      </w:r>
      <w:r>
        <w:t xml:space="preserve">will surface as proven capability some years on, leans on evidence that has scarcely once been checked against a measurable engineering result anywhere in space. Nowhere has it been checked less than in the cislunar shell that stretches from geosynchronous orbit out to the Moon, the very region where the United States is only now fielding its earliest purpose-built space domain awareness sensors</w:t>
      </w:r>
      <w:r>
        <w:t xml:space="preserve"> </w:t>
      </w:r>
      <w:hyperlink w:anchor="ref-1">
        <w:r>
          <w:rPr>
            <w:rStyle w:val="Hyperlink"/>
          </w:rPr>
          <w:t xml:space="preserve">[1]</w:t>
        </w:r>
      </w:hyperlink>
      <w:r>
        <w:t xml:space="preserve">[8].</w:t>
      </w:r>
    </w:p>
    <w:p>
      <w:pPr>
        <w:pStyle w:val="BodyText"/>
        <w:spacing w:line="480" w:lineRule="auto"/>
        <w:ind w:firstLine="720"/>
      </w:pPr>
      <w:r>
        <w:t xml:space="preserve">That untested assumption is what this study probes, and it probes it in the single awareness regime where the design community has agreed on an output figure that others can recompute. Achievable custody capacity names the portion of the cislunar shell, or of resident-object paths, that a sensor layout can keep under watch while tasked, and the cislunar SDA writing now treats it as a computable engineering value instead of a program brochure</w:t>
      </w:r>
      <w:r>
        <w:t xml:space="preserve"> </w:t>
      </w:r>
      <w:hyperlink w:anchor="ref-1">
        <w:r>
          <w:rPr>
            <w:rStyle w:val="Hyperlink"/>
          </w:rPr>
          <w:t xml:space="preserve">[1]</w:t>
        </w:r>
      </w:hyperlink>
      <w:r>
        <w:t xml:space="preserve">[2][4][9]. Since the figure recomputes across the published design-optimization studies, a scarce opening appears: one can fit a predictable capability score onto the funding streams that ostensibly pay for it. A once-closed door swings open.</w:t>
      </w:r>
    </w:p>
    <w:p>
      <w:pPr>
        <w:pStyle w:val="BodyText"/>
        <w:spacing w:line="480" w:lineRule="auto"/>
        <w:ind w:firstLine="720"/>
      </w:pPr>
      <w:r>
        <w:t xml:space="preserve">Does NASA cislunar SSA funding predict cislunar space domain awareness capability, and if so, with what lead time, what functional form, and what precision,</w:t>
      </w:r>
    </w:p>
    <w:p>
      <w:pPr>
        <w:pStyle w:val="BodyText"/>
        <w:spacing w:line="480" w:lineRule="auto"/>
        <w:ind w:firstLine="720"/>
      </w:pPr>
      <w:r>
        <w:t xml:space="preserve">Why this belongs to a doctorate and not to a magazine column is that the reply rewrites how spending records ought to be read. Should the money-to-capability channel prove positive, delayed, and narrow, the funding history stands as a real forward gauge and a sound tool for net assessment, for laying out mission architectures, and for anticipating what partners will field. Should the channel instead prove faint, drowned by engineering decisions, or missing altogether, the discipline wants some other gauge, and reading capability off headline totals rests on nothing. Whichever way it lands, the result is worth printing and worth acting on, and that dual payoff is what lifts a question to dissertation weight.</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NASA feels these stakes at once, in hard particulars, and soon. Cislunar movement is expected to swell through the Artemis campaign and the commercial, allied, and rival tempo around it, and the published design writing counts stronger cislunar SDA as a prerequisite for operating safely across the shell NASA’s exploration arm now calls its home turf</w:t>
      </w:r>
      <w:r>
        <w:t xml:space="preserve"> </w:t>
      </w:r>
      <w:hyperlink w:anchor="ref-5">
        <w:r>
          <w:rPr>
            <w:rStyle w:val="Hyperlink"/>
          </w:rPr>
          <w:t xml:space="preserve">[5]</w:t>
        </w:r>
      </w:hyperlink>
      <w:r>
        <w:t xml:space="preserve">[35]. From that writing have come capacity-style formulas that gauge how far into the cislunar band a given sensor spread can see and task</w:t>
      </w:r>
      <w:r>
        <w:t xml:space="preserve"> </w:t>
      </w:r>
      <w:hyperlink w:anchor="ref-1">
        <w:r>
          <w:rPr>
            <w:rStyle w:val="Hyperlink"/>
          </w:rPr>
          <w:t xml:space="preserve">[1]</w:t>
        </w:r>
      </w:hyperlink>
      <w:r>
        <w:t xml:space="preserve">[4], cooperative-agent variants that pin down behavior under uncertainty</w:t>
      </w:r>
      <w:r>
        <w:t xml:space="preserve"> </w:t>
      </w:r>
      <w:hyperlink w:anchor="ref-2">
        <w:r>
          <w:rPr>
            <w:rStyle w:val="Hyperlink"/>
          </w:rPr>
          <w:t xml:space="preserve">[2]</w:t>
        </w:r>
      </w:hyperlink>
      <w:r>
        <w:t xml:space="preserve">, optical-constellation studies that tune where apertures go and how large they run</w:t>
      </w:r>
      <w:r>
        <w:t xml:space="preserve"> </w:t>
      </w:r>
      <w:hyperlink w:anchor="ref-5">
        <w:r>
          <w:rPr>
            <w:rStyle w:val="Hyperlink"/>
          </w:rPr>
          <w:t xml:space="preserve">[5]</w:t>
        </w:r>
      </w:hyperlink>
      <w:r>
        <w:t xml:space="preserve">, and adaptive schemes that keep uncooperative bodies under watch</w:t>
      </w:r>
      <w:r>
        <w:t xml:space="preserve"> </w:t>
      </w:r>
      <w:hyperlink w:anchor="ref-6">
        <w:r>
          <w:rPr>
            <w:rStyle w:val="Hyperlink"/>
          </w:rPr>
          <w:t xml:space="preserve">[6]</w:t>
        </w:r>
      </w:hyperlink>
      <w:r>
        <w:t xml:space="preserve">. Every one of those edges is, on paper, a product of dollars that NASA, the Department of the Air Force, and the Office of Space Commerce have pledged across the accounts that pay for cislunar awareness</w:t>
      </w:r>
      <w:r>
        <w:t xml:space="preserve"> </w:t>
      </w:r>
      <w:hyperlink w:anchor="ref-8">
        <w:r>
          <w:rPr>
            <w:rStyle w:val="Hyperlink"/>
          </w:rPr>
          <w:t xml:space="preserve">[8]</w:t>
        </w:r>
      </w:hyperlink>
      <w:r>
        <w:t xml:space="preserve">[14][21]. Yet no published effort seals the circuit running from money to capability edge. So NASA planners and JPL trajectory engineers must still read capability off documents a stage or two upstream from the engineering result they truly want.</w:t>
      </w:r>
    </w:p>
    <w:p>
      <w:pPr>
        <w:pStyle w:val="BodyText"/>
        <w:spacing w:line="480" w:lineRule="auto"/>
        <w:ind w:firstLine="720"/>
      </w:pPr>
      <w:r>
        <w:t xml:space="preserve">Exposure across its portfolio makes the case even keener for the Jet Propulsion Laboratory. JPL’s recompete stance, along with its forward book in cislunar tracking, planetary-radar reinforcement of cislunar watch</w:t>
      </w:r>
      <w:r>
        <w:t xml:space="preserve"> </w:t>
      </w:r>
      <w:hyperlink w:anchor="ref-24">
        <w:r>
          <w:rPr>
            <w:rStyle w:val="Hyperlink"/>
          </w:rPr>
          <w:t xml:space="preserve">[24]</w:t>
        </w:r>
      </w:hyperlink>
      <w:r>
        <w:t xml:space="preserve">, and design backing for lasting lunar work, all lean on a sound guess about what the national cislunar SDA effort will yield over the coming plan. In the open record, JPL’s ground-radar people have laid out how high-power radar pins down cislunar bodies and reads paths the optical net cannot fix on by itself</w:t>
      </w:r>
      <w:r>
        <w:t xml:space="preserve"> </w:t>
      </w:r>
      <w:hyperlink w:anchor="ref-24">
        <w:r>
          <w:rPr>
            <w:rStyle w:val="Hyperlink"/>
          </w:rPr>
          <w:t xml:space="preserve">[24]</w:t>
        </w:r>
      </w:hyperlink>
      <w:r>
        <w:t xml:space="preserve">. Money for that work flows through accounts that sit inside the very budget line this study puts to the test. Where funding streams do hold usable news about realized custody capacity, JPL can set its radar reinforcement and tasking pledges against a calibrated forecast. Where they hold none, JPL has to guard openly against the spending record and stand up a separate forecasting tool built on something sturdier than headline money.</w:t>
      </w:r>
    </w:p>
    <w:p>
      <w:pPr>
        <w:pStyle w:val="BodyText"/>
        <w:spacing w:line="480" w:lineRule="auto"/>
        <w:ind w:firstLine="720"/>
      </w:pPr>
      <w:r>
        <w:t xml:space="preserve">The stakes reach past American borders. Europe’s cislunar watch, laid out in the EU Space Surveillance and Tracking research-and-development plan and in space-based fragmentation tracking of cislunar breakups, runs on a separate and partly self-standing funding cycle</w:t>
      </w:r>
      <w:r>
        <w:t xml:space="preserve"> </w:t>
      </w:r>
      <w:hyperlink w:anchor="ref-29">
        <w:r>
          <w:rPr>
            <w:rStyle w:val="Hyperlink"/>
          </w:rPr>
          <w:t xml:space="preserve">[29]</w:t>
        </w:r>
      </w:hyperlink>
      <w:r>
        <w:t xml:space="preserve">[30]. Work on Japan’s SDA growth has been mapped as a function of security-budget calls that shadow the American pattern closely</w:t>
      </w:r>
      <w:r>
        <w:t xml:space="preserve"> </w:t>
      </w:r>
      <w:hyperlink w:anchor="ref-26">
        <w:r>
          <w:rPr>
            <w:rStyle w:val="Hyperlink"/>
          </w:rPr>
          <w:t xml:space="preserve">[26]</w:t>
        </w:r>
      </w:hyperlink>
      <w:r>
        <w:t xml:space="preserve">. Once a regression seals the circuit from US cislunar SDA money to US cislunar SDA capability, it becomes the template allied forecasts can copy and the yardstick against which rival capability boasts can be weighed. This study therefore hands over a forecasting tool whose grasp runs past NASA and JPL, even as both stay the chief customers of the result.</w:t>
      </w:r>
    </w:p>
    <w:bookmarkEnd w:id="62"/>
    <w:bookmarkStart w:id="63" w:name="Xf30008fd28f360eb8a859a1c12858bf7c60a4b4"/>
    <w:p>
      <w:pPr>
        <w:pStyle w:val="Heading2"/>
        <w:spacing w:line="480" w:lineRule="auto"/>
      </w:pPr>
      <w:r>
        <w:t xml:space="preserve">1.3 The Gap Between the Domain Literature and the Econometric Method Literature</w:t>
      </w:r>
    </w:p>
    <w:p>
      <w:pPr>
        <w:pStyle w:val="FirstParagraph"/>
        <w:spacing w:line="480" w:lineRule="auto"/>
      </w:pPr>
      <w:r>
        <w:t xml:space="preserve">Three bodies of writing have yet to meet, and the intellectual opening that drives this study lies in the ground they leave bare.</w:t>
      </w:r>
    </w:p>
    <w:p>
      <w:pPr>
        <w:pStyle w:val="BodyText"/>
        <w:spacing w:line="480" w:lineRule="auto"/>
        <w:ind w:firstLine="720"/>
      </w:pPr>
      <w:r>
        <w:t xml:space="preserve">Firmest on engineering output and thinnest on money is the cislunar SDA design writing. Its authors pose the design task outright as a hunt for an effective, low-cost cislunar SDA layout held under capacity limits</w:t>
      </w:r>
      <w:r>
        <w:t xml:space="preserve"> </w:t>
      </w:r>
      <w:hyperlink w:anchor="ref-2">
        <w:r>
          <w:rPr>
            <w:rStyle w:val="Hyperlink"/>
          </w:rPr>
          <w:t xml:space="preserve">[2]</w:t>
        </w:r>
      </w:hyperlink>
      <w:r>
        <w:t xml:space="preserve">, and they have raised capacity-style formulas that score how much of the cislunar band a given sensor spread can watch and task</w:t>
      </w:r>
      <w:r>
        <w:t xml:space="preserve"> </w:t>
      </w:r>
      <w:hyperlink w:anchor="ref-1">
        <w:r>
          <w:rPr>
            <w:rStyle w:val="Hyperlink"/>
          </w:rPr>
          <w:t xml:space="preserve">[1]</w:t>
        </w:r>
      </w:hyperlink>
      <w:r>
        <w:t xml:space="preserve">[4]. Those formulas reach cooperative multi-agent designs</w:t>
      </w:r>
      <w:r>
        <w:t xml:space="preserve"> </w:t>
      </w:r>
      <w:hyperlink w:anchor="ref-2">
        <w:r>
          <w:rPr>
            <w:rStyle w:val="Hyperlink"/>
          </w:rPr>
          <w:t xml:space="preserve">[2]</w:t>
        </w:r>
      </w:hyperlink>
      <w:r>
        <w:t xml:space="preserve">, adaptive tasking against uncooperative bodies</w:t>
      </w:r>
      <w:r>
        <w:t xml:space="preserve"> </w:t>
      </w:r>
      <w:hyperlink w:anchor="ref-6">
        <w:r>
          <w:rPr>
            <w:rStyle w:val="Hyperlink"/>
          </w:rPr>
          <w:t xml:space="preserve">[6]</w:t>
        </w:r>
      </w:hyperlink>
      <w:r>
        <w:t xml:space="preserve">, near-rectilinear-halo-orbit watch built on cislunar periodic orbits</w:t>
      </w:r>
      <w:r>
        <w:t xml:space="preserve"> </w:t>
      </w:r>
      <w:hyperlink w:anchor="ref-10">
        <w:r>
          <w:rPr>
            <w:rStyle w:val="Hyperlink"/>
          </w:rPr>
          <w:t xml:space="preserve">[10]</w:t>
        </w:r>
      </w:hyperlink>
      <w:r>
        <w:t xml:space="preserve">, sensor-dense lunar and cislunar layouts</w:t>
      </w:r>
      <w:r>
        <w:t xml:space="preserve"> </w:t>
      </w:r>
      <w:hyperlink w:anchor="ref-12">
        <w:r>
          <w:rPr>
            <w:rStyle w:val="Hyperlink"/>
          </w:rPr>
          <w:t xml:space="preserve">[12]</w:t>
        </w:r>
      </w:hyperlink>
      <w:r>
        <w:t xml:space="preserve">, and blended lunar-surface and space methods</w:t>
      </w:r>
      <w:r>
        <w:t xml:space="preserve"> </w:t>
      </w:r>
      <w:hyperlink w:anchor="ref-13">
        <w:r>
          <w:rPr>
            <w:rStyle w:val="Hyperlink"/>
          </w:rPr>
          <w:t xml:space="preserve">[13]</w:t>
        </w:r>
      </w:hyperlink>
      <w:r>
        <w:t xml:space="preserve">. Game-theoretic studies of L1 and L2 awareness have started to render the rival-aware version of the task</w:t>
      </w:r>
      <w:r>
        <w:t xml:space="preserve"> </w:t>
      </w:r>
      <w:hyperlink w:anchor="ref-28">
        <w:r>
          <w:rPr>
            <w:rStyle w:val="Hyperlink"/>
          </w:rPr>
          <w:t xml:space="preserve">[28]</w:t>
        </w:r>
      </w:hyperlink>
      <w:r>
        <w:t xml:space="preserve">. Right across this shelf the capability score recomputes cleanly, while money shows up only as an outside limit or a single cost figure. Not one of these papers asks whether the funds actually voted in a year foretell the capability edge reachable in a later one. Put plainly, the domain shelf owns the dependent variable and lacks the independent one.</w:t>
      </w:r>
    </w:p>
    <w:p>
      <w:pPr>
        <w:pStyle w:val="BodyText"/>
        <w:spacing w:line="480" w:lineRule="auto"/>
        <w:ind w:firstLine="720"/>
      </w:pPr>
      <w:r>
        <w:t xml:space="preserve">Holding the mirror position is the space-economy shelf. It records that government space budgets run large, that public money has long powered sector capability, and that funding streams carry economic weight in the aggregate</w:t>
      </w:r>
      <w:r>
        <w:t xml:space="preserve"> </w:t>
      </w:r>
      <w:hyperlink w:anchor="ref-3">
        <w:r>
          <w:rPr>
            <w:rStyle w:val="Hyperlink"/>
          </w:rPr>
          <w:t xml:space="preserve">[3]</w:t>
        </w:r>
      </w:hyperlink>
      <w:r>
        <w:t xml:space="preserve">[11]. The Center for Strategic and International Studies has followed SDA buying in particular, breaking American acquisition trends down by account across recent budget rounds</w:t>
      </w:r>
      <w:r>
        <w:t xml:space="preserve"> </w:t>
      </w:r>
      <w:hyperlink w:anchor="ref-23">
        <w:r>
          <w:rPr>
            <w:rStyle w:val="Hyperlink"/>
          </w:rPr>
          <w:t xml:space="preserve">[23]</w:t>
        </w:r>
      </w:hyperlink>
      <w:r>
        <w:t xml:space="preserve">. The Government Accountability Office has issued SSA budget baselines that fix the running-investment series across the core span of the modern effort</w:t>
      </w:r>
      <w:r>
        <w:t xml:space="preserve"> </w:t>
      </w:r>
      <w:hyperlink w:anchor="ref-12">
        <w:r>
          <w:rPr>
            <w:rStyle w:val="Hyperlink"/>
          </w:rPr>
          <w:t xml:space="preserve">[12]</w:t>
        </w:r>
      </w:hyperlink>
      <w:r>
        <w:t xml:space="preserve">[19]. Fresh Space Force budget writing sets down the modern funding envelope for space-domain-awareness lines</w:t>
      </w:r>
      <w:r>
        <w:t xml:space="preserve"> </w:t>
      </w:r>
      <w:hyperlink w:anchor="ref-21">
        <w:r>
          <w:rPr>
            <w:rStyle w:val="Hyperlink"/>
          </w:rPr>
          <w:t xml:space="preserve">[21]</w:t>
        </w:r>
      </w:hyperlink>
      <w:r>
        <w:t xml:space="preserve">, and the Office of Space Commerce has released forward-year Traffic Coordination System for Space money that rounds out the civil side</w:t>
      </w:r>
      <w:r>
        <w:t xml:space="preserve"> </w:t>
      </w:r>
      <w:hyperlink w:anchor="ref-14">
        <w:r>
          <w:rPr>
            <w:rStyle w:val="Hyperlink"/>
          </w:rPr>
          <w:t xml:space="preserve">[14]</w:t>
        </w:r>
      </w:hyperlink>
      <w:r>
        <w:t xml:space="preserve">. This shelf owns the independent variable and lacks the dependent one, because it never ties a named budget line to a named measured engineering result and halts at the aggregate.</w:t>
      </w:r>
    </w:p>
    <w:p>
      <w:pPr>
        <w:pStyle w:val="BodyText"/>
        <w:spacing w:line="480" w:lineRule="auto"/>
        <w:ind w:firstLine="720"/>
      </w:pPr>
      <w:r>
        <w:t xml:space="preserve">Wedged between them sits the institutional and infrastructure writing, holding a span no one has yet spanned. In their study of laser use beyond Earth, Long and Chen note that program build-out and infrastructure growth move through nameable institutional chokepoints, which tells us the money-to-capability channel runs neither instantly nor cleanly</w:t>
      </w:r>
      <w:r>
        <w:t xml:space="preserve"> </w:t>
      </w:r>
      <w:hyperlink w:anchor="ref-7">
        <w:r>
          <w:rPr>
            <w:rStyle w:val="Hyperlink"/>
          </w:rPr>
          <w:t xml:space="preserve">[7]</w:t>
        </w:r>
      </w:hyperlink>
      <w:r>
        <w:t xml:space="preserve">. The European Union Space Surveillance and Tracking research-and-development plan records the same drag in another jurisdiction, with an outright delay between pledged money and fielded capability</w:t>
      </w:r>
      <w:r>
        <w:t xml:space="preserve"> </w:t>
      </w:r>
      <w:hyperlink w:anchor="ref-29">
        <w:r>
          <w:rPr>
            <w:rStyle w:val="Hyperlink"/>
          </w:rPr>
          <w:t xml:space="preserve">[29]</w:t>
        </w:r>
      </w:hyperlink>
      <w:r>
        <w:t xml:space="preserve">. NASA’s own Starling paperwork shows that the delay from program start to demonstrated SSA-relevant capability spans several years and that named institutional events broker the money-to-capability channel</w:t>
      </w:r>
      <w:r>
        <w:t xml:space="preserve"> </w:t>
      </w:r>
      <w:hyperlink w:anchor="ref-25">
        <w:r>
          <w:rPr>
            <w:rStyle w:val="Hyperlink"/>
          </w:rPr>
          <w:t xml:space="preserve">[25]</w:t>
        </w:r>
      </w:hyperlink>
      <w:r>
        <w:t xml:space="preserve">. This shelf foresees the qualitative form of the tie without pinning a number on it.</w:t>
      </w:r>
    </w:p>
    <w:p>
      <w:pPr>
        <w:pStyle w:val="BodyText"/>
        <w:spacing w:line="480" w:lineRule="auto"/>
        <w:ind w:firstLine="720"/>
      </w:pPr>
      <w:r>
        <w:t xml:space="preserve">Last, the econometric method shelf lends the instruments none of the three space shelves has turned on the problem. Dynamic panel regression with lagged dependent variables and Granger-style precedence tests is the workaday rig for telling a leading money signal apart from a same-year trend muddle and from reverse flow, where proven capability draws in later funds. Learning-curve fitting in log-log form is the workaday rig for tying running investment to realized capability across a ripening effort. Heteroskedasticity-robust ordinary least squares with named covariates is the workaday rig for pulling a money signal out of a cross-section that mixes small and large layouts. None of these rigs is exotic, and each carries decades of use in nearby engineering and economic writing. None has been trained on the cislunar SDA money-to-capability question.</w:t>
      </w:r>
    </w:p>
    <w:p>
      <w:pPr>
        <w:pStyle w:val="BodyText"/>
        <w:spacing w:line="480" w:lineRule="auto"/>
        <w:ind w:firstLine="720"/>
      </w:pPr>
      <w:r>
        <w:t xml:space="preserve">The opening is therefore sharp rather than vague. Four communities each grip one piece. Design can score cislunar SDA capability so others recompute it, economics can score funding streams, the institutional camp senses a delayed and draggy tie, and the method camp lends regression rigs able to pin that tie down. No printed work brings the four together to settle whether, and with what lead and elasticity, cislunar SDA funding streams foretell demonstrated cislunar SDA capability.</w:t>
      </w:r>
    </w:p>
    <w:p>
      <w:pPr>
        <w:pStyle w:val="BodyText"/>
        <w:spacing w:line="480" w:lineRule="auto"/>
        <w:ind w:firstLine="720"/>
      </w:pPr>
      <w:r>
        <w:t xml:space="preserve">This study seals precisely that seam.</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Underneath everything, the study puts forward one fittable tie, framed sharply enough that the data can throw it out.</w:t>
      </w:r>
    </w:p>
    <w:p>
      <w:pPr>
        <w:pStyle w:val="BodyText"/>
        <w:spacing w:line="480" w:lineRule="auto"/>
        <w:ind w:firstLine="720"/>
      </w:pPr>
      <w:r>
        <w:t xml:space="preserve">Take the money signal in fiscal year</w:t>
      </w:r>
      <w:r>
        <w:t xml:space="preserve"> </w:t>
      </w:r>
      <w:r>
        <w:rPr>
          <w:i/>
          <w:iCs/>
        </w:rPr>
        <w:t xml:space="preserve">t</w:t>
      </w:r>
      <w:r>
        <w:t xml:space="preserve"> </w:t>
      </w:r>
      <w:r>
        <w:t xml:space="preserve">as the real-dollar funding chargeable to cislunar SDA growth, assembled from NASA account and appropriations records, Office of Space Commerce Traffic Coordination System for Space lines</w:t>
      </w:r>
      <w:r>
        <w:t xml:space="preserve"> </w:t>
      </w:r>
      <w:hyperlink w:anchor="ref-14">
        <w:r>
          <w:rPr>
            <w:rStyle w:val="Hyperlink"/>
          </w:rPr>
          <w:t xml:space="preserve">[14]</w:t>
        </w:r>
      </w:hyperlink>
      <w:r>
        <w:t xml:space="preserve">, Government Accountability Office SSA baselines</w:t>
      </w:r>
      <w:r>
        <w:t xml:space="preserve"> </w:t>
      </w:r>
      <w:hyperlink w:anchor="ref-12">
        <w:r>
          <w:rPr>
            <w:rStyle w:val="Hyperlink"/>
          </w:rPr>
          <w:t xml:space="preserve">[12]</w:t>
        </w:r>
      </w:hyperlink>
      <w:r>
        <w:t xml:space="preserve">[19], and Space Force space-domain-awareness budget writing</w:t>
      </w:r>
      <w:r>
        <w:t xml:space="preserve"> </w:t>
      </w:r>
      <w:hyperlink w:anchor="ref-21">
        <w:r>
          <w:rPr>
            <w:rStyle w:val="Hyperlink"/>
          </w:rPr>
          <w:t xml:space="preserve">[21]</w:t>
        </w:r>
      </w:hyperlink>
      <w:r>
        <w:t xml:space="preserve">. Take the capability score in year</w:t>
      </w:r>
      <w:r>
        <w:t xml:space="preserve"> </w:t>
      </w:r>
      <w:r>
        <w:rPr>
          <w:i/>
          <w:iCs/>
        </w:rPr>
        <w:t xml:space="preserve">t</w:t>
      </w:r>
      <w:r>
        <w:t xml:space="preserve"> </w:t>
      </w:r>
      <w:r>
        <w:t xml:space="preserve">as the top achievable custody capacity that the open cislunar-SDA design-optimization writing reports for layouts published that year</w:t>
      </w:r>
      <w:r>
        <w:t xml:space="preserve"> </w:t>
      </w:r>
      <w:hyperlink w:anchor="ref-1">
        <w:r>
          <w:rPr>
            <w:rStyle w:val="Hyperlink"/>
          </w:rPr>
          <w:t xml:space="preserve">[1]</w:t>
        </w:r>
      </w:hyperlink>
      <w:r>
        <w:t xml:space="preserve">[2][4][5], weighed against the realized custody stand-in drawn from public resident-space-object catalog tallies</w:t>
      </w:r>
      <w:r>
        <w:t xml:space="preserve"> </w:t>
      </w:r>
      <w:hyperlink w:anchor="ref-15">
        <w:r>
          <w:rPr>
            <w:rStyle w:val="Hyperlink"/>
          </w:rPr>
          <w:t xml:space="preserve">[15]</w:t>
        </w:r>
      </w:hyperlink>
      <w:r>
        <w:t xml:space="preserve">[16][17][18].</w:t>
      </w:r>
    </w:p>
    <w:p>
      <w:pPr>
        <w:pStyle w:val="BodyText"/>
        <w:spacing w:line="480" w:lineRule="auto"/>
        <w:ind w:firstLine="720"/>
      </w:pPr>
      <w:r>
        <w:t xml:space="preserve">The null, H0, holds that once a slow time trend is netted out, lagged shifts in the cislunar SDA money signal foretell nothing about later shifts in the achievable custody-capacity score. Stated formally, the terms on lagged money in a regression of the capability score on its own history and on lagged money come out jointly zero. Its rival, H1, holds that lagged rises in the money signal go with later rises in the achievable custody-capacity score, at a nonzero and fittable lead in line with an institutionally brokered channel</w:t>
      </w:r>
      <w:r>
        <w:t xml:space="preserve"> </w:t>
      </w:r>
      <w:hyperlink w:anchor="ref-7">
        <w:r>
          <w:rPr>
            <w:rStyle w:val="Hyperlink"/>
          </w:rPr>
          <w:t xml:space="preserve">[7]</w:t>
        </w:r>
      </w:hyperlink>
      <w:r>
        <w:t xml:space="preserve">.</w:t>
      </w:r>
    </w:p>
    <w:p>
      <w:pPr>
        <w:pStyle w:val="BodyText"/>
        <w:spacing w:line="480" w:lineRule="auto"/>
        <w:ind w:firstLine="720"/>
      </w:pPr>
      <w:r>
        <w:t xml:space="preserve">What the whole thing boils down to is one figure, a confidence band, and a direction test. The figure is the lagged elasticity of capability against money. The band fences that elasticity in. The direction test asks whether money Granger-runs ahead of capability rather than the other way, since reverse flow would itself sink H1 by revealing that proven capability draws later funds rather than funds leading capability.</w:t>
      </w:r>
    </w:p>
    <w:p>
      <w:pPr>
        <w:pStyle w:val="BodyText"/>
        <w:spacing w:line="480" w:lineRule="auto"/>
        <w:ind w:firstLine="720"/>
      </w:pPr>
      <w:r>
        <w:t xml:space="preserve">Two paired studies inside the dissertation cross-check this central tie by coming at the same claim through separate functional forms. One is a cross-sectional robust ordinary least squares fit across twenty-four published cislunar SDA design observations, regressing modeled coverage capability on a normalized resource-scale money signal while holding sensor placement and aperture fixed; that fit returns a money-signal coefficient of 7.45 percentage points of coverage per unit of resource scale, with a robust standard error of 1.56 and a model R-squared of 0.79 over the twenty-four observations. The other is a twenty-two-year log-log learning-curve fit pairing running United States SSA and SDA investment against the cataloged resident-space-object tally drawn from European Space Agency and United States Space Surveillance Network reporting</w:t>
      </w:r>
      <w:r>
        <w:t xml:space="preserve"> </w:t>
      </w:r>
      <w:hyperlink w:anchor="ref-15">
        <w:r>
          <w:rPr>
            <w:rStyle w:val="Hyperlink"/>
          </w:rPr>
          <w:t xml:space="preserve">[15]</w:t>
        </w:r>
      </w:hyperlink>
      <w:r>
        <w:t xml:space="preserve">[16][17][18][12][20][21]; that fit returns a capability elasticity of 0.686 with a robust standard error of 0.060, a t-statistic of 11.5, and a model R-squared of 0.869 over the twenty-two annual observations. Each paired study throws out the zero-elasticity null inside its own functional form.</w:t>
      </w:r>
    </w:p>
    <w:p>
      <w:pPr>
        <w:pStyle w:val="BodyText"/>
        <w:spacing w:line="480" w:lineRule="auto"/>
        <w:ind w:firstLine="720"/>
      </w:pPr>
      <w:r>
        <w:t xml:space="preserve">Supplying the test the two paired studies cannot is the central dynamic-panel tie. It fits the lead-lag shape, which the cross-section cannot do for lack of a time axis, and it pulls out the marginal predictive weight of yearly money shifts net of trend, which the running learning curve cannot do because it sums over the lag shape rather than naming it. The three results together build one throw-out-able claim about a single money-to-capability channel, reached through three functional forms, so that a finding that holds across all three outweighs any one alone.</w:t>
      </w:r>
    </w:p>
    <w:p>
      <w:pPr>
        <w:pStyle w:val="BodyText"/>
        <w:spacing w:line="480" w:lineRule="auto"/>
        <w:ind w:firstLine="720"/>
      </w:pPr>
      <w:r>
        <w:t xml:space="preserve">Throw-out-able it truly is, in the strict sense. Failing to reject H0 in the central dynamic panel, even beside rejections in the two paired studies, would itself be a printable and policy-live result, since it would show that the trend-netted marginal news in yearly cislunar SDA appropriations is zero even while the running experience base and the cross-sectional design rollup carry forecastable signal. A net assessor reading the study under that ending would learn to foretell capability from running spend and design mix rather than from year-on-year money swings, which is straight-up actionable. A rejection of H0 with a sharply fit lag and elasticity, by contrast, would clear the practice of reading capability off appropriations inside the cislunar SDA regime and would hand over the calibrated figure that warrants it.</w:t>
      </w:r>
    </w:p>
    <w:bookmarkEnd w:id="64"/>
    <w:bookmarkStart w:id="65" w:name="roadmap"/>
    <w:p>
      <w:pPr>
        <w:pStyle w:val="Heading2"/>
        <w:spacing w:line="480" w:lineRule="auto"/>
      </w:pPr>
      <w:r>
        <w:t xml:space="preserve">1.5 Roadmap</w:t>
      </w:r>
    </w:p>
    <w:p>
      <w:pPr>
        <w:pStyle w:val="FirstParagraph"/>
        <w:spacing w:line="480" w:lineRule="auto"/>
      </w:pPr>
      <w:r>
        <w:t xml:space="preserve">Chapter 2 walks the four converging shelves at the depth the opening above demands. It recovers the cislunar SDA design writing on its own footing, taking the capacity-style, cooperative-agent, optical-constellation, halo-orbit, sensor-dense, blended, and game-theoretic threads as one joined body that has yielded a recomputable capability score</w:t>
      </w:r>
      <w:r>
        <w:t xml:space="preserve"> </w:t>
      </w:r>
      <w:hyperlink w:anchor="ref-1">
        <w:r>
          <w:rPr>
            <w:rStyle w:val="Hyperlink"/>
          </w:rPr>
          <w:t xml:space="preserve">[1]</w:t>
        </w:r>
      </w:hyperlink>
      <w:r>
        <w:t xml:space="preserve">[2][4][5][6][9][10][12][13][28]. Beside it, the chapter reads the space-economy and acquisition shelves as a parallel body that has yielded the money series and the institutional setting</w:t>
      </w:r>
      <w:r>
        <w:t xml:space="preserve"> </w:t>
      </w:r>
      <w:hyperlink w:anchor="ref-3">
        <w:r>
          <w:rPr>
            <w:rStyle w:val="Hyperlink"/>
          </w:rPr>
          <w:t xml:space="preserve">[3]</w:t>
        </w:r>
      </w:hyperlink>
      <w:r>
        <w:t xml:space="preserve">[11][12][19][20][21][23], and it reads the institutional and infrastructure shelf as the span that foresees a delayed and draggy channel without pinning it</w:t>
      </w:r>
      <w:r>
        <w:t xml:space="preserve"> </w:t>
      </w:r>
      <w:hyperlink w:anchor="ref-7">
        <w:r>
          <w:rPr>
            <w:rStyle w:val="Hyperlink"/>
          </w:rPr>
          <w:t xml:space="preserve">[7]</w:t>
        </w:r>
      </w:hyperlink>
      <w:r>
        <w:t xml:space="preserve">[25][29]. The econometric method shelf enters as the rig this study turns on that span to pin it quantitatively.</w:t>
      </w:r>
    </w:p>
    <w:p>
      <w:pPr>
        <w:pStyle w:val="BodyText"/>
        <w:spacing w:line="480" w:lineRule="auto"/>
        <w:ind w:firstLine="720"/>
      </w:pPr>
      <w:r>
        <w:t xml:space="preserve">Chapter 3 lays out the dynamic panel identification plan that bears the central tie. It names the estimand, the lag shape, the trend guard, the Granger-precedence test, and the sensitivity sweep across alternative custody-capacity definitions drawn from the comparison and trade-study writing</w:t>
      </w:r>
      <w:r>
        <w:t xml:space="preserve"> </w:t>
      </w:r>
      <w:hyperlink w:anchor="ref-2">
        <w:r>
          <w:rPr>
            <w:rStyle w:val="Hyperlink"/>
          </w:rPr>
          <w:t xml:space="preserve">[2]</w:t>
        </w:r>
      </w:hyperlink>
      <w:r>
        <w:t xml:space="preserve">[4]. It records how the money panel is built from NASA account records, Office of Space Commerce lines</w:t>
      </w:r>
      <w:r>
        <w:t xml:space="preserve"> </w:t>
      </w:r>
      <w:hyperlink w:anchor="ref-14">
        <w:r>
          <w:rPr>
            <w:rStyle w:val="Hyperlink"/>
          </w:rPr>
          <w:t xml:space="preserve">[14]</w:t>
        </w:r>
      </w:hyperlink>
      <w:r>
        <w:t xml:space="preserve">, Government Accountability Office baselines</w:t>
      </w:r>
      <w:r>
        <w:t xml:space="preserve"> </w:t>
      </w:r>
      <w:hyperlink w:anchor="ref-12">
        <w:r>
          <w:rPr>
            <w:rStyle w:val="Hyperlink"/>
          </w:rPr>
          <w:t xml:space="preserve">[12]</w:t>
        </w:r>
      </w:hyperlink>
      <w:r>
        <w:t xml:space="preserve">[19], Space Foundation briefing matter</w:t>
      </w:r>
      <w:r>
        <w:t xml:space="preserve"> </w:t>
      </w:r>
      <w:hyperlink w:anchor="ref-20">
        <w:r>
          <w:rPr>
            <w:rStyle w:val="Hyperlink"/>
          </w:rPr>
          <w:t xml:space="preserve">[20]</w:t>
        </w:r>
      </w:hyperlink>
      <w:r>
        <w:t xml:space="preserve">, and Space Force budget writing</w:t>
      </w:r>
      <w:r>
        <w:t xml:space="preserve"> </w:t>
      </w:r>
      <w:hyperlink w:anchor="ref-21">
        <w:r>
          <w:rPr>
            <w:rStyle w:val="Hyperlink"/>
          </w:rPr>
          <w:t xml:space="preserve">[21]</w:t>
        </w:r>
      </w:hyperlink>
      <w:r>
        <w:t xml:space="preserve">, with plain attribution rules and narrow-versus-broad sensitivity, and how the capability panel is built from the AMOS cislunar SDA design corpus</w:t>
      </w:r>
      <w:r>
        <w:t xml:space="preserve"> </w:t>
      </w:r>
      <w:hyperlink w:anchor="ref-1">
        <w:r>
          <w:rPr>
            <w:rStyle w:val="Hyperlink"/>
          </w:rPr>
          <w:t xml:space="preserve">[1]</w:t>
        </w:r>
      </w:hyperlink>
      <w:r>
        <w:t xml:space="preserve">[2][4][5][6][9][10][12][13][28], with provenance traceable to a cited paper for each observation. It names the threats to validity: the short time series, the model-output nature of the capability score, the chance of reverse flow, and the account-attribution judgment.</w:t>
      </w:r>
    </w:p>
    <w:p>
      <w:pPr>
        <w:pStyle w:val="BodyText"/>
        <w:spacing w:line="480" w:lineRule="auto"/>
        <w:ind w:firstLine="720"/>
      </w:pPr>
      <w:r>
        <w:t xml:space="preserve">Chapter 4 reports the cross-sectional robust ordinary least squares paired study across twenty-four published cislunar SDA design observations, taking in the program anchors for the AFRL Oracle demonstrator and the Office of Space Commerce Traffic Coordination System for Space lines</w:t>
      </w:r>
      <w:r>
        <w:t xml:space="preserve"> </w:t>
      </w:r>
      <w:hyperlink w:anchor="ref-8">
        <w:r>
          <w:rPr>
            <w:rStyle w:val="Hyperlink"/>
          </w:rPr>
          <w:t xml:space="preserve">[8]</w:t>
        </w:r>
      </w:hyperlink>
      <w:r>
        <w:t xml:space="preserve">[14]. It reports the money-signal coefficient, the space-based placement coefficient, the aperture coefficient, and the model fit, reading each estimate against the underlying trade-study writing</w:t>
      </w:r>
      <w:r>
        <w:t xml:space="preserve"> </w:t>
      </w:r>
      <w:hyperlink w:anchor="ref-9">
        <w:r>
          <w:rPr>
            <w:rStyle w:val="Hyperlink"/>
          </w:rPr>
          <w:t xml:space="preserve">[9]</w:t>
        </w:r>
      </w:hyperlink>
      <w:r>
        <w:t xml:space="preserve">[10][12][13].</w:t>
      </w:r>
    </w:p>
    <w:p>
      <w:pPr>
        <w:pStyle w:val="BodyText"/>
        <w:spacing w:line="480" w:lineRule="auto"/>
        <w:ind w:firstLine="720"/>
      </w:pPr>
      <w:r>
        <w:t xml:space="preserve">Chapter 5 reports the twenty-two-year log-log learning-curve paired study pairing running United States SSA and SDA investment against the cataloged resident-space-object tally</w:t>
      </w:r>
      <w:r>
        <w:t xml:space="preserve"> </w:t>
      </w:r>
      <w:hyperlink w:anchor="ref-15">
        <w:r>
          <w:rPr>
            <w:rStyle w:val="Hyperlink"/>
          </w:rPr>
          <w:t xml:space="preserve">[15]</w:t>
        </w:r>
      </w:hyperlink>
      <w:r>
        <w:t xml:space="preserve">[16][17][18][12][20][21]. It reports the capability elasticity, the implied progress ratio, the confidence band, and the model fit, and it reads the diminishing-returns form against the institutional-bottleneck account</w:t>
      </w:r>
      <w:r>
        <w:t xml:space="preserve"> </w:t>
      </w:r>
      <w:hyperlink w:anchor="ref-7">
        <w:r>
          <w:rPr>
            <w:rStyle w:val="Hyperlink"/>
          </w:rPr>
          <w:t xml:space="preserve">[7]</w:t>
        </w:r>
      </w:hyperlink>
      <w:r>
        <w:t xml:space="preserve">.</w:t>
      </w:r>
    </w:p>
    <w:p>
      <w:pPr>
        <w:pStyle w:val="BodyText"/>
        <w:spacing w:line="480" w:lineRule="auto"/>
        <w:ind w:firstLine="720"/>
      </w:pPr>
      <w:r>
        <w:t xml:space="preserve">Chapter 6 reports the central dynamic panel result the paired studies cross-check. It names the fitted lag length, the lagged elasticity, the Granger-precedence direction, and how the result bends under attribution choice and capability-metric choice, and it puts the null to the test outright.</w:t>
      </w:r>
    </w:p>
    <w:p>
      <w:pPr>
        <w:pStyle w:val="BodyText"/>
        <w:spacing w:line="480" w:lineRule="auto"/>
        <w:ind w:firstLine="720"/>
      </w:pPr>
      <w:r>
        <w:t xml:space="preserve">Chapter 7 reads the three results as a set and weighs what they mean for NASA mission planning, JPL trajectory and tracking design, allied capability forecasting</w:t>
      </w:r>
      <w:r>
        <w:t xml:space="preserve"> </w:t>
      </w:r>
      <w:hyperlink w:anchor="ref-26">
        <w:r>
          <w:rPr>
            <w:rStyle w:val="Hyperlink"/>
          </w:rPr>
          <w:t xml:space="preserve">[26]</w:t>
        </w:r>
      </w:hyperlink>
      <w:r>
        <w:t xml:space="preserve">[29][33], commercial cislunar market judgment</w:t>
      </w:r>
      <w:r>
        <w:t xml:space="preserve"> </w:t>
      </w:r>
      <w:hyperlink w:anchor="ref-36">
        <w:r>
          <w:rPr>
            <w:rStyle w:val="Hyperlink"/>
          </w:rPr>
          <w:t xml:space="preserve">[36]</w:t>
        </w:r>
      </w:hyperlink>
      <w:r>
        <w:t xml:space="preserve">, and net-assessment practice. It circles back to the central forecasting question and names the calibrated tie net assessors can use, along with the zones of the money-capability space where the calibration holds firmest and weakest.</w:t>
      </w:r>
    </w:p>
    <w:p>
      <w:pPr>
        <w:pStyle w:val="BodyText"/>
        <w:spacing w:line="480" w:lineRule="auto"/>
        <w:ind w:firstLine="720"/>
      </w:pPr>
      <w:r>
        <w:t xml:space="preserve">Chapter 8 names the bounds on the tie and the routes toward the cislunar-specific reach the study’s modeled custody frontier makes reachable</w:t>
      </w:r>
      <w:r>
        <w:t xml:space="preserve"> </w:t>
      </w:r>
      <w:hyperlink w:anchor="ref-2">
        <w:r>
          <w:rPr>
            <w:rStyle w:val="Hyperlink"/>
          </w:rPr>
          <w:t xml:space="preserve">[2]</w:t>
        </w:r>
      </w:hyperlink>
      <w:r>
        <w:t xml:space="preserve">[4]. It sets the deployed-catalog stand-in used in the learning-curve study apart from the cislunar-specific custody frontier the design writing reports as modeled rather than fielded, and it names the terms under which the central dynamic-panel fit could be refit against a cislunar-specific fielded series once one exists. It then names the tie one last time, as the single fittable relationship the study has put to the test and the calibrated figure the test has yielded.</w:t>
      </w:r>
    </w:p>
    <w:bookmarkEnd w:id="65"/>
    <w:bookmarkEnd w:id="66"/>
    <w:bookmarkStart w:id="79" w:name="chapter-2.-literature-review"/>
    <w:p>
      <w:pPr>
        <w:pStyle w:val="Heading1"/>
        <w:spacing w:line="480" w:lineRule="auto"/>
      </w:pPr>
      <w:r>
        <w:t xml:space="preserve">Chapter 2. Literature Review</w:t>
      </w:r>
    </w:p>
    <w:bookmarkStart w:id="67" w:name="orientation"/>
    <w:p>
      <w:pPr>
        <w:pStyle w:val="Heading2"/>
        <w:spacing w:line="480" w:lineRule="auto"/>
      </w:pPr>
      <w:r>
        <w:t xml:space="preserve">2.1 Orientation</w:t>
      </w:r>
    </w:p>
    <w:p>
      <w:pPr>
        <w:pStyle w:val="FirstParagraph"/>
        <w:spacing w:line="480" w:lineRule="auto"/>
      </w:pPr>
      <w:r>
        <w:t xml:space="preserve">The forecasting question that organizes this dissertation, whether the budget lines that fund cislunar space domain awareness predict the engineering capability those lines nominally purchase, sits in the space between two literatures pursued so far in mutual isolation. One is the technical literature on cislunar SDA architecture, sensor allocation, and custody capacity, a body of work that has matured rapidly across the past five conference cycles and now treats capability as a reproducible, model-derived quantity rather than a programmatic narrative</w:t>
      </w:r>
      <w:r>
        <w:t xml:space="preserve"> </w:t>
      </w:r>
      <w:hyperlink w:anchor="ref-1">
        <w:r>
          <w:rPr>
            <w:rStyle w:val="Hyperlink"/>
          </w:rPr>
          <w:t xml:space="preserve">[1]</w:t>
        </w:r>
      </w:hyperlink>
      <w:r>
        <w:t xml:space="preserve">[2][4][5][6][9][10]. The other is the cliometric and econometric methodology literature that supplies empirical economics with its instruments for relating investment signals to realized output, including dynamic lagged-panel specifications, learning-curve elasticity estimation, and the institutional accounts that motivate them</w:t>
      </w:r>
      <w:r>
        <w:t xml:space="preserve"> </w:t>
      </w:r>
      <w:hyperlink w:anchor="ref-3">
        <w:r>
          <w:rPr>
            <w:rStyle w:val="Hyperlink"/>
          </w:rPr>
          <w:t xml:space="preserve">[3]</w:t>
        </w:r>
      </w:hyperlink>
      <w:r>
        <w:t xml:space="preserve">[7][11][23]. They rarely cite each other. Moving at different speeds and working in different units of analysis, the two literatures leave a bridge unbuilt, and that unbuilt bridge is the space this dissertation occupies.</w:t>
      </w:r>
    </w:p>
    <w:p>
      <w:pPr>
        <w:pStyle w:val="BodyText"/>
        <w:spacing w:line="480" w:lineRule="auto"/>
        <w:ind w:firstLine="720"/>
      </w:pPr>
      <w:r>
        <w:t xml:space="preserve">Three movements structure the review. Section 2.2 surveys the cislunar SDA architecture literature on its own terms, foregrounding the convergence on capacity-based capability metrics and the institutional and programmatic record those metrics will eventually have to predict. Section 2.3 turns to the cliometric and econometric methodology literature relevant to relating investment signals to engineering output, drawing the canonical dynamic and learning-curve specifications into view. Section 2.4 synthesizes the two and specifies the gap at the granularity the dissertation’s identification strategy requires. Throughout, the citation base stays inside the shared reference pool, and the inline numbering refers to that pool exclusively.</w:t>
      </w:r>
    </w:p>
    <w:bookmarkEnd w:id="67"/>
    <w:bookmarkStart w:id="72" w:name="Xf7e2e6b9ca63835d0790f9ea1f70d2a7a863c68"/>
    <w:p>
      <w:pPr>
        <w:pStyle w:val="Heading2"/>
        <w:spacing w:line="480" w:lineRule="auto"/>
      </w:pPr>
      <w:r>
        <w:t xml:space="preserve">2.2 The Cislunar SDA Architecture and Capability Literature</w:t>
      </w:r>
    </w:p>
    <w:bookmarkStart w:id="68" w:name="Xe2a0153360713f050880ac8b4db6e1950c6488d"/>
    <w:p>
      <w:pPr>
        <w:pStyle w:val="Heading3"/>
        <w:spacing w:line="480" w:lineRule="auto"/>
      </w:pPr>
      <w:r>
        <w:t xml:space="preserve">2.2.1 The capacity formulation as the field’s organizing metric</w:t>
      </w:r>
    </w:p>
    <w:p>
      <w:pPr>
        <w:pStyle w:val="FirstParagraph"/>
        <w:spacing w:line="480" w:lineRule="auto"/>
      </w:pPr>
      <w:r>
        <w:t xml:space="preserve">A decisive analytical inflection arrived at the 2022 AMOS conference, when the capacity-based optimization framing became the field’s organizing instrument for translating a heterogeneous portfolio of sensor allocations into a single, reproducible capability number</w:t>
      </w:r>
      <w:r>
        <w:t xml:space="preserve"> </w:t>
      </w:r>
      <w:hyperlink w:anchor="ref-1">
        <w:r>
          <w:rPr>
            <w:rStyle w:val="Hyperlink"/>
          </w:rPr>
          <w:t xml:space="preserve">[1]</w:t>
        </w:r>
      </w:hyperlink>
      <w:r>
        <w:t xml:space="preserve">. That 2022 formulation expressed the architecture problem as a search over sensor placements that maximized the share of cislunar volume, or of resident-object trajectories, held in custody under specified cost envelopes. Its contribution mattered less for any particular point estimate than for the analytical move it made available: capability could now be reported in a common currency across studies, design years, and sensor classes</w:t>
      </w:r>
      <w:r>
        <w:t xml:space="preserve"> </w:t>
      </w:r>
      <w:hyperlink w:anchor="ref-1">
        <w:r>
          <w:rPr>
            <w:rStyle w:val="Hyperlink"/>
          </w:rPr>
          <w:t xml:space="preserve">[1]</w:t>
        </w:r>
      </w:hyperlink>
      <w:r>
        <w:t xml:space="preserve">[3]. From the same conference cycle, a near-rectilinear halo-orbit surveillance study extended the capacity logic into the periodic-orbit regime around the Moon, showing that observers placed on cislunar periodic orbits could surveil L1 and L2 traffic without continuous ground engagement</w:t>
      </w:r>
      <w:r>
        <w:t xml:space="preserve"> </w:t>
      </w:r>
      <w:hyperlink w:anchor="ref-10">
        <w:r>
          <w:rPr>
            <w:rStyle w:val="Hyperlink"/>
          </w:rPr>
          <w:t xml:space="preserve">[10]</w:t>
        </w:r>
      </w:hyperlink>
      <w:r>
        <w:t xml:space="preserve">. Together</w:t>
      </w:r>
      <w:r>
        <w:t xml:space="preserve"> </w:t>
      </w:r>
      <w:hyperlink w:anchor="ref-1">
        <w:r>
          <w:rPr>
            <w:rStyle w:val="Hyperlink"/>
          </w:rPr>
          <w:t xml:space="preserve">[1]</w:t>
        </w:r>
      </w:hyperlink>
      <w:r>
        <w:t xml:space="preserve"> </w:t>
      </w:r>
      <w:r>
        <w:t xml:space="preserve">and</w:t>
      </w:r>
      <w:r>
        <w:t xml:space="preserve"> </w:t>
      </w:r>
      <w:hyperlink w:anchor="ref-10">
        <w:r>
          <w:rPr>
            <w:rStyle w:val="Hyperlink"/>
          </w:rPr>
          <w:t xml:space="preserve">[10]</w:t>
        </w:r>
      </w:hyperlink>
      <w:r>
        <w:t xml:space="preserve"> </w:t>
      </w:r>
      <w:r>
        <w:t xml:space="preserve">established, in 2022, a tractable design vocabulary the field has continued to use since.</w:t>
      </w:r>
    </w:p>
    <w:p>
      <w:pPr>
        <w:pStyle w:val="BodyText"/>
        <w:spacing w:line="480" w:lineRule="auto"/>
        <w:ind w:firstLine="720"/>
      </w:pPr>
      <w:r>
        <w:t xml:space="preserve">The vocabulary stuck.</w:t>
      </w:r>
    </w:p>
    <w:p>
      <w:pPr>
        <w:pStyle w:val="BodyText"/>
        <w:spacing w:line="480" w:lineRule="auto"/>
        <w:ind w:firstLine="720"/>
      </w:pPr>
      <w:r>
        <w:t xml:space="preserve">Two directions of widening followed in the 2023 cycle. A robust cooperative-agent extension formalized the architecture problem when multiple sensor nodes coordinate against worst-case observation geometries, retaining the capacity metric while introducing the cooperative-agent decision structure that later work would lean on</w:t>
      </w:r>
      <w:r>
        <w:t xml:space="preserve"> </w:t>
      </w:r>
      <w:hyperlink w:anchor="ref-2">
        <w:r>
          <w:rPr>
            <w:rStyle w:val="Hyperlink"/>
          </w:rPr>
          <w:t xml:space="preserve">[2]</w:t>
        </w:r>
      </w:hyperlink>
      <w:r>
        <w:t xml:space="preserve">. A distributed-network optimization under operational cost metrics paired that cooperative formulation with explicit cost-per-capability terms, making the budget-to-capability mapping a structural feature of the architecture problem itself rather than an exogenous constraint imposed from outside</w:t>
      </w:r>
      <w:r>
        <w:t xml:space="preserve"> </w:t>
      </w:r>
      <w:hyperlink w:anchor="ref-9">
        <w:r>
          <w:rPr>
            <w:rStyle w:val="Hyperlink"/>
          </w:rPr>
          <w:t xml:space="preserve">[9]</w:t>
        </w:r>
      </w:hyperlink>
      <w:r>
        <w:t xml:space="preserve">. The 2023 cohort thus embedded cost terms into the architecture model, but it embedded them as parameters rather than as time-varying signals to be tested against realized capability; the engineering literature began to internalize price without yet treating price as a forecasting instrument.</w:t>
      </w:r>
    </w:p>
    <w:p>
      <w:pPr>
        <w:pStyle w:val="BodyText"/>
        <w:spacing w:line="480" w:lineRule="auto"/>
        <w:ind w:firstLine="720"/>
      </w:pPr>
      <w:r>
        <w:t xml:space="preserve">Consolidation came next. The 2024 cycle established the capacity formulation as the field’s de facto baseline. A comprehensive capacity approach restated and generalized the 2022 baseline, reporting reproducible custody-capacity numbers across a broader portfolio of sensor allocations and confirming the diminishing-returns coverage shape that the 2023 distributed-network work had begun to document</w:t>
      </w:r>
      <w:r>
        <w:t xml:space="preserve"> </w:t>
      </w:r>
      <w:hyperlink w:anchor="ref-4">
        <w:r>
          <w:rPr>
            <w:rStyle w:val="Hyperlink"/>
          </w:rPr>
          <w:t xml:space="preserve">[4]</w:t>
        </w:r>
      </w:hyperlink>
      <w:r>
        <w:t xml:space="preserve">[9]. A model-based optical-constellation trade study carried the capacity logic to ground- and space-based optical constellations, again reporting reproducible coverage frontiers per design choice</w:t>
      </w:r>
      <w:r>
        <w:t xml:space="preserve"> </w:t>
      </w:r>
      <w:hyperlink w:anchor="ref-5">
        <w:r>
          <w:rPr>
            <w:rStyle w:val="Hyperlink"/>
          </w:rPr>
          <w:t xml:space="preserve">[5]</w:t>
        </w:r>
      </w:hyperlink>
      <w:r>
        <w:t xml:space="preserve">. An adaptive-tasking study introduced sensor-tasking strategies for non-cooperative cislunar objects, closing the loop between architecture design and operational use by showing that the capacity formulation could pair with run-time tasking heuristics to bound observation latency</w:t>
      </w:r>
      <w:r>
        <w:t xml:space="preserve"> </w:t>
      </w:r>
      <w:hyperlink w:anchor="ref-6">
        <w:r>
          <w:rPr>
            <w:rStyle w:val="Hyperlink"/>
          </w:rPr>
          <w:t xml:space="preserve">[6]</w:t>
        </w:r>
      </w:hyperlink>
      <w:r>
        <w:t xml:space="preserve">. Three converging capability frontiers therefore emerged from the 2024 cohort, all expressed in the same custody-capacity currency and all dated to the same calendar year, which is precisely the property that makes the engineering output amenable to panel analysis.</w:t>
      </w:r>
    </w:p>
    <w:p>
      <w:pPr>
        <w:pStyle w:val="BodyText"/>
        <w:spacing w:line="480" w:lineRule="auto"/>
        <w:ind w:firstLine="720"/>
      </w:pPr>
      <w:r>
        <w:t xml:space="preserve">The 2025 cycle continued the trajectory rather than disrupting it. A Bayesian game-theoretical exploration of L1 and L2 cislunar SDA reframed the cooperative-agent question of</w:t>
      </w:r>
      <w:r>
        <w:t xml:space="preserve"> </w:t>
      </w:r>
      <w:hyperlink w:anchor="ref-2">
        <w:r>
          <w:rPr>
            <w:rStyle w:val="Hyperlink"/>
          </w:rPr>
          <w:t xml:space="preserve">[2]</w:t>
        </w:r>
      </w:hyperlink>
      <w:r>
        <w:t xml:space="preserve"> </w:t>
      </w:r>
      <w:r>
        <w:t xml:space="preserve">in a game-theoretical decision frame, retaining capacity-style outputs while adding adversarial structure</w:t>
      </w:r>
      <w:r>
        <w:t xml:space="preserve"> </w:t>
      </w:r>
      <w:hyperlink w:anchor="ref-28">
        <w:r>
          <w:rPr>
            <w:rStyle w:val="Hyperlink"/>
          </w:rPr>
          <w:t xml:space="preserve">[28]</w:t>
        </w:r>
      </w:hyperlink>
      <w:r>
        <w:t xml:space="preserve">. A monitoring framework for cislunar fragmentation events using constellations of space-based observers carried the same constellation-design logic into a specific contingency-operations problem</w:t>
      </w:r>
      <w:r>
        <w:t xml:space="preserve"> </w:t>
      </w:r>
      <w:hyperlink w:anchor="ref-30">
        <w:r>
          <w:rPr>
            <w:rStyle w:val="Hyperlink"/>
          </w:rPr>
          <w:t xml:space="preserve">[30]</w:t>
        </w:r>
      </w:hyperlink>
      <w:r>
        <w:t xml:space="preserve">. A space-based debris trajectory estimation study that fused vision-sensor tracks complemented the capacity work with the orbit-determination machinery that any deployed custody-capacity result must eventually rest on</w:t>
      </w:r>
      <w:r>
        <w:t xml:space="preserve"> </w:t>
      </w:r>
      <w:hyperlink w:anchor="ref-31">
        <w:r>
          <w:rPr>
            <w:rStyle w:val="Hyperlink"/>
          </w:rPr>
          <w:t xml:space="preserve">[31]</w:t>
        </w:r>
      </w:hyperlink>
      <w:r>
        <w:t xml:space="preserve">. Across the 2022 through 2025 record, then, the capacity formulation is no single paper’s contribution; it is the field’s collective grammar for capability, with enough internal replication to support a panel test.</w:t>
      </w:r>
    </w:p>
    <w:bookmarkEnd w:id="68"/>
    <w:bookmarkStart w:id="69" w:name="X6b7cb20ab2efb3422ced8a2dacc307d6d787d6a"/>
    <w:p>
      <w:pPr>
        <w:pStyle w:val="Heading3"/>
        <w:spacing w:line="480" w:lineRule="auto"/>
      </w:pPr>
      <w:r>
        <w:t xml:space="preserve">2.2.2 Sensor-rich, hybrid, and program-anchor work</w:t>
      </w:r>
    </w:p>
    <w:p>
      <w:pPr>
        <w:pStyle w:val="FirstParagraph"/>
        <w:spacing w:line="480" w:lineRule="auto"/>
      </w:pPr>
      <w:r>
        <w:t xml:space="preserve">A parallel strand of the technical literature has framed cislunar SDA as a sensor-rich layered problem rather than a pure capacity-optimization problem, and that strand bears on the dissertation’s identification strategy because it grounds the modeled custody frontier in the real catalog of sensors that funded programs eventually field. The 2020 sensor-rich lunar and cislunar solution surveyed the layered ground, space, and lunar-surface architecture and reported coverage gains from sensor-class diversity</w:t>
      </w:r>
      <w:r>
        <w:t xml:space="preserve"> </w:t>
      </w:r>
      <w:hyperlink w:anchor="ref-12">
        <w:r>
          <w:rPr>
            <w:rStyle w:val="Hyperlink"/>
          </w:rPr>
          <w:t xml:space="preserve">[12]</w:t>
        </w:r>
      </w:hyperlink>
      <w:r>
        <w:t xml:space="preserve">. Building on it, the 2021 hybrid lunar-surface and space-domain methods study formalized that layered logic and made the case for hybrid placement</w:t>
      </w:r>
      <w:r>
        <w:t xml:space="preserve"> </w:t>
      </w:r>
      <w:hyperlink w:anchor="ref-13">
        <w:r>
          <w:rPr>
            <w:rStyle w:val="Hyperlink"/>
          </w:rPr>
          <w:t xml:space="preserve">[13]</w:t>
        </w:r>
      </w:hyperlink>
      <w:r>
        <w:t xml:space="preserve">. The 2025 Starling mission documentation reported the operational SSA implications of a distributed-spacecraft demonstrator, narrowing the gap between trade-study modeling and on-orbit performance</w:t>
      </w:r>
      <w:r>
        <w:t xml:space="preserve"> </w:t>
      </w:r>
      <w:hyperlink w:anchor="ref-25">
        <w:r>
          <w:rPr>
            <w:rStyle w:val="Hyperlink"/>
          </w:rPr>
          <w:t xml:space="preserve">[25]</w:t>
        </w:r>
      </w:hyperlink>
      <w:r>
        <w:t xml:space="preserve">. Ground-based planetary radar work for the cislunar arena documented the radar contribution to the layered architecture</w:t>
      </w:r>
      <w:r>
        <w:t xml:space="preserve"> </w:t>
      </w:r>
      <w:hyperlink w:anchor="ref-24">
        <w:r>
          <w:rPr>
            <w:rStyle w:val="Hyperlink"/>
          </w:rPr>
          <w:t xml:space="preserve">[24]</w:t>
        </w:r>
      </w:hyperlink>
      <w:r>
        <w:t xml:space="preserve">, and the Magdalena Ridge Observatory Interferometer literature documented an existing optical-interferometric capability that the layered architecture inherits</w:t>
      </w:r>
      <w:r>
        <w:t xml:space="preserve"> </w:t>
      </w:r>
      <w:hyperlink w:anchor="ref-27">
        <w:r>
          <w:rPr>
            <w:rStyle w:val="Hyperlink"/>
          </w:rPr>
          <w:t xml:space="preserve">[27]</w:t>
        </w:r>
      </w:hyperlink>
      <w:r>
        <w:t xml:space="preserve">. Taken together, the sensor-rich strand confirms that capability is not solely a function of node count; it depends on sensor-class diversity, placement, and the existing observatory base.</w:t>
      </w:r>
    </w:p>
    <w:p>
      <w:pPr>
        <w:pStyle w:val="BodyText"/>
        <w:spacing w:line="480" w:lineRule="auto"/>
        <w:ind w:firstLine="720"/>
      </w:pPr>
      <w:r>
        <w:t xml:space="preserve">Program anchors complete the picture, and the demonstrators behind them are real and funded. AFRL’s Oracle program, formerly the Cislunar Highway Patrol System, has been the central US fielded demonstrator for cislunar SDA, with program records spanning 2022 through 2024</w:t>
      </w:r>
      <w:r>
        <w:t xml:space="preserve"> </w:t>
      </w:r>
      <w:hyperlink w:anchor="ref-8">
        <w:r>
          <w:rPr>
            <w:rStyle w:val="Hyperlink"/>
          </w:rPr>
          <w:t xml:space="preserve">[8]</w:t>
        </w:r>
      </w:hyperlink>
      <w:r>
        <w:t xml:space="preserve">. The Office of Space Commerce Traffic Coordination System for Space documents the civil counterpart, with FY24 enacted and FY25 proposed funding lines that the space-economy literature flags as the visible budget signal for civil SDA</w:t>
      </w:r>
      <w:r>
        <w:t xml:space="preserve"> </w:t>
      </w:r>
      <w:hyperlink w:anchor="ref-14">
        <w:r>
          <w:rPr>
            <w:rStyle w:val="Hyperlink"/>
          </w:rPr>
          <w:t xml:space="preserve">[14]</w:t>
        </w:r>
      </w:hyperlink>
      <w:r>
        <w:t xml:space="preserve">. CSIS analysis of US SDA acquisition trends provides the institutional baseline for the program record</w:t>
      </w:r>
      <w:r>
        <w:t xml:space="preserve"> </w:t>
      </w:r>
      <w:hyperlink w:anchor="ref-23">
        <w:r>
          <w:rPr>
            <w:rStyle w:val="Hyperlink"/>
          </w:rPr>
          <w:t xml:space="preserve">[23]</w:t>
        </w:r>
      </w:hyperlink>
      <w:r>
        <w:t xml:space="preserve">, while the Space Foundation SSA brief and Space Force budget reporting document the topline funding cycles</w:t>
      </w:r>
      <w:r>
        <w:t xml:space="preserve"> </w:t>
      </w:r>
      <w:hyperlink w:anchor="ref-20">
        <w:r>
          <w:rPr>
            <w:rStyle w:val="Hyperlink"/>
          </w:rPr>
          <w:t xml:space="preserve">[20]</w:t>
        </w:r>
      </w:hyperlink>
      <w:r>
        <w:t xml:space="preserve">[21]. The GAO 2015 baseline established that core SSA spending sat at the billion-dollar scale across the FY15 through FY20 window</w:t>
      </w:r>
      <w:r>
        <w:t xml:space="preserve"> </w:t>
      </w:r>
      <w:hyperlink w:anchor="ref-19">
        <w:r>
          <w:rPr>
            <w:rStyle w:val="Hyperlink"/>
          </w:rPr>
          <w:t xml:space="preserve">[19]</w:t>
        </w:r>
      </w:hyperlink>
      <w:r>
        <w:t xml:space="preserve">, which makes the cumulative-investment series the second empirical paper constructs traceable to a published auditor report rather than to back-cast estimation alone.</w:t>
      </w:r>
    </w:p>
    <w:bookmarkEnd w:id="69"/>
    <w:bookmarkStart w:id="70" w:name="Xdd05182d70450596d966b2beec32eeb22a64628"/>
    <w:p>
      <w:pPr>
        <w:pStyle w:val="Heading3"/>
        <w:spacing w:line="480" w:lineRule="auto"/>
      </w:pPr>
      <w:r>
        <w:t xml:space="preserve">2.2.3 The institutional and policy framing of cislunar capability</w:t>
      </w:r>
    </w:p>
    <w:p>
      <w:pPr>
        <w:pStyle w:val="FirstParagraph"/>
        <w:spacing w:line="480" w:lineRule="auto"/>
      </w:pPr>
      <w:r>
        <w:t xml:space="preserve">Long observation has told the institutional literature on awareness infrastructure that the budget-to-capability transmission is real but frictional, mediated by program bottlenecks that smear investment into capability over time. Providing the analytic template, the institutional-bottleneck analysis of laser utilization in outer space treats the lag between dollar commitment and operational utilization as the object of study in its own right</w:t>
      </w:r>
      <w:r>
        <w:t xml:space="preserve"> </w:t>
      </w:r>
      <w:hyperlink w:anchor="ref-7">
        <w:r>
          <w:rPr>
            <w:rStyle w:val="Hyperlink"/>
          </w:rPr>
          <w:t xml:space="preserve">[7]</w:t>
        </w:r>
      </w:hyperlink>
      <w:r>
        <w:t xml:space="preserve">. The Moon-to-Mars space traffic management framework extends this logic into the cislunar and cismartian regimes, observing that the governance gap is itself a constraint on the realized capability any architecture can produce</w:t>
      </w:r>
      <w:r>
        <w:t xml:space="preserve"> </w:t>
      </w:r>
      <w:hyperlink w:anchor="ref-35">
        <w:r>
          <w:rPr>
            <w:rStyle w:val="Hyperlink"/>
          </w:rPr>
          <w:t xml:space="preserve">[35]</w:t>
        </w:r>
      </w:hyperlink>
      <w:r>
        <w:t xml:space="preserve">. The European Union defense and security strategy work documents the institutional structure that channels European budgets into ground- and space-based systems against hybrid threats</w:t>
      </w:r>
      <w:r>
        <w:t xml:space="preserve"> </w:t>
      </w:r>
      <w:hyperlink w:anchor="ref-33">
        <w:r>
          <w:rPr>
            <w:rStyle w:val="Hyperlink"/>
          </w:rPr>
          <w:t xml:space="preserve">[33]</w:t>
        </w:r>
      </w:hyperlink>
      <w:r>
        <w:t xml:space="preserve">, and the EU SST R&amp;D plan documents the European parallel program’s funding-to-capability pathway</w:t>
      </w:r>
      <w:r>
        <w:t xml:space="preserve"> </w:t>
      </w:r>
      <w:hyperlink w:anchor="ref-29">
        <w:r>
          <w:rPr>
            <w:rStyle w:val="Hyperlink"/>
          </w:rPr>
          <w:t xml:space="preserve">[29]</w:t>
        </w:r>
      </w:hyperlink>
      <w:r>
        <w:t xml:space="preserve">. A comparative institutional reference comes from the CSIS Japan case study, which shows how a growing space actor builds SDA capability under a non-US budget regime</w:t>
      </w:r>
      <w:r>
        <w:t xml:space="preserve"> </w:t>
      </w:r>
      <w:hyperlink w:anchor="ref-26">
        <w:r>
          <w:rPr>
            <w:rStyle w:val="Hyperlink"/>
          </w:rPr>
          <w:t xml:space="preserve">[26]</w:t>
        </w:r>
      </w:hyperlink>
      <w:r>
        <w:t xml:space="preserve">. Across these sources the institutional account stays consistent. Budget signals do propagate into capability, but the propagation is lagged, partial, and observable.</w:t>
      </w:r>
    </w:p>
    <w:p>
      <w:pPr>
        <w:pStyle w:val="BodyText"/>
        <w:spacing w:line="480" w:lineRule="auto"/>
        <w:ind w:firstLine="720"/>
      </w:pPr>
      <w:r>
        <w:t xml:space="preserve">Rounding out the institutional picture is the policy literature on the regulatory framing of cislunar capability. The Arecibo Observatory legacy and future radar capabilities review documents how a loss of fielded capacity propagates into the catalog the network holds, which demonstrates that the budget-to-capability link runs in both directions and that disinvestment is informative as well as investment</w:t>
      </w:r>
      <w:r>
        <w:t xml:space="preserve"> </w:t>
      </w:r>
      <w:hyperlink w:anchor="ref-34">
        <w:r>
          <w:rPr>
            <w:rStyle w:val="Hyperlink"/>
          </w:rPr>
          <w:t xml:space="preserve">[34]</w:t>
        </w:r>
      </w:hyperlink>
      <w:r>
        <w:t xml:space="preserve">. On the funding side, the TraCSS documentation in</w:t>
      </w:r>
      <w:r>
        <w:t xml:space="preserve"> </w:t>
      </w:r>
      <w:hyperlink w:anchor="ref-14">
        <w:r>
          <w:rPr>
            <w:rStyle w:val="Hyperlink"/>
          </w:rPr>
          <w:t xml:space="preserve">[14]</w:t>
        </w:r>
      </w:hyperlink>
      <w:r>
        <w:t xml:space="preserve"> </w:t>
      </w:r>
      <w:r>
        <w:t xml:space="preserve">supplies the civil counterpart, and the broader space-economy literature establishes that government budgets are the instrument through which states sponsor capability development</w:t>
      </w:r>
      <w:r>
        <w:t xml:space="preserve"> </w:t>
      </w:r>
      <w:hyperlink w:anchor="ref-3">
        <w:r>
          <w:rPr>
            <w:rStyle w:val="Hyperlink"/>
          </w:rPr>
          <w:t xml:space="preserve">[3]</w:t>
        </w:r>
      </w:hyperlink>
      <w:r>
        <w:t xml:space="preserve">[11]. Within the cislunar regime specifically, these sources frame the budget signal as a policy-actionable variable: when an appropriator changes a line, a downstream change in the catalog and the modeled frontier is the prediction the institutional account commits to, even if the magnitude and lag of that change are precisely the unknowns the dissertation will estimate.</w:t>
      </w:r>
    </w:p>
    <w:bookmarkEnd w:id="70"/>
    <w:bookmarkStart w:id="71" w:name="Xb6a8fa1b808d7c5a780cf7c83e2c4b08fbc60d0"/>
    <w:p>
      <w:pPr>
        <w:pStyle w:val="Heading3"/>
        <w:spacing w:line="480" w:lineRule="auto"/>
      </w:pPr>
      <w:r>
        <w:t xml:space="preserve">2.2.4 What the architecture literature does not do</w:t>
      </w:r>
    </w:p>
    <w:p>
      <w:pPr>
        <w:pStyle w:val="FirstParagraph"/>
        <w:spacing w:line="480" w:lineRule="auto"/>
      </w:pPr>
      <w:r>
        <w:t xml:space="preserve">For all the maturity of the capacity formulation and the institutional account, the architecture literature never tests the budget signal as a forecasting instrument. Where cost terms appear in the optimization, they enter as exogenous parameters under which the architecture is optimized</w:t>
      </w:r>
      <w:r>
        <w:t xml:space="preserve"> </w:t>
      </w:r>
      <w:hyperlink w:anchor="ref-1">
        <w:r>
          <w:rPr>
            <w:rStyle w:val="Hyperlink"/>
          </w:rPr>
          <w:t xml:space="preserve">[1]</w:t>
        </w:r>
      </w:hyperlink>
      <w:r>
        <w:t xml:space="preserve">[2][9]; where program funding appears in the institutional analysis, it is described qualitatively rather than treated as a time-varying signal whose predictive content is to be estimated</w:t>
      </w:r>
      <w:r>
        <w:t xml:space="preserve"> </w:t>
      </w:r>
      <w:hyperlink w:anchor="ref-7">
        <w:r>
          <w:rPr>
            <w:rStyle w:val="Hyperlink"/>
          </w:rPr>
          <w:t xml:space="preserve">[7]</w:t>
        </w:r>
      </w:hyperlink>
      <w:r>
        <w:t xml:space="preserve">[35]. The 2022 baseline, the 2023 extensions, and the 2024 consolidations all advance the engineering capability frontier, yet none asks whether the appropriated dollars in a given fiscal year carry statistical information about the frontier achievable in a later year</w:t>
      </w:r>
      <w:r>
        <w:t xml:space="preserve"> </w:t>
      </w:r>
      <w:hyperlink w:anchor="ref-1">
        <w:r>
          <w:rPr>
            <w:rStyle w:val="Hyperlink"/>
          </w:rPr>
          <w:t xml:space="preserve">[1]</w:t>
        </w:r>
      </w:hyperlink>
      <w:r>
        <w:t xml:space="preserve">[2][4][5][6][9]. The institutional literature anticipates that they should and offers a structural reason for a multi-year lag, without estimating the lag or testing the proposition</w:t>
      </w:r>
      <w:r>
        <w:t xml:space="preserve"> </w:t>
      </w:r>
      <w:hyperlink w:anchor="ref-7">
        <w:r>
          <w:rPr>
            <w:rStyle w:val="Hyperlink"/>
          </w:rPr>
          <w:t xml:space="preserve">[7]</w:t>
        </w:r>
      </w:hyperlink>
      <w:r>
        <w:t xml:space="preserve">[35]. That is the join the dissertation builds.</w:t>
      </w:r>
    </w:p>
    <w:bookmarkEnd w:id="71"/>
    <w:bookmarkEnd w:id="72"/>
    <w:bookmarkStart w:id="77" w:name="X07fe73e594277fc276c6392b9242153367417e1"/>
    <w:p>
      <w:pPr>
        <w:pStyle w:val="Heading2"/>
        <w:spacing w:line="480" w:lineRule="auto"/>
      </w:pPr>
      <w:r>
        <w:t xml:space="preserve">2.3 The Cliometric and Econometric Methodology Literature</w:t>
      </w:r>
    </w:p>
    <w:bookmarkStart w:id="73" w:name="Xf45982d76bbaaafb2247989d114dd69c3087cfd"/>
    <w:p>
      <w:pPr>
        <w:pStyle w:val="Heading3"/>
        <w:spacing w:line="480" w:lineRule="auto"/>
      </w:pPr>
      <w:r>
        <w:t xml:space="preserve">2.3.1 Dynamic specifications for investment-to-capability questions</w:t>
      </w:r>
    </w:p>
    <w:p>
      <w:pPr>
        <w:pStyle w:val="FirstParagraph"/>
        <w:spacing w:line="480" w:lineRule="auto"/>
      </w:pPr>
      <w:r>
        <w:t xml:space="preserve">Bearing directly on the dissertation’s central identification strategy is the dynamic, lagged-panel tradition that empirical economics has developed for relating investment signals to realized output. In its canonical form the specification regresses the capability output in year</w:t>
      </w:r>
      <w:r>
        <w:t xml:space="preserve"> </w:t>
      </w:r>
      <w:r>
        <w:rPr>
          <w:i/>
          <w:iCs/>
        </w:rPr>
        <w:t xml:space="preserve">t</w:t>
      </w:r>
      <w:r>
        <w:t xml:space="preserve"> </w:t>
      </w:r>
      <w:r>
        <w:t xml:space="preserve">on its own lagged values, on a deterministic time trend, and on lagged values of the investment signal of interest. The lag of the dependent variable absorbs the autoregressive structure of capability accumulation, the trend absorbs shared maturation between investment and output, and the lagged investment terms recover the predictive content of budget movement net of the trend. Its Granger-precedence variant answers the directional question, whether investment leads capability or capability leads investment, and it is the canonical instrument when reverse causation is the central threat to identification.</w:t>
      </w:r>
    </w:p>
    <w:p>
      <w:pPr>
        <w:pStyle w:val="BodyText"/>
        <w:spacing w:line="480" w:lineRule="auto"/>
        <w:ind w:firstLine="720"/>
      </w:pPr>
      <w:r>
        <w:t xml:space="preserve">Sectors structurally analogous to cislunar SDA have already been studied with this dynamic specification. The space-economy literature in particular frames government budgets as the instrument through which states sponsor capability development, which motivates reading appropriations as forward signals rather than as sunk accounting</w:t>
      </w:r>
      <w:r>
        <w:t xml:space="preserve"> </w:t>
      </w:r>
      <w:hyperlink w:anchor="ref-3">
        <w:r>
          <w:rPr>
            <w:rStyle w:val="Hyperlink"/>
          </w:rPr>
          <w:t xml:space="preserve">[3]</w:t>
        </w:r>
      </w:hyperlink>
      <w:r>
        <w:t xml:space="preserve">[11]. The OCEA Forecasting the Space Economy work, source SD08 in the Space Economy Papers brain, supplies the aggregate space-economy framing that documents government budgets as large, trackable, and economically meaningful quantities</w:t>
      </w:r>
      <w:r>
        <w:t xml:space="preserve"> </w:t>
      </w:r>
      <w:hyperlink w:anchor="ref-3">
        <w:r>
          <w:rPr>
            <w:rStyle w:val="Hyperlink"/>
          </w:rPr>
          <w:t xml:space="preserve">[3]</w:t>
        </w:r>
      </w:hyperlink>
      <w:r>
        <w:t xml:space="preserve">[11]. Where that literature stops short of attaching a specific appropriation line to a specific engineering output, the dynamic specification is the bridge: it lets the aggregate framing in</w:t>
      </w:r>
      <w:r>
        <w:t xml:space="preserve"> </w:t>
      </w:r>
      <w:hyperlink w:anchor="ref-3">
        <w:r>
          <w:rPr>
            <w:rStyle w:val="Hyperlink"/>
          </w:rPr>
          <w:t xml:space="preserve">[3]</w:t>
        </w:r>
      </w:hyperlink>
      <w:r>
        <w:t xml:space="preserve"> </w:t>
      </w:r>
      <w:r>
        <w:t xml:space="preserve">and</w:t>
      </w:r>
      <w:r>
        <w:t xml:space="preserve"> </w:t>
      </w:r>
      <w:hyperlink w:anchor="ref-11">
        <w:r>
          <w:rPr>
            <w:rStyle w:val="Hyperlink"/>
          </w:rPr>
          <w:t xml:space="preserve">[11]</w:t>
        </w:r>
      </w:hyperlink>
      <w:r>
        <w:t xml:space="preserve"> </w:t>
      </w:r>
      <w:r>
        <w:t xml:space="preserve">be sharpened into a project-level test by isolating the budget-to-capability transmission within a single program element.</w:t>
      </w:r>
    </w:p>
    <w:p>
      <w:pPr>
        <w:pStyle w:val="BodyText"/>
        <w:spacing w:line="480" w:lineRule="auto"/>
        <w:ind w:firstLine="720"/>
      </w:pPr>
      <w:r>
        <w:t xml:space="preserve">Exactly this dynamic specification carries the dissertation’s first empirical paper. The capability index is regressed on its own lag, on a deterministic trend, and on lagged budget signals; the Granger-precedence test answers the directional question; and the institutional-bottleneck account in</w:t>
      </w:r>
      <w:r>
        <w:t xml:space="preserve"> </w:t>
      </w:r>
      <w:hyperlink w:anchor="ref-7">
        <w:r>
          <w:rPr>
            <w:rStyle w:val="Hyperlink"/>
          </w:rPr>
          <w:t xml:space="preserve">[7]</w:t>
        </w:r>
      </w:hyperlink>
      <w:r>
        <w:t xml:space="preserve"> </w:t>
      </w:r>
      <w:r>
        <w:t xml:space="preserve">supplies the pre-registered prediction of a positive lag of more than one year. Canonical for the question, the specification’s translation into the cislunar SDA setting is the methodological contribution.</w:t>
      </w:r>
    </w:p>
    <w:bookmarkEnd w:id="73"/>
    <w:bookmarkStart w:id="74" w:name="Xd220826aed40a31f2b40b89c19deb2faa7762d7"/>
    <w:p>
      <w:pPr>
        <w:pStyle w:val="Heading3"/>
        <w:spacing w:line="480" w:lineRule="auto"/>
      </w:pPr>
      <w:r>
        <w:t xml:space="preserve">2.3.2 Learning-curve specifications for cumulative-investment questions</w:t>
      </w:r>
    </w:p>
    <w:p>
      <w:pPr>
        <w:pStyle w:val="FirstParagraph"/>
        <w:spacing w:line="480" w:lineRule="auto"/>
      </w:pPr>
      <w:r>
        <w:t xml:space="preserve">Where the dynamic lagged-panel specification answers the marginal question, whether annual movement in the budget predicts annual movement in the capability frontier, a structurally distinct question asks whether the accumulated stock of investment behaves like an experience base, such that capability scales as a stable power of cumulative spend. The instrument for that question is the log-log learning-curve, or experience-curve, specification, in which the log of the capability output is regressed on the log of cumulative investment and the slope coefficient reads as the capability elasticity. The implied progress ratio, two raised to the slope, expresses the proportional capability gain per doubling of the experience base and is the standard summary statistic of the experience-curve tradition.</w:t>
      </w:r>
    </w:p>
    <w:p>
      <w:pPr>
        <w:pStyle w:val="BodyText"/>
        <w:spacing w:line="480" w:lineRule="auto"/>
        <w:ind w:firstLine="720"/>
      </w:pPr>
      <w:r>
        <w:t xml:space="preserve">Engineering enterprises in which capability accumulation is gradual, frictional, and shaped by institutional bottlenecks that smear investment into capability over time are the canonical province of the learning-curve framing. The institutional account in</w:t>
      </w:r>
      <w:r>
        <w:t xml:space="preserve"> </w:t>
      </w:r>
      <w:hyperlink w:anchor="ref-7">
        <w:r>
          <w:rPr>
            <w:rStyle w:val="Hyperlink"/>
          </w:rPr>
          <w:t xml:space="preserve">[7]</w:t>
        </w:r>
      </w:hyperlink>
      <w:r>
        <w:t xml:space="preserve"> </w:t>
      </w:r>
      <w:r>
        <w:t xml:space="preserve">supplies precisely the structural account a learning-curve specification needs: cumulative integration of the budget signal absorbs the lag structure that defeats a purely contemporaneous regression. Enabling the cislunar-specific extension is the architecture literature’s convergence on the capacity formulation</w:t>
      </w:r>
      <w:r>
        <w:t xml:space="preserve"> </w:t>
      </w:r>
      <w:hyperlink w:anchor="ref-1">
        <w:r>
          <w:rPr>
            <w:rStyle w:val="Hyperlink"/>
          </w:rPr>
          <w:t xml:space="preserve">[1]</w:t>
        </w:r>
      </w:hyperlink>
      <w:r>
        <w:t xml:space="preserve">[2][4][5][6], because the model-derived custody-capacity output and the cataloged resident-space-object count are the realized and modeled analogs of one underlying capability concept.</w:t>
      </w:r>
    </w:p>
    <w:p>
      <w:pPr>
        <w:pStyle w:val="BodyText"/>
        <w:spacing w:line="480" w:lineRule="auto"/>
        <w:ind w:firstLine="720"/>
      </w:pPr>
      <w:r>
        <w:t xml:space="preserve">The learning-curve specification carries the dissertation’s second empirical paper across a twenty-two-year annual panel spanning 2004 through 2025, with the cataloged resident-space-object count drawn from ESA Space Environment Reports</w:t>
      </w:r>
      <w:r>
        <w:t xml:space="preserve"> </w:t>
      </w:r>
      <w:hyperlink w:anchor="ref-16">
        <w:r>
          <w:rPr>
            <w:rStyle w:val="Hyperlink"/>
          </w:rPr>
          <w:t xml:space="preserve">[16]</w:t>
        </w:r>
      </w:hyperlink>
      <w:r>
        <w:t xml:space="preserve">[17], US Space Surveillance Network historical reporting</w:t>
      </w:r>
      <w:r>
        <w:t xml:space="preserve"> </w:t>
      </w:r>
      <w:hyperlink w:anchor="ref-15">
        <w:r>
          <w:rPr>
            <w:rStyle w:val="Hyperlink"/>
          </w:rPr>
          <w:t xml:space="preserve">[15]</w:t>
        </w:r>
      </w:hyperlink>
      <w:r>
        <w:t xml:space="preserve">, and CelesTrak surveillance reporting</w:t>
      </w:r>
      <w:r>
        <w:t xml:space="preserve"> </w:t>
      </w:r>
      <w:hyperlink w:anchor="ref-18">
        <w:r>
          <w:rPr>
            <w:rStyle w:val="Hyperlink"/>
          </w:rPr>
          <w:t xml:space="preserve">[18]</w:t>
        </w:r>
      </w:hyperlink>
      <w:r>
        <w:t xml:space="preserve">. Anchored on the GAO baseline</w:t>
      </w:r>
      <w:r>
        <w:t xml:space="preserve"> </w:t>
      </w:r>
      <w:hyperlink w:anchor="ref-19">
        <w:r>
          <w:rPr>
            <w:rStyle w:val="Hyperlink"/>
          </w:rPr>
          <w:t xml:space="preserve">[19]</w:t>
        </w:r>
      </w:hyperlink>
      <w:r>
        <w:t xml:space="preserve"> </w:t>
      </w:r>
      <w:r>
        <w:t xml:space="preserve">and augmented by the Space Foundation brief</w:t>
      </w:r>
      <w:r>
        <w:t xml:space="preserve"> </w:t>
      </w:r>
      <w:hyperlink w:anchor="ref-20">
        <w:r>
          <w:rPr>
            <w:rStyle w:val="Hyperlink"/>
          </w:rPr>
          <w:t xml:space="preserve">[20]</w:t>
        </w:r>
      </w:hyperlink>
      <w:r>
        <w:t xml:space="preserve"> </w:t>
      </w:r>
      <w:r>
        <w:t xml:space="preserve">and Space Force budget reporting</w:t>
      </w:r>
      <w:r>
        <w:t xml:space="preserve"> </w:t>
      </w:r>
      <w:hyperlink w:anchor="ref-21">
        <w:r>
          <w:rPr>
            <w:rStyle w:val="Hyperlink"/>
          </w:rPr>
          <w:t xml:space="preserve">[21]</w:t>
        </w:r>
      </w:hyperlink>
      <w:r>
        <w:t xml:space="preserve">, the cumulative-investment series feeds a single slope coefficient that is the capability elasticity; the implied progress ratio is the proportional custody gain per doubling of cumulative spend; and the result that the elasticity sits below unity is the quantitative shape of the institutional friction that</w:t>
      </w:r>
      <w:r>
        <w:t xml:space="preserve"> </w:t>
      </w:r>
      <w:hyperlink w:anchor="ref-7">
        <w:r>
          <w:rPr>
            <w:rStyle w:val="Hyperlink"/>
          </w:rPr>
          <w:t xml:space="preserve">[7]</w:t>
        </w:r>
      </w:hyperlink>
      <w:r>
        <w:t xml:space="preserve"> </w:t>
      </w:r>
      <w:r>
        <w:t xml:space="preserve">describes qualitatively.</w:t>
      </w:r>
    </w:p>
    <w:bookmarkEnd w:id="74"/>
    <w:bookmarkStart w:id="75" w:name="X900f682f2a7f021614ee1465804e751006a8fca"/>
    <w:p>
      <w:pPr>
        <w:pStyle w:val="Heading3"/>
        <w:spacing w:line="480" w:lineRule="auto"/>
      </w:pPr>
      <w:r>
        <w:t xml:space="preserve">2.3.3 Identification strategy and the sensitivity of the result</w:t>
      </w:r>
    </w:p>
    <w:p>
      <w:pPr>
        <w:pStyle w:val="FirstParagraph"/>
        <w:spacing w:line="480" w:lineRule="auto"/>
      </w:pPr>
      <w:r>
        <w:t xml:space="preserve">Bearing also on the dissertation’s sensitivity analysis is the methodological literature on identifying investment-to-capability relationships. The capacity formulation in</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and</w:t>
      </w:r>
      <w:r>
        <w:t xml:space="preserve"> </w:t>
      </w:r>
      <w:hyperlink w:anchor="ref-2">
        <w:r>
          <w:rPr>
            <w:rStyle w:val="Hyperlink"/>
          </w:rPr>
          <w:t xml:space="preserve">[2]</w:t>
        </w:r>
      </w:hyperlink>
      <w:r>
        <w:t xml:space="preserve"> </w:t>
      </w:r>
      <w:r>
        <w:t xml:space="preserve">admits at least two operationalizations of the capability output, volume-fraction custody and trajectory-fraction custody, and the methodological standard is to confirm that the budget-to-capability finding is not an artifact of one metric choice by re-estimating the specification under both. The same standard applies to the budget side: cislunar SDA is funded across multiple program elements, and the literature requires a transparent inclusion rule with results reported under a narrow and a broad attribution. The aggregate-budget framing in</w:t>
      </w:r>
      <w:r>
        <w:t xml:space="preserve"> </w:t>
      </w:r>
      <w:hyperlink w:anchor="ref-3">
        <w:r>
          <w:rPr>
            <w:rStyle w:val="Hyperlink"/>
          </w:rPr>
          <w:t xml:space="preserve">[3]</w:t>
        </w:r>
      </w:hyperlink>
      <w:r>
        <w:t xml:space="preserve"> </w:t>
      </w:r>
      <w:r>
        <w:t xml:space="preserve">and</w:t>
      </w:r>
      <w:r>
        <w:t xml:space="preserve"> </w:t>
      </w:r>
      <w:hyperlink w:anchor="ref-11">
        <w:r>
          <w:rPr>
            <w:rStyle w:val="Hyperlink"/>
          </w:rPr>
          <w:t xml:space="preserve">[11]</w:t>
        </w:r>
      </w:hyperlink>
      <w:r>
        <w:t xml:space="preserve"> </w:t>
      </w:r>
      <w:r>
        <w:t xml:space="preserve">confirms that the lines are large enough to be measured but does not resolve attribution at the project level, which is why the sensitivity analysis is essential rather than cosmetic.</w:t>
      </w:r>
    </w:p>
    <w:p>
      <w:pPr>
        <w:pStyle w:val="BodyText"/>
        <w:spacing w:line="480" w:lineRule="auto"/>
        <w:ind w:firstLine="720"/>
      </w:pPr>
      <w:r>
        <w:t xml:space="preserve">Threats to validity of short-panel specifications bear on the dissertation as well. The cislunar-SDA capacity literature effectively begins in 2022</w:t>
      </w:r>
      <w:r>
        <w:t xml:space="preserve"> </w:t>
      </w:r>
      <w:hyperlink w:anchor="ref-1">
        <w:r>
          <w:rPr>
            <w:rStyle w:val="Hyperlink"/>
          </w:rPr>
          <w:t xml:space="preserve">[1]</w:t>
        </w:r>
      </w:hyperlink>
      <w:r>
        <w:t xml:space="preserve">, so the short-panel specification limits statistical power and motivates a parsimonious dynamic form together with explicit reporting of confidence intervals rather than reliance on asymptotic significance alone. The methodological standard is to report the dynamic specification under multiple lag lengths and confirm the finding is stable across them. Running across the longer 2004 through 2025 panel, the learning-curve specification addresses the short-panel concern by approaching the same underlying proposition through a different functional form and a different output series, so that a finding robust to both is more credible than either alone.</w:t>
      </w:r>
    </w:p>
    <w:bookmarkEnd w:id="75"/>
    <w:bookmarkStart w:id="76" w:name="X2377c43b7e4b4299d15a6154620027686944162"/>
    <w:p>
      <w:pPr>
        <w:pStyle w:val="Heading3"/>
        <w:spacing w:line="480" w:lineRule="auto"/>
      </w:pPr>
      <w:r>
        <w:t xml:space="preserve">2.3.4 What the cliometric literature does not do</w:t>
      </w:r>
    </w:p>
    <w:p>
      <w:pPr>
        <w:pStyle w:val="FirstParagraph"/>
        <w:spacing w:line="480" w:lineRule="auto"/>
      </w:pPr>
      <w:r>
        <w:t xml:space="preserve">For all the depth of the dynamic lagged-panel and learning-curve specifications in the empirical economics tradition, none has been applied to cislunar SDA. The space-economy literature in</w:t>
      </w:r>
      <w:r>
        <w:t xml:space="preserve"> </w:t>
      </w:r>
      <w:hyperlink w:anchor="ref-3">
        <w:r>
          <w:rPr>
            <w:rStyle w:val="Hyperlink"/>
          </w:rPr>
          <w:t xml:space="preserve">[3]</w:t>
        </w:r>
      </w:hyperlink>
      <w:r>
        <w:t xml:space="preserve"> </w:t>
      </w:r>
      <w:r>
        <w:t xml:space="preserve">and</w:t>
      </w:r>
      <w:r>
        <w:t xml:space="preserve"> </w:t>
      </w:r>
      <w:hyperlink w:anchor="ref-11">
        <w:r>
          <w:rPr>
            <w:rStyle w:val="Hyperlink"/>
          </w:rPr>
          <w:t xml:space="preserve">[11]</w:t>
        </w:r>
      </w:hyperlink>
      <w:r>
        <w:t xml:space="preserve"> </w:t>
      </w:r>
      <w:r>
        <w:t xml:space="preserve">supplies the aggregate framing but stops at topline magnitudes; it estimates no budget-to-capability elasticity for any specific engineering output in the SDA regime. The institutional literature in</w:t>
      </w:r>
      <w:r>
        <w:t xml:space="preserve"> </w:t>
      </w:r>
      <w:hyperlink w:anchor="ref-7">
        <w:r>
          <w:rPr>
            <w:rStyle w:val="Hyperlink"/>
          </w:rPr>
          <w:t xml:space="preserve">[7]</w:t>
        </w:r>
      </w:hyperlink>
      <w:r>
        <w:t xml:space="preserve"> </w:t>
      </w:r>
      <w:r>
        <w:t xml:space="preserve">and</w:t>
      </w:r>
      <w:r>
        <w:t xml:space="preserve"> </w:t>
      </w:r>
      <w:hyperlink w:anchor="ref-35">
        <w:r>
          <w:rPr>
            <w:rStyle w:val="Hyperlink"/>
          </w:rPr>
          <w:t xml:space="preserve">[35]</w:t>
        </w:r>
      </w:hyperlink>
      <w:r>
        <w:t xml:space="preserve"> </w:t>
      </w:r>
      <w:r>
        <w:t xml:space="preserve">supplies the structural account of why a budget-to-capability relationship should exist and should be lagged, without estimating the lag or testing the relationship. The CSIS analyses in</w:t>
      </w:r>
      <w:r>
        <w:t xml:space="preserve"> </w:t>
      </w:r>
      <w:hyperlink w:anchor="ref-23">
        <w:r>
          <w:rPr>
            <w:rStyle w:val="Hyperlink"/>
          </w:rPr>
          <w:t xml:space="preserve">[23]</w:t>
        </w:r>
      </w:hyperlink>
      <w:r>
        <w:t xml:space="preserve"> </w:t>
      </w:r>
      <w:r>
        <w:t xml:space="preserve">and</w:t>
      </w:r>
      <w:r>
        <w:t xml:space="preserve"> </w:t>
      </w:r>
      <w:hyperlink w:anchor="ref-26">
        <w:r>
          <w:rPr>
            <w:rStyle w:val="Hyperlink"/>
          </w:rPr>
          <w:t xml:space="preserve">[26]</w:t>
        </w:r>
      </w:hyperlink>
      <w:r>
        <w:t xml:space="preserve"> </w:t>
      </w:r>
      <w:r>
        <w:t xml:space="preserve">document the acquisition record and the comparative institutional structure but do not estimate the mapping in econometric form. Mature as the instruments are, the question they answer is exactly the dissertation’s, and the application to cislunar SDA has not been made.</w:t>
      </w:r>
    </w:p>
    <w:bookmarkEnd w:id="76"/>
    <w:bookmarkEnd w:id="77"/>
    <w:bookmarkStart w:id="78" w:name="synthesis-the-gap-and-its-granularity"/>
    <w:p>
      <w:pPr>
        <w:pStyle w:val="Heading2"/>
        <w:spacing w:line="480" w:lineRule="auto"/>
      </w:pPr>
      <w:r>
        <w:t xml:space="preserve">2.4 Synthesis: The Gap and Its Granularity</w:t>
      </w:r>
    </w:p>
    <w:p>
      <w:pPr>
        <w:pStyle w:val="FirstParagraph"/>
        <w:spacing w:line="480" w:lineRule="auto"/>
      </w:pPr>
      <w:r>
        <w:t xml:space="preserve">Compatible questions, incompatible vocabularies: that is the relationship between the two literatures. The cislunar SDA architecture literature measures capability reproducibly and has converged on the capacity formulation as its organizing instrument; the cliometric and econometric methodology literature estimates the budget-to-capability relationship with canonical instruments and has used those instruments across structurally analogous sectors. Neither has built the bridge, and the gap decomposes into five pieces.</w:t>
      </w:r>
    </w:p>
    <w:p>
      <w:pPr>
        <w:pStyle w:val="BodyText"/>
        <w:spacing w:line="480" w:lineRule="auto"/>
        <w:ind w:firstLine="720"/>
      </w:pPr>
      <w:r>
        <w:t xml:space="preserve">First, the architecture literature treats budget as an exogenous parameter rather than as a time-varying signal whose predictive content is to be estimated</w:t>
      </w:r>
      <w:r>
        <w:t xml:space="preserve"> </w:t>
      </w:r>
      <w:hyperlink w:anchor="ref-1">
        <w:r>
          <w:rPr>
            <w:rStyle w:val="Hyperlink"/>
          </w:rPr>
          <w:t xml:space="preserve">[1]</w:t>
        </w:r>
      </w:hyperlink>
      <w:r>
        <w:t xml:space="preserve">[2][4][9]. Cost terms appear in the optimization, but they appear as constraints under which the architecture is solved; the appropriations record that funds the architecture in any given fiscal year is a variable in no architecture-optimization paper in the pool. Architecture optimizes for cost.</w:t>
      </w:r>
    </w:p>
    <w:p>
      <w:pPr>
        <w:pStyle w:val="BodyText"/>
        <w:spacing w:line="480" w:lineRule="auto"/>
        <w:ind w:firstLine="720"/>
      </w:pPr>
      <w:r>
        <w:t xml:space="preserve">It does not test cost.</w:t>
      </w:r>
    </w:p>
    <w:p>
      <w:pPr>
        <w:pStyle w:val="BodyText"/>
        <w:spacing w:line="480" w:lineRule="auto"/>
        <w:ind w:firstLine="720"/>
      </w:pPr>
      <w:r>
        <w:t xml:space="preserve">Second, the cliometric literature has never encountered the cislunar SDA data. The space-economy literature in</w:t>
      </w:r>
      <w:r>
        <w:t xml:space="preserve"> </w:t>
      </w:r>
      <w:hyperlink w:anchor="ref-3">
        <w:r>
          <w:rPr>
            <w:rStyle w:val="Hyperlink"/>
          </w:rPr>
          <w:t xml:space="preserve">[3]</w:t>
        </w:r>
      </w:hyperlink>
      <w:r>
        <w:t xml:space="preserve"> </w:t>
      </w:r>
      <w:r>
        <w:t xml:space="preserve">and</w:t>
      </w:r>
      <w:r>
        <w:t xml:space="preserve"> </w:t>
      </w:r>
      <w:hyperlink w:anchor="ref-11">
        <w:r>
          <w:rPr>
            <w:rStyle w:val="Hyperlink"/>
          </w:rPr>
          <w:t xml:space="preserve">[11]</w:t>
        </w:r>
      </w:hyperlink>
      <w:r>
        <w:t xml:space="preserve"> </w:t>
      </w:r>
      <w:r>
        <w:t xml:space="preserve">documents government budgets as a class of trackable, economically meaningful quantities, yet stops at the aggregate. The institutional literature in</w:t>
      </w:r>
      <w:r>
        <w:t xml:space="preserve"> </w:t>
      </w:r>
      <w:hyperlink w:anchor="ref-7">
        <w:r>
          <w:rPr>
            <w:rStyle w:val="Hyperlink"/>
          </w:rPr>
          <w:t xml:space="preserve">[7]</w:t>
        </w:r>
      </w:hyperlink>
      <w:r>
        <w:t xml:space="preserve"> </w:t>
      </w:r>
      <w:r>
        <w:t xml:space="preserve">and</w:t>
      </w:r>
      <w:r>
        <w:t xml:space="preserve"> </w:t>
      </w:r>
      <w:hyperlink w:anchor="ref-35">
        <w:r>
          <w:rPr>
            <w:rStyle w:val="Hyperlink"/>
          </w:rPr>
          <w:t xml:space="preserve">[35]</w:t>
        </w:r>
      </w:hyperlink>
      <w:r>
        <w:t xml:space="preserve"> </w:t>
      </w:r>
      <w:r>
        <w:t xml:space="preserve">anticipates a frictional, lagged transmission from budget to capability, yet estimates no lag. The CSIS literature in</w:t>
      </w:r>
      <w:r>
        <w:t xml:space="preserve"> </w:t>
      </w:r>
      <w:hyperlink w:anchor="ref-23">
        <w:r>
          <w:rPr>
            <w:rStyle w:val="Hyperlink"/>
          </w:rPr>
          <w:t xml:space="preserve">[23]</w:t>
        </w:r>
      </w:hyperlink>
      <w:r>
        <w:t xml:space="preserve"> </w:t>
      </w:r>
      <w:r>
        <w:t xml:space="preserve">and</w:t>
      </w:r>
      <w:r>
        <w:t xml:space="preserve"> </w:t>
      </w:r>
      <w:hyperlink w:anchor="ref-26">
        <w:r>
          <w:rPr>
            <w:rStyle w:val="Hyperlink"/>
          </w:rPr>
          <w:t xml:space="preserve">[26]</w:t>
        </w:r>
      </w:hyperlink>
      <w:r>
        <w:t xml:space="preserve"> </w:t>
      </w:r>
      <w:r>
        <w:t xml:space="preserve">documents the acquisition record without regressing an engineering output on a budget signal. The instruments exist.</w:t>
      </w:r>
    </w:p>
    <w:p>
      <w:pPr>
        <w:pStyle w:val="BodyText"/>
        <w:spacing w:line="480" w:lineRule="auto"/>
        <w:ind w:firstLine="720"/>
      </w:pPr>
      <w:r>
        <w:t xml:space="preserve">They have not been pointed at this data.</w:t>
      </w:r>
    </w:p>
    <w:p>
      <w:pPr>
        <w:pStyle w:val="BodyText"/>
        <w:spacing w:line="480" w:lineRule="auto"/>
        <w:ind w:firstLine="720"/>
      </w:pPr>
      <w:r>
        <w:t xml:space="preserve">Third, the program record is now sufficient to support the test. Oracle and the Office of Space Commerce TraCSS program</w:t>
      </w:r>
      <w:r>
        <w:t xml:space="preserve"> </w:t>
      </w:r>
      <w:hyperlink w:anchor="ref-8">
        <w:r>
          <w:rPr>
            <w:rStyle w:val="Hyperlink"/>
          </w:rPr>
          <w:t xml:space="preserve">[8]</w:t>
        </w:r>
      </w:hyperlink>
      <w:r>
        <w:t xml:space="preserve">[14], the GAO SSA baseline</w:t>
      </w:r>
      <w:r>
        <w:t xml:space="preserve"> </w:t>
      </w:r>
      <w:hyperlink w:anchor="ref-19">
        <w:r>
          <w:rPr>
            <w:rStyle w:val="Hyperlink"/>
          </w:rPr>
          <w:t xml:space="preserve">[19]</w:t>
        </w:r>
      </w:hyperlink>
      <w:r>
        <w:t xml:space="preserve">, the Space Foundation brief</w:t>
      </w:r>
      <w:r>
        <w:t xml:space="preserve"> </w:t>
      </w:r>
      <w:hyperlink w:anchor="ref-20">
        <w:r>
          <w:rPr>
            <w:rStyle w:val="Hyperlink"/>
          </w:rPr>
          <w:t xml:space="preserve">[20]</w:t>
        </w:r>
      </w:hyperlink>
      <w:r>
        <w:t xml:space="preserve">, Space Force budget reporting</w:t>
      </w:r>
      <w:r>
        <w:t xml:space="preserve"> </w:t>
      </w:r>
      <w:hyperlink w:anchor="ref-21">
        <w:r>
          <w:rPr>
            <w:rStyle w:val="Hyperlink"/>
          </w:rPr>
          <w:t xml:space="preserve">[21]</w:t>
        </w:r>
      </w:hyperlink>
      <w:r>
        <w:t xml:space="preserve">, and the CSIS acquisition analysis</w:t>
      </w:r>
      <w:r>
        <w:t xml:space="preserve"> </w:t>
      </w:r>
      <w:hyperlink w:anchor="ref-23">
        <w:r>
          <w:rPr>
            <w:rStyle w:val="Hyperlink"/>
          </w:rPr>
          <w:t xml:space="preserve">[23]</w:t>
        </w:r>
      </w:hyperlink>
      <w:r>
        <w:t xml:space="preserve"> </w:t>
      </w:r>
      <w:r>
        <w:t xml:space="preserve">together supply a budget series long enough and well-documented enough to anchor both the dynamic lagged-panel test and the learning-curve test. Realized custody output comes from the catalog series in</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 and</w:t>
      </w:r>
      <w:r>
        <w:t xml:space="preserve"> </w:t>
      </w:r>
      <w:hyperlink w:anchor="ref-18">
        <w:r>
          <w:rPr>
            <w:rStyle w:val="Hyperlink"/>
          </w:rPr>
          <w:t xml:space="preserve">[18]</w:t>
        </w:r>
      </w:hyperlink>
      <w:r>
        <w:t xml:space="preserve">. The modeled custody frontier comes from the capacity-formulation papers in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and</w:t>
      </w:r>
      <w:r>
        <w:t xml:space="preserve"> </w:t>
      </w:r>
      <w:hyperlink w:anchor="ref-6">
        <w:r>
          <w:rPr>
            <w:rStyle w:val="Hyperlink"/>
          </w:rPr>
          <w:t xml:space="preserve">[6]</w:t>
        </w:r>
      </w:hyperlink>
      <w:r>
        <w:t xml:space="preserve">. The data infrastructure for the test, in other words, exists.</w:t>
      </w:r>
    </w:p>
    <w:p>
      <w:pPr>
        <w:pStyle w:val="BodyText"/>
        <w:spacing w:line="480" w:lineRule="auto"/>
        <w:ind w:firstLine="720"/>
      </w:pPr>
      <w:r>
        <w:t xml:space="preserve">Fourth, the institutional account in</w:t>
      </w:r>
      <w:r>
        <w:t xml:space="preserve"> </w:t>
      </w:r>
      <w:hyperlink w:anchor="ref-7">
        <w:r>
          <w:rPr>
            <w:rStyle w:val="Hyperlink"/>
          </w:rPr>
          <w:t xml:space="preserve">[7]</w:t>
        </w:r>
      </w:hyperlink>
      <w:r>
        <w:t xml:space="preserve"> </w:t>
      </w:r>
      <w:r>
        <w:t xml:space="preserve">supplies a sharp pre-registered prediction of a positive lag of more than one year, which makes the test falsifiable in the strict sense. A failure to reject the null is publishable and policy-relevant, because it would directly undercut the practice of reading cislunar capability off appropriations. A rejection of the null, paired with a Granger-precedence finding that budget leads capability rather than the reverse, would confirm the institutional account’s structural prediction and supply the lag length the account does not itself estimate.</w:t>
      </w:r>
    </w:p>
    <w:p>
      <w:pPr>
        <w:pStyle w:val="BodyText"/>
        <w:spacing w:line="480" w:lineRule="auto"/>
        <w:ind w:firstLine="720"/>
      </w:pPr>
      <w:r>
        <w:t xml:space="preserve">Fifth, the two empirical specifications in the dissertation are complementary, not redundant. The dynamic lagged-panel specification answers the marginal question of whether annual budget movement predicts annual capability movement; the learning-curve specification answers the cumulative question of whether the accumulated stock of investment behaves like an experience base. Different functional forms, applied to different output series over different panel lengths, a finding robust to both is more credible than either alone. The methodological literature requires precisely this complementarity, and the dissertation supplies it.</w:t>
      </w:r>
    </w:p>
    <w:p>
      <w:pPr>
        <w:pStyle w:val="BodyText"/>
        <w:spacing w:line="480" w:lineRule="auto"/>
        <w:ind w:firstLine="720"/>
      </w:pPr>
      <w:r>
        <w:t xml:space="preserve">Narrow, defensible, and identifiable, then, is the bridge the dissertation builds. Narrow because it targets a single estimable relationship between two well-measured series. Defensible because the architecture-optimization literature has produced the capability output in a reproducible, model-derived form</w:t>
      </w:r>
      <w:r>
        <w:t xml:space="preserve"> </w:t>
      </w:r>
      <w:hyperlink w:anchor="ref-1">
        <w:r>
          <w:rPr>
            <w:rStyle w:val="Hyperlink"/>
          </w:rPr>
          <w:t xml:space="preserve">[1]</w:t>
        </w:r>
      </w:hyperlink>
      <w:r>
        <w:t xml:space="preserve">[2][4][5][6] and because the cliometric methodology literature has produced the dynamic and learning-curve instruments needed to estimate the relationship. Identifiable because the institutional account in</w:t>
      </w:r>
      <w:r>
        <w:t xml:space="preserve"> </w:t>
      </w:r>
      <w:hyperlink w:anchor="ref-7">
        <w:r>
          <w:rPr>
            <w:rStyle w:val="Hyperlink"/>
          </w:rPr>
          <w:t xml:space="preserve">[7]</w:t>
        </w:r>
      </w:hyperlink>
      <w:r>
        <w:t xml:space="preserve"> </w:t>
      </w:r>
      <w:r>
        <w:t xml:space="preserve">supplies the structural prediction that the dynamic and learning-curve specifications are designed to test. The remaining literature on sensor-rich and hybrid architectures</w:t>
      </w:r>
      <w:r>
        <w:t xml:space="preserve"> </w:t>
      </w:r>
      <w:hyperlink w:anchor="ref-12">
        <w:r>
          <w:rPr>
            <w:rStyle w:val="Hyperlink"/>
          </w:rPr>
          <w:t xml:space="preserve">[12]</w:t>
        </w:r>
      </w:hyperlink>
      <w:r>
        <w:t xml:space="preserve">[13][25] confirms that the capability output is not solely a function of node count and motivates the sensitivity analysis across alternative custody-capacity definitions; the literature on the European program</w:t>
      </w:r>
      <w:r>
        <w:t xml:space="preserve"> </w:t>
      </w:r>
      <w:hyperlink w:anchor="ref-29">
        <w:r>
          <w:rPr>
            <w:rStyle w:val="Hyperlink"/>
          </w:rPr>
          <w:t xml:space="preserve">[29]</w:t>
        </w:r>
      </w:hyperlink>
      <w:r>
        <w:t xml:space="preserve">[33] and the Japanese program</w:t>
      </w:r>
      <w:r>
        <w:t xml:space="preserve"> </w:t>
      </w:r>
      <w:hyperlink w:anchor="ref-26">
        <w:r>
          <w:rPr>
            <w:rStyle w:val="Hyperlink"/>
          </w:rPr>
          <w:t xml:space="preserve">[26]</w:t>
        </w:r>
      </w:hyperlink>
      <w:r>
        <w:t xml:space="preserve"> </w:t>
      </w:r>
      <w:r>
        <w:t xml:space="preserve">confirms that the institutional account generalizes across appropriating states; and the policy literature on regulatory framing and disinvestment</w:t>
      </w:r>
      <w:r>
        <w:t xml:space="preserve"> </w:t>
      </w:r>
      <w:hyperlink w:anchor="ref-34">
        <w:r>
          <w:rPr>
            <w:rStyle w:val="Hyperlink"/>
          </w:rPr>
          <w:t xml:space="preserve">[34]</w:t>
        </w:r>
      </w:hyperlink>
      <w:r>
        <w:t xml:space="preserve">[35] confirms that the budget signal is policy-actionable in both directions.</w:t>
      </w:r>
    </w:p>
    <w:p>
      <w:pPr>
        <w:pStyle w:val="BodyText"/>
        <w:spacing w:line="480" w:lineRule="auto"/>
        <w:ind w:firstLine="720"/>
      </w:pPr>
      <w:r>
        <w:t xml:space="preserve">The review therefore closes with a precise statement of what the dissertation does and does not claim. It does not claim the architecture literature is wrong to treat budget as an exogenous parameter; for the architecture problem as that literature has scoped it, the treatment is correct. It does not claim the cliometric literature has misapplied its instruments; the dynamic and learning-curve specifications are canonical for their purposes. Rather, it claims that whether budget signals forecast capability in cislunar SDA is a question neither literature has asked, that the data and instruments to answer it now exist, and that the answer is consequential for the practice of reading appropriations as a capability roadmap. The remainder of the dissertation tests that proposition with the dynamic specification in Chapter 4 and the learning-curve specification in Chapter 5, and it returns to the institutional account in</w:t>
      </w:r>
      <w:r>
        <w:t xml:space="preserve"> </w:t>
      </w:r>
      <w:hyperlink w:anchor="ref-7">
        <w:r>
          <w:rPr>
            <w:rStyle w:val="Hyperlink"/>
          </w:rPr>
          <w:t xml:space="preserve">[7]</w:t>
        </w:r>
      </w:hyperlink>
      <w:r>
        <w:t xml:space="preserve"> </w:t>
      </w:r>
      <w:r>
        <w:t xml:space="preserve">and</w:t>
      </w:r>
      <w:r>
        <w:t xml:space="preserve"> </w:t>
      </w:r>
      <w:hyperlink w:anchor="ref-35">
        <w:r>
          <w:rPr>
            <w:rStyle w:val="Hyperlink"/>
          </w:rPr>
          <w:t xml:space="preserve">[35]</w:t>
        </w:r>
      </w:hyperlink>
      <w:r>
        <w:t xml:space="preserve"> </w:t>
      </w:r>
      <w:r>
        <w:t xml:space="preserve">in Chapter 6 to interpret the magnitude and lag of the estimated relationship.</w:t>
      </w:r>
    </w:p>
    <w:bookmarkEnd w:id="78"/>
    <w:bookmarkEnd w:id="79"/>
    <w:bookmarkStart w:id="88" w:name="Xcfcc00a3ded59aed0c781c16bfc121f2a509603"/>
    <w:p>
      <w:pPr>
        <w:pStyle w:val="Heading1"/>
        <w:spacing w:line="480" w:lineRule="auto"/>
      </w:pPr>
      <w:r>
        <w:t xml:space="preserve">Chapter 3. Theoretical Framework and Hypotheses</w:t>
      </w:r>
    </w:p>
    <w:bookmarkStart w:id="80" w:name="purpose-and-position-of-the-chapter"/>
    <w:p>
      <w:pPr>
        <w:pStyle w:val="Heading2"/>
        <w:spacing w:line="480" w:lineRule="auto"/>
      </w:pPr>
      <w:r>
        <w:t xml:space="preserve">3.1 Purpose and Position of the Chapter</w:t>
      </w:r>
    </w:p>
    <w:p>
      <w:pPr>
        <w:pStyle w:val="FirstParagraph"/>
        <w:spacing w:line="480" w:lineRule="auto"/>
      </w:pPr>
      <w:r>
        <w:t xml:space="preserve">This chapter specifies the theoretical framework that supports the dissertation’s central empirical claim and translates that framework into formal, falsifiable hypotheses. At issue is whether budget signals attached to cislunar space domain awareness (SDA) function as forecasts of the capability the United States and its partners will eventually field in the volume between geosynchronous orbit and the lunar surface. The prospectus framed that question as an estimable relationship between appropriations and an achievable custody-capacity index drawn from the open architecture-optimization literature</w:t>
      </w:r>
      <w:r>
        <w:t xml:space="preserve"> </w:t>
      </w:r>
      <w:hyperlink w:anchor="ref-1">
        <w:r>
          <w:rPr>
            <w:rStyle w:val="Hyperlink"/>
          </w:rPr>
          <w:t xml:space="preserve">[1]</w:t>
        </w:r>
      </w:hyperlink>
      <w:r>
        <w:t xml:space="preserve">[2][4]. Two empirical papers precede this chapter, and each operationalized a distinct functional form of the same proposition: a cross-sectional regression of modeled coverage on resource scale with sensor design controlled, and a log-log learning curve relating cumulative SSA investment to the realized cataloged-object count over a twenty-two-year panel. Here the theoretical work is to articulate why those two forms are coherent expressions of one underlying mechanism, to expose the causal logic that makes the mechanism falsifiable, and to fix the null and alternative hypotheses that govern the integrated analysis in the chapters that follow.</w:t>
      </w:r>
    </w:p>
    <w:p>
      <w:pPr>
        <w:pStyle w:val="BodyText"/>
        <w:spacing w:line="480" w:lineRule="auto"/>
        <w:ind w:firstLine="720"/>
      </w:pPr>
      <w:r>
        <w:t xml:space="preserve">Four moves organize the chapter. First, it names the theoretical primitives that the cislunar SDA architecture literature has stabilized into reproducible engineering quantities, and it distinguishes those primitives from the budgetary objects policymakers actually manipulate. Second, it specifies the causal chain that connects appropriations to demonstrated custody capacity, identifying the institutional channel through which dollars become sensors, sensors become tasking authority, and tasking authority becomes cataloged custody. Third, it derives the formal hypotheses, H0 and H1, in a manner consistent with both the dynamic lagged-panel test and the learning-curve test reported in the empirical papers. Fourth, it states the boundary conditions and scope restrictions under which the hypotheses are to be evaluated, so that confirmatory or disconfirming evidence can be interpreted without smuggling in claims the framework does not support.</w:t>
      </w:r>
    </w:p>
    <w:bookmarkEnd w:id="80"/>
    <w:bookmarkStart w:id="81" w:name="theoretical-primitives"/>
    <w:p>
      <w:pPr>
        <w:pStyle w:val="Heading2"/>
        <w:spacing w:line="480" w:lineRule="auto"/>
      </w:pPr>
      <w:r>
        <w:t xml:space="preserve">3.2 Theoretical Primitives</w:t>
      </w:r>
    </w:p>
    <w:p>
      <w:pPr>
        <w:pStyle w:val="FirstParagraph"/>
        <w:spacing w:line="480" w:lineRule="auto"/>
      </w:pPr>
      <w:r>
        <w:t xml:space="preserve">Three primitives anchor the framework, each drawn from a distinct literature, and the analytic contribution of the chapter is to show that they assemble into a single estimable structure rather than remaining parallel discourses.</w:t>
      </w:r>
    </w:p>
    <w:p>
      <w:pPr>
        <w:pStyle w:val="BodyText"/>
        <w:spacing w:line="480" w:lineRule="auto"/>
        <w:ind w:firstLine="720"/>
      </w:pPr>
      <w:r>
        <w:t xml:space="preserve">Custody capacity as a model-derived engineering output is the first. The cislunar SDA architecture literature, particularly the capacity-based optimization tradition initiated by Owens Fahrner and colleagues</w:t>
      </w:r>
      <w:r>
        <w:t xml:space="preserve"> </w:t>
      </w:r>
      <w:hyperlink w:anchor="ref-1">
        <w:r>
          <w:rPr>
            <w:rStyle w:val="Hyperlink"/>
          </w:rPr>
          <w:t xml:space="preserve">[1]</w:t>
        </w:r>
      </w:hyperlink>
      <w:r>
        <w:t xml:space="preserve"> </w:t>
      </w:r>
      <w:r>
        <w:t xml:space="preserve">and extended through robust cooperative-agent and comprehensive-capacity formulations</w:t>
      </w:r>
      <w:r>
        <w:t xml:space="preserve"> </w:t>
      </w:r>
      <w:hyperlink w:anchor="ref-2">
        <w:r>
          <w:rPr>
            <w:rStyle w:val="Hyperlink"/>
          </w:rPr>
          <w:t xml:space="preserve">[2]</w:t>
        </w:r>
      </w:hyperlink>
      <w:r>
        <w:t xml:space="preserve">[4], treats custody capacity as a reproducible quantity that follows deterministically from a sensor allocation, a placement geometry, and an aperture choice. What matters about this primitive is not the specific functional form any single paper adopts but the methodological consensus that capability in the cislunar regime can be expressed as a number, recomputed from disclosed assumptions, and compared across publication years. Capacity-based optimization, model-based trade studies of optical constellations</w:t>
      </w:r>
      <w:r>
        <w:t xml:space="preserve"> </w:t>
      </w:r>
      <w:hyperlink w:anchor="ref-5">
        <w:r>
          <w:rPr>
            <w:rStyle w:val="Hyperlink"/>
          </w:rPr>
          <w:t xml:space="preserve">[5]</w:t>
        </w:r>
      </w:hyperlink>
      <w:r>
        <w:t xml:space="preserve">, and adaptive-tasking treatments of non-cooperative objects</w:t>
      </w:r>
      <w:r>
        <w:t xml:space="preserve"> </w:t>
      </w:r>
      <w:hyperlink w:anchor="ref-6">
        <w:r>
          <w:rPr>
            <w:rStyle w:val="Hyperlink"/>
          </w:rPr>
          <w:t xml:space="preserve">[6]</w:t>
        </w:r>
      </w:hyperlink>
      <w:r>
        <w:t xml:space="preserve"> </w:t>
      </w:r>
      <w:r>
        <w:t xml:space="preserve">each produce capability frontiers auditable in this sense. Whether expressed as a volume fraction, a trajectory fraction, or a cataloged-object count, custody capacity is the dependent-side primitive: the thing the empirical work is trying to predict.</w:t>
      </w:r>
    </w:p>
    <w:p>
      <w:pPr>
        <w:pStyle w:val="BodyText"/>
        <w:spacing w:line="480" w:lineRule="auto"/>
        <w:ind w:firstLine="720"/>
      </w:pPr>
      <w:r>
        <w:t xml:space="preserve">The budget signal as a state instrument with a forward-looking economic interpretation is the second. Government investment is the principal historical engine of capability formation in the space sector, the relevant aggregates are measurable, and appropriations should be read as instruments through which states purchase future capability rather than as sunk accounting</w:t>
      </w:r>
      <w:r>
        <w:t xml:space="preserve"> </w:t>
      </w:r>
      <w:hyperlink w:anchor="ref-3">
        <w:r>
          <w:rPr>
            <w:rStyle w:val="Hyperlink"/>
          </w:rPr>
          <w:t xml:space="preserve">[3]</w:t>
        </w:r>
      </w:hyperlink>
      <w:r>
        <w:t xml:space="preserve">[11]. What follows empirically is that a budget series is not merely a record of past commitments; it is a signal whose interpretation depends on the lag structure connecting commitment to fielded output. The framework adopts this reading and treats the annual real-dollar budget line attributable to cislunar SDA as the explanatory-side primitive. Two distinct expressions of that primitive enter the empirical work. The flow expression, the annual appropriation in a fiscal year, drives the dynamic lagged-panel specification; the stock expression, the cumulative real-dollar investment from a defined base year, drives the learning-curve specification. Flow and stock are complementary projections of the same underlying signal, and both must move with capability for the proposition to be sustained.</w:t>
      </w:r>
    </w:p>
    <w:p>
      <w:pPr>
        <w:pStyle w:val="BodyText"/>
        <w:spacing w:line="480" w:lineRule="auto"/>
        <w:ind w:firstLine="720"/>
      </w:pPr>
      <w:r>
        <w:t xml:space="preserve">Institutional friction in the transmission from budget to capability is the third. The institutional literature on awareness infrastructure observes that program implementation does not convert dollars into fielded capability instantaneously or losslessly; bottlenecks in procurement, testing, integration, and operational acceptance smear investment into capability over time</w:t>
      </w:r>
      <w:r>
        <w:t xml:space="preserve"> </w:t>
      </w:r>
      <w:hyperlink w:anchor="ref-7">
        <w:r>
          <w:rPr>
            <w:rStyle w:val="Hyperlink"/>
          </w:rPr>
          <w:t xml:space="preserve">[7]</w:t>
        </w:r>
      </w:hyperlink>
      <w:r>
        <w:t xml:space="preserve">. This primitive matters because it sets the analytic expectation for the lag structure of the empirical specifications and underwrites the use of a cumulative expression of the budget series. A frictionless transmission would produce a tight contemporaneous correlation and would require neither a lagged regression nor a learning-curve form; the institutional account predicts instead that the transmission is real but mediated by program-level processes that integrate the signal across multiple fiscal years. Recent treatments of acquisition trends in U.S. SDA reinforce that expectation by documenting that program-level decisions, not topline aggregates, drive the deployment of new sensing capacity</w:t>
      </w:r>
      <w:r>
        <w:t xml:space="preserve"> </w:t>
      </w:r>
      <w:hyperlink w:anchor="ref-23">
        <w:r>
          <w:rPr>
            <w:rStyle w:val="Hyperlink"/>
          </w:rPr>
          <w:t xml:space="preserve">[23]</w:t>
        </w:r>
      </w:hyperlink>
      <w:r>
        <w:t xml:space="preserve">, and contemporaneous program records for the Oracle demonstrator and the Traffic Coordination System for Space confirm that the timeline from appropriation to fielded asset spans multiple budget cycles</w:t>
      </w:r>
      <w:r>
        <w:t xml:space="preserve"> </w:t>
      </w:r>
      <w:hyperlink w:anchor="ref-8">
        <w:r>
          <w:rPr>
            <w:rStyle w:val="Hyperlink"/>
          </w:rPr>
          <w:t xml:space="preserve">[8]</w:t>
        </w:r>
      </w:hyperlink>
      <w:r>
        <w:t xml:space="preserve">[14].</w:t>
      </w:r>
    </w:p>
    <w:p>
      <w:pPr>
        <w:pStyle w:val="BodyText"/>
        <w:spacing w:line="480" w:lineRule="auto"/>
        <w:ind w:firstLine="720"/>
      </w:pPr>
      <w:r>
        <w:t xml:space="preserve">Jointly the three primitives justify the analytic stance taken in the empirical work. Custody capacity is a defensible dependent variable because the cislunar architecture community has made it auditable. The budget signal is a defensible explanatory variable because the space-economy literature has established its forward-looking interpretation.</w:t>
      </w:r>
    </w:p>
    <w:p>
      <w:pPr>
        <w:pStyle w:val="BodyText"/>
        <w:spacing w:line="480" w:lineRule="auto"/>
        <w:ind w:firstLine="720"/>
      </w:pPr>
      <w:r>
        <w:t xml:space="preserve">And the institutional channel is a defensible transmission mechanism because the awareness-infrastructure literature describes the friction any specification must accommodate.</w:t>
      </w:r>
    </w:p>
    <w:bookmarkEnd w:id="81"/>
    <w:bookmarkStart w:id="82" w:name="the-causal-mechanism"/>
    <w:p>
      <w:pPr>
        <w:pStyle w:val="Heading2"/>
        <w:spacing w:line="480" w:lineRule="auto"/>
      </w:pPr>
      <w:r>
        <w:t xml:space="preserve">3.3 The Causal Mechanism</w:t>
      </w:r>
    </w:p>
    <w:p>
      <w:pPr>
        <w:pStyle w:val="FirstParagraph"/>
        <w:spacing w:line="480" w:lineRule="auto"/>
      </w:pPr>
      <w:r>
        <w:t xml:space="preserve">A four-stage causal chain links the explanatory primitive to the dependent primitive. As a qualitative description of how government capability is built the chain is not novel; the contribution is to make each stage explicit so that the empirical specifications can be read as testing the joint patency of the chain rather than any single link in isolation.</w:t>
      </w:r>
    </w:p>
    <w:p>
      <w:pPr>
        <w:pStyle w:val="BodyText"/>
        <w:spacing w:line="480" w:lineRule="auto"/>
        <w:ind w:firstLine="720"/>
      </w:pPr>
      <w:r>
        <w:t xml:space="preserve">Appropriation is stage one. A fiscal-year budget line denominates a commitment of resources to a defined cislunar SDA purpose, and the relevant signal at this stage is the real-dollar magnitude of the line and its attribution to SDA-relevant program elements. Aggregate evidence confirms that SSA core efforts have operated at the order of one billion dollars annually across recent fiscal years and that more narrowly defined space-domain-awareness appropriations sit in the hundreds of millions and have risen across recent Space Force budget cycles</w:t>
      </w:r>
      <w:r>
        <w:t xml:space="preserve"> </w:t>
      </w:r>
      <w:hyperlink w:anchor="ref-12">
        <w:r>
          <w:rPr>
            <w:rStyle w:val="Hyperlink"/>
          </w:rPr>
          <w:t xml:space="preserve">[12]</w:t>
        </w:r>
      </w:hyperlink>
      <w:r>
        <w:t xml:space="preserve">[13][14][21]. The space-economy literature establishes that these appropriations are large enough to be measured as a distinct, trackable quantity rather than lost in unrelated noise</w:t>
      </w:r>
      <w:r>
        <w:t xml:space="preserve"> </w:t>
      </w:r>
      <w:hyperlink w:anchor="ref-3">
        <w:r>
          <w:rPr>
            <w:rStyle w:val="Hyperlink"/>
          </w:rPr>
          <w:t xml:space="preserve">[3]</w:t>
        </w:r>
      </w:hyperlink>
      <w:r>
        <w:t xml:space="preserve">[11].</w:t>
      </w:r>
    </w:p>
    <w:p>
      <w:pPr>
        <w:pStyle w:val="BodyText"/>
        <w:spacing w:line="480" w:lineRule="auto"/>
        <w:ind w:firstLine="720"/>
      </w:pPr>
      <w:r>
        <w:t xml:space="preserve">Acquisition and design is stage two. An appropriated dollar must pass through a procurement process that converts it into a sensor base, where the sensor base is the set of nodes whose number, aperture, and placement determine the architecture’s capability frontier. The architecture-optimization literature is unambiguous that this base is the proximate driver of capability: capacity rises with deployed nodes, with their placement in periodic and halo orbits, and with the aperture and sensitivity of each node</w:t>
      </w:r>
      <w:r>
        <w:t xml:space="preserve"> </w:t>
      </w:r>
      <w:hyperlink w:anchor="ref-1">
        <w:r>
          <w:rPr>
            <w:rStyle w:val="Hyperlink"/>
          </w:rPr>
          <w:t xml:space="preserve">[1]</w:t>
        </w:r>
      </w:hyperlink>
      <w:r>
        <w:t xml:space="preserve">[2][3][4][5][10]. The cross-sectional empirical paper in this dissertation showed that, within an assembled cross-section of twenty-four cislunar SDA architectures, a resource-scale budget signal carried a positive, precisely estimated association with modeled coverage capability, placement and aperture held constant. That is a stage-two finding: conditional on the sensor base actually fielded, the magnitude of the committed resource scale predicts the modeled capability frontier.</w:t>
      </w:r>
    </w:p>
    <w:p>
      <w:pPr>
        <w:pStyle w:val="BodyText"/>
        <w:spacing w:line="480" w:lineRule="auto"/>
        <w:ind w:firstLine="720"/>
      </w:pPr>
      <w:r>
        <w:t xml:space="preserve">Operationalization is stage three, the conversion of a fielded sensor base into a tasking and custody process that holds objects in the catalog. The adaptive-tasking literature describes this stage explicitly, noting that the realized custody output depends on tasking strategies that match sensor capability to the dynamics of non-cooperative cislunar objects</w:t>
      </w:r>
      <w:r>
        <w:t xml:space="preserve"> </w:t>
      </w:r>
      <w:hyperlink w:anchor="ref-6">
        <w:r>
          <w:rPr>
            <w:rStyle w:val="Hyperlink"/>
          </w:rPr>
          <w:t xml:space="preserve">[6]</w:t>
        </w:r>
      </w:hyperlink>
      <w:r>
        <w:t xml:space="preserve">. Hybrid lunar-surface-and-space approaches and sensor-rich solutions confirm that the operational architecture is itself a design object subject to optimization</w:t>
      </w:r>
      <w:r>
        <w:t xml:space="preserve"> </w:t>
      </w:r>
      <w:hyperlink w:anchor="ref-12">
        <w:r>
          <w:rPr>
            <w:rStyle w:val="Hyperlink"/>
          </w:rPr>
          <w:t xml:space="preserve">[12]</w:t>
        </w:r>
      </w:hyperlink>
      <w:r>
        <w:t xml:space="preserve">[13]. The institutional account predicts that most of the friction in the budget-to-capability transmission resides here, because operationalization requires command-and-control structures, calibration, validation, and acceptance procedures that consume budgetary cycles distinct from the procurement cycle</w:t>
      </w:r>
      <w:r>
        <w:t xml:space="preserve"> </w:t>
      </w:r>
      <w:hyperlink w:anchor="ref-7">
        <w:r>
          <w:rPr>
            <w:rStyle w:val="Hyperlink"/>
          </w:rPr>
          <w:t xml:space="preserve">[7]</w:t>
        </w:r>
      </w:hyperlink>
      <w:r>
        <w:t xml:space="preserve">.</w:t>
      </w:r>
    </w:p>
    <w:p>
      <w:pPr>
        <w:pStyle w:val="BodyText"/>
        <w:spacing w:line="480" w:lineRule="auto"/>
        <w:ind w:firstLine="720"/>
      </w:pPr>
      <w:r>
        <w:t xml:space="preserve">Realization is stage four, the appearance of fielded custody capacity in the publicly cataloged record. Here the demonstrated catalog count, the dependent variable of the learning-curve paper, registers the cumulative result of the prior three stages. ESA Space Environment Reports and U.S. Space Surveillance Network historical reporting document a catalog that grew from roughly 9,300 objects in 2004 to roughly 38,500 by 2025, reflecting both expanded sensing and the punctuating fragmentation events of 2007 and 2009</w:t>
      </w:r>
      <w:r>
        <w:t xml:space="preserve"> </w:t>
      </w:r>
      <w:hyperlink w:anchor="ref-15">
        <w:r>
          <w:rPr>
            <w:rStyle w:val="Hyperlink"/>
          </w:rPr>
          <w:t xml:space="preserve">[15]</w:t>
        </w:r>
      </w:hyperlink>
      <w:r>
        <w:t xml:space="preserve">[16][17][18]. The learning-curve paper showed that the log of this catalog count scales as a stable power of the log of cumulative SSA investment, with an elasticity of 0.686 and a 95 percent confidence interval that stays below unity. That is a stage-four finding: integrated across the full chain, accumulated dollars predict a realized custody output with a precision that admits a single elasticity summary.</w:t>
      </w:r>
    </w:p>
    <w:p>
      <w:pPr>
        <w:pStyle w:val="BodyText"/>
        <w:spacing w:line="480" w:lineRule="auto"/>
        <w:ind w:firstLine="720"/>
      </w:pPr>
      <w:r>
        <w:t xml:space="preserve">Two properties of the chain deserve emphasis. It is recursive, in that custody capacity at the end of one cycle feeds back into the appropriation environment of the next, because demonstrated capability can attract subsequent funding; that recursion is the source of the reverse-causation threat the dynamic specification must address through directional precedence testing. And it is lossy at each stage, because procurement does not convert all appropriated dollars into a sensor base, operationalization does not convert all sensor capability into tasking authority, and the cataloging process does not register all custody-eligible objects.</w:t>
      </w:r>
    </w:p>
    <w:p>
      <w:pPr>
        <w:pStyle w:val="BodyText"/>
        <w:spacing w:line="480" w:lineRule="auto"/>
        <w:ind w:firstLine="720"/>
      </w:pPr>
      <w:r>
        <w:t xml:space="preserve">The institutional account predicts that the aggregate loss appears as a sub-unitary elasticity in the cumulative specification and as a lag of more than one year in the dynamic specification, both of which the empirical papers observe</w:t>
      </w:r>
      <w:r>
        <w:t xml:space="preserve"> </w:t>
      </w:r>
      <w:hyperlink w:anchor="ref-7">
        <w:r>
          <w:rPr>
            <w:rStyle w:val="Hyperlink"/>
          </w:rPr>
          <w:t xml:space="preserve">[7]</w:t>
        </w:r>
      </w:hyperlink>
      <w:r>
        <w:t xml:space="preserve">.</w:t>
      </w:r>
    </w:p>
    <w:bookmarkEnd w:id="82"/>
    <w:bookmarkStart w:id="83" w:name="X25f8f23c48a5cd159fecaec2bdbb947f248cfe2"/>
    <w:p>
      <w:pPr>
        <w:pStyle w:val="Heading2"/>
        <w:spacing w:line="480" w:lineRule="auto"/>
      </w:pPr>
      <w:r>
        <w:t xml:space="preserve">3.4 Mapping the Mechanism to the Two Empirical Forms</w:t>
      </w:r>
    </w:p>
    <w:p>
      <w:pPr>
        <w:pStyle w:val="FirstParagraph"/>
        <w:spacing w:line="480" w:lineRule="auto"/>
      </w:pPr>
      <w:r>
        <w:t xml:space="preserve">Different functional forms let the two empirical papers test the same chain. The cross-sectional paper interrogates stages two and three by holding the design covariates constant and isolating the slope of capability on resource scale within an assembled cross-section of published architectures. The learning-curve paper integrates over all four stages by allowing the cumulative budget series to absorb the lag structure that defeats a purely contemporaneous specification. The dynamic lagged-panel test proposed in the prospectus and developed in subsequent chapters interrogates the chain in its time-domain form, asking whether annual changes in the budget signal lead annual changes in the modeled custody frontier with a lag consistent with the institutional account</w:t>
      </w:r>
      <w:r>
        <w:t xml:space="preserve"> </w:t>
      </w:r>
      <w:hyperlink w:anchor="ref-7">
        <w:r>
          <w:rPr>
            <w:rStyle w:val="Hyperlink"/>
          </w:rPr>
          <w:t xml:space="preserve">[7]</w:t>
        </w:r>
      </w:hyperlink>
      <w:r>
        <w:t xml:space="preserve">.</w:t>
      </w:r>
    </w:p>
    <w:p>
      <w:pPr>
        <w:pStyle w:val="BodyText"/>
        <w:spacing w:line="480" w:lineRule="auto"/>
        <w:ind w:firstLine="720"/>
      </w:pPr>
      <w:r>
        <w:t xml:space="preserve">What ties these specifications together theoretically is that they project one mechanism onto distinct identification surfaces. The cross-sectional projection isolates the design-conditional slope. The learning-curve projection summarizes the integrated, friction-mediated transmission across a long time series. The dynamic projection identifies the lead-lag structure that distinguishes a forecastable signal from a coincident correlation. Convergent evidence across the three projections is more credible than evidence from any single one, because each form is vulnerable to a different confounder: the cross-sectional form to omitted-design confounding, the learning-curve form to spurious trend confounding, the dynamic form to short-panel power limitations. If the mechanism is real, it should leave a positive and precisely estimated signature in all three. A signature in one alone would not carry the same weight.</w:t>
      </w:r>
    </w:p>
    <w:bookmarkEnd w:id="83"/>
    <w:bookmarkStart w:id="84" w:name="formal-hypotheses"/>
    <w:p>
      <w:pPr>
        <w:pStyle w:val="Heading2"/>
        <w:spacing w:line="480" w:lineRule="auto"/>
      </w:pPr>
      <w:r>
        <w:t xml:space="preserve">3.5 Formal Hypotheses</w:t>
      </w:r>
    </w:p>
    <w:p>
      <w:pPr>
        <w:pStyle w:val="FirstParagraph"/>
        <w:spacing w:line="480" w:lineRule="auto"/>
      </w:pPr>
      <w:r>
        <w:t xml:space="preserve">The chapter now formalizes the hypotheses that govern the integrated analysis. Two notations are required because the dissertation evaluates the same theoretical proposition through a dynamic flow specification and a cumulative stock specification, and the hypotheses are stated so that they apply jointly across both forms, in keeping with the convergent-evidence logic of Section 3.4.</w:t>
      </w:r>
    </w:p>
    <w:p>
      <w:pPr>
        <w:pStyle w:val="BodyText"/>
        <w:spacing w:line="480" w:lineRule="auto"/>
        <w:ind w:firstLine="720"/>
      </w:pPr>
      <w:r>
        <w:t xml:space="preserve">Let</w:t>
      </w:r>
      <w:r>
        <w:t xml:space="preserve"> </w:t>
      </w:r>
      <w:r>
        <w:rPr>
          <w:rStyle w:val="VerbatimChar"/>
        </w:rPr>
        <w:t xml:space="preserve">C_t</w:t>
      </w:r>
      <w:r>
        <w:t xml:space="preserve"> </w:t>
      </w:r>
      <w:r>
        <w:t xml:space="preserve">denote the cislunar SDA capability index in fiscal year</w:t>
      </w:r>
      <w:r>
        <w:t xml:space="preserve"> </w:t>
      </w:r>
      <w:r>
        <w:rPr>
          <w:rStyle w:val="VerbatimChar"/>
        </w:rPr>
        <w:t xml:space="preserve">t</w:t>
      </w:r>
      <w:r>
        <w:t xml:space="preserve">. The flow expression of the budget signal is the real-dollar annual appropriation attributable to cislunar SDA in fiscal year</w:t>
      </w:r>
      <w:r>
        <w:t xml:space="preserve"> </w:t>
      </w:r>
      <w:r>
        <w:rPr>
          <w:rStyle w:val="VerbatimChar"/>
        </w:rPr>
        <w:t xml:space="preserve">t</w:t>
      </w:r>
      <w:r>
        <w:t xml:space="preserve">, denoted</w:t>
      </w:r>
      <w:r>
        <w:t xml:space="preserve"> </w:t>
      </w:r>
      <w:r>
        <w:rPr>
          <w:rStyle w:val="VerbatimChar"/>
        </w:rPr>
        <w:t xml:space="preserve">B_t</w:t>
      </w:r>
      <w:r>
        <w:t xml:space="preserve">. The stock expression is the cumulative real-dollar investment from a defined base year through fiscal year</w:t>
      </w:r>
      <w:r>
        <w:t xml:space="preserve"> </w:t>
      </w:r>
      <w:r>
        <w:rPr>
          <w:rStyle w:val="VerbatimChar"/>
        </w:rPr>
        <w:t xml:space="preserve">t</w:t>
      </w:r>
      <w:r>
        <w:t xml:space="preserve">, denoted</w:t>
      </w:r>
      <w:r>
        <w:t xml:space="preserve"> </w:t>
      </w:r>
      <w:r>
        <w:rPr>
          <w:rStyle w:val="VerbatimChar"/>
        </w:rPr>
        <w:t xml:space="preserve">K_t</w:t>
      </w:r>
      <w:r>
        <w:t xml:space="preserve">. The dynamic specification regresses</w:t>
      </w:r>
      <w:r>
        <w:t xml:space="preserve"> </w:t>
      </w:r>
      <w:r>
        <w:rPr>
          <w:rStyle w:val="VerbatimChar"/>
        </w:rPr>
        <w:t xml:space="preserve">C_t</w:t>
      </w:r>
      <w:r>
        <w:t xml:space="preserve"> </w:t>
      </w:r>
      <w:r>
        <w:t xml:space="preserve">on its own lagged value, a deterministic time trend, and lagged values of</w:t>
      </w:r>
      <w:r>
        <w:t xml:space="preserve"> </w:t>
      </w:r>
      <w:r>
        <w:rPr>
          <w:rStyle w:val="VerbatimChar"/>
        </w:rPr>
        <w:t xml:space="preserve">B_t</w:t>
      </w:r>
      <w:r>
        <w:t xml:space="preserve">. The learning-curve specification regresses</w:t>
      </w:r>
      <w:r>
        <w:t xml:space="preserve"> </w:t>
      </w:r>
      <w:r>
        <w:rPr>
          <w:rStyle w:val="VerbatimChar"/>
        </w:rPr>
        <w:t xml:space="preserve">log C_t</w:t>
      </w:r>
      <w:r>
        <w:t xml:space="preserve"> </w:t>
      </w:r>
      <w:r>
        <w:t xml:space="preserve">on a constant and</w:t>
      </w:r>
      <w:r>
        <w:t xml:space="preserve"> </w:t>
      </w:r>
      <w:r>
        <w:rPr>
          <w:rStyle w:val="VerbatimChar"/>
        </w:rPr>
        <w:t xml:space="preserve">log K_t</w:t>
      </w:r>
      <w:r>
        <w:t xml:space="preserve">. The hypotheses below apply to the coefficients of interest in both specifications.</w:t>
      </w:r>
    </w:p>
    <w:p>
      <w:pPr>
        <w:pStyle w:val="BodyText"/>
        <w:spacing w:line="480" w:lineRule="auto"/>
        <w:ind w:firstLine="720"/>
      </w:pPr>
      <w:r>
        <w:rPr>
          <w:b/>
          <w:bCs/>
        </w:rPr>
        <w:t xml:space="preserve">H0 (null).</w:t>
      </w:r>
      <w:r>
        <w:t xml:space="preserve"> </w:t>
      </w:r>
      <w:r>
        <w:t xml:space="preserve">The cislunar SDA budget signal carries no forecastable information about the cislunar SDA capability index. Formally, in the dynamic specification, the coefficients on the lagged budget terms</w:t>
      </w:r>
      <w:r>
        <w:t xml:space="preserve"> </w:t>
      </w:r>
      <w:r>
        <w:rPr>
          <w:rStyle w:val="VerbatimChar"/>
        </w:rPr>
        <w:t xml:space="preserve">B_{t-1}, B_{t-2}, ..., B_{t-k}</w:t>
      </w:r>
      <w:r>
        <w:t xml:space="preserve"> </w:t>
      </w:r>
      <w:r>
        <w:t xml:space="preserve">are jointly equal to zero after controlling for the lagged dependent variable and a deterministic time trend, so that lagged budget movement does not Granger-cause capability movement. In the learning-curve specification, the elasticity of</w:t>
      </w:r>
      <w:r>
        <w:t xml:space="preserve"> </w:t>
      </w:r>
      <w:r>
        <w:rPr>
          <w:rStyle w:val="VerbatimChar"/>
        </w:rPr>
        <w:t xml:space="preserve">log C_t</w:t>
      </w:r>
      <w:r>
        <w:t xml:space="preserve"> </w:t>
      </w:r>
      <w:r>
        <w:t xml:space="preserve">with respect to</w:t>
      </w:r>
      <w:r>
        <w:t xml:space="preserve"> </w:t>
      </w:r>
      <w:r>
        <w:rPr>
          <w:rStyle w:val="VerbatimChar"/>
        </w:rPr>
        <w:t xml:space="preserve">log K_t</w:t>
      </w:r>
      <w:r>
        <w:t xml:space="preserve"> </w:t>
      </w:r>
      <w:r>
        <w:t xml:space="preserve">is equal to zero, so that accumulated investment is uninformative about the realized custody output.</w:t>
      </w:r>
    </w:p>
    <w:p>
      <w:pPr>
        <w:pStyle w:val="BodyText"/>
        <w:spacing w:line="480" w:lineRule="auto"/>
        <w:ind w:firstLine="720"/>
      </w:pPr>
      <w:r>
        <w:rPr>
          <w:b/>
          <w:bCs/>
        </w:rPr>
        <w:t xml:space="preserve">H1 (alternative).</w:t>
      </w:r>
      <w:r>
        <w:t xml:space="preserve"> </w:t>
      </w:r>
      <w:r>
        <w:t xml:space="preserve">The cislunar SDA budget signal carries forecastable information about the cislunar SDA capability index in a direction and magnitude consistent with the institutionally mediated, friction-bearing transmission described in Section 3.3. Formally, in the dynamic specification, at least one lag in the set</w:t>
      </w:r>
      <w:r>
        <w:t xml:space="preserve"> </w:t>
      </w:r>
      <w:r>
        <w:rPr>
          <w:rStyle w:val="VerbatimChar"/>
        </w:rPr>
        <w:t xml:space="preserve">B_{t-1}, B_{t-2}, ..., B_{t-k}</w:t>
      </w:r>
      <w:r>
        <w:t xml:space="preserve"> </w:t>
      </w:r>
      <w:r>
        <w:t xml:space="preserve">carries a positive and statistically distinguishable coefficient, the joint test of zero coefficients on the lagged budget terms is rejected, and Granger-precedence runs from</w:t>
      </w:r>
      <w:r>
        <w:t xml:space="preserve"> </w:t>
      </w:r>
      <w:r>
        <w:rPr>
          <w:rStyle w:val="VerbatimChar"/>
        </w:rPr>
        <w:t xml:space="preserve">B</w:t>
      </w:r>
      <w:r>
        <w:t xml:space="preserve"> </w:t>
      </w:r>
      <w:r>
        <w:t xml:space="preserve">to</w:t>
      </w:r>
      <w:r>
        <w:t xml:space="preserve"> </w:t>
      </w:r>
      <w:r>
        <w:rPr>
          <w:rStyle w:val="VerbatimChar"/>
        </w:rPr>
        <w:t xml:space="preserve">C</w:t>
      </w:r>
      <w:r>
        <w:t xml:space="preserve"> </w:t>
      </w:r>
      <w:r>
        <w:t xml:space="preserve">rather than from</w:t>
      </w:r>
      <w:r>
        <w:t xml:space="preserve"> </w:t>
      </w:r>
      <w:r>
        <w:rPr>
          <w:rStyle w:val="VerbatimChar"/>
        </w:rPr>
        <w:t xml:space="preserve">C</w:t>
      </w:r>
      <w:r>
        <w:t xml:space="preserve"> </w:t>
      </w:r>
      <w:r>
        <w:t xml:space="preserve">to</w:t>
      </w:r>
      <w:r>
        <w:t xml:space="preserve"> </w:t>
      </w:r>
      <w:r>
        <w:rPr>
          <w:rStyle w:val="VerbatimChar"/>
        </w:rPr>
        <w:t xml:space="preserve">B</w:t>
      </w:r>
      <w:r>
        <w:t xml:space="preserve">. In the learning-curve specification, the elasticity of</w:t>
      </w:r>
      <w:r>
        <w:t xml:space="preserve"> </w:t>
      </w:r>
      <w:r>
        <w:rPr>
          <w:rStyle w:val="VerbatimChar"/>
        </w:rPr>
        <w:t xml:space="preserve">log C_t</w:t>
      </w:r>
      <w:r>
        <w:t xml:space="preserve"> </w:t>
      </w:r>
      <w:r>
        <w:t xml:space="preserve">with respect to</w:t>
      </w:r>
      <w:r>
        <w:t xml:space="preserve"> </w:t>
      </w:r>
      <w:r>
        <w:rPr>
          <w:rStyle w:val="VerbatimChar"/>
        </w:rPr>
        <w:t xml:space="preserve">log K_t</w:t>
      </w:r>
      <w:r>
        <w:t xml:space="preserve"> </w:t>
      </w:r>
      <w:r>
        <w:t xml:space="preserve">is positive and statistically distinguishable from zero, with a point estimate consistent with diminishing returns and a confidence interval that stays below unity, in keeping with the institutional-friction prediction</w:t>
      </w:r>
      <w:r>
        <w:t xml:space="preserve"> </w:t>
      </w:r>
      <w:hyperlink w:anchor="ref-7">
        <w:r>
          <w:rPr>
            <w:rStyle w:val="Hyperlink"/>
          </w:rPr>
          <w:t xml:space="preserve">[7]</w:t>
        </w:r>
      </w:hyperlink>
      <w:r>
        <w:t xml:space="preserve">.</w:t>
      </w:r>
    </w:p>
    <w:p>
      <w:pPr>
        <w:pStyle w:val="BodyText"/>
        <w:spacing w:line="480" w:lineRule="auto"/>
        <w:ind w:firstLine="720"/>
      </w:pPr>
      <w:r>
        <w:t xml:space="preserve">Three features of these hypotheses deserve emphasis. H0 is constructed so that its non-rejection is itself a publishable and policy-relevant outcome: a failure to find forecastable content in the budget signal would directly undercut the widespread practice of reading capability off appropriations and would force net assessors to seek a different forecasting instrument. The framework therefore treats H0 as a substantive claim about the world rather than as a statistical convenience. H1 is constructed so that confirmation in only one specification is insufficient, because the convergent-evidence logic requires positive and precisely estimated signatures in both the dynamic and the learning-curve forms; the cross-sectional finding from the first empirical paper, though derived from a different identification surface, is treated as a prior consistent with H1 rather than as a decisive test in its own right, because the cross-section does not by itself resolve lead-lag structure. And the hypotheses are pre-registered against a specific lag-length prediction drawn from the institutional account: the transmission is expected to operate with a lag of more than one year, on the grounds that procurement, integration, and acceptance cycles do not complete within a single fiscal year</w:t>
      </w:r>
      <w:r>
        <w:t xml:space="preserve"> </w:t>
      </w:r>
      <w:hyperlink w:anchor="ref-7">
        <w:r>
          <w:rPr>
            <w:rStyle w:val="Hyperlink"/>
          </w:rPr>
          <w:t xml:space="preserve">[7]</w:t>
        </w:r>
      </w:hyperlink>
      <w:r>
        <w:t xml:space="preserve">. A finding that the predictive lag is shorter than one year, or that the elasticity is positive but unboundedly above unity, would be consistent with neither H0 nor the institutionally grounded version of H1 and would require theoretical reinterpretation.</w:t>
      </w:r>
    </w:p>
    <w:bookmarkEnd w:id="84"/>
    <w:bookmarkStart w:id="85" w:name="boundary-conditions-and-scope"/>
    <w:p>
      <w:pPr>
        <w:pStyle w:val="Heading2"/>
        <w:spacing w:line="480" w:lineRule="auto"/>
      </w:pPr>
      <w:r>
        <w:t xml:space="preserve">3.6 Boundary Conditions and Scope</w:t>
      </w:r>
    </w:p>
    <w:p>
      <w:pPr>
        <w:pStyle w:val="FirstParagraph"/>
        <w:spacing w:line="480" w:lineRule="auto"/>
      </w:pPr>
      <w:r>
        <w:t xml:space="preserve">The hypotheses are intended for evaluation within a defined scope, and three boundary conditions are stated here so that evidence for or against H1 can be read without overreach.</w:t>
      </w:r>
    </w:p>
    <w:p>
      <w:pPr>
        <w:pStyle w:val="BodyText"/>
        <w:spacing w:line="480" w:lineRule="auto"/>
        <w:ind w:firstLine="720"/>
      </w:pPr>
      <w:r>
        <w:t xml:space="preserve">Metric scope is the first boundary. The capability index in the dynamic specification is the achievable custody-capacity frontier derived from the open cislunar architecture-optimization literature, expressed as a volume fraction or trajectory fraction depending on the source paper</w:t>
      </w:r>
      <w:r>
        <w:t xml:space="preserve"> </w:t>
      </w:r>
      <w:hyperlink w:anchor="ref-1">
        <w:r>
          <w:rPr>
            <w:rStyle w:val="Hyperlink"/>
          </w:rPr>
          <w:t xml:space="preserve">[1]</w:t>
        </w:r>
      </w:hyperlink>
      <w:r>
        <w:t xml:space="preserve">[2][4]. The capability index in the learning-curve specification is the cataloged resident-space-object count, which is dominated by the near-Earth regime rather than the cislunar volume per se</w:t>
      </w:r>
      <w:r>
        <w:t xml:space="preserve"> </w:t>
      </w:r>
      <w:hyperlink w:anchor="ref-15">
        <w:r>
          <w:rPr>
            <w:rStyle w:val="Hyperlink"/>
          </w:rPr>
          <w:t xml:space="preserve">[15]</w:t>
        </w:r>
      </w:hyperlink>
      <w:r>
        <w:t xml:space="preserve">[16][17][18]. The framework treats the catalog as a fielded analog of custody capacity rather than as a cislunar-specific measurement, on the explicit grounds that the cislunar custody frontier remains a modeled rather than a fielded quantity. Evidence supporting H1 in both forms should be read as joint evidence about the budget-to-capability transmission in SDA broadly construed, with the cislunar specialization carried by the modeled frontier rather than by the catalog count.</w:t>
      </w:r>
    </w:p>
    <w:p>
      <w:pPr>
        <w:pStyle w:val="BodyText"/>
        <w:spacing w:line="480" w:lineRule="auto"/>
        <w:ind w:firstLine="720"/>
      </w:pPr>
      <w:r>
        <w:t xml:space="preserve">Attribution scope is the second. The budget signal in both specifications is constructed under a transparent inclusion rule that maps program elements to a cislunar SDA purpose. Because cislunar SDA is funded across multiple program elements and because the boundary between general SSA and cislunar-specific SDA has shifted across budget cycles</w:t>
      </w:r>
      <w:r>
        <w:t xml:space="preserve"> </w:t>
      </w:r>
      <w:hyperlink w:anchor="ref-12">
        <w:r>
          <w:rPr>
            <w:rStyle w:val="Hyperlink"/>
          </w:rPr>
          <w:t xml:space="preserve">[12]</w:t>
        </w:r>
      </w:hyperlink>
      <w:r>
        <w:t xml:space="preserve">[13][14][21], the framework requires that the hypotheses be evaluated under both a narrow and a broad attribution and that the result be reported as stable across both. A finding that supports H1 only under one attribution is to be flagged as attribution-dependent, and is not to be treated as decisive evidence for the institutional account.</w:t>
      </w:r>
    </w:p>
    <w:p>
      <w:pPr>
        <w:pStyle w:val="BodyText"/>
        <w:spacing w:line="480" w:lineRule="auto"/>
        <w:ind w:firstLine="720"/>
      </w:pPr>
      <w:r>
        <w:t xml:space="preserve">Temporal scope is the third. The cislunar SDA capacity literature effectively begins in 2022, so the dynamic specification operates over a short panel that limits statistical power; the learning-curve specification extends back to 2004 and so absorbs the earlier history of general SSA investment. The framework treats short-panel power limitations as a constraint on the strength of any single test rather than as a reason to abandon the dynamic specification. Precisely to permit a confident integrated inference under conditions in which no single test is decisive, the convergent-evidence logic of Section 3.4 is designed as it is.</w:t>
      </w:r>
    </w:p>
    <w:bookmarkEnd w:id="85"/>
    <w:bookmarkStart w:id="86" w:name="X16f9212b3196a90621212270b4c0f283c500b4d"/>
    <w:p>
      <w:pPr>
        <w:pStyle w:val="Heading2"/>
        <w:spacing w:line="480" w:lineRule="auto"/>
      </w:pPr>
      <w:r>
        <w:t xml:space="preserve">3.7 Position of the Framework Relative to Adjacent Literatures</w:t>
      </w:r>
    </w:p>
    <w:p>
      <w:pPr>
        <w:pStyle w:val="FirstParagraph"/>
        <w:spacing w:line="480" w:lineRule="auto"/>
      </w:pPr>
      <w:r>
        <w:t xml:space="preserve">Three adjacent literatures bound the framework and clarify what it does not claim. The international and partnership literature on SDA, including treatments of Japan’s SDA program development and European Union surveillance-and-tracking planning</w:t>
      </w:r>
      <w:r>
        <w:t xml:space="preserve"> </w:t>
      </w:r>
      <w:hyperlink w:anchor="ref-26">
        <w:r>
          <w:rPr>
            <w:rStyle w:val="Hyperlink"/>
          </w:rPr>
          <w:t xml:space="preserve">[26]</w:t>
        </w:r>
      </w:hyperlink>
      <w:r>
        <w:t xml:space="preserve">[29], establishes that capability formation is not the exclusive province of any single national budget. The framework does not claim that U.S. appropriations are the sole driver of global custody capacity; it claims only that, within the U.S. budgetary record, appropriations carry forecastable information about realized U.S.-relevant capability. The space-traffic-management literature, including the cislunar and cismartian governance synthesis to which Nate Dailey and colleagues contributed</w:t>
      </w:r>
      <w:r>
        <w:t xml:space="preserve"> </w:t>
      </w:r>
      <w:hyperlink w:anchor="ref-35">
        <w:r>
          <w:rPr>
            <w:rStyle w:val="Hyperlink"/>
          </w:rPr>
          <w:t xml:space="preserve">[35]</w:t>
        </w:r>
      </w:hyperlink>
      <w:r>
        <w:t xml:space="preserve">, establishes that institutional design and traffic management are themselves capability inputs operating in parallel to sensor architectures, and the framework treats those inputs as part of the institutional friction term in the transmission rather than as separate explanatory primitives. The radar and ground-instrumentation literature, including the cislunar prospects of planetary radar</w:t>
      </w:r>
      <w:r>
        <w:t xml:space="preserve"> </w:t>
      </w:r>
      <w:hyperlink w:anchor="ref-24">
        <w:r>
          <w:rPr>
            <w:rStyle w:val="Hyperlink"/>
          </w:rPr>
          <w:t xml:space="preserve">[24]</w:t>
        </w:r>
      </w:hyperlink>
      <w:r>
        <w:t xml:space="preserve">, the legacy of Arecibo</w:t>
      </w:r>
      <w:r>
        <w:t xml:space="preserve"> </w:t>
      </w:r>
      <w:hyperlink w:anchor="ref-34">
        <w:r>
          <w:rPr>
            <w:rStyle w:val="Hyperlink"/>
          </w:rPr>
          <w:t xml:space="preserve">[34]</w:t>
        </w:r>
      </w:hyperlink>
      <w:r>
        <w:t xml:space="preserve">, and the Magdalena Ridge Observatory Interferometer</w:t>
      </w:r>
      <w:r>
        <w:t xml:space="preserve"> </w:t>
      </w:r>
      <w:hyperlink w:anchor="ref-27">
        <w:r>
          <w:rPr>
            <w:rStyle w:val="Hyperlink"/>
          </w:rPr>
          <w:t xml:space="preserve">[27]</w:t>
        </w:r>
      </w:hyperlink>
      <w:r>
        <w:t xml:space="preserve">, establishes that ground-segment capability is itself a budget-mediated investment with a multi-decade horizon; the framework treats ground-segment investment as a component of the cumulative budget series in the learning-curve specification, rather than as a separate covariate, on the grounds that the appropriations record does not generally separate cislunar-relevant ground-segment investment from broader scientific-instrumentation lines.</w:t>
      </w:r>
    </w:p>
    <w:bookmarkEnd w:id="86"/>
    <w:bookmarkStart w:id="87" w:name="Xa33099606faf288d615415892a964824991f0a8"/>
    <w:p>
      <w:pPr>
        <w:pStyle w:val="Heading2"/>
        <w:spacing w:line="480" w:lineRule="auto"/>
      </w:pPr>
      <w:r>
        <w:t xml:space="preserve">3.8 Summary and Bridge to the Empirical Chapters</w:t>
      </w:r>
    </w:p>
    <w:p>
      <w:pPr>
        <w:pStyle w:val="FirstParagraph"/>
        <w:spacing w:line="480" w:lineRule="auto"/>
      </w:pPr>
      <w:r>
        <w:t xml:space="preserve">One sentence summarizes the framework: cislunar SDA budget signals predict cislunar SDA capability through a four-stage, institutionally mediated, lossy chain whose presence should be visible as a positive design-conditional slope in cross-section, as a positive Granger-precedence relationship in the dynamic time domain, and as a positive sub-unitary elasticity in the cumulative learning-curve specification. H0 denies any such signature in either the dynamic or the learning-curve forms; H1 affirms it in both, conditional on the boundary conditions of Section 3.6.</w:t>
      </w:r>
    </w:p>
    <w:p>
      <w:pPr>
        <w:pStyle w:val="BodyText"/>
        <w:spacing w:line="480" w:lineRule="auto"/>
        <w:ind w:firstLine="720"/>
      </w:pPr>
      <w:r>
        <w:t xml:space="preserve">Three steps operationalize this framework in the chapters that follow. Chapter 4 specifies the integrated data architecture that pairs the capability and budget panels, including the inclusion rules under which the narrow and broad attributions are constructed. Chapter 5 reports the dynamic lagged-panel specification and the Granger-precedence test that together evaluate the time-domain expression of H0 and H1. Chapter 6 returns to the learning-curve result reported in the second empirical paper and embeds it in the convergent-evidence frame established here, alongside the cross-sectional result from the first empirical paper, so that the integrated inference can be stated as a joint test rather than as a sequence of independent results. Chapter 7 returns to the policy interpretation of any finding for or against H1, and explicitly contrasts the institutional-friction reading with simpler alternatives that the data have ruled out.</w:t>
      </w:r>
    </w:p>
    <w:bookmarkEnd w:id="87"/>
    <w:bookmarkEnd w:id="88"/>
    <w:bookmarkStart w:id="97" w:name="chapter-4.-data-and-measurement"/>
    <w:p>
      <w:pPr>
        <w:pStyle w:val="Heading1"/>
        <w:spacing w:line="480" w:lineRule="auto"/>
      </w:pPr>
      <w:r>
        <w:t xml:space="preserve">Chapter 4. Data and Measurement</w:t>
      </w:r>
    </w:p>
    <w:bookmarkStart w:id="89" w:name="overview"/>
    <w:p>
      <w:pPr>
        <w:pStyle w:val="Heading2"/>
        <w:spacing w:line="480" w:lineRule="auto"/>
      </w:pPr>
      <w:r>
        <w:t xml:space="preserve">4.1 Overview</w:t>
      </w:r>
    </w:p>
    <w:p>
      <w:pPr>
        <w:pStyle w:val="FirstParagraph"/>
        <w:spacing w:line="480" w:lineRule="auto"/>
      </w:pPr>
      <w:r>
        <w:t xml:space="preserve">This chapter specifies the empirical materials on which the dissertation’s two quantitative studies stand. A single research question drives both studies, whether budget signals carry forecastable information about demonstrated cislunar space domain awareness capability, but they answer it through different functional forms and on different units of analysis. The cross-sectional architecture study in Paper 1 treats the individual published architecture configuration as its observation, regressing modeled coverage on a normalized resource-scale budget signal while holding sensor placement and aperture constant. The longitudinal learning-curve study in Paper 2 treats the calendar year as its observation, regressing the log of the cataloged resident-space-object count on the log of cumulative real-dollar investment in space situational awareness and space domain awareness. Complementarity is deliberate here: a finding robust to both a cross-sectional cut across architectures and a time-series cut across years is more credible than either alone, and the differing units of analysis make the corroboration substantive rather than mechanical.</w:t>
      </w:r>
    </w:p>
    <w:p>
      <w:pPr>
        <w:pStyle w:val="BodyText"/>
        <w:spacing w:line="480" w:lineRule="auto"/>
        <w:ind w:firstLine="720"/>
      </w:pPr>
      <w:r>
        <w:t xml:space="preserve">Provenance, construction, and audit of each panel organize the chapter. Section 4.2 names the unit of analysis in each study and the rule by which an observation is admitted. Section 4.3 inventories the primary sources, distinguishing peer-reviewed and conference-archived engineering papers from government appropriations records and from authoritative catalog reports. Section 4.4 walks variable by variable through the cross-sectional architecture panel; Section 4.5 does the same for the annual learning-curve panel. Section 4.6 documents the deflation and normalization conventions that align dollars across years and resource scales across architectures. Section 4.7 reports the auxiliary measures that bound the validity of the central variables, including the cislunar relevance filter applied to the architecture corpus and the back-cast flag on the early budget series. Section 4.8 records the threats to measurement validity that the construction choices accept, the sensitivity analyses planned to bound them, and the auditability of every observation. Throughout, citations refer only to the shared reference pool.</w:t>
      </w:r>
    </w:p>
    <w:bookmarkEnd w:id="89"/>
    <w:bookmarkStart w:id="90" w:name="unit-of-analysis-and-inclusion-rule"/>
    <w:p>
      <w:pPr>
        <w:pStyle w:val="Heading2"/>
        <w:spacing w:line="480" w:lineRule="auto"/>
      </w:pPr>
      <w:r>
        <w:t xml:space="preserve">4.2 Unit of Analysis and Inclusion Rule</w:t>
      </w:r>
    </w:p>
    <w:p>
      <w:pPr>
        <w:pStyle w:val="FirstParagraph"/>
        <w:spacing w:line="480" w:lineRule="auto"/>
      </w:pPr>
      <w:r>
        <w:t xml:space="preserve">Paper 1’s cross-sectional study takes the architecture configuration as its unit of analysis. An architecture configuration is a sensor-allocation design for which an open trade study, optimization paper, or program-of-record budget anchor reports both a resource scale and a modeled coverage capability. Twenty-four such configurations make up the panel. Reproducibility governs the inclusion rule: a row is admitted if it appears in a paper from the AMOS Conference cislunar SDA literature with extractable sensor count, placement, and coverage numbers, or if it corresponds to a publicly named program of record with a documented appropriations line and a stated capability point. Configurations drawn from the published optimization frontiers of the architecture papers are admitted at the explicit reported points; where a paper reported a coverage-cost frontier without printing an exact intermediate value, that value is interpolated from the published frontier and the row is flagged illustrative, with such rows held to a small share of the sample</w:t>
      </w:r>
      <w:r>
        <w:t xml:space="preserve"> </w:t>
      </w:r>
      <w:hyperlink w:anchor="ref-1">
        <w:r>
          <w:rPr>
            <w:rStyle w:val="Hyperlink"/>
          </w:rPr>
          <w:t xml:space="preserve">[1]</w:t>
        </w:r>
      </w:hyperlink>
      <w:r>
        <w:t xml:space="preserve">[3][4][5]. The flag survives into the audit trail so that any reader can see at a glance which rows are direct extractions and which are interpolated.</w:t>
      </w:r>
    </w:p>
    <w:p>
      <w:pPr>
        <w:pStyle w:val="BodyText"/>
        <w:spacing w:line="480" w:lineRule="auto"/>
        <w:ind w:firstLine="720"/>
      </w:pPr>
      <w:r>
        <w:t xml:space="preserve">Paper 2’s longitudinal study takes the calendar fiscal year as its unit of analysis. Twenty-two annual observations from 2004 through 2025 make up the panel, with each year matched to a single value of the cataloged-object count and a single value of cumulative real-dollar SSA and SDA investment. For the catalog series, an annual count must trace either to an authoritative European Space Agency Space Environment Report for the recent years, to United States Space Surveillance Network historical reporting for the earlier years, or to a CelesTrak surveillance reading cross-checked against the same</w:t>
      </w:r>
      <w:r>
        <w:t xml:space="preserve"> </w:t>
      </w:r>
      <w:hyperlink w:anchor="ref-8">
        <w:r>
          <w:rPr>
            <w:rStyle w:val="Hyperlink"/>
          </w:rPr>
          <w:t xml:space="preserve">[8]</w:t>
        </w:r>
      </w:hyperlink>
      <w:r>
        <w:t xml:space="preserve">[9][10][11]. For the budget series, an annual figure must trace to a Government Accountability Office product, to a Space Foundation brief grounded in those products, or to public Space Force budget reporting; three early observations are back-cast below the documented 2015 through 2020 baseline window and are flagged illustrative, constituting under fourteen percent of the panel</w:t>
      </w:r>
      <w:r>
        <w:t xml:space="preserve"> </w:t>
      </w:r>
      <w:hyperlink w:anchor="ref-12">
        <w:r>
          <w:rPr>
            <w:rStyle w:val="Hyperlink"/>
          </w:rPr>
          <w:t xml:space="preserve">[12]</w:t>
        </w:r>
      </w:hyperlink>
      <w:r>
        <w:t xml:space="preserve">[13][14]. As with Paper 1, the flag survives into the audit so that a reader can confirm at a glance which rows are direct anchors and which are back-cast.</w:t>
      </w:r>
    </w:p>
    <w:p>
      <w:pPr>
        <w:pStyle w:val="BodyText"/>
        <w:spacing w:line="480" w:lineRule="auto"/>
        <w:ind w:firstLine="720"/>
      </w:pPr>
      <w:r>
        <w:t xml:space="preserve">Two implications of the differing units bear underlining. First, statistical inference in Paper 1 conditions on the architectures published and funded to date, which is a complete enumeration of the published cislunar SDA design space at the time of writing rather than a sample from a hypothetical population; inferential statistics in that paper therefore describe the precision of fit on the realized design space and not the recovery of a parameter from a larger universe. Second, statistical inference in Paper 2 conditions on a fully populated annual time series and not on a sample of years, so that the heteroskedasticity-robust standard errors there describe the precision of the elasticity given the realized history. Both designs are honest about what their standard errors mean, and both pre-register the sensitivity analyses described in Section 4.8 to bound the dependence of the central estimate on construction choices.</w:t>
      </w:r>
    </w:p>
    <w:bookmarkEnd w:id="90"/>
    <w:bookmarkStart w:id="91" w:name="primary-sources"/>
    <w:p>
      <w:pPr>
        <w:pStyle w:val="Heading2"/>
        <w:spacing w:line="480" w:lineRule="auto"/>
      </w:pPr>
      <w:r>
        <w:t xml:space="preserve">4.3 Primary Sources</w:t>
      </w:r>
    </w:p>
    <w:p>
      <w:pPr>
        <w:pStyle w:val="FirstParagraph"/>
        <w:spacing w:line="480" w:lineRule="auto"/>
      </w:pPr>
      <w:r>
        <w:t xml:space="preserve">Four families make up the materials.</w:t>
      </w:r>
    </w:p>
    <w:p>
      <w:pPr>
        <w:pStyle w:val="BodyText"/>
        <w:spacing w:line="480" w:lineRule="auto"/>
        <w:ind w:firstLine="720"/>
      </w:pPr>
      <w:r>
        <w:t xml:space="preserve">First is the AMOS Conference cislunar SDA architecture literature, the engineering record that establishes capability as a reproducible, model-derived quantity rather than a programmatic narrative. The capacity-based optimization baseline of 2022 supplies the formulation under which custody capacity becomes the dependent variable of cislunar architecture trade studies</w:t>
      </w:r>
      <w:r>
        <w:t xml:space="preserve"> </w:t>
      </w:r>
      <w:hyperlink w:anchor="ref-1">
        <w:r>
          <w:rPr>
            <w:rStyle w:val="Hyperlink"/>
          </w:rPr>
          <w:t xml:space="preserve">[1]</w:t>
        </w:r>
      </w:hyperlink>
      <w:r>
        <w:t xml:space="preserve">. The robust cooperative-agent extension of 2023 widens that formulation to multi-asset designs and to adversarial robustness</w:t>
      </w:r>
      <w:r>
        <w:t xml:space="preserve"> </w:t>
      </w:r>
      <w:hyperlink w:anchor="ref-2">
        <w:r>
          <w:rPr>
            <w:rStyle w:val="Hyperlink"/>
          </w:rPr>
          <w:t xml:space="preserve">[2]</w:t>
        </w:r>
      </w:hyperlink>
      <w:r>
        <w:t xml:space="preserve">. The comprehensive capacity approach of 2024 unifies prior formulations and supplies extractable frontier points for direct admission to the architecture panel</w:t>
      </w:r>
      <w:r>
        <w:t xml:space="preserve"> </w:t>
      </w:r>
      <w:hyperlink w:anchor="ref-4">
        <w:r>
          <w:rPr>
            <w:rStyle w:val="Hyperlink"/>
          </w:rPr>
          <w:t xml:space="preserve">[4]</w:t>
        </w:r>
      </w:hyperlink>
      <w:r>
        <w:t xml:space="preserve">. The model-based optical constellation trade study of 2024 reports the optical-sensing constellation frontier under common assumptions</w:t>
      </w:r>
      <w:r>
        <w:t xml:space="preserve"> </w:t>
      </w:r>
      <w:hyperlink w:anchor="ref-5">
        <w:r>
          <w:rPr>
            <w:rStyle w:val="Hyperlink"/>
          </w:rPr>
          <w:t xml:space="preserve">[5]</w:t>
        </w:r>
      </w:hyperlink>
      <w:r>
        <w:t xml:space="preserve">. The adaptive sensor tasking study of 2024 generalizes the formulation to non-cooperative cislunar objects and supports the sensitivity work on tasking density</w:t>
      </w:r>
      <w:r>
        <w:t xml:space="preserve"> </w:t>
      </w:r>
      <w:hyperlink w:anchor="ref-6">
        <w:r>
          <w:rPr>
            <w:rStyle w:val="Hyperlink"/>
          </w:rPr>
          <w:t xml:space="preserve">[6]</w:t>
        </w:r>
      </w:hyperlink>
      <w:r>
        <w:t xml:space="preserve">. Additional architecture rows and placement diversity come from the 2023 study optimizing distributed space-based networks under operational cost metrics, the 2022 study of near-rectilinear halo orbit surveillance using cislunar periodic orbits, the 2020 sensor-rich lunar and cislunar solution, and the 2021 hybrid lunar surface and space domain method</w:t>
      </w:r>
      <w:r>
        <w:t xml:space="preserve"> </w:t>
      </w:r>
      <w:hyperlink w:anchor="ref-9">
        <w:r>
          <w:rPr>
            <w:rStyle w:val="Hyperlink"/>
          </w:rPr>
          <w:t xml:space="preserve">[9]</w:t>
        </w:r>
      </w:hyperlink>
      <w:r>
        <w:t xml:space="preserve">[10][12][13]. Each paper is identified by author, title, and where available a DOI in the shared reference pool, so the provenance of each architecture row is auditable to its original technical paper.</w:t>
      </w:r>
    </w:p>
    <w:p>
      <w:pPr>
        <w:pStyle w:val="BodyText"/>
        <w:spacing w:line="480" w:lineRule="auto"/>
        <w:ind w:firstLine="720"/>
      </w:pPr>
      <w:r>
        <w:t xml:space="preserve">Second is the program-of-record record, where the anchors are fielded rather than modeled. The Air Force Research Laboratory and Advanced Space, LLC Oracle program, formerly the Cislunar Highway Patrol System, supplies an anchor configuration documented through public program records covering 2022 through 2024</w:t>
      </w:r>
      <w:r>
        <w:t xml:space="preserve"> </w:t>
      </w:r>
      <w:hyperlink w:anchor="ref-8">
        <w:r>
          <w:rPr>
            <w:rStyle w:val="Hyperlink"/>
          </w:rPr>
          <w:t xml:space="preserve">[8]</w:t>
        </w:r>
      </w:hyperlink>
      <w:r>
        <w:t xml:space="preserve">. A parallel civil anchor comes from the Office of Space Commerce through its Traffic Coordination System for Space funding lines for fiscal years 2024 and 2025, including the documented seventy-five and six-tenths million-dollar fiscal year 2025 proposal</w:t>
      </w:r>
      <w:r>
        <w:t xml:space="preserve"> </w:t>
      </w:r>
      <w:hyperlink w:anchor="ref-14">
        <w:r>
          <w:rPr>
            <w:rStyle w:val="Hyperlink"/>
          </w:rPr>
          <w:t xml:space="preserve">[14]</w:t>
        </w:r>
      </w:hyperlink>
      <w:r>
        <w:t xml:space="preserve">. Each program anchor enters the architecture panel as a single configuration with a documented resource-scale figure and a stated capability point, and each row’s source citation appears in the data file alongside the row.</w:t>
      </w:r>
    </w:p>
    <w:p>
      <w:pPr>
        <w:pStyle w:val="BodyText"/>
        <w:spacing w:line="480" w:lineRule="auto"/>
        <w:ind w:firstLine="720"/>
      </w:pPr>
      <w:r>
        <w:t xml:space="preserve">Third is the cislunar SDA architecture literature held in the Brain Trust beyond the AMOS conference itself, used to bound and contextualize variable construction. The Center for Strategic and International Studies study of United States SDA acquisition trends supplies framing for the budget attribution rule used in Paper 1 and for the cislunar relevance filter that admits only architecture rows whose stated mission scope reaches the cislunar volume rather than terminating at geosynchronous orbit</w:t>
      </w:r>
      <w:r>
        <w:t xml:space="preserve"> </w:t>
      </w:r>
      <w:hyperlink w:anchor="ref-23">
        <w:r>
          <w:rPr>
            <w:rStyle w:val="Hyperlink"/>
          </w:rPr>
          <w:t xml:space="preserve">[23]</w:t>
        </w:r>
      </w:hyperlink>
      <w:r>
        <w:t xml:space="preserve">. The CSIS Japan case study supplies a comparative reference for how growing space actors characterize their SDA acquisition postures, used here only as a contextual anchor and not as a row-level source</w:t>
      </w:r>
      <w:r>
        <w:t xml:space="preserve"> </w:t>
      </w:r>
      <w:hyperlink w:anchor="ref-26">
        <w:r>
          <w:rPr>
            <w:rStyle w:val="Hyperlink"/>
          </w:rPr>
          <w:t xml:space="preserve">[26]</w:t>
        </w:r>
      </w:hyperlink>
      <w:r>
        <w:t xml:space="preserve">. The ground-based planetary radar review supplies the technical reference for radar-based cislunar sensing options that bound the placement covariate</w:t>
      </w:r>
      <w:r>
        <w:t xml:space="preserve"> </w:t>
      </w:r>
      <w:hyperlink w:anchor="ref-24">
        <w:r>
          <w:rPr>
            <w:rStyle w:val="Hyperlink"/>
          </w:rPr>
          <w:t xml:space="preserve">[24]</w:t>
        </w:r>
      </w:hyperlink>
      <w:r>
        <w:t xml:space="preserve">. The NASA Starling and EraDrive cubesat mission supplies a reference point for low-cost distributed sensing architectures that informs the sensor-count axis</w:t>
      </w:r>
      <w:r>
        <w:t xml:space="preserve"> </w:t>
      </w:r>
      <w:hyperlink w:anchor="ref-25">
        <w:r>
          <w:rPr>
            <w:rStyle w:val="Hyperlink"/>
          </w:rPr>
          <w:t xml:space="preserve">[25]</w:t>
        </w:r>
      </w:hyperlink>
      <w:r>
        <w:t xml:space="preserve">. The European Union Space Surveillance and Tracking research and development plan supplies a non-US comparator that bounds the attribution debate in Paper 2</w:t>
      </w:r>
      <w:r>
        <w:t xml:space="preserve"> </w:t>
      </w:r>
      <w:hyperlink w:anchor="ref-29">
        <w:r>
          <w:rPr>
            <w:rStyle w:val="Hyperlink"/>
          </w:rPr>
          <w:t xml:space="preserve">[29]</w:t>
        </w:r>
      </w:hyperlink>
      <w:r>
        <w:t xml:space="preserve">. The game-theoretical exploration of L1 and L2 cislunar SDA using Bayesian games supplies a methodological reference for non-cooperative tasking incorporated into the sensitivity arm on adversarial coverage</w:t>
      </w:r>
      <w:r>
        <w:t xml:space="preserve"> </w:t>
      </w:r>
      <w:hyperlink w:anchor="ref-28">
        <w:r>
          <w:rPr>
            <w:rStyle w:val="Hyperlink"/>
          </w:rPr>
          <w:t xml:space="preserve">[28]</w:t>
        </w:r>
      </w:hyperlink>
      <w:r>
        <w:t xml:space="preserve">. The space-based debris trajectory estimation study supplies a methodological reference for vision-sensor-based tracking that bounds the aperture covariate’s interpretation</w:t>
      </w:r>
      <w:r>
        <w:t xml:space="preserve"> </w:t>
      </w:r>
      <w:hyperlink w:anchor="ref-31">
        <w:r>
          <w:rPr>
            <w:rStyle w:val="Hyperlink"/>
          </w:rPr>
          <w:t xml:space="preserve">[31]</w:t>
        </w:r>
      </w:hyperlink>
      <w:r>
        <w:t xml:space="preserve">. The MRI commissioning record</w:t>
      </w:r>
      <w:r>
        <w:t xml:space="preserve"> </w:t>
      </w:r>
      <w:hyperlink w:anchor="ref-27">
        <w:r>
          <w:rPr>
            <w:rStyle w:val="Hyperlink"/>
          </w:rPr>
          <w:t xml:space="preserve">[27]</w:t>
        </w:r>
      </w:hyperlink>
      <w:r>
        <w:t xml:space="preserve"> </w:t>
      </w:r>
      <w:r>
        <w:t xml:space="preserve">and the Arecibo legacy and future radar capability paper</w:t>
      </w:r>
      <w:r>
        <w:t xml:space="preserve"> </w:t>
      </w:r>
      <w:hyperlink w:anchor="ref-34">
        <w:r>
          <w:rPr>
            <w:rStyle w:val="Hyperlink"/>
          </w:rPr>
          <w:t xml:space="preserve">[34]</w:t>
        </w:r>
      </w:hyperlink>
      <w:r>
        <w:t xml:space="preserve"> </w:t>
      </w:r>
      <w:r>
        <w:t xml:space="preserve">respectively bound the optical and radar long-baseline reference points that fall outside the cislunar inclusion rule but inform the placement comparator. The cislunar fragmentation monitoring constellation paper supplies a recent corroboration that custody capacity is being treated as a directly observable engineering quantity</w:t>
      </w:r>
      <w:r>
        <w:t xml:space="preserve"> </w:t>
      </w:r>
      <w:hyperlink w:anchor="ref-30">
        <w:r>
          <w:rPr>
            <w:rStyle w:val="Hyperlink"/>
          </w:rPr>
          <w:t xml:space="preserve">[30]</w:t>
        </w:r>
      </w:hyperlink>
      <w:r>
        <w:t xml:space="preserve">. The NICECube thermospheric density forecasting mission and the singular spectrum analysis of ionospheric variation paper are retained in the contextual layer for the atmospheric-density covariate that surfaces in robustness work but does not enter the central specification</w:t>
      </w:r>
      <w:r>
        <w:t xml:space="preserve"> </w:t>
      </w:r>
      <w:hyperlink w:anchor="ref-22">
        <w:r>
          <w:rPr>
            <w:rStyle w:val="Hyperlink"/>
          </w:rPr>
          <w:t xml:space="preserve">[22]</w:t>
        </w:r>
      </w:hyperlink>
      <w:r>
        <w:t xml:space="preserve">[32]. The European Union defense and security strategy paper</w:t>
      </w:r>
      <w:r>
        <w:t xml:space="preserve"> </w:t>
      </w:r>
      <w:hyperlink w:anchor="ref-33">
        <w:r>
          <w:rPr>
            <w:rStyle w:val="Hyperlink"/>
          </w:rPr>
          <w:t xml:space="preserve">[33]</w:t>
        </w:r>
      </w:hyperlink>
      <w:r>
        <w:t xml:space="preserve">, the Moon to Mars space traffic management framework paper</w:t>
      </w:r>
      <w:r>
        <w:t xml:space="preserve"> </w:t>
      </w:r>
      <w:hyperlink w:anchor="ref-35">
        <w:r>
          <w:rPr>
            <w:rStyle w:val="Hyperlink"/>
          </w:rPr>
          <w:t xml:space="preserve">[35]</w:t>
        </w:r>
      </w:hyperlink>
      <w:r>
        <w:t xml:space="preserve">, the space resources market evaluation paper</w:t>
      </w:r>
      <w:r>
        <w:t xml:space="preserve"> </w:t>
      </w:r>
      <w:hyperlink w:anchor="ref-36">
        <w:r>
          <w:rPr>
            <w:rStyle w:val="Hyperlink"/>
          </w:rPr>
          <w:t xml:space="preserve">[36]</w:t>
        </w:r>
      </w:hyperlink>
      <w:r>
        <w:t xml:space="preserve">, and the commercial low-Earth-orbit station feasibility paper</w:t>
      </w:r>
      <w:r>
        <w:t xml:space="preserve"> </w:t>
      </w:r>
      <w:hyperlink w:anchor="ref-37">
        <w:r>
          <w:rPr>
            <w:rStyle w:val="Hyperlink"/>
          </w:rPr>
          <w:t xml:space="preserve">[37]</w:t>
        </w:r>
      </w:hyperlink>
      <w:r>
        <w:t xml:space="preserve"> </w:t>
      </w:r>
      <w:r>
        <w:t xml:space="preserve">are retained as policy context for the broader claim that budget signals are read as capability forecasts, and they contribute no observations to either central panel.</w:t>
      </w:r>
    </w:p>
    <w:p>
      <w:pPr>
        <w:pStyle w:val="BodyText"/>
        <w:spacing w:line="480" w:lineRule="auto"/>
        <w:ind w:firstLine="720"/>
      </w:pPr>
      <w:r>
        <w:t xml:space="preserve">Fourth is the appropriations and catalog record itself, the ground truth. For the budget series in Paper 2, the Government Accountability Office product reporting SSA core efforts at roughly one billion dollars per year across fiscal years 2015 through 2020 anchors the documented window</w:t>
      </w:r>
      <w:r>
        <w:t xml:space="preserve"> </w:t>
      </w:r>
      <w:hyperlink w:anchor="ref-12">
        <w:r>
          <w:rPr>
            <w:rStyle w:val="Hyperlink"/>
          </w:rPr>
          <w:t xml:space="preserve">[12]</w:t>
        </w:r>
      </w:hyperlink>
      <w:r>
        <w:t xml:space="preserve">. The Space Foundation SSA brief and the contemporary Space Force space-domain-awareness budget reporting supply the subsequent years, including the documented approximately three hundred seventy-three million dollars in the early-2020s request cycle and the approximately four hundred eighty-four and seven hundred thirty-eight million dollars in subsequent cycles</w:t>
      </w:r>
      <w:r>
        <w:t xml:space="preserve"> </w:t>
      </w:r>
      <w:hyperlink w:anchor="ref-13">
        <w:r>
          <w:rPr>
            <w:rStyle w:val="Hyperlink"/>
          </w:rPr>
          <w:t xml:space="preserve">[13]</w:t>
        </w:r>
      </w:hyperlink>
      <w:r>
        <w:t xml:space="preserve">[14]. The space-economy literature supplies the framing that government space budgets are large, trackable, and economically meaningful, which motivates their use as a forward signal rather than as sunk accounting</w:t>
      </w:r>
      <w:r>
        <w:t xml:space="preserve"> </w:t>
      </w:r>
      <w:hyperlink w:anchor="ref-3">
        <w:r>
          <w:rPr>
            <w:rStyle w:val="Hyperlink"/>
          </w:rPr>
          <w:t xml:space="preserve">[3]</w:t>
        </w:r>
      </w:hyperlink>
      <w:r>
        <w:t xml:space="preserve">[11]. For the catalog series in Paper 2, the European Space Agency Space Environment Reports for 2024 and 2025 supply the recent annual catalog counts</w:t>
      </w:r>
      <w:r>
        <w:t xml:space="preserve"> </w:t>
      </w:r>
      <w:hyperlink w:anchor="ref-9">
        <w:r>
          <w:rPr>
            <w:rStyle w:val="Hyperlink"/>
          </w:rPr>
          <w:t xml:space="preserve">[9]</w:t>
        </w:r>
      </w:hyperlink>
      <w:r>
        <w:t xml:space="preserve">[10]; the historical United States Space Surveillance Network record supplies the earlier counts [8 in Paper 2; pool entry 15]; and CelesTrak supplies the cross-check that allows discrepancies between the two source families to be reconciled or flagged [11 in Paper 2; pool entry 18]. The institutional-bottleneck reference frames the empirical expectation that the budget-to-capability transmission is real but frictional, which motivates the cumulative specification that integrates over the lag structure rather than relying on a single year’s match</w:t>
      </w:r>
      <w:r>
        <w:t xml:space="preserve"> </w:t>
      </w:r>
      <w:hyperlink w:anchor="ref-7">
        <w:r>
          <w:rPr>
            <w:rStyle w:val="Hyperlink"/>
          </w:rPr>
          <w:t xml:space="preserve">[7]</w:t>
        </w:r>
      </w:hyperlink>
      <w:r>
        <w:t xml:space="preserve">.</w:t>
      </w:r>
    </w:p>
    <w:bookmarkEnd w:id="91"/>
    <w:bookmarkStart w:id="92" w:name="X3347ce7ee36123f5cf9a4dd575e9306e72cf9b5"/>
    <w:p>
      <w:pPr>
        <w:pStyle w:val="Heading2"/>
        <w:spacing w:line="480" w:lineRule="auto"/>
      </w:pPr>
      <w:r>
        <w:t xml:space="preserve">4.4 Variable Construction in the Cross-Sectional Architecture Panel</w:t>
      </w:r>
    </w:p>
    <w:p>
      <w:pPr>
        <w:pStyle w:val="FirstParagraph"/>
        <w:spacing w:line="480" w:lineRule="auto"/>
      </w:pPr>
      <w:r>
        <w:t xml:space="preserve">Five variables enter the architecture panel.</w:t>
      </w:r>
    </w:p>
    <w:p>
      <w:pPr>
        <w:pStyle w:val="BodyText"/>
        <w:spacing w:line="480" w:lineRule="auto"/>
        <w:ind w:firstLine="720"/>
      </w:pPr>
      <w:r>
        <w:t xml:space="preserve">Modeled coverage capability, expressed in percent, is the dependent variable, and coverage is the payload. For each architecture row drawn from a published trade study, the coverage value is the figure that study reports at the configuration’s point on its published frontier</w:t>
      </w:r>
      <w:r>
        <w:t xml:space="preserve"> </w:t>
      </w:r>
      <w:hyperlink w:anchor="ref-1">
        <w:r>
          <w:rPr>
            <w:rStyle w:val="Hyperlink"/>
          </w:rPr>
          <w:t xml:space="preserve">[1]</w:t>
        </w:r>
      </w:hyperlink>
      <w:r>
        <w:t xml:space="preserve">[3][4][5][9][10][12][13]. For each program-anchor row, the coverage value is the program’s stated capability point at the documented funding line</w:t>
      </w:r>
      <w:r>
        <w:t xml:space="preserve"> </w:t>
      </w:r>
      <w:hyperlink w:anchor="ref-8">
        <w:r>
          <w:rPr>
            <w:rStyle w:val="Hyperlink"/>
          </w:rPr>
          <w:t xml:space="preserve">[8]</w:t>
        </w:r>
      </w:hyperlink>
      <w:r>
        <w:t xml:space="preserve">[14]. Coverage capability is read in the modeling sense the underlying literature uses: the share of the cislunar volume or of the trajectory-set under custody that the architecture is modeled to hold, depending on the formulation of the source paper. Section 4.8 takes up sensitivity to the formulation choice.</w:t>
      </w:r>
    </w:p>
    <w:p>
      <w:pPr>
        <w:pStyle w:val="BodyText"/>
        <w:spacing w:line="480" w:lineRule="auto"/>
        <w:ind w:firstLine="720"/>
      </w:pPr>
      <w:r>
        <w:t xml:space="preserve">The resource-scale budget signal is the first independent variable. For each row, the signal is constructed from the reported sensor base of the configuration, expressed in units that normalize a small-aperture sensor node to a unit value. For configurations drawn from the architecture-optimization literature, the sensor count and class are extracted from the published study and converted to the normalized scale</w:t>
      </w:r>
      <w:r>
        <w:t xml:space="preserve"> </w:t>
      </w:r>
      <w:hyperlink w:anchor="ref-1">
        <w:r>
          <w:rPr>
            <w:rStyle w:val="Hyperlink"/>
          </w:rPr>
          <w:t xml:space="preserve">[1]</w:t>
        </w:r>
      </w:hyperlink>
      <w:r>
        <w:t xml:space="preserve">[2][3][4][5][6][9][10][12][13]. For program-anchor rows, the resource scale is derived from the publicly documented sensor base of the Oracle program at the cited fiscal year</w:t>
      </w:r>
      <w:r>
        <w:t xml:space="preserve"> </w:t>
      </w:r>
      <w:hyperlink w:anchor="ref-8">
        <w:r>
          <w:rPr>
            <w:rStyle w:val="Hyperlink"/>
          </w:rPr>
          <w:t xml:space="preserve">[8]</w:t>
        </w:r>
      </w:hyperlink>
      <w:r>
        <w:t xml:space="preserve"> </w:t>
      </w:r>
      <w:r>
        <w:t xml:space="preserve">and from the documented Office of Space Commerce TraCSS funding line for the corresponding fiscal years</w:t>
      </w:r>
      <w:r>
        <w:t xml:space="preserve"> </w:t>
      </w:r>
      <w:hyperlink w:anchor="ref-14">
        <w:r>
          <w:rPr>
            <w:rStyle w:val="Hyperlink"/>
          </w:rPr>
          <w:t xml:space="preserve">[14]</w:t>
        </w:r>
      </w:hyperlink>
      <w:r>
        <w:t xml:space="preserve">. The normalization convention is fixed once at the panel level so that no row’s resource-scale value depends on a row-specific judgment about what counts as a unit; the convention is documented in the data file’s header and applies uniformly. This construction implements the theoretical claim that the marginal cost of a cislunar SDA architecture scales closely with the number and class of sensor nodes, so the committed sensor-resource scale operates as a budget signal at the architecture level</w:t>
      </w:r>
      <w:r>
        <w:t xml:space="preserve"> </w:t>
      </w:r>
      <w:hyperlink w:anchor="ref-2">
        <w:r>
          <w:rPr>
            <w:rStyle w:val="Hyperlink"/>
          </w:rPr>
          <w:t xml:space="preserve">[2]</w:t>
        </w:r>
      </w:hyperlink>
      <w:r>
        <w:t xml:space="preserve">[3][4].</w:t>
      </w:r>
    </w:p>
    <w:p>
      <w:pPr>
        <w:pStyle w:val="BodyText"/>
        <w:spacing w:line="480" w:lineRule="auto"/>
        <w:ind w:firstLine="720"/>
      </w:pPr>
      <w:r>
        <w:t xml:space="preserve">A binary indicator for space-based versus ground or hybrid placement is the second independent variable. Each row is classified by reading the underlying study’s stated placement architecture: a row is coded one if the configuration’s primary sensors are deployed on orbit and zero otherwise. The classification follows the underlying paper’s own description rather than a separate judgment, so the auditability of the indicator reduces to the auditability of the source</w:t>
      </w:r>
      <w:r>
        <w:t xml:space="preserve"> </w:t>
      </w:r>
      <w:hyperlink w:anchor="ref-3">
        <w:r>
          <w:rPr>
            <w:rStyle w:val="Hyperlink"/>
          </w:rPr>
          <w:t xml:space="preserve">[3]</w:t>
        </w:r>
      </w:hyperlink>
      <w:r>
        <w:t xml:space="preserve">[4][5][9][10][12][13].</w:t>
      </w:r>
    </w:p>
    <w:p>
      <w:pPr>
        <w:pStyle w:val="BodyText"/>
        <w:spacing w:line="480" w:lineRule="auto"/>
        <w:ind w:firstLine="720"/>
      </w:pPr>
      <w:r>
        <w:t xml:space="preserve">Aperture, in meters, is the third independent variable. The aperture value is the representative aperture of the configuration’s primary sensors as reported by the underlying paper. Rows with heterogeneous sensors take the dominant aperture; rows whose underlying paper reports a range take the midpoint and flag the row in the audit for sensitivity work. Aperture is included because placement and resource-scale do not alone identify the optical regime within which the configuration operates, and because the architecture literature reports coverage-aperture trade-offs that aperture is the natural axis on which to capture</w:t>
      </w:r>
      <w:r>
        <w:t xml:space="preserve"> </w:t>
      </w:r>
      <w:hyperlink w:anchor="ref-4">
        <w:r>
          <w:rPr>
            <w:rStyle w:val="Hyperlink"/>
          </w:rPr>
          <w:t xml:space="preserve">[4]</w:t>
        </w:r>
      </w:hyperlink>
      <w:r>
        <w:t xml:space="preserve">[5].</w:t>
      </w:r>
    </w:p>
    <w:p>
      <w:pPr>
        <w:pStyle w:val="BodyText"/>
        <w:spacing w:line="480" w:lineRule="auto"/>
        <w:ind w:firstLine="720"/>
      </w:pPr>
      <w:r>
        <w:t xml:space="preserve">The row-level source citation is the fifth element of the panel record. Every row in the architecture panel carries a final column naming the underlying paper or program record, so that any reader can verify the extracted values against the original technical record</w:t>
      </w:r>
      <w:r>
        <w:t xml:space="preserve"> </w:t>
      </w:r>
      <w:hyperlink w:anchor="ref-1">
        <w:r>
          <w:rPr>
            <w:rStyle w:val="Hyperlink"/>
          </w:rPr>
          <w:t xml:space="preserve">[1]</w:t>
        </w:r>
      </w:hyperlink>
      <w:r>
        <w:t xml:space="preserve">[2][3][4][5][6][8][9][10][12][13][14]. The citation is part of the data, not adjacent to it, so the provenance of each architecture observation survives any future migration of the panel between analytic environments.</w:t>
      </w:r>
    </w:p>
    <w:bookmarkEnd w:id="92"/>
    <w:bookmarkStart w:id="93" w:name="X45e65d3d6404123cb1c2943d321a1b719a68648"/>
    <w:p>
      <w:pPr>
        <w:pStyle w:val="Heading2"/>
        <w:spacing w:line="480" w:lineRule="auto"/>
      </w:pPr>
      <w:r>
        <w:t xml:space="preserve">4.5 Variable Construction in the Longitudinal Learning-Curve Panel</w:t>
      </w:r>
    </w:p>
    <w:p>
      <w:pPr>
        <w:pStyle w:val="FirstParagraph"/>
        <w:spacing w:line="480" w:lineRule="auto"/>
      </w:pPr>
      <w:r>
        <w:t xml:space="preserve">Four variables enter the annual learning-curve panel.</w:t>
      </w:r>
    </w:p>
    <w:p>
      <w:pPr>
        <w:pStyle w:val="BodyText"/>
        <w:spacing w:line="480" w:lineRule="auto"/>
        <w:ind w:firstLine="720"/>
      </w:pPr>
      <w:r>
        <w:t xml:space="preserve">The count of resident space objects held in the public catalog, by year, is the dependent variable. For recent years the count is taken from the European Space Agency Space Environment Reports for 2024 and 2025, which report cumulative cataloged-object counts at year-end</w:t>
      </w:r>
      <w:r>
        <w:t xml:space="preserve"> </w:t>
      </w:r>
      <w:hyperlink w:anchor="ref-9">
        <w:r>
          <w:rPr>
            <w:rStyle w:val="Hyperlink"/>
          </w:rPr>
          <w:t xml:space="preserve">[9]</w:t>
        </w:r>
      </w:hyperlink>
      <w:r>
        <w:t xml:space="preserve">[10]. For the earlier portion of the panel, the count is taken from the United States Space Surveillance Network historical reporting [pool entry 15], with a CelesTrak cross-check at each year [pool entry 18]. Where two sources report discordant counts for a single year, the discrepancy is reconciled by reading the underlying surveillance basis of the figure: where one source reports the operational and the other the analyst-level catalog, the operational figure is taken and the discrepancy is flagged in the audit. The catalog grows from roughly nine thousand three hundred objects in 2004 to roughly thirty-eight thousand five hundred in 2025, reflecting both expanded sensing and the fragmentation events of 2007 and 2009 that are visible as breaks in the series.</w:t>
      </w:r>
    </w:p>
    <w:p>
      <w:pPr>
        <w:pStyle w:val="BodyText"/>
        <w:spacing w:line="480" w:lineRule="auto"/>
        <w:ind w:firstLine="720"/>
      </w:pPr>
      <w:r>
        <w:t xml:space="preserve">Cumulative real-dollar SSA and SDA investment, in millions of dollars, is the first independent variable. The annual budget signal is constructed first by reading the documented appropriations record for each year. For fiscal years 2015 through 2020 the annual figure is anchored on the Government Accountability Office product that places SSA core efforts at roughly one billion dollars per year across that window</w:t>
      </w:r>
      <w:r>
        <w:t xml:space="preserve"> </w:t>
      </w:r>
      <w:hyperlink w:anchor="ref-12">
        <w:r>
          <w:rPr>
            <w:rStyle w:val="Hyperlink"/>
          </w:rPr>
          <w:t xml:space="preserve">[12]</w:t>
        </w:r>
      </w:hyperlink>
      <w:r>
        <w:t xml:space="preserve">. For the subsequent years, the annual figure is taken from the Space Foundation SSA brief grounded in those products and from contemporary Space Force budget reporting that documents the approximately three hundred seventy-three million dollars in the early-2020s request cycle and the approximately four hundred eighty-four and seven hundred thirty-eight million dollars in subsequent budget cycles</w:t>
      </w:r>
      <w:r>
        <w:t xml:space="preserve"> </w:t>
      </w:r>
      <w:hyperlink w:anchor="ref-13">
        <w:r>
          <w:rPr>
            <w:rStyle w:val="Hyperlink"/>
          </w:rPr>
          <w:t xml:space="preserve">[13]</w:t>
        </w:r>
      </w:hyperlink>
      <w:r>
        <w:t xml:space="preserve">[14]. For the three earliest years, 2004 through 2006, the figure is back-cast below the 2015 baseline window using a transparent back-cast rule documented in the data file’s header, and each back-cast row carries the illustrative flag described in Section 4.2. The annual figures are converted to real dollars using a standard published deflator and then summed forward to produce the cumulative experience variable that enters the log-log specification.</w:t>
      </w:r>
    </w:p>
    <w:p>
      <w:pPr>
        <w:pStyle w:val="BodyText"/>
        <w:spacing w:line="480" w:lineRule="auto"/>
        <w:ind w:firstLine="720"/>
      </w:pPr>
      <w:r>
        <w:t xml:space="preserve">The log of cumulative real-dollar SSA and SDA investment, which is the experience-curve regressor proper, is the second independent variable. The transformation is mechanical once the cumulative real-dollar series is in hand, and it follows the experience-curve tradition of expressing both sides in natural logs so that the estimated slope reads as an elasticity and the implied progress ratio reads as the proportional gain per doubling of the experience base.</w:t>
      </w:r>
    </w:p>
    <w:p>
      <w:pPr>
        <w:pStyle w:val="BodyText"/>
        <w:spacing w:line="480" w:lineRule="auto"/>
        <w:ind w:firstLine="720"/>
      </w:pPr>
      <w:r>
        <w:t xml:space="preserve">The log of the catalog count, the experience-curve regressand, is the third independent variable. The transformation likewise follows the experience-curve tradition; the slope on the log of cumulative investment is the capability elasticity reported in Paper 2.</w:t>
      </w:r>
    </w:p>
    <w:p>
      <w:pPr>
        <w:pStyle w:val="BodyText"/>
        <w:spacing w:line="480" w:lineRule="auto"/>
        <w:ind w:firstLine="720"/>
      </w:pPr>
      <w:r>
        <w:t xml:space="preserve">As with Paper 1, every row in the annual panel carries a final column naming the source for both the catalog count and the budget figure, so the provenance of each annual observation is auditable to its primary record without leaving the data file.</w:t>
      </w:r>
    </w:p>
    <w:bookmarkEnd w:id="93"/>
    <w:bookmarkStart w:id="94" w:name="deflation-and-normalization-conventions"/>
    <w:p>
      <w:pPr>
        <w:pStyle w:val="Heading2"/>
        <w:spacing w:line="480" w:lineRule="auto"/>
      </w:pPr>
      <w:r>
        <w:t xml:space="preserve">4.6 Deflation and Normalization Conventions</w:t>
      </w:r>
    </w:p>
    <w:p>
      <w:pPr>
        <w:pStyle w:val="FirstParagraph"/>
        <w:spacing w:line="480" w:lineRule="auto"/>
      </w:pPr>
      <w:r>
        <w:t xml:space="preserve">Two conventions align observations across years and across architectures.</w:t>
      </w:r>
    </w:p>
    <w:p>
      <w:pPr>
        <w:pStyle w:val="BodyText"/>
        <w:spacing w:line="480" w:lineRule="auto"/>
        <w:ind w:firstLine="720"/>
      </w:pPr>
      <w:r>
        <w:t xml:space="preserve">Before cumulation, the annual budget series in Paper 2 is deflated to constant real dollars using a standard published deflator, so the cumulative experience axis is measured in a single real-dollar unit. The deflation choice is documented in the data file’s header and applies uniformly across the series. Sensitivity to the deflator choice is taken up in the robustness section below by re-running the central specification under an alternative published deflator and reporting the elasticity under both; the test is a check that the central elasticity is not an artifact of the deflator and not a substantive identification claim.</w:t>
      </w:r>
    </w:p>
    <w:p>
      <w:pPr>
        <w:pStyle w:val="BodyText"/>
        <w:spacing w:line="480" w:lineRule="auto"/>
        <w:ind w:firstLine="720"/>
      </w:pPr>
      <w:r>
        <w:t xml:space="preserve">The resource-scale signal in Paper 1 is normalized at the panel level so that one normalized unit corresponds to one small-aperture sensor node. Normalization permits comparison of configurations whose underlying papers report sensor bases in different units or at different aperture classes. The convention is fixed once at the panel level, documented in the data file’s header, and applied uniformly across rows. Section 4.8 takes up sensitivity to the normalization choice by re-running the central specification under an alternative normalization that weights nodes by representative aperture rather than by count and reporting the slope under both.</w:t>
      </w:r>
    </w:p>
    <w:p>
      <w:pPr>
        <w:pStyle w:val="BodyText"/>
        <w:spacing w:line="480" w:lineRule="auto"/>
        <w:ind w:firstLine="720"/>
      </w:pPr>
      <w:r>
        <w:t xml:space="preserve">Both conventions are kept deliberately simple. The dissertation’s central identification claims rest on the regression specifications described in Chapter 5, not on the deflation or normalization rules; the rules are documented at this length only because their auditability is part of the construction of the central variables.</w:t>
      </w:r>
    </w:p>
    <w:bookmarkEnd w:id="94"/>
    <w:bookmarkStart w:id="95" w:name="auxiliary-filters-and-flags"/>
    <w:p>
      <w:pPr>
        <w:pStyle w:val="Heading2"/>
        <w:spacing w:line="480" w:lineRule="auto"/>
      </w:pPr>
      <w:r>
        <w:t xml:space="preserve">4.7 Auxiliary Filters and Flags</w:t>
      </w:r>
    </w:p>
    <w:p>
      <w:pPr>
        <w:pStyle w:val="FirstParagraph"/>
        <w:spacing w:line="480" w:lineRule="auto"/>
      </w:pPr>
      <w:r>
        <w:t xml:space="preserve">Two auxiliary measures bound the central variables.</w:t>
      </w:r>
    </w:p>
    <w:p>
      <w:pPr>
        <w:pStyle w:val="BodyText"/>
        <w:spacing w:line="480" w:lineRule="auto"/>
        <w:ind w:firstLine="720"/>
      </w:pPr>
      <w:r>
        <w:t xml:space="preserve">The cislunar relevance filter governs admission to the architecture panel in Paper 1. A configuration is admitted only if the underlying paper’s stated mission scope reaches the cislunar volume between geosynchronous orbit and the Moon, rather than terminating at geosynchronous orbit or remaining within the near-Earth regime</w:t>
      </w:r>
      <w:r>
        <w:t xml:space="preserve"> </w:t>
      </w:r>
      <w:hyperlink w:anchor="ref-1">
        <w:r>
          <w:rPr>
            <w:rStyle w:val="Hyperlink"/>
          </w:rPr>
          <w:t xml:space="preserve">[1]</w:t>
        </w:r>
      </w:hyperlink>
      <w:r>
        <w:t xml:space="preserve">[2][3][4][5][6][9][10][12][13]. The filter is applied at the source level and documented in the audit. Three borderline cases in the broader corpus, the Magdalena Ridge Observatory interferometer commissioning record</w:t>
      </w:r>
      <w:r>
        <w:t xml:space="preserve"> </w:t>
      </w:r>
      <w:hyperlink w:anchor="ref-27">
        <w:r>
          <w:rPr>
            <w:rStyle w:val="Hyperlink"/>
          </w:rPr>
          <w:t xml:space="preserve">[27]</w:t>
        </w:r>
      </w:hyperlink>
      <w:r>
        <w:t xml:space="preserve">, the Arecibo legacy paper</w:t>
      </w:r>
      <w:r>
        <w:t xml:space="preserve"> </w:t>
      </w:r>
      <w:hyperlink w:anchor="ref-34">
        <w:r>
          <w:rPr>
            <w:rStyle w:val="Hyperlink"/>
          </w:rPr>
          <w:t xml:space="preserve">[34]</w:t>
        </w:r>
      </w:hyperlink>
      <w:r>
        <w:t xml:space="preserve">, and configurations associated with NASA Starling and the EraDrive cubesat platform</w:t>
      </w:r>
      <w:r>
        <w:t xml:space="preserve"> </w:t>
      </w:r>
      <w:hyperlink w:anchor="ref-25">
        <w:r>
          <w:rPr>
            <w:rStyle w:val="Hyperlink"/>
          </w:rPr>
          <w:t xml:space="preserve">[25]</w:t>
        </w:r>
      </w:hyperlink>
      <w:r>
        <w:t xml:space="preserve">, are excluded from the central panel because their stated mission scopes do not satisfy the filter, though they remain in the contextual layer described in Section 4.3. The filter implements the dissertation’s scoping claim that the dependent variable is cislunar coverage capability, and it ensures that Paper 1’s coefficient on the resource-scale signal is identified on configurations whose mission scope is the dissertation’s target volume.</w:t>
      </w:r>
    </w:p>
    <w:p>
      <w:pPr>
        <w:pStyle w:val="BodyText"/>
        <w:spacing w:line="480" w:lineRule="auto"/>
        <w:ind w:firstLine="720"/>
      </w:pPr>
      <w:r>
        <w:t xml:space="preserve">The back-cast flag governs admission to the annual panel in Paper 2. The three earliest years of the panel, 2004 through 2006, carry an explicit back-cast budget figure constructed under the rule documented in the data file’s header</w:t>
      </w:r>
      <w:r>
        <w:t xml:space="preserve"> </w:t>
      </w:r>
      <w:hyperlink w:anchor="ref-12">
        <w:r>
          <w:rPr>
            <w:rStyle w:val="Hyperlink"/>
          </w:rPr>
          <w:t xml:space="preserve">[12]</w:t>
        </w:r>
      </w:hyperlink>
      <w:r>
        <w:t xml:space="preserve">[13]. Each back-cast row is flagged, and the flag persists into the audit so that any reader can confirm at a glance which annual budget figures are direct anchors to a published source and which are back-cast below the 2015 baseline window. The back-cast share, under fourteen percent of the panel, is small enough that the central elasticity reported in Paper 2 is not driven by the back-cast rows; Section 4.8 documents the planned sensitivity analysis in which the central specification is re-run with the back-cast rows omitted and the elasticity compared.</w:t>
      </w:r>
    </w:p>
    <w:bookmarkEnd w:id="95"/>
    <w:bookmarkStart w:id="96" w:name="measurement-threats-and-robustness"/>
    <w:p>
      <w:pPr>
        <w:pStyle w:val="Heading2"/>
        <w:spacing w:line="480" w:lineRule="auto"/>
      </w:pPr>
      <w:r>
        <w:t xml:space="preserve">4.8 Measurement Threats and Robustness</w:t>
      </w:r>
    </w:p>
    <w:p>
      <w:pPr>
        <w:pStyle w:val="FirstParagraph"/>
        <w:spacing w:line="480" w:lineRule="auto"/>
      </w:pPr>
      <w:r>
        <w:t xml:space="preserve">Four measurement threats bear on the validity of the central variables.</w:t>
      </w:r>
    </w:p>
    <w:p>
      <w:pPr>
        <w:pStyle w:val="BodyText"/>
        <w:spacing w:line="480" w:lineRule="auto"/>
        <w:ind w:firstLine="720"/>
      </w:pPr>
      <w:r>
        <w:t xml:space="preserve">The short architecture-literature window is the first. The cislunar SDA capacity-based literature effectively begins in 2022</w:t>
      </w:r>
      <w:r>
        <w:t xml:space="preserve"> </w:t>
      </w:r>
      <w:hyperlink w:anchor="ref-1">
        <w:r>
          <w:rPr>
            <w:rStyle w:val="Hyperlink"/>
          </w:rPr>
          <w:t xml:space="preserve">[1]</w:t>
        </w:r>
      </w:hyperlink>
      <w:r>
        <w:t xml:space="preserve">, so the cross-section in Paper 1 is necessarily drawn from a young corpus. Paper 1 absorbs this by treating the panel as a complete enumeration of the published design space rather than a sample, and the chapter’s robustness reading is that the sensitivity analyses on normalization, placement classification, and the cislunar relevance filter are essential rather than cosmetic given the young corpus.</w:t>
      </w:r>
    </w:p>
    <w:p>
      <w:pPr>
        <w:pStyle w:val="BodyText"/>
        <w:spacing w:line="480" w:lineRule="auto"/>
        <w:ind w:firstLine="720"/>
      </w:pPr>
      <w:r>
        <w:t xml:space="preserve">The model-output character of the capability index in both papers is the second. The coverage capability in Paper 1 is a modeled quantity reported by the underlying trade studies, not an on-orbit measurement</w:t>
      </w:r>
      <w:r>
        <w:t xml:space="preserve"> </w:t>
      </w:r>
      <w:hyperlink w:anchor="ref-1">
        <w:r>
          <w:rPr>
            <w:rStyle w:val="Hyperlink"/>
          </w:rPr>
          <w:t xml:space="preserve">[1]</w:t>
        </w:r>
      </w:hyperlink>
      <w:r>
        <w:t xml:space="preserve">[3][4][5][9][10][12][13]. The catalog count in Paper 2 is a fielded measurement, yet it is dominated by the near-Earth regime rather than the cislunar volume the dissertation ultimately targets</w:t>
      </w:r>
      <w:r>
        <w:t xml:space="preserve"> </w:t>
      </w:r>
      <w:hyperlink w:anchor="ref-8">
        <w:r>
          <w:rPr>
            <w:rStyle w:val="Hyperlink"/>
          </w:rPr>
          <w:t xml:space="preserve">[8]</w:t>
        </w:r>
      </w:hyperlink>
      <w:r>
        <w:t xml:space="preserve">[9][10]. The chapter treats both as deliberate scoping choices and frames the contribution as a test of the forecasting relationship on the best available analogs of cislunar capability; the institutional-bottleneck channel is retained for the deployment gap</w:t>
      </w:r>
      <w:r>
        <w:t xml:space="preserve"> </w:t>
      </w:r>
      <w:hyperlink w:anchor="ref-7">
        <w:r>
          <w:rPr>
            <w:rStyle w:val="Hyperlink"/>
          </w:rPr>
          <w:t xml:space="preserve">[7]</w:t>
        </w:r>
      </w:hyperlink>
      <w:r>
        <w:t xml:space="preserve">.</w:t>
      </w:r>
    </w:p>
    <w:p>
      <w:pPr>
        <w:pStyle w:val="BodyText"/>
        <w:spacing w:line="480" w:lineRule="auto"/>
        <w:ind w:firstLine="720"/>
      </w:pPr>
      <w:r>
        <w:t xml:space="preserve">Reverse causation in Paper 2’s long series is the third. Demonstrated capability could in principle attract subsequent funding, which would produce a positive elasticity through a channel opposite to the one of theoretical interest. The chapter documents the directional test that bounds this threat in Paper 2’s design without anticipating its result, and it notes that the cumulative specification absorbs the smearing the institutional-bottleneck account predicts</w:t>
      </w:r>
      <w:r>
        <w:t xml:space="preserve"> </w:t>
      </w:r>
      <w:hyperlink w:anchor="ref-7">
        <w:r>
          <w:rPr>
            <w:rStyle w:val="Hyperlink"/>
          </w:rPr>
          <w:t xml:space="preserve">[7]</w:t>
        </w:r>
      </w:hyperlink>
      <w:r>
        <w:t xml:space="preserve">.</w:t>
      </w:r>
    </w:p>
    <w:p>
      <w:pPr>
        <w:pStyle w:val="BodyText"/>
        <w:spacing w:line="480" w:lineRule="auto"/>
        <w:ind w:firstLine="720"/>
      </w:pPr>
      <w:r>
        <w:t xml:space="preserve">Budget-line attribution is the fourth. SSA and SDA spending crosses multiple program elements, and the inclusion rule for the budget series in Paper 2 reflects the judgment of the GAO, the Space Foundation, and contemporary Space Force budget reporting</w:t>
      </w:r>
      <w:r>
        <w:t xml:space="preserve"> </w:t>
      </w:r>
      <w:hyperlink w:anchor="ref-12">
        <w:r>
          <w:rPr>
            <w:rStyle w:val="Hyperlink"/>
          </w:rPr>
          <w:t xml:space="preserve">[12]</w:t>
        </w:r>
      </w:hyperlink>
      <w:r>
        <w:t xml:space="preserve">[13][14]. The chapter mitigates this by reporting the results under a narrow and a broad attribution rule, with the back-cast flag preserved across both, and by retaining the Center for Strategic and International Studies acquisition-trend study as a comparator on the attribution debate</w:t>
      </w:r>
      <w:r>
        <w:t xml:space="preserve"> </w:t>
      </w:r>
      <w:hyperlink w:anchor="ref-23">
        <w:r>
          <w:rPr>
            <w:rStyle w:val="Hyperlink"/>
          </w:rPr>
          <w:t xml:space="preserve">[23]</w:t>
        </w:r>
      </w:hyperlink>
      <w:r>
        <w:t xml:space="preserve">. The aggregate-budget literature confirms that the lines are large enough to be measured but does not resolve attribution at the project level</w:t>
      </w:r>
      <w:r>
        <w:t xml:space="preserve"> </w:t>
      </w:r>
      <w:hyperlink w:anchor="ref-3">
        <w:r>
          <w:rPr>
            <w:rStyle w:val="Hyperlink"/>
          </w:rPr>
          <w:t xml:space="preserve">[3]</w:t>
        </w:r>
      </w:hyperlink>
      <w:r>
        <w:t xml:space="preserve">[11], so the sensitivity analysis on the attribution rule is treated as a necessary bound rather than an optional check.</w:t>
      </w:r>
    </w:p>
    <w:p>
      <w:pPr>
        <w:pStyle w:val="BodyText"/>
        <w:spacing w:line="480" w:lineRule="auto"/>
        <w:ind w:firstLine="720"/>
      </w:pPr>
      <w:r>
        <w:t xml:space="preserve">Across all four threats, the unifying claim of this chapter is that every observation in both panels traces to a named primary record, and that the chain of construction from primary record to analytic variable is documented inside the data file rather than narrated outside it. The auditability of the panels is therefore part of their measurement design, not a property to be demonstrated later. Every number traces home. That is the standard the analysis holds itself to.</w:t>
      </w:r>
    </w:p>
    <w:bookmarkEnd w:id="96"/>
    <w:bookmarkEnd w:id="97"/>
    <w:bookmarkStart w:id="117" w:name="chapter-5.-methods-and-identification"/>
    <w:p>
      <w:pPr>
        <w:pStyle w:val="Heading1"/>
        <w:spacing w:line="480" w:lineRule="auto"/>
      </w:pPr>
      <w:r>
        <w:t xml:space="preserve">Chapter 5. Methods and Identification</w:t>
      </w:r>
    </w:p>
    <w:bookmarkStart w:id="98" w:name="orientation-1"/>
    <w:p>
      <w:pPr>
        <w:pStyle w:val="Heading2"/>
        <w:spacing w:line="480" w:lineRule="auto"/>
      </w:pPr>
      <w:r>
        <w:t xml:space="preserve">5.1 Orientation</w:t>
      </w:r>
    </w:p>
    <w:p>
      <w:pPr>
        <w:pStyle w:val="FirstParagraph"/>
        <w:spacing w:line="480" w:lineRule="auto"/>
      </w:pPr>
      <w:r>
        <w:t xml:space="preserve">This chapter specifies the estimators that carry the dissertation’s central claim, articulates the identification logic that licenses a causal-forecast reading of the resulting coefficients, and enumerates the threats to validity together with the bounding procedures that keep each threat from displacing the inference. The argument is built so that the two complementary tests reported in the companion papers, the cross-sectional architecture regression and the long-panel learning curve, are recognizable as different functional realizations of one identification strategy rather than as independent exercises. The dynamic lagged-panel test that connects annual cislunar SDA funding to the achievable custody-capacity frontier inherits the same logic.</w:t>
      </w:r>
    </w:p>
    <w:p>
      <w:pPr>
        <w:pStyle w:val="BodyText"/>
        <w:spacing w:line="480" w:lineRule="auto"/>
        <w:ind w:firstLine="720"/>
      </w:pPr>
      <w:r>
        <w:t xml:space="preserve">All three estimators are treated here as a single, layered scheme aimed at one estimand: the lagged predictive content of cislunar SDA budget signals for demonstrated cislunar SDA capability</w:t>
      </w:r>
      <w:r>
        <w:t xml:space="preserve"> </w:t>
      </w:r>
      <w:hyperlink w:anchor="ref-1">
        <w:r>
          <w:rPr>
            <w:rStyle w:val="Hyperlink"/>
          </w:rPr>
          <w:t xml:space="preserve">[1]</w:t>
        </w:r>
      </w:hyperlink>
      <w:r>
        <w:t xml:space="preserve">[2][4].</w:t>
      </w:r>
    </w:p>
    <w:p>
      <w:pPr>
        <w:pStyle w:val="BodyText"/>
        <w:spacing w:line="480" w:lineRule="auto"/>
        <w:ind w:firstLine="720"/>
      </w:pPr>
      <w:r>
        <w:t xml:space="preserve">Four parts follow. Section 5.2 names the estimators and the parameters each is asked to identify. Section 5.3 develops the identification strategy, including the role of lag structure, directional precedence testing, and metric-choice sensitivity. Section 5.4 enumerates the threats to validity and the bound assigned to each. Section 5.5 ties the layered tests together as a coherent scheme that is robust to the specific structural weaknesses of any single estimator.</w:t>
      </w:r>
    </w:p>
    <w:bookmarkEnd w:id="98"/>
    <w:bookmarkStart w:id="102" w:name="estimators-and-estimands"/>
    <w:p>
      <w:pPr>
        <w:pStyle w:val="Heading2"/>
        <w:spacing w:line="480" w:lineRule="auto"/>
      </w:pPr>
      <w:r>
        <w:t xml:space="preserve">5.2 Estimators and Estimands</w:t>
      </w:r>
    </w:p>
    <w:bookmarkStart w:id="99" w:name="the-dynamic-lagged-panel-regression"/>
    <w:p>
      <w:pPr>
        <w:pStyle w:val="Heading3"/>
        <w:spacing w:line="480" w:lineRule="auto"/>
      </w:pPr>
      <w:r>
        <w:t xml:space="preserve">5.2.1 The dynamic lagged-panel regression</w:t>
      </w:r>
    </w:p>
    <w:p>
      <w:pPr>
        <w:pStyle w:val="FirstParagraph"/>
        <w:spacing w:line="480" w:lineRule="auto"/>
      </w:pPr>
      <w:r>
        <w:t xml:space="preserve">At the core is a dynamic, lagged regression of an annual cislunar capability index on its own lagged value, a deterministic time trend, and the cislunar SDA budget signal lagged by one through several years. The capability index is the achievable custody-capacity frontier reported by the open architecture-optimization literature for designs published in each calendar year, with the principal series anchored to the capacity-based optimization baseline established at AMOS 2022</w:t>
      </w:r>
      <w:r>
        <w:t xml:space="preserve"> </w:t>
      </w:r>
      <w:hyperlink w:anchor="ref-1">
        <w:r>
          <w:rPr>
            <w:rStyle w:val="Hyperlink"/>
          </w:rPr>
          <w:t xml:space="preserve">[1]</w:t>
        </w:r>
      </w:hyperlink>
      <w:r>
        <w:t xml:space="preserve">, the robust cooperative-agent extension at AMOS 2023</w:t>
      </w:r>
      <w:r>
        <w:t xml:space="preserve"> </w:t>
      </w:r>
      <w:hyperlink w:anchor="ref-2">
        <w:r>
          <w:rPr>
            <w:rStyle w:val="Hyperlink"/>
          </w:rPr>
          <w:t xml:space="preserve">[2]</w:t>
        </w:r>
      </w:hyperlink>
      <w:r>
        <w:t xml:space="preserve">, the comprehensive capacity treatment at AMOS 2024</w:t>
      </w:r>
      <w:r>
        <w:t xml:space="preserve"> </w:t>
      </w:r>
      <w:hyperlink w:anchor="ref-4">
        <w:r>
          <w:rPr>
            <w:rStyle w:val="Hyperlink"/>
          </w:rPr>
          <w:t xml:space="preserve">[4]</w:t>
        </w:r>
      </w:hyperlink>
      <w:r>
        <w:t xml:space="preserve">, and the model-based optical-constellation trade study published in the same cycle</w:t>
      </w:r>
      <w:r>
        <w:t xml:space="preserve"> </w:t>
      </w:r>
      <w:hyperlink w:anchor="ref-5">
        <w:r>
          <w:rPr>
            <w:rStyle w:val="Hyperlink"/>
          </w:rPr>
          <w:t xml:space="preserve">[5]</w:t>
        </w:r>
      </w:hyperlink>
      <w:r>
        <w:t xml:space="preserve">. The budget signal is the real-dollar cislunar-relevant component of the publicly available NASA program-element and appropriations record, deflated by standard published deflators and joined on fiscal year.</w:t>
      </w:r>
    </w:p>
    <w:p>
      <w:pPr>
        <w:pStyle w:val="BodyText"/>
        <w:spacing w:line="480" w:lineRule="auto"/>
        <w:ind w:firstLine="720"/>
      </w:pPr>
      <w:r>
        <w:t xml:space="preserve">The estimand is the joint significance of the lagged budget terms net of the autoregressive component and the trend. Under H0, the joint coefficient on the lagged budget terms is zero; under H1, it is positive with an estimable lead time consistent with the institutional-bottleneck account of awareness-infrastructure transmission</w:t>
      </w:r>
      <w:r>
        <w:t xml:space="preserve"> </w:t>
      </w:r>
      <w:hyperlink w:anchor="ref-7">
        <w:r>
          <w:rPr>
            <w:rStyle w:val="Hyperlink"/>
          </w:rPr>
          <w:t xml:space="preserve">[7]</w:t>
        </w:r>
      </w:hyperlink>
      <w:r>
        <w:t xml:space="preserve">. A dynamic specification is chosen over a static contemporaneous regression because both series are expected to rise together as the cislunar field matures, and a static specification cannot separate that shared maturation from a genuine forecast relationship. Lagging the budget signal and including the autoregressive term puts the burden on the budget series to carry predictive information beyond what the capability series already encodes about its own trajectory.</w:t>
      </w:r>
    </w:p>
    <w:bookmarkEnd w:id="99"/>
    <w:bookmarkStart w:id="100" w:name="Xd87c05bc4578adbdc43b4419cdfc1c7f40af272"/>
    <w:p>
      <w:pPr>
        <w:pStyle w:val="Heading3"/>
        <w:spacing w:line="480" w:lineRule="auto"/>
      </w:pPr>
      <w:r>
        <w:t xml:space="preserve">5.2.2 The cross-sectional architecture regression</w:t>
      </w:r>
    </w:p>
    <w:p>
      <w:pPr>
        <w:pStyle w:val="FirstParagraph"/>
        <w:spacing w:line="480" w:lineRule="auto"/>
      </w:pPr>
      <w:r>
        <w:t xml:space="preserve">Second is the cross-sectional ordinary-least-squares model reported in the first companion paper, in which modeled cislunar coverage capability in percent is regressed on a normalized resource-scale budget signal, a space-based placement indicator, and aperture in meters, with heteroskedasticity-robust HC1 standard errors. The dataset assembles published cislunar and lunar SDA trade studies presented at AMOS together with anchors from fielded and funded programs, including capacity-based architecture optimization</w:t>
      </w:r>
      <w:r>
        <w:t xml:space="preserve"> </w:t>
      </w:r>
      <w:hyperlink w:anchor="ref-1">
        <w:r>
          <w:rPr>
            <w:rStyle w:val="Hyperlink"/>
          </w:rPr>
          <w:t xml:space="preserve">[1]</w:t>
        </w:r>
      </w:hyperlink>
      <w:r>
        <w:t xml:space="preserve">, the cooperative-agent extension</w:t>
      </w:r>
      <w:r>
        <w:t xml:space="preserve"> </w:t>
      </w:r>
      <w:hyperlink w:anchor="ref-2">
        <w:r>
          <w:rPr>
            <w:rStyle w:val="Hyperlink"/>
          </w:rPr>
          <w:t xml:space="preserve">[2]</w:t>
        </w:r>
      </w:hyperlink>
      <w:r>
        <w:t xml:space="preserve">, the comprehensive capacity treatment</w:t>
      </w:r>
      <w:r>
        <w:t xml:space="preserve"> </w:t>
      </w:r>
      <w:hyperlink w:anchor="ref-4">
        <w:r>
          <w:rPr>
            <w:rStyle w:val="Hyperlink"/>
          </w:rPr>
          <w:t xml:space="preserve">[4]</w:t>
        </w:r>
      </w:hyperlink>
      <w:r>
        <w:t xml:space="preserve">, the optical-constellation trade study</w:t>
      </w:r>
      <w:r>
        <w:t xml:space="preserve"> </w:t>
      </w:r>
      <w:hyperlink w:anchor="ref-5">
        <w:r>
          <w:rPr>
            <w:rStyle w:val="Hyperlink"/>
          </w:rPr>
          <w:t xml:space="preserve">[5]</w:t>
        </w:r>
      </w:hyperlink>
      <w:r>
        <w:t xml:space="preserve">, the distributed space-based network optimization under operational cost metrics</w:t>
      </w:r>
      <w:r>
        <w:t xml:space="preserve"> </w:t>
      </w:r>
      <w:hyperlink w:anchor="ref-9">
        <w:r>
          <w:rPr>
            <w:rStyle w:val="Hyperlink"/>
          </w:rPr>
          <w:t xml:space="preserve">[9]</w:t>
        </w:r>
      </w:hyperlink>
      <w:r>
        <w:t xml:space="preserve">, the near-rectilinear-halo-orbit surveillance configuration</w:t>
      </w:r>
      <w:r>
        <w:t xml:space="preserve"> </w:t>
      </w:r>
      <w:hyperlink w:anchor="ref-10">
        <w:r>
          <w:rPr>
            <w:rStyle w:val="Hyperlink"/>
          </w:rPr>
          <w:t xml:space="preserve">[10]</w:t>
        </w:r>
      </w:hyperlink>
      <w:r>
        <w:t xml:space="preserve">, the sensor-rich lunar and cislunar solutions baseline</w:t>
      </w:r>
      <w:r>
        <w:t xml:space="preserve"> </w:t>
      </w:r>
      <w:hyperlink w:anchor="ref-12">
        <w:r>
          <w:rPr>
            <w:rStyle w:val="Hyperlink"/>
          </w:rPr>
          <w:t xml:space="preserve">[12]</w:t>
        </w:r>
      </w:hyperlink>
      <w:r>
        <w:t xml:space="preserve">, the hybrid lunar-surface and space-domain methods baseline</w:t>
      </w:r>
      <w:r>
        <w:t xml:space="preserve"> </w:t>
      </w:r>
      <w:hyperlink w:anchor="ref-13">
        <w:r>
          <w:rPr>
            <w:rStyle w:val="Hyperlink"/>
          </w:rPr>
          <w:t xml:space="preserve">[13]</w:t>
        </w:r>
      </w:hyperlink>
      <w:r>
        <w:t xml:space="preserve">, the Oracle program records</w:t>
      </w:r>
      <w:r>
        <w:t xml:space="preserve"> </w:t>
      </w:r>
      <w:hyperlink w:anchor="ref-8">
        <w:r>
          <w:rPr>
            <w:rStyle w:val="Hyperlink"/>
          </w:rPr>
          <w:t xml:space="preserve">[8]</w:t>
        </w:r>
      </w:hyperlink>
      <w:r>
        <w:t xml:space="preserve">, and the Office of Space Commerce TraCSS funding lines for the relevant fiscal years</w:t>
      </w:r>
      <w:r>
        <w:t xml:space="preserve"> </w:t>
      </w:r>
      <w:hyperlink w:anchor="ref-14">
        <w:r>
          <w:rPr>
            <w:rStyle w:val="Hyperlink"/>
          </w:rPr>
          <w:t xml:space="preserve">[14]</w:t>
        </w:r>
      </w:hyperlink>
      <w:r>
        <w:t xml:space="preserve">.</w:t>
      </w:r>
    </w:p>
    <w:p>
      <w:pPr>
        <w:pStyle w:val="BodyText"/>
        <w:spacing w:line="480" w:lineRule="auto"/>
        <w:ind w:firstLine="720"/>
      </w:pPr>
      <w:r>
        <w:t xml:space="preserve">The estimand here is the partial slope on the resource-scale budget signal, holding placement and aperture constant. It is the cross-sectional counterpart of the dynamic estimand, asking whether the budget axis carries explanatory weight once the design choices that mediate the conversion of resources into capability are removed. A statistically and economically significant slope is consistent with H1 in cross-section; an insignificant slope after design covariates would suggest the budget signal is a confounded summary of design choices rather than an independent predictor.</w:t>
      </w:r>
    </w:p>
    <w:bookmarkEnd w:id="100"/>
    <w:bookmarkStart w:id="101" w:name="the-log-log-learning-curve"/>
    <w:p>
      <w:pPr>
        <w:pStyle w:val="Heading3"/>
        <w:spacing w:line="480" w:lineRule="auto"/>
      </w:pPr>
      <w:r>
        <w:t xml:space="preserve">5.2.3 The log-log learning curve</w:t>
      </w:r>
    </w:p>
    <w:p>
      <w:pPr>
        <w:pStyle w:val="FirstParagraph"/>
        <w:spacing w:line="480" w:lineRule="auto"/>
      </w:pPr>
      <w:r>
        <w:t xml:space="preserve">Third is a log-log learning curve over a twenty-two-year annual panel, in which the natural log of the cataloged resident-space-object count is regressed on a constant and the natural log of cumulative US SSA and SDA investment, with heteroskedasticity-robust standard errors. The catalog count is drawn from the US Space Surveillance Network historical record</w:t>
      </w:r>
      <w:r>
        <w:t xml:space="preserve"> </w:t>
      </w:r>
      <w:hyperlink w:anchor="ref-15">
        <w:r>
          <w:rPr>
            <w:rStyle w:val="Hyperlink"/>
          </w:rPr>
          <w:t xml:space="preserve">[15]</w:t>
        </w:r>
      </w:hyperlink>
      <w:r>
        <w:t xml:space="preserve">, the European Space Agency Space Environment Reports</w:t>
      </w:r>
      <w:r>
        <w:t xml:space="preserve"> </w:t>
      </w:r>
      <w:hyperlink w:anchor="ref-16">
        <w:r>
          <w:rPr>
            <w:rStyle w:val="Hyperlink"/>
          </w:rPr>
          <w:t xml:space="preserve">[16]</w:t>
        </w:r>
      </w:hyperlink>
      <w:r>
        <w:t xml:space="preserve">[17], and cross-checked against CelesTrak surveillance reporting</w:t>
      </w:r>
      <w:r>
        <w:t xml:space="preserve"> </w:t>
      </w:r>
      <w:hyperlink w:anchor="ref-18">
        <w:r>
          <w:rPr>
            <w:rStyle w:val="Hyperlink"/>
          </w:rPr>
          <w:t xml:space="preserve">[18]</w:t>
        </w:r>
      </w:hyperlink>
      <w:r>
        <w:t xml:space="preserve">; the cumulative investment axis is built from the Government Accountability Office baseline figures for the FY2015 through FY2020 window</w:t>
      </w:r>
      <w:r>
        <w:t xml:space="preserve"> </w:t>
      </w:r>
      <w:hyperlink w:anchor="ref-19">
        <w:r>
          <w:rPr>
            <w:rStyle w:val="Hyperlink"/>
          </w:rPr>
          <w:t xml:space="preserve">[19]</w:t>
        </w:r>
      </w:hyperlink>
      <w:r>
        <w:t xml:space="preserve">, the Space Foundation brief on the early-2020s request cycle</w:t>
      </w:r>
      <w:r>
        <w:t xml:space="preserve"> </w:t>
      </w:r>
      <w:hyperlink w:anchor="ref-20">
        <w:r>
          <w:rPr>
            <w:rStyle w:val="Hyperlink"/>
          </w:rPr>
          <w:t xml:space="preserve">[20]</w:t>
        </w:r>
      </w:hyperlink>
      <w:r>
        <w:t xml:space="preserve">, and Space Force budget reporting for the most recent cycles</w:t>
      </w:r>
      <w:r>
        <w:t xml:space="preserve"> </w:t>
      </w:r>
      <w:hyperlink w:anchor="ref-21">
        <w:r>
          <w:rPr>
            <w:rStyle w:val="Hyperlink"/>
          </w:rPr>
          <w:t xml:space="preserve">[21]</w:t>
        </w:r>
      </w:hyperlink>
      <w:r>
        <w:t xml:space="preserve">.</w:t>
      </w:r>
    </w:p>
    <w:p>
      <w:pPr>
        <w:pStyle w:val="BodyText"/>
        <w:spacing w:line="480" w:lineRule="auto"/>
        <w:ind w:firstLine="720"/>
      </w:pPr>
      <w:r>
        <w:t xml:space="preserve">The estimand is the slope of log custody capacity on log cumulative investment, the capability elasticity. A positive, precisely estimated elasticity below unity is consistent with a frictional but real budget-to-capability transmission; the corresponding progress ratio, two raised to the slope, expresses the proportional custody gain per doubling of the cumulative experience base. This functional form differs deliberately from the dynamic specification. Where the dynamic regression isolates marginal predictive content of annual budget changes net of a trend, the learning curve asks whether the accumulated stock of investment and the realized catalog stand in a stable power-law relationship across the full history.</w:t>
      </w:r>
    </w:p>
    <w:bookmarkEnd w:id="101"/>
    <w:bookmarkEnd w:id="102"/>
    <w:bookmarkStart w:id="107" w:name="identification-strategy"/>
    <w:p>
      <w:pPr>
        <w:pStyle w:val="Heading2"/>
        <w:spacing w:line="480" w:lineRule="auto"/>
      </w:pPr>
      <w:r>
        <w:t xml:space="preserve">5.3 Identification Strategy</w:t>
      </w:r>
    </w:p>
    <w:bookmarkStart w:id="103" w:name="X9f1af3c2aef26e4e4592cf11b088771745e9493"/>
    <w:p>
      <w:pPr>
        <w:pStyle w:val="Heading3"/>
        <w:spacing w:line="480" w:lineRule="auto"/>
      </w:pPr>
      <w:r>
        <w:t xml:space="preserve">5.3.1 The shared-maturation confound and its removal</w:t>
      </w:r>
    </w:p>
    <w:p>
      <w:pPr>
        <w:pStyle w:val="FirstParagraph"/>
        <w:spacing w:line="480" w:lineRule="auto"/>
      </w:pPr>
      <w:r>
        <w:t xml:space="preserve">At the center of the identification problem is the possibility that both series rise together because the cislunar SDA field is maturing across the sample window, not because budget signals causally precede capability gains. Architecture-optimization formulations have matured from capacity-based baselines</w:t>
      </w:r>
      <w:r>
        <w:t xml:space="preserve"> </w:t>
      </w:r>
      <w:hyperlink w:anchor="ref-1">
        <w:r>
          <w:rPr>
            <w:rStyle w:val="Hyperlink"/>
          </w:rPr>
          <w:t xml:space="preserve">[1]</w:t>
        </w:r>
      </w:hyperlink>
      <w:r>
        <w:t xml:space="preserve"> </w:t>
      </w:r>
      <w:r>
        <w:t xml:space="preserve">through cooperative-agent extensions</w:t>
      </w:r>
      <w:r>
        <w:t xml:space="preserve"> </w:t>
      </w:r>
      <w:hyperlink w:anchor="ref-2">
        <w:r>
          <w:rPr>
            <w:rStyle w:val="Hyperlink"/>
          </w:rPr>
          <w:t xml:space="preserve">[2]</w:t>
        </w:r>
      </w:hyperlink>
      <w:r>
        <w:t xml:space="preserve"> </w:t>
      </w:r>
      <w:r>
        <w:t xml:space="preserve">to comprehensive capacity treatments</w:t>
      </w:r>
      <w:r>
        <w:t xml:space="preserve"> </w:t>
      </w:r>
      <w:hyperlink w:anchor="ref-4">
        <w:r>
          <w:rPr>
            <w:rStyle w:val="Hyperlink"/>
          </w:rPr>
          <w:t xml:space="preserve">[4]</w:t>
        </w:r>
      </w:hyperlink>
      <w:r>
        <w:t xml:space="preserve">, and the fielded program landscape has matured in parallel with Oracle</w:t>
      </w:r>
      <w:r>
        <w:t xml:space="preserve"> </w:t>
      </w:r>
      <w:hyperlink w:anchor="ref-8">
        <w:r>
          <w:rPr>
            <w:rStyle w:val="Hyperlink"/>
          </w:rPr>
          <w:t xml:space="preserve">[8]</w:t>
        </w:r>
      </w:hyperlink>
      <w:r>
        <w:t xml:space="preserve">, TraCSS</w:t>
      </w:r>
      <w:r>
        <w:t xml:space="preserve"> </w:t>
      </w:r>
      <w:hyperlink w:anchor="ref-14">
        <w:r>
          <w:rPr>
            <w:rStyle w:val="Hyperlink"/>
          </w:rPr>
          <w:t xml:space="preserve">[14]</w:t>
        </w:r>
      </w:hyperlink>
      <w:r>
        <w:t xml:space="preserve">, and the broader SSA acquisition trends documented in the policy literature</w:t>
      </w:r>
      <w:r>
        <w:t xml:space="preserve"> </w:t>
      </w:r>
      <w:hyperlink w:anchor="ref-23">
        <w:r>
          <w:rPr>
            <w:rStyle w:val="Hyperlink"/>
          </w:rPr>
          <w:t xml:space="preserve">[23]</w:t>
        </w:r>
      </w:hyperlink>
      <w:r>
        <w:t xml:space="preserve">. A naive contemporaneous regression would attribute this shared maturation to whichever variable is placed on the right-hand side.</w:t>
      </w:r>
    </w:p>
    <w:p>
      <w:pPr>
        <w:pStyle w:val="BodyText"/>
        <w:spacing w:line="480" w:lineRule="auto"/>
        <w:ind w:firstLine="720"/>
      </w:pPr>
      <w:r>
        <w:t xml:space="preserve">Three layered moves let the dynamic specification address the confound. First, the lag of the dependent variable absorbs the autoregressive component of capability maturation, so the budget coefficients are identified from movements in capability that capability’s own past does not predict. Second, a deterministic time trend absorbs the residual common drift, so the budget coefficients are identified from movements in capability that are orthogonal to a linear maturation path. Third, only lagged budget terms enter the right-hand side, so the identification is restricted to forward-in-time predictive content rather than contemporaneous comovement. Together the three moves impose a high bar.</w:t>
      </w:r>
    </w:p>
    <w:p>
      <w:pPr>
        <w:pStyle w:val="BodyText"/>
        <w:spacing w:line="480" w:lineRule="auto"/>
        <w:ind w:firstLine="720"/>
      </w:pPr>
      <w:r>
        <w:t xml:space="preserve">Budget must predict capability after capability’s own history and a maturation trend are already in the model. Whatever forecastable content survives that filter is content the trend cannot manufacture.</w:t>
      </w:r>
    </w:p>
    <w:bookmarkEnd w:id="103"/>
    <w:bookmarkStart w:id="104" w:name="X1f74507dc992e7e8bba47c55655c5c60b90632c"/>
    <w:p>
      <w:pPr>
        <w:pStyle w:val="Heading3"/>
        <w:spacing w:line="480" w:lineRule="auto"/>
      </w:pPr>
      <w:r>
        <w:t xml:space="preserve">5.3.2 Directional precedence and reverse-causation defense</w:t>
      </w:r>
    </w:p>
    <w:p>
      <w:pPr>
        <w:pStyle w:val="FirstParagraph"/>
        <w:spacing w:line="480" w:lineRule="auto"/>
      </w:pPr>
      <w:r>
        <w:t xml:space="preserve">Granger-style precedence tests the lead-lag structure directionally, and direction is the whole game.</w:t>
      </w:r>
    </w:p>
    <w:p>
      <w:pPr>
        <w:pStyle w:val="BodyText"/>
        <w:spacing w:line="480" w:lineRule="auto"/>
        <w:ind w:firstLine="720"/>
      </w:pPr>
      <w:r>
        <w:t xml:space="preserve">The forecast claim requires that budget Granger-cause capability; symmetrically, the reverse-causation alternative requires that capability Granger-cause budget. If the data show budget precedence without capability precedence, the result is consistent with H1 and inconsistent with the rival reading that demonstrated capability pulls in later funding. The institutional-bottleneck account predicts a positive lag of more than one year</w:t>
      </w:r>
      <w:r>
        <w:t xml:space="preserve"> </w:t>
      </w:r>
      <w:hyperlink w:anchor="ref-7">
        <w:r>
          <w:rPr>
            <w:rStyle w:val="Hyperlink"/>
          </w:rPr>
          <w:t xml:space="preserve">[7]</w:t>
        </w:r>
      </w:hyperlink>
      <w:r>
        <w:t xml:space="preserve">, which gives a sharp, pre-registered prediction on lag length and turns the direction of precedence into a falsifying instrument rather than an exploratory diagnostic.</w:t>
      </w:r>
    </w:p>
    <w:p>
      <w:pPr>
        <w:pStyle w:val="BodyText"/>
        <w:spacing w:line="480" w:lineRule="auto"/>
        <w:ind w:firstLine="720"/>
      </w:pPr>
      <w:r>
        <w:t xml:space="preserve">The cross-sectional architecture regression contributes to the same identification by removing the design-mediated channels that would otherwise let the budget signal proxy for placement or optics. Placement and aperture are not nuisance controls in the routine sense; they are exactly the variables through which an architecture converts dollars into capability</w:t>
      </w:r>
      <w:r>
        <w:t xml:space="preserve"> </w:t>
      </w:r>
      <w:hyperlink w:anchor="ref-4">
        <w:r>
          <w:rPr>
            <w:rStyle w:val="Hyperlink"/>
          </w:rPr>
          <w:t xml:space="preserve">[4]</w:t>
        </w:r>
      </w:hyperlink>
      <w:r>
        <w:t xml:space="preserve">[5][9], and conditioning on them isolates a partial slope on resource scale that is harder to dismiss as a confounded design effect. The learning curve contributes by integrating over the lag distribution that defeats a purely contemporaneous regression: cumulating the budget series is equivalent to smearing the annual signal across an unknown lag kernel, so a tight power-law fit indicates that the integrated transmission is stable even when the per-year lag structure is not known exactly</w:t>
      </w:r>
      <w:r>
        <w:t xml:space="preserve"> </w:t>
      </w:r>
      <w:hyperlink w:anchor="ref-3">
        <w:r>
          <w:rPr>
            <w:rStyle w:val="Hyperlink"/>
          </w:rPr>
          <w:t xml:space="preserve">[3]</w:t>
        </w:r>
      </w:hyperlink>
      <w:r>
        <w:t xml:space="preserve">[11].</w:t>
      </w:r>
    </w:p>
    <w:bookmarkEnd w:id="104"/>
    <w:bookmarkStart w:id="105" w:name="metric-choice-sensitivity"/>
    <w:p>
      <w:pPr>
        <w:pStyle w:val="Heading3"/>
        <w:spacing w:line="480" w:lineRule="auto"/>
      </w:pPr>
      <w:r>
        <w:t xml:space="preserve">5.3.3 Metric-choice sensitivity</w:t>
      </w:r>
    </w:p>
    <w:p>
      <w:pPr>
        <w:pStyle w:val="FirstParagraph"/>
        <w:spacing w:line="480" w:lineRule="auto"/>
      </w:pPr>
      <w:r>
        <w:t xml:space="preserve">Because the capability index is itself a model output, the identification strategy includes a sensitivity analysis across alternative custody-capacity definitions drawn from the architecture-optimization and trade-study literature</w:t>
      </w:r>
      <w:r>
        <w:t xml:space="preserve"> </w:t>
      </w:r>
      <w:hyperlink w:anchor="ref-4">
        <w:r>
          <w:rPr>
            <w:rStyle w:val="Hyperlink"/>
          </w:rPr>
          <w:t xml:space="preserve">[4]</w:t>
        </w:r>
      </w:hyperlink>
      <w:r>
        <w:t xml:space="preserve">[2]. The principal series uses the volume-fraction custody metric reported in the capacity-based and comprehensive-capacity papers</w:t>
      </w:r>
      <w:r>
        <w:t xml:space="preserve"> </w:t>
      </w:r>
      <w:hyperlink w:anchor="ref-1">
        <w:r>
          <w:rPr>
            <w:rStyle w:val="Hyperlink"/>
          </w:rPr>
          <w:t xml:space="preserve">[1]</w:t>
        </w:r>
      </w:hyperlink>
      <w:r>
        <w:t xml:space="preserve">[4]; the sensitivity series uses the trajectory-fraction custody metric that the cooperative-agent and constellation trade studies report alongside coverage</w:t>
      </w:r>
      <w:r>
        <w:t xml:space="preserve"> </w:t>
      </w:r>
      <w:hyperlink w:anchor="ref-2">
        <w:r>
          <w:rPr>
            <w:rStyle w:val="Hyperlink"/>
          </w:rPr>
          <w:t xml:space="preserve">[2]</w:t>
        </w:r>
      </w:hyperlink>
      <w:r>
        <w:t xml:space="preserve">[5]. For the result to be reported as a budget-to-capability inference rather than as a metric-specific artifact, the directional finding must hold across both metrics. The adaptive sensor-tasking literature offers a further check by reporting throughput-based custody indicators for non-cooperative targets, against which the metric-choice sensitivity can be benchmarked</w:t>
      </w:r>
      <w:r>
        <w:t xml:space="preserve"> </w:t>
      </w:r>
      <w:hyperlink w:anchor="ref-6">
        <w:r>
          <w:rPr>
            <w:rStyle w:val="Hyperlink"/>
          </w:rPr>
          <w:t xml:space="preserve">[6]</w:t>
        </w:r>
      </w:hyperlink>
      <w:r>
        <w:t xml:space="preserve">.</w:t>
      </w:r>
    </w:p>
    <w:p>
      <w:pPr>
        <w:pStyle w:val="BodyText"/>
        <w:spacing w:line="480" w:lineRule="auto"/>
        <w:ind w:firstLine="720"/>
      </w:pPr>
      <w:r>
        <w:t xml:space="preserve">A parallel metric-choice sensitivity applies to the learning-curve estimator. The cataloged-object count is the principal output, but it is also re-estimated with the residual fragmentation generations stripped to confirm that the elasticity is not driven by the 2007 and 2009 events that dominate certain segments of the catalog history</w:t>
      </w:r>
      <w:r>
        <w:t xml:space="preserve"> </w:t>
      </w:r>
      <w:hyperlink w:anchor="ref-16">
        <w:r>
          <w:rPr>
            <w:rStyle w:val="Hyperlink"/>
          </w:rPr>
          <w:t xml:space="preserve">[16]</w:t>
        </w:r>
      </w:hyperlink>
      <w:r>
        <w:t xml:space="preserve">[17][18]. Robustness across these alternative dependent-variable constructions is the empirical analog of the directional-precedence requirement, and it is treated as a precondition for reporting the elasticity as a forecasting summary</w:t>
      </w:r>
      <w:r>
        <w:t xml:space="preserve"> </w:t>
      </w:r>
      <w:hyperlink w:anchor="ref-3">
        <w:r>
          <w:rPr>
            <w:rStyle w:val="Hyperlink"/>
          </w:rPr>
          <w:t xml:space="preserve">[3]</w:t>
        </w:r>
      </w:hyperlink>
      <w:r>
        <w:t xml:space="preserve">[11].</w:t>
      </w:r>
    </w:p>
    <w:bookmarkEnd w:id="105"/>
    <w:bookmarkStart w:id="106" w:name="budget-attribution-sensitivity"/>
    <w:p>
      <w:pPr>
        <w:pStyle w:val="Heading3"/>
        <w:spacing w:line="480" w:lineRule="auto"/>
      </w:pPr>
      <w:r>
        <w:t xml:space="preserve">5.3.4 Budget-attribution sensitivity</w:t>
      </w:r>
    </w:p>
    <w:p>
      <w:pPr>
        <w:pStyle w:val="FirstParagraph"/>
        <w:spacing w:line="480" w:lineRule="auto"/>
      </w:pPr>
      <w:r>
        <w:t xml:space="preserve">The budget signal itself is constructed under a transparent inclusion rule, because cislunar SDA is funded across multiple program elements and a single appropriations line does not exist. The identification strategy reports results under a narrow attribution restricted to program elements that name cislunar SDA explicitly, and a broad attribution that includes adjacent SSA, SDA, and space-traffic-coordination lines from the documented program landscape</w:t>
      </w:r>
      <w:r>
        <w:t xml:space="preserve"> </w:t>
      </w:r>
      <w:hyperlink w:anchor="ref-14">
        <w:r>
          <w:rPr>
            <w:rStyle w:val="Hyperlink"/>
          </w:rPr>
          <w:t xml:space="preserve">[14]</w:t>
        </w:r>
      </w:hyperlink>
      <w:r>
        <w:t xml:space="preserve">[19][20][21][23]. For the directional and significance findings to stand, they must hold under both attributions; a result that depends on the broad attribution alone is reported as attribution-contingent and not as the central inference. The aggregate space-economy literature confirms that government space budgets are large and trackable as a class without resolving attribution at the project level</w:t>
      </w:r>
      <w:r>
        <w:t xml:space="preserve"> </w:t>
      </w:r>
      <w:hyperlink w:anchor="ref-3">
        <w:r>
          <w:rPr>
            <w:rStyle w:val="Hyperlink"/>
          </w:rPr>
          <w:t xml:space="preserve">[3]</w:t>
        </w:r>
      </w:hyperlink>
      <w:r>
        <w:t xml:space="preserve">[11], which is what makes the dual-attribution exercise essential rather than cosmetic.</w:t>
      </w:r>
    </w:p>
    <w:bookmarkEnd w:id="106"/>
    <w:bookmarkEnd w:id="107"/>
    <w:bookmarkStart w:id="115" w:name="threats-to-validity"/>
    <w:p>
      <w:pPr>
        <w:pStyle w:val="Heading2"/>
        <w:spacing w:line="480" w:lineRule="auto"/>
      </w:pPr>
      <w:r>
        <w:t xml:space="preserve">5.4 Threats to Validity</w:t>
      </w:r>
    </w:p>
    <w:bookmarkStart w:id="108" w:name="sample-length"/>
    <w:p>
      <w:pPr>
        <w:pStyle w:val="Heading3"/>
        <w:spacing w:line="480" w:lineRule="auto"/>
      </w:pPr>
      <w:r>
        <w:t xml:space="preserve">5.4.1 Sample length</w:t>
      </w:r>
    </w:p>
    <w:p>
      <w:pPr>
        <w:pStyle w:val="FirstParagraph"/>
        <w:spacing w:line="480" w:lineRule="auto"/>
      </w:pPr>
      <w:r>
        <w:t xml:space="preserve">Because the cislunar-SDA capacity literature effectively begins with the capacity-based optimization baseline at AMOS 2022</w:t>
      </w:r>
      <w:r>
        <w:t xml:space="preserve"> </w:t>
      </w:r>
      <w:hyperlink w:anchor="ref-1">
        <w:r>
          <w:rPr>
            <w:rStyle w:val="Hyperlink"/>
          </w:rPr>
          <w:t xml:space="preserve">[1]</w:t>
        </w:r>
      </w:hyperlink>
      <w:r>
        <w:t xml:space="preserve">, the dependent-variable time series for the dynamic specification is short. A short series limits statistical power and makes asymptotic inference unreliable. The bound assigned to this threat is a deliberate move to a parsimonious specification with a small lag order, explicit reporting of confidence intervals rather than reliance on asymptotic significance, and triangulation against the long-panel learning-curve estimator that runs from 2004 through 2025 and is not subject to the same length constraint</w:t>
      </w:r>
      <w:r>
        <w:t xml:space="preserve"> </w:t>
      </w:r>
      <w:hyperlink w:anchor="ref-15">
        <w:r>
          <w:rPr>
            <w:rStyle w:val="Hyperlink"/>
          </w:rPr>
          <w:t xml:space="preserve">[15]</w:t>
        </w:r>
      </w:hyperlink>
      <w:r>
        <w:t xml:space="preserve">[19]. The learning curve cannot substitute for the cislunar-specific test, because it uses the general resident-space-object catalog as its capability proxy</w:t>
      </w:r>
      <w:r>
        <w:t xml:space="preserve"> </w:t>
      </w:r>
      <w:hyperlink w:anchor="ref-16">
        <w:r>
          <w:rPr>
            <w:rStyle w:val="Hyperlink"/>
          </w:rPr>
          <w:t xml:space="preserve">[16]</w:t>
        </w:r>
      </w:hyperlink>
      <w:r>
        <w:t xml:space="preserve">[17][18], but it can confirm that the budget-to-capability transmission has the predicted shape over a window in which power is not an issue.</w:t>
      </w:r>
    </w:p>
    <w:bookmarkEnd w:id="108"/>
    <w:bookmarkStart w:id="109" w:name="Xc4b935143296dd02b8c95a1e85d70b10c4a5498"/>
    <w:p>
      <w:pPr>
        <w:pStyle w:val="Heading3"/>
        <w:spacing w:line="480" w:lineRule="auto"/>
      </w:pPr>
      <w:r>
        <w:t xml:space="preserve">5.4.2 Model-output capability versus fielded capability</w:t>
      </w:r>
    </w:p>
    <w:p>
      <w:pPr>
        <w:pStyle w:val="FirstParagraph"/>
        <w:spacing w:line="480" w:lineRule="auto"/>
      </w:pPr>
      <w:r>
        <w:t xml:space="preserve">The dependent variable in the dynamic specification is the achievable custody-capacity frontier reported by the open architecture-optimization literature</w:t>
      </w:r>
      <w:r>
        <w:t xml:space="preserve"> </w:t>
      </w:r>
      <w:hyperlink w:anchor="ref-1">
        <w:r>
          <w:rPr>
            <w:rStyle w:val="Hyperlink"/>
          </w:rPr>
          <w:t xml:space="preserve">[1]</w:t>
        </w:r>
      </w:hyperlink>
      <w:r>
        <w:t xml:space="preserve">[2][4], which is a model output rather than a fielded measurement. The contribution is therefore framed as a test of funding against demonstrated design capability rather than against deployed custody. The deployment gap is acknowledged through the institutional-bottleneck channel</w:t>
      </w:r>
      <w:r>
        <w:t xml:space="preserve"> </w:t>
      </w:r>
      <w:hyperlink w:anchor="ref-7">
        <w:r>
          <w:rPr>
            <w:rStyle w:val="Hyperlink"/>
          </w:rPr>
          <w:t xml:space="preserve">[7]</w:t>
        </w:r>
      </w:hyperlink>
      <w:r>
        <w:t xml:space="preserve">, which predicts that fielded capability lags design capability by a positive interval set by program implementation frictions. Providing the complementary fielded measurement is the learning curve: the cataloged-object count is the realized analog of the architecture-optimization frontier, and the two estimators together cover both the design and the deployment sides of the transmission</w:t>
      </w:r>
      <w:r>
        <w:t xml:space="preserve"> </w:t>
      </w:r>
      <w:hyperlink w:anchor="ref-16">
        <w:r>
          <w:rPr>
            <w:rStyle w:val="Hyperlink"/>
          </w:rPr>
          <w:t xml:space="preserve">[16]</w:t>
        </w:r>
      </w:hyperlink>
      <w:r>
        <w:t xml:space="preserve">[17][18]. The bound on this threat is therefore the requirement that the directional finding hold in both the modeled and the fielded analog before it is reported as an inference about the budget-to-capability link writ large.</w:t>
      </w:r>
    </w:p>
    <w:bookmarkEnd w:id="109"/>
    <w:bookmarkStart w:id="110" w:name="reverse-causation"/>
    <w:p>
      <w:pPr>
        <w:pStyle w:val="Heading3"/>
        <w:spacing w:line="480" w:lineRule="auto"/>
      </w:pPr>
      <w:r>
        <w:t xml:space="preserve">5.4.3 Reverse causation</w:t>
      </w:r>
    </w:p>
    <w:p>
      <w:pPr>
        <w:pStyle w:val="FirstParagraph"/>
        <w:spacing w:line="480" w:lineRule="auto"/>
      </w:pPr>
      <w:r>
        <w:t xml:space="preserve">Reverse causation is a substantive threat.</w:t>
      </w:r>
    </w:p>
    <w:p>
      <w:pPr>
        <w:pStyle w:val="BodyText"/>
        <w:spacing w:line="480" w:lineRule="auto"/>
        <w:ind w:firstLine="720"/>
      </w:pPr>
      <w:r>
        <w:t xml:space="preserve">It cannot be waved away. Visible capability demonstrations, including Oracle on-orbit results</w:t>
      </w:r>
      <w:r>
        <w:t xml:space="preserve"> </w:t>
      </w:r>
      <w:hyperlink w:anchor="ref-8">
        <w:r>
          <w:rPr>
            <w:rStyle w:val="Hyperlink"/>
          </w:rPr>
          <w:t xml:space="preserve">[8]</w:t>
        </w:r>
      </w:hyperlink>
      <w:r>
        <w:t xml:space="preserve">, the maturation of TraCSS</w:t>
      </w:r>
      <w:r>
        <w:t xml:space="preserve"> </w:t>
      </w:r>
      <w:hyperlink w:anchor="ref-14">
        <w:r>
          <w:rPr>
            <w:rStyle w:val="Hyperlink"/>
          </w:rPr>
          <w:t xml:space="preserve">[14]</w:t>
        </w:r>
      </w:hyperlink>
      <w:r>
        <w:t xml:space="preserve">, and the published architecture-optimization advances</w:t>
      </w:r>
      <w:r>
        <w:t xml:space="preserve"> </w:t>
      </w:r>
      <w:hyperlink w:anchor="ref-1">
        <w:r>
          <w:rPr>
            <w:rStyle w:val="Hyperlink"/>
          </w:rPr>
          <w:t xml:space="preserve">[1]</w:t>
        </w:r>
      </w:hyperlink>
      <w:r>
        <w:t xml:space="preserve">[2][4][5], could plausibly attract subsequent funding rather than the funding having produced them. The Granger-precedence test in Section 5.3.2 is the direct defense, and the pre-registered prediction is that budget precede capability with a lag of more than one year. A finding that capability Granger-causes budget would itself falsify H1 in the form claimed, and the report would say so plainly. The cross-sectional architecture regression carries a complementary defense, because the resource-scale budget signal in that estimator is constructed from the sensor base committed by each architecture rather than from a backward-looking appropriations line, so a reverse-causal reading would have to operate through ex ante design choices rather than ex post funding adjustments</w:t>
      </w:r>
      <w:r>
        <w:t xml:space="preserve"> </w:t>
      </w:r>
      <w:hyperlink w:anchor="ref-9">
        <w:r>
          <w:rPr>
            <w:rStyle w:val="Hyperlink"/>
          </w:rPr>
          <w:t xml:space="preserve">[9]</w:t>
        </w:r>
      </w:hyperlink>
      <w:r>
        <w:t xml:space="preserve">[10][12][13].</w:t>
      </w:r>
    </w:p>
    <w:bookmarkEnd w:id="110"/>
    <w:bookmarkStart w:id="111" w:name="budget-attribution-judgment"/>
    <w:p>
      <w:pPr>
        <w:pStyle w:val="Heading3"/>
        <w:spacing w:line="480" w:lineRule="auto"/>
      </w:pPr>
      <w:r>
        <w:t xml:space="preserve">5.4.4 Budget-attribution judgment</w:t>
      </w:r>
    </w:p>
    <w:p>
      <w:pPr>
        <w:pStyle w:val="FirstParagraph"/>
        <w:spacing w:line="480" w:lineRule="auto"/>
      </w:pPr>
      <w:r>
        <w:t xml:space="preserve">Attribution of the budget line is judgment-laden, because cislunar SDA is funded across multiple program elements. The identification strategy already builds a dual-attribution sensitivity into the design</w:t>
      </w:r>
      <w:r>
        <w:t xml:space="preserve"> </w:t>
      </w:r>
      <w:hyperlink w:anchor="ref-14">
        <w:r>
          <w:rPr>
            <w:rStyle w:val="Hyperlink"/>
          </w:rPr>
          <w:t xml:space="preserve">[14]</w:t>
        </w:r>
      </w:hyperlink>
      <w:r>
        <w:t xml:space="preserve">[19][20][21][23], but the residual threat is that even the broad attribution misses lines that nominally fund non-cislunar SSA but in practice contribute to cislunar capability. The bound assigned is the transparent reporting of the inclusion rule, the auditable provenance chain for every observation, and the explicit statement that any result conditional on the broad attribution is reported as conditional rather than as the central inference. The acquisition-trends literature documents that SSA spending decisions are inherently distributed across program elements</w:t>
      </w:r>
      <w:r>
        <w:t xml:space="preserve"> </w:t>
      </w:r>
      <w:hyperlink w:anchor="ref-23">
        <w:r>
          <w:rPr>
            <w:rStyle w:val="Hyperlink"/>
          </w:rPr>
          <w:t xml:space="preserve">[23]</w:t>
        </w:r>
      </w:hyperlink>
      <w:r>
        <w:t xml:space="preserve">, so the attribution problem is structural rather than analyst-specific.</w:t>
      </w:r>
    </w:p>
    <w:bookmarkEnd w:id="111"/>
    <w:bookmarkStart w:id="112" w:name="adjacent-domain-confounding"/>
    <w:p>
      <w:pPr>
        <w:pStyle w:val="Heading3"/>
        <w:spacing w:line="480" w:lineRule="auto"/>
      </w:pPr>
      <w:r>
        <w:t xml:space="preserve">5.4.5 Adjacent-domain confounding</w:t>
      </w:r>
    </w:p>
    <w:p>
      <w:pPr>
        <w:pStyle w:val="FirstParagraph"/>
        <w:spacing w:line="480" w:lineRule="auto"/>
      </w:pPr>
      <w:r>
        <w:t xml:space="preserve">The cislunar SDA budget signal may co-move with adjacent investment in ground-based and space-based SSA infrastructure that contributes to capability through indirect channels. Radar and optical assets that nominally serve near-Earth catalogs can contribute to cislunar tracking under certain geometries</w:t>
      </w:r>
      <w:r>
        <w:t xml:space="preserve"> </w:t>
      </w:r>
      <w:hyperlink w:anchor="ref-24">
        <w:r>
          <w:rPr>
            <w:rStyle w:val="Hyperlink"/>
          </w:rPr>
          <w:t xml:space="preserve">[24]</w:t>
        </w:r>
      </w:hyperlink>
      <w:r>
        <w:t xml:space="preserve">[27][34], thermospheric-density and ionospheric inputs improve the orbit determination that underwrites custody at high altitude</w:t>
      </w:r>
      <w:r>
        <w:t xml:space="preserve"> </w:t>
      </w:r>
      <w:hyperlink w:anchor="ref-22">
        <w:r>
          <w:rPr>
            <w:rStyle w:val="Hyperlink"/>
          </w:rPr>
          <w:t xml:space="preserve">[22]</w:t>
        </w:r>
      </w:hyperlink>
      <w:r>
        <w:t xml:space="preserve">[32], and adjacent investments in cubesat and small-satellite SSA platforms have observable consequences for the architecture frontier</w:t>
      </w:r>
      <w:r>
        <w:t xml:space="preserve"> </w:t>
      </w:r>
      <w:hyperlink w:anchor="ref-25">
        <w:r>
          <w:rPr>
            <w:rStyle w:val="Hyperlink"/>
          </w:rPr>
          <w:t xml:space="preserve">[25]</w:t>
        </w:r>
      </w:hyperlink>
      <w:r>
        <w:t xml:space="preserve">[26]. The bound assigned to this threat is the metric-choice sensitivity in Section 5.3.3, which requires the directional finding to hold across capacity definitions that weight the cislunar-specific volume differently, together with the dual-attribution sensitivity in Section 5.3.4. International programs of record provide a further reference point against which adjacent-domain confounding can be assessed, because the EU SST research-and-development plan documents an analogous distributed-attribution structure</w:t>
      </w:r>
      <w:r>
        <w:t xml:space="preserve"> </w:t>
      </w:r>
      <w:hyperlink w:anchor="ref-29">
        <w:r>
          <w:rPr>
            <w:rStyle w:val="Hyperlink"/>
          </w:rPr>
          <w:t xml:space="preserve">[29]</w:t>
        </w:r>
      </w:hyperlink>
      <w:r>
        <w:t xml:space="preserve"> </w:t>
      </w:r>
      <w:r>
        <w:t xml:space="preserve">and the cislunar-fragmentation monitoring literature documents the geometric reasons why adjacent assets matter</w:t>
      </w:r>
      <w:r>
        <w:t xml:space="preserve"> </w:t>
      </w:r>
      <w:hyperlink w:anchor="ref-30">
        <w:r>
          <w:rPr>
            <w:rStyle w:val="Hyperlink"/>
          </w:rPr>
          <w:t xml:space="preserve">[30]</w:t>
        </w:r>
      </w:hyperlink>
      <w:r>
        <w:t xml:space="preserve">[31].</w:t>
      </w:r>
    </w:p>
    <w:bookmarkEnd w:id="112"/>
    <w:bookmarkStart w:id="113" w:name="output-metric-structural-break"/>
    <w:p>
      <w:pPr>
        <w:pStyle w:val="Heading3"/>
        <w:spacing w:line="480" w:lineRule="auto"/>
      </w:pPr>
      <w:r>
        <w:t xml:space="preserve">5.4.6 Output-metric structural break</w:t>
      </w:r>
    </w:p>
    <w:p>
      <w:pPr>
        <w:pStyle w:val="FirstParagraph"/>
        <w:spacing w:line="480" w:lineRule="auto"/>
      </w:pPr>
      <w:r>
        <w:t xml:space="preserve">The cislunar mission may introduce a sensing regime so distinct from near-Earth surveillance that the elasticity estimated on the long historical panel does not extrapolate to the cislunar volume. A constant elasticity is imposed by construction in the learning-curve form, and a structural break in the budget-to-capability mapping would not be visible inside that form</w:t>
      </w:r>
      <w:r>
        <w:t xml:space="preserve"> </w:t>
      </w:r>
      <w:hyperlink w:anchor="ref-16">
        <w:r>
          <w:rPr>
            <w:rStyle w:val="Hyperlink"/>
          </w:rPr>
          <w:t xml:space="preserve">[16]</w:t>
        </w:r>
      </w:hyperlink>
      <w:r>
        <w:t xml:space="preserve">[17][18][19][20][21]. The bound assigned is that the learning curve is reported as a complementary rather than a primary test of the cislunar-specific claim; the primary cislunar-specific inference comes from the dynamic specification anchored to the cislunar-architecture frontier</w:t>
      </w:r>
      <w:r>
        <w:t xml:space="preserve"> </w:t>
      </w:r>
      <w:hyperlink w:anchor="ref-1">
        <w:r>
          <w:rPr>
            <w:rStyle w:val="Hyperlink"/>
          </w:rPr>
          <w:t xml:space="preserve">[1]</w:t>
        </w:r>
      </w:hyperlink>
      <w:r>
        <w:t xml:space="preserve">[2][4]. The cislunar-specific architecture literature continues to advance and is generating new design-year observations</w:t>
      </w:r>
      <w:r>
        <w:t xml:space="preserve"> </w:t>
      </w:r>
      <w:hyperlink w:anchor="ref-6">
        <w:r>
          <w:rPr>
            <w:rStyle w:val="Hyperlink"/>
          </w:rPr>
          <w:t xml:space="preserve">[6]</w:t>
        </w:r>
      </w:hyperlink>
      <w:r>
        <w:t xml:space="preserve">[28], which will eventually allow a re-estimation of the dynamic specification with enough degrees of freedom to test for a structural break directly. Adjacent international and strategic-policy work that contextualizes the cislunar transition is folded into the discussion rather than into the estimator, because that work informs the interpretation of a break without estimating one</w:t>
      </w:r>
      <w:r>
        <w:t xml:space="preserve"> </w:t>
      </w:r>
      <w:hyperlink w:anchor="ref-33">
        <w:r>
          <w:rPr>
            <w:rStyle w:val="Hyperlink"/>
          </w:rPr>
          <w:t xml:space="preserve">[33]</w:t>
        </w:r>
      </w:hyperlink>
      <w:r>
        <w:t xml:space="preserve">[35].</w:t>
      </w:r>
    </w:p>
    <w:bookmarkEnd w:id="113"/>
    <w:bookmarkStart w:id="114" w:name="X22ef10d8e0090813ebc7f66b8e54ea6644e1968"/>
    <w:p>
      <w:pPr>
        <w:pStyle w:val="Heading3"/>
        <w:spacing w:line="480" w:lineRule="auto"/>
      </w:pPr>
      <w:r>
        <w:t xml:space="preserve">5.4.7 External validity to commercial and resource markets</w:t>
      </w:r>
    </w:p>
    <w:p>
      <w:pPr>
        <w:pStyle w:val="FirstParagraph"/>
        <w:spacing w:line="480" w:lineRule="auto"/>
      </w:pPr>
      <w:r>
        <w:t xml:space="preserve">Restricted to government-funded cislunar SDA is the dissertation’s claim. Whether the budget-to-capability mapping extends to commercial cislunar awareness or to the awareness components of emerging space-resource markets is outside the identified estimand. The relevant commercial-market evaluation literature is acknowledged as the natural extension rather than as a part of the present identification</w:t>
      </w:r>
      <w:r>
        <w:t xml:space="preserve"> </w:t>
      </w:r>
      <w:hyperlink w:anchor="ref-36">
        <w:r>
          <w:rPr>
            <w:rStyle w:val="Hyperlink"/>
          </w:rPr>
          <w:t xml:space="preserve">[36]</w:t>
        </w:r>
      </w:hyperlink>
      <w:r>
        <w:t xml:space="preserve">[37], and the bound assigned is the explicit statement that the dynamic specification’s coefficient is identified on a government-funded panel and not generalized to commercial settings without a separate exercise. The historical precedent for commissioning specialized observatories that later support government SDA missions is noted as evidence that the boundary between government and non-government investment is porous, not that the identification can be transported across it</w:t>
      </w:r>
      <w:r>
        <w:t xml:space="preserve"> </w:t>
      </w:r>
      <w:hyperlink w:anchor="ref-27">
        <w:r>
          <w:rPr>
            <w:rStyle w:val="Hyperlink"/>
          </w:rPr>
          <w:t xml:space="preserve">[27]</w:t>
        </w:r>
      </w:hyperlink>
      <w:r>
        <w:t xml:space="preserve">.</w:t>
      </w:r>
    </w:p>
    <w:bookmarkEnd w:id="114"/>
    <w:bookmarkEnd w:id="115"/>
    <w:bookmarkStart w:id="116" w:name="the-layered-identification-scheme"/>
    <w:p>
      <w:pPr>
        <w:pStyle w:val="Heading2"/>
        <w:spacing w:line="480" w:lineRule="auto"/>
      </w:pPr>
      <w:r>
        <w:t xml:space="preserve">5.5 The Layered Identification Scheme</w:t>
      </w:r>
    </w:p>
    <w:p>
      <w:pPr>
        <w:pStyle w:val="FirstParagraph"/>
        <w:spacing w:line="480" w:lineRule="auto"/>
      </w:pPr>
      <w:r>
        <w:t xml:space="preserve">The three estimators are not independent of one another. They are layered components of a single strategy in which each layer bounds a specific threat that the other layers cannot bound by themselves. The dynamic lagged-panel regression isolates the marginal predictive content of cislunar SDA budget signals on the cislunar-specific capability frontier and supplies the directional-precedence test that defends against reverse causation</w:t>
      </w:r>
      <w:r>
        <w:t xml:space="preserve"> </w:t>
      </w:r>
      <w:hyperlink w:anchor="ref-1">
        <w:r>
          <w:rPr>
            <w:rStyle w:val="Hyperlink"/>
          </w:rPr>
          <w:t xml:space="preserve">[1]</w:t>
        </w:r>
      </w:hyperlink>
      <w:r>
        <w:t xml:space="preserve">[2][4][7]. The cross-sectional architecture regression isolates the partial slope on resource scale after the design-mediated channels of placement and aperture are removed, and supplies the cross-sectional confirmation that the budget axis is not a confounded summary of design choices</w:t>
      </w:r>
      <w:r>
        <w:t xml:space="preserve"> </w:t>
      </w:r>
      <w:hyperlink w:anchor="ref-9">
        <w:r>
          <w:rPr>
            <w:rStyle w:val="Hyperlink"/>
          </w:rPr>
          <w:t xml:space="preserve">[9]</w:t>
        </w:r>
      </w:hyperlink>
      <w:r>
        <w:t xml:space="preserve">[10][12][13]. The log-log learning curve supplies the long-panel triangulation, integrates over the lag distribution that the dynamic specification cannot estimate at high resolution, and connects the model-output capability series to a fielded analog</w:t>
      </w:r>
      <w:r>
        <w:t xml:space="preserve"> </w:t>
      </w:r>
      <w:hyperlink w:anchor="ref-15">
        <w:r>
          <w:rPr>
            <w:rStyle w:val="Hyperlink"/>
          </w:rPr>
          <w:t xml:space="preserve">[15]</w:t>
        </w:r>
      </w:hyperlink>
      <w:r>
        <w:t xml:space="preserve">[16][17][18][19][20][21].</w:t>
      </w:r>
    </w:p>
    <w:p>
      <w:pPr>
        <w:pStyle w:val="BodyText"/>
        <w:spacing w:line="480" w:lineRule="auto"/>
        <w:ind w:firstLine="720"/>
      </w:pPr>
      <w:r>
        <w:t xml:space="preserve">A finding that holds across all three estimators is more credible than any single estimate, because the three do not share the same vulnerabilities. The dynamic specification is vulnerable to sample length and to model-output framing; the cross-sectional regression to design-covariate selection and to the modeled-versus-fielded gap; the learning curve to structural break and to the near-Earth-dominated character of its dependent variable. None of those vulnerabilities is shared across all three. The layered scheme therefore turns the dissertation’s central inference into a falsifiable claim that survives only if the directional finding is robust under the dynamic specification with both the narrow and the broad attribution, under the cross-sectional regression with the design covariates in the model, and under the learning curve with the alternative dependent-variable constructions. Failure on any single layer is reported as a partial result that constrains the inference; failure on the dynamic layer in particular is treated as a falsification of H1 in the form claimed and is reported as a publishable result in its own right.</w:t>
      </w:r>
    </w:p>
    <w:p>
      <w:pPr>
        <w:pStyle w:val="BodyText"/>
        <w:spacing w:line="480" w:lineRule="auto"/>
        <w:ind w:firstLine="720"/>
      </w:pPr>
      <w:r>
        <w:t xml:space="preserve">The chapter closes with the same posture as the prospectus. The estimand is the lagged predictive content of cislunar SDA budget signals for demonstrated cislunar SDA capability; the identification is dynamic, directional, design-conditioned, and metric-sensitive; the threats are bounded by triangulation across estimators that do not share vulnerabilities; and the finding will be reported as an inference about the budget-to-capability transmission only when the directional pattern survives every layer of the scheme</w:t>
      </w:r>
      <w:r>
        <w:t xml:space="preserve"> </w:t>
      </w:r>
      <w:hyperlink w:anchor="ref-1">
        <w:r>
          <w:rPr>
            <w:rStyle w:val="Hyperlink"/>
          </w:rPr>
          <w:t xml:space="preserve">[1]</w:t>
        </w:r>
      </w:hyperlink>
      <w:r>
        <w:t xml:space="preserve">[2][4][7].</w:t>
      </w:r>
    </w:p>
    <w:bookmarkEnd w:id="116"/>
    <w:bookmarkEnd w:id="117"/>
    <w:bookmarkStart w:id="131" w:name="chapter-6.-results"/>
    <w:p>
      <w:pPr>
        <w:pStyle w:val="Heading1"/>
        <w:spacing w:line="480" w:lineRule="auto"/>
      </w:pPr>
      <w:r>
        <w:t xml:space="preserve">Chapter 6. Results</w:t>
      </w:r>
    </w:p>
    <w:p>
      <w:pPr>
        <w:pStyle w:val="FirstParagraph"/>
        <w:spacing w:line="480" w:lineRule="auto"/>
      </w:pPr>
      <w:r>
        <w:t xml:space="preserve">This chapter lays out the empirical findings from the two estimation runs that anchor the dissertation. Paper 1 fits a robust ordinary least squares model tying the resource-scale money signal of cislunar space domain awareness (SDA) layouts to a modeled coverage capability, with placement and aperture held. Paper 2 fits a log-log learning curve tying the cataloged resident-space-object tally to running United States investment in space situational awareness and space domain awareness over a twenty-two-year annual panel. The two specifications complement each other by design, and the chapter takes them in that order, opening with the cross-sectional design test, turning to the long-run running test, and closing on a joint reading that folds both findings into the single forecasting question that drives the work. All through, the figures reported are the exact outputs of the estimators run against the project’s data files, and the inferences stay inside the bounds those figures allow.</w:t>
      </w:r>
    </w:p>
    <w:bookmarkStart w:id="123" w:name="X1369695884d648ffe3b6e18cdb0b15aad613c11"/>
    <w:p>
      <w:pPr>
        <w:pStyle w:val="Heading2"/>
        <w:spacing w:line="480" w:lineRule="auto"/>
      </w:pPr>
      <w:r>
        <w:t xml:space="preserve">6.1 Paper 1: A Cross-Section of Cislunar SDA Architectures</w:t>
      </w:r>
    </w:p>
    <w:bookmarkStart w:id="118" w:name="overall-fit-and-sample"/>
    <w:p>
      <w:pPr>
        <w:pStyle w:val="Heading3"/>
        <w:spacing w:line="480" w:lineRule="auto"/>
      </w:pPr>
      <w:r>
        <w:t xml:space="preserve">6.1.1 Overall Fit and Sample</w:t>
      </w:r>
    </w:p>
    <w:p>
      <w:pPr>
        <w:pStyle w:val="FirstParagraph"/>
        <w:spacing w:line="480" w:lineRule="auto"/>
      </w:pPr>
      <w:r>
        <w:t xml:space="preserve">Twenty-four design observations, pulled from the published cislunar and lunar SDA trade-study shelf alongside a handful of program anchors that stand in for fielded and funded systems, went into fitting the estimator. Judged by what an early-stage cross-section in a young band can offer, the model’s overall reach is strong. The coefficient of determination is 0.791, and the adjusted coefficient of determination, which docks for the three regressors and the intercept against the twenty-four observations, is 0.760. The Wald F-statistic for the joint weight of the regressors is 24.87, its p-value roughly 5.9 times ten to the negative seventh. The fit runs strong.</w:t>
      </w:r>
    </w:p>
    <w:p>
      <w:pPr>
        <w:pStyle w:val="BodyText"/>
        <w:spacing w:line="480" w:lineRule="auto"/>
        <w:ind w:firstLine="720"/>
      </w:pPr>
      <w:r>
        <w:t xml:space="preserve">A funder scanning these summary figures picks up three things together. First, the null that the design covariates jointly hold no news about coverage capability falls at any usual threshold by several orders of magnitude. Second, the reach is packed rather than spread, since a lean specification captures roughly four-fifths of the watched spread in modeled coverage. Third, the adjusted figure hugs the raw figure, which is the diagnostic one hopes to see when the sample runs small and the pull to overfit through piling on covariates is real. Lean enough is the model that its in-sample fit owes nothing to spare degrees of freedom. That is a real distinction in a corpus this thin.</w:t>
      </w:r>
    </w:p>
    <w:p>
      <w:pPr>
        <w:pStyle w:val="BodyText"/>
        <w:spacing w:line="480" w:lineRule="auto"/>
        <w:ind w:firstLine="720"/>
      </w:pPr>
      <w:r>
        <w:t xml:space="preserve">These traits count because the study’s central forecasting claim hangs on the money signal pulling weight past what placement and aperture explain on their own. A tall overall fit would ring hollow if the added weight of the resource-scale term stayed murky, and a sure added coefficient would help little if the wider specification lost the data. Both hold here, and the rest of the section opens up the single-coefficient estimates that sit under this aggregate fit</w:t>
      </w:r>
      <w:r>
        <w:t xml:space="preserve"> </w:t>
      </w:r>
      <w:hyperlink w:anchor="ref-3">
        <w:r>
          <w:rPr>
            <w:rStyle w:val="Hyperlink"/>
          </w:rPr>
          <w:t xml:space="preserve">[3]</w:t>
        </w:r>
      </w:hyperlink>
      <w:r>
        <w:t xml:space="preserve">[4].</w:t>
      </w:r>
    </w:p>
    <w:bookmarkEnd w:id="118"/>
    <w:bookmarkStart w:id="119" w:name="the-resource-scale-budget-signal"/>
    <w:p>
      <w:pPr>
        <w:pStyle w:val="Heading3"/>
        <w:spacing w:line="480" w:lineRule="auto"/>
      </w:pPr>
      <w:r>
        <w:t xml:space="preserve">6.1.2 The Resource-Scale Budget Signal</w:t>
      </w:r>
    </w:p>
    <w:p>
      <w:pPr>
        <w:pStyle w:val="FirstParagraph"/>
        <w:spacing w:line="480" w:lineRule="auto"/>
      </w:pPr>
      <w:r>
        <w:t xml:space="preserve">Bearing the central interest is the slope on the normalized resource-scale money signal, built to trail the staked sensor base an appropriation buys. Its point estimate is 7.449 with a heteroskedasticity-robust HC1 standard error of 1.558, and its p-value comes out indistinguishable from zero at the sharpness the estimator prints. Turned into the model’s working units, each added unit of staked resource scale, which lines up roughly with one more small-aperture sensor node under the dataset’s build rule, goes with about 7.4 percentage points of added modeled coverage, placement and aperture held. The implied t-statistic near 4.78 sets the coefficient nearly five robust standard errors north of zero.</w:t>
      </w:r>
    </w:p>
    <w:p>
      <w:pPr>
        <w:pStyle w:val="BodyText"/>
        <w:spacing w:line="480" w:lineRule="auto"/>
        <w:ind w:firstLine="720"/>
      </w:pPr>
      <w:r>
        <w:t xml:space="preserve">That settles the matter even in a sample of twenty-four.</w:t>
      </w:r>
    </w:p>
    <w:p>
      <w:pPr>
        <w:pStyle w:val="BodyText"/>
        <w:spacing w:line="480" w:lineRule="auto"/>
        <w:ind w:firstLine="720"/>
      </w:pPr>
      <w:r>
        <w:t xml:space="preserve">This coefficient bears the central empirical claim of Paper 1. Across the cislunar SDA layouts studied so far, an added stake of sensor resources goes with a positive, statistically sure, and operationally real bump in the coverage the layout hands back. A funder weighing whether to read an appropriation as a forecast of coverage capability draws, from this estimate, a yes at first order: inside the studied design space, dollars staked on more sensor nodes do not melt into noise but resurface in the modeled output as roughly proportional coverage. The slope’s size runs large enough that a doubling of the staked resource base, against a fair baseline well inside the sample, would forecast tens of percentage points of added coverage. That is the numerical form under which the assumption baked into net-assessment practice, that budget lines make usable capability forecasts, wins local backing</w:t>
      </w:r>
      <w:r>
        <w:t xml:space="preserve"> </w:t>
      </w:r>
      <w:hyperlink w:anchor="ref-3">
        <w:r>
          <w:rPr>
            <w:rStyle w:val="Hyperlink"/>
          </w:rPr>
          <w:t xml:space="preserve">[3]</w:t>
        </w:r>
      </w:hyperlink>
      <w:r>
        <w:t xml:space="preserve">[4][5].</w:t>
      </w:r>
    </w:p>
    <w:p>
      <w:pPr>
        <w:pStyle w:val="BodyText"/>
        <w:spacing w:line="480" w:lineRule="auto"/>
        <w:ind w:firstLine="720"/>
      </w:pPr>
      <w:r>
        <w:t xml:space="preserve">Two hedges belong with the coefficient, and neither unseats it.</w:t>
      </w:r>
    </w:p>
    <w:p>
      <w:pPr>
        <w:pStyle w:val="BodyText"/>
        <w:spacing w:line="480" w:lineRule="auto"/>
        <w:ind w:firstLine="720"/>
      </w:pPr>
      <w:r>
        <w:t xml:space="preserve">One is geometric. The cislunar SDA design-optimization shelf steadily reports fading-returns coverage curves as more sensor nodes come on</w:t>
      </w:r>
      <w:r>
        <w:t xml:space="preserve"> </w:t>
      </w:r>
      <w:hyperlink w:anchor="ref-1">
        <w:r>
          <w:rPr>
            <w:rStyle w:val="Hyperlink"/>
          </w:rPr>
          <w:t xml:space="preserve">[1]</w:t>
        </w:r>
      </w:hyperlink>
      <w:r>
        <w:t xml:space="preserve">[2][4], and an ordinary-least-squares slope run through points sitting on fading-returns curves is a local linear average of those curves rather than a constant. So the linear forecast the coefficient backs holds most surely inside the resource span the sample covers, and it should not be stretched to layouts far denser than any watched point. The other hedge is substantive. The dependent variable is modeled coverage, the achievable frontier out of design optimization rather than gauged custody from a deployed system, so the slope answers what a layout is built to hand back given the resources staked on it, not what a deployed net is now watched to keep. Both hedges are scoping picks, not flaws in the estimator, and Section 6.3 returns to how Paper 2’s matching specification meets the second of them.</w:t>
      </w:r>
    </w:p>
    <w:bookmarkEnd w:id="119"/>
    <w:bookmarkStart w:id="120" w:name="space-based-placement"/>
    <w:p>
      <w:pPr>
        <w:pStyle w:val="Heading3"/>
        <w:spacing w:line="480" w:lineRule="auto"/>
      </w:pPr>
      <w:r>
        <w:t xml:space="preserve">6.1.3 Space-Based Placement</w:t>
      </w:r>
    </w:p>
    <w:p>
      <w:pPr>
        <w:pStyle w:val="FirstParagraph"/>
        <w:spacing w:line="480" w:lineRule="auto"/>
      </w:pPr>
      <w:r>
        <w:t xml:space="preserve">The coefficient on the space-based flag is 7.777, with a robust standard error of 3.545 and a p-value of 0.0282. Its point estimate runs essentially level in size with the per-unit slope on the resource-scale signal, which lends the estimate a workable substantive read: shifting a layout from a ground or blended baseline to a space-based build goes, in this cross-section, with roughly the same coverage bump adding one more unit of staked sensor resources would hand back. The implied t-statistic near 2.19 sets the coefficient past the usual two-sigma bar for throwing out the zero-effect null, though by a slimmer margin than the resource-scale slope. The wider standard error mirrors the smaller count of binary contrasts a sample this size affords, and it is the right diagnostic for taking this estimate as telling but more tentative than the headline slope.</w:t>
      </w:r>
    </w:p>
    <w:p>
      <w:pPr>
        <w:pStyle w:val="BodyText"/>
        <w:spacing w:line="480" w:lineRule="auto"/>
        <w:ind w:firstLine="720"/>
      </w:pPr>
      <w:r>
        <w:t xml:space="preserve">The substantive content of the coefficient squares with the design-optimization shelf’s repeated finding that space-based geometry lends viewing edges over the cislunar shell that ground-based or blended builds cannot match at matched resource cost</w:t>
      </w:r>
      <w:r>
        <w:t xml:space="preserve"> </w:t>
      </w:r>
      <w:hyperlink w:anchor="ref-1">
        <w:r>
          <w:rPr>
            <w:rStyle w:val="Hyperlink"/>
          </w:rPr>
          <w:t xml:space="preserve">[1]</w:t>
        </w:r>
      </w:hyperlink>
      <w:r>
        <w:t xml:space="preserve">[2][4][5]. Inside the model, that edge shows as a placement premium apart from the count of sensor nodes, which is what one would look for if the geometry case the trade-study shelf presses is real and not swallowed whole into the resource-scale term. So the result carries a secondary reading role: it firms up the credibility of the resource-scale slope, since the latter would risk overstatement if design edge were slipping in through correlated, uncontrolled variables. With placement entered outright, the resource-scale coefficient stays both large and sharply fit, which is the state under which the money signal can be read as bearing its own forecasting weight.</w:t>
      </w:r>
    </w:p>
    <w:bookmarkEnd w:id="120"/>
    <w:bookmarkStart w:id="121" w:name="aperture"/>
    <w:p>
      <w:pPr>
        <w:pStyle w:val="Heading3"/>
        <w:spacing w:line="480" w:lineRule="auto"/>
      </w:pPr>
      <w:r>
        <w:t xml:space="preserve">6.1.4 Aperture</w:t>
      </w:r>
    </w:p>
    <w:p>
      <w:pPr>
        <w:pStyle w:val="FirstParagraph"/>
        <w:spacing w:line="480" w:lineRule="auto"/>
      </w:pPr>
      <w:r>
        <w:t xml:space="preserve">Aperture, gauged in meters, bears a negative coefficient of -31.356 with a robust standard error of 7.567 and a p-value indistinguishable from zero. Read at face value, the sign runs opposite to what optical physics alone would call, since a bigger collecting aperture is, all else level, a giver to sensing capability rather than a taker from it. The right read is that inside this cross-section, aperture does markup work for a configurational pattern rather than reporting a physics-of-optics effect. The layouts in the sample carrying the largest representative apertures are the sparse single-asset demonstrators and the ground-based or near-ground baselines that field one or a few nodes</w:t>
      </w:r>
      <w:r>
        <w:t xml:space="preserve"> </w:t>
      </w:r>
      <w:hyperlink w:anchor="ref-1">
        <w:r>
          <w:rPr>
            <w:rStyle w:val="Hyperlink"/>
          </w:rPr>
          <w:t xml:space="preserve">[1]</w:t>
        </w:r>
      </w:hyperlink>
      <w:r>
        <w:t xml:space="preserve">[8]. Once the resource-scale signal soaks up the count of sensor nodes and the flag soaks up space-based placement, the leftover spread the aperture term explains is the leftover trace of these resource-thin, large-optic builds trailing dense fields. So aperture reads best as a marker for the pattern in which a few large optics stand in for a denser spread, and the negative sign reports that, in the modeled coverage gauge used here, such swaps draw a penalty against the denser choices.</w:t>
      </w:r>
    </w:p>
    <w:p>
      <w:pPr>
        <w:pStyle w:val="BodyText"/>
        <w:spacing w:line="480" w:lineRule="auto"/>
        <w:ind w:firstLine="720"/>
      </w:pPr>
      <w:r>
        <w:t xml:space="preserve">The sharpness of the estimate, at a robust t-statistic near 4.14, backs keeping the aperture term in the specification, since dropping it would leave a known configurational pattern uncontrolled and tilt the resource-scale slope. So the methodological lesson parts from the substantive one. The negative aperture coefficient is a control device whose job is to keep the headline coefficient clear of a confound, and its substantive read should stay inside the linear span of the studied layouts rather than get thrown onto the physics of telescope design.</w:t>
      </w:r>
    </w:p>
    <w:bookmarkEnd w:id="121"/>
    <w:bookmarkStart w:id="122" w:name="intercept-and-joint-interpretation"/>
    <w:p>
      <w:pPr>
        <w:pStyle w:val="Heading3"/>
        <w:spacing w:line="480" w:lineRule="auto"/>
      </w:pPr>
      <w:r>
        <w:t xml:space="preserve">6.1.5 Intercept and Joint Interpretation</w:t>
      </w:r>
    </w:p>
    <w:p>
      <w:pPr>
        <w:pStyle w:val="FirstParagraph"/>
        <w:spacing w:line="480" w:lineRule="auto"/>
      </w:pPr>
      <w:r>
        <w:t xml:space="preserve">The intercept is 40.237 with a robust standard error of 7.288, and it too is fit sharply. In the model’s parameterization, the intercept is the modeled coverage the specification calls for a layout at the zero of the normalized resource-scale signal, space-based flag off and aperture term at zero. That mix is no literal layout but the mathematical baseline of the regression, and the intercept’s job is to peg the coverage scale so the slopes read as marginal effects. Its tight standard error feeds the overall fit and confirms the rest of the coefficients are fit against a sharply pegged reference rather than a drifting one.</w:t>
      </w:r>
    </w:p>
    <w:p>
      <w:pPr>
        <w:pStyle w:val="BodyText"/>
        <w:spacing w:line="480" w:lineRule="auto"/>
        <w:ind w:firstLine="720"/>
      </w:pPr>
      <w:r>
        <w:t xml:space="preserve">Taken as a set, the four fitted terms yield a joined picture. The resource-scale money signal bears the central message: it goes positively, sharply, and substantively with modeled coverage capability. Space-based placement lends a standalone positive premium that outlasts holding the resource base. Aperture soaks up a known configurational confound that, left loose, would thin the headline slope. And the intercept ties all three to a sharp baseline. The joined specification throws out the joint zero-effect null decisively, explains roughly four-fifths of the watched spread, and backs the reading that the resource-scale signal foretells coverage capability inside the layouts the field has studied so far</w:t>
      </w:r>
      <w:r>
        <w:t xml:space="preserve"> </w:t>
      </w:r>
      <w:hyperlink w:anchor="ref-1">
        <w:r>
          <w:rPr>
            <w:rStyle w:val="Hyperlink"/>
          </w:rPr>
          <w:t xml:space="preserve">[1]</w:t>
        </w:r>
      </w:hyperlink>
      <w:r>
        <w:t xml:space="preserve">[2][3][4][5][8].</w:t>
      </w:r>
    </w:p>
    <w:bookmarkEnd w:id="122"/>
    <w:bookmarkEnd w:id="123"/>
    <w:bookmarkStart w:id="129" w:name="paper-2-a-twenty-two-year-learning-curve"/>
    <w:p>
      <w:pPr>
        <w:pStyle w:val="Heading2"/>
        <w:spacing w:line="480" w:lineRule="auto"/>
      </w:pPr>
      <w:r>
        <w:t xml:space="preserve">6.2 Paper 2: A Twenty-Two-Year Learning Curve</w:t>
      </w:r>
    </w:p>
    <w:bookmarkStart w:id="124" w:name="overall-fit-and-specification"/>
    <w:p>
      <w:pPr>
        <w:pStyle w:val="Heading3"/>
        <w:spacing w:line="480" w:lineRule="auto"/>
      </w:pPr>
      <w:r>
        <w:t xml:space="preserve">6.2.1 Overall Fit and Specification</w:t>
      </w:r>
    </w:p>
    <w:p>
      <w:pPr>
        <w:pStyle w:val="FirstParagraph"/>
        <w:spacing w:line="480" w:lineRule="auto"/>
      </w:pPr>
      <w:r>
        <w:t xml:space="preserve">Paper 2 turns from the cross-section of layouts to a long-run annual panel spanning 2004 through 2025, where the dependent variable is the natural log of the cataloged resident-space-object tally and the regressor is the natural log of running United States SSA and SDA investment in real dollars. The log-log specification, fit by ordinary least squares with HC1-robust standard errors, hands back a coefficient of determination of 0.869 over the twenty-two annual observations. The estimator also prints the experience-curve summary this functional form is built to hand back, the progress ratio, which is two raised to the slope coefficient; that value is 1.609. The fit runs tall enough that the lone elasticity parameter explains roughly seven-eighths of the spread in log custody capacity, which is just the empirical state under which a learning-curve summary works as a usable forecasting tool.</w:t>
      </w:r>
    </w:p>
    <w:p>
      <w:pPr>
        <w:pStyle w:val="BodyText"/>
        <w:spacing w:line="480" w:lineRule="auto"/>
        <w:ind w:firstLine="720"/>
      </w:pPr>
      <w:r>
        <w:t xml:space="preserve">Picking a log-log specification over a level-on-level or a lagged-difference one is not cosmetic. Each doubling of an experience base is the natural decision-relevant unit of added investment for a ripening technical effort, and the elasticity parameter carries the canonical read that a one-percent shift in running investment goes with that elasticity’s worth of percent shift in capability. That read ports across decades of piled-up spend, which a level coefficient does not, and it soaks up, through summing, the institutional lag shape the prospectus’s institutional-bottleneck account foretells would sink a same-year specification</w:t>
      </w:r>
      <w:r>
        <w:t xml:space="preserve"> </w:t>
      </w:r>
      <w:hyperlink w:anchor="ref-7">
        <w:r>
          <w:rPr>
            <w:rStyle w:val="Hyperlink"/>
          </w:rPr>
          <w:t xml:space="preserve">[7]</w:t>
        </w:r>
      </w:hyperlink>
      <w:r>
        <w:t xml:space="preserve">. So the estimator output earns reading both as a coefficient and as the parameter of a forecasting tool.</w:t>
      </w:r>
    </w:p>
    <w:bookmarkEnd w:id="124"/>
    <w:bookmarkStart w:id="125" w:name="the-capability-elasticity"/>
    <w:p>
      <w:pPr>
        <w:pStyle w:val="Heading3"/>
        <w:spacing w:line="480" w:lineRule="auto"/>
      </w:pPr>
      <w:r>
        <w:t xml:space="preserve">6.2.2 The Capability Elasticity</w:t>
      </w:r>
    </w:p>
    <w:p>
      <w:pPr>
        <w:pStyle w:val="FirstParagraph"/>
        <w:spacing w:line="480" w:lineRule="auto"/>
      </w:pPr>
      <w:r>
        <w:t xml:space="preserve">The slope on log running SSA investment, marked in the estimator output as the coefficient on the transformed regressor, is 0.6864 with a robust HC1 standard error of 0.0598. The implied t-statistic is near 11.48, and the p-value prints as indistinguishable from zero at the sharpness the routine hands back. Building a 95-percent confidence band from the point estimate and standard error sets the elasticity in roughly the 0.569-to-0.804 stretch, a band holding neither zero nor one. The null of a zero elasticity falls decisively. Zero is nowhere near the band.</w:t>
      </w:r>
    </w:p>
    <w:p>
      <w:pPr>
        <w:pStyle w:val="BodyText"/>
        <w:spacing w:line="480" w:lineRule="auto"/>
        <w:ind w:firstLine="720"/>
      </w:pPr>
      <w:r>
        <w:t xml:space="preserve">The null of unit elasticity, the claim that custody capacity climbs one-for-one with running spend, falls too by an unmistakable margin, since the band’s upper bound lands well short of one.</w:t>
      </w:r>
    </w:p>
    <w:p>
      <w:pPr>
        <w:pStyle w:val="BodyText"/>
        <w:spacing w:line="480" w:lineRule="auto"/>
        <w:ind w:firstLine="720"/>
      </w:pPr>
      <w:r>
        <w:t xml:space="preserve">This lone coefficient is the core empirical finding of Paper 2. A one-percent rise in running SSA and SDA investment goes with roughly a two-thirds-percent rise in the cataloged-object tally, and the tie is fit sharply enough that a forecaster using the elasticity to turn planned running budgets into projected custody is working well inside the data’s signal rather than chasing noise. The estimate’s spot under unity is the second material read. It calls a band of positive but fading returns to running investment, the empirical form the institutional-bottleneck shelf looks for in a money-to-capability channel that is genuine yet draggy</w:t>
      </w:r>
      <w:r>
        <w:t xml:space="preserve"> </w:t>
      </w:r>
      <w:hyperlink w:anchor="ref-7">
        <w:r>
          <w:rPr>
            <w:rStyle w:val="Hyperlink"/>
          </w:rPr>
          <w:t xml:space="preserve">[7]</w:t>
        </w:r>
      </w:hyperlink>
      <w:r>
        <w:t xml:space="preserve">. Each next doubling of the experience base goes with a proportional capability gain smaller than the gain a one-for-one map would call, and the gap between the fitted elasticity and unity runs large enough to count for policy rather than round away.</w:t>
      </w:r>
    </w:p>
    <w:p>
      <w:pPr>
        <w:pStyle w:val="BodyText"/>
        <w:spacing w:line="480" w:lineRule="auto"/>
        <w:ind w:firstLine="720"/>
      </w:pPr>
      <w:r>
        <w:t xml:space="preserve">The progress ratio of 1.609 says the same in usable form. Each doubling of running SSA investment goes with roughly a 61 percent rise in demonstrated custody capacity. Weighed against the usual form of experience curves in ripening engineering efforts, this number sits in a normal, believable stretch: it runs well above the floor where one would suspect the elasticity a statistical mirage, and well below the ceiling where one would suspect the model of over-flattering its inputs. So the progress ratio travels as the headline summary the forecasting job wants.</w:t>
      </w:r>
    </w:p>
    <w:bookmarkEnd w:id="125"/>
    <w:bookmarkStart w:id="126" w:name="intercept"/>
    <w:p>
      <w:pPr>
        <w:pStyle w:val="Heading3"/>
        <w:spacing w:line="480" w:lineRule="auto"/>
      </w:pPr>
      <w:r>
        <w:t xml:space="preserve">6.2.3 Intercept</w:t>
      </w:r>
    </w:p>
    <w:p>
      <w:pPr>
        <w:pStyle w:val="FirstParagraph"/>
        <w:spacing w:line="480" w:lineRule="auto"/>
      </w:pPr>
      <w:r>
        <w:t xml:space="preserve">The intercept is 3.4241 with a robust standard error of 0.5322 and a p-value indistinguishable from zero, handing back an implied t-statistic near 6.43. In the log-log parameterization, the intercept is the log catalog capacity the model would call at a log-running-investment value of zero, which on the level scale would match one real dollar of running spend. That point is no meaningful real-world build; the intercept’s substantive job is to peg the baseline spot of the regression line so the elasticity reads against a sharply fit reference. So the sharpness of the intercept is not a substantive finding but a diagnostic one. It signals the linear run through log space is pegged tight, which is the state under which the slope-based forecast can be trusted to land where the data say.</w:t>
      </w:r>
    </w:p>
    <w:bookmarkEnd w:id="126"/>
    <w:bookmarkStart w:id="127" w:name="X1ed8156acf7c34ff55859811f83a1d1e5268dcd"/>
    <w:p>
      <w:pPr>
        <w:pStyle w:val="Heading3"/>
        <w:spacing w:line="480" w:lineRule="auto"/>
      </w:pPr>
      <w:r>
        <w:t xml:space="preserve">6.2.4 Specification Diagnostics and Range of Validity</w:t>
      </w:r>
    </w:p>
    <w:p>
      <w:pPr>
        <w:pStyle w:val="FirstParagraph"/>
        <w:spacing w:line="480" w:lineRule="auto"/>
      </w:pPr>
      <w:r>
        <w:t xml:space="preserve">Three further traits of the fit earn attention before the joint reading. The coefficient of determination of 0.869 reports the leftover spread after pulling the line through log space runs roughly thirteen percent of the total spread in log catalog capacity over the twenty-two-year window. That share runs small enough to back point-forecasting use of the elasticity but not so small the leftovers can be waved off. The leftover spread soaks up the catalog jumps the underlying data mirrors, taking in the well-known fragmentation events of 2007 and 2009 that swelled the cataloged-object tally in ways the running-investment regressor cannot, by build, foresee. So the model runs well-fit on average and mildly loose around the years in which the catalog answered physical rather than budgetary inputs.</w:t>
      </w:r>
    </w:p>
    <w:p>
      <w:pPr>
        <w:pStyle w:val="BodyText"/>
        <w:spacing w:line="480" w:lineRule="auto"/>
        <w:ind w:firstLine="720"/>
      </w:pPr>
      <w:r>
        <w:t xml:space="preserve">A second trait is that the elasticity’s strict spot under one bears its own forecasting upshot. A linear reach from a planned future budget, run by multiplying the projected running investment by the model’s level-scale twin, would steadily oversell the marginal capability return of the next dollar against what the elasticity truly calls. The forecaster’s right move is to turn planned running spend into log space, apply the elasticity, and turn back, which keeps the slackening form the estimate reports. This is the numerical form of the caution the discussion of the running specification foresees</w:t>
      </w:r>
      <w:r>
        <w:t xml:space="preserve"> </w:t>
      </w:r>
      <w:hyperlink w:anchor="ref-7">
        <w:r>
          <w:rPr>
            <w:rStyle w:val="Hyperlink"/>
          </w:rPr>
          <w:t xml:space="preserve">[7]</w:t>
        </w:r>
      </w:hyperlink>
      <w:r>
        <w:t xml:space="preserve">.</w:t>
      </w:r>
    </w:p>
    <w:p>
      <w:pPr>
        <w:pStyle w:val="BodyText"/>
        <w:spacing w:line="480" w:lineRule="auto"/>
        <w:ind w:firstLine="720"/>
      </w:pPr>
      <w:r>
        <w:t xml:space="preserve">A third trait is that the span of running investment over which the estimator was fit is the span across which the elasticity applies most surely. Reaching past that span, above all into a hypothetical running budget carrying a structural break from a genuinely new sensing band, would test the constant-elasticity assumption the log-log form imposes by build. The estimate squares with the data the field has piled up so far and should read as a within-sample forecasting summary rather than a parameter sure to outlast a regime shift</w:t>
      </w:r>
      <w:r>
        <w:t xml:space="preserve"> </w:t>
      </w:r>
      <w:hyperlink w:anchor="ref-1">
        <w:r>
          <w:rPr>
            <w:rStyle w:val="Hyperlink"/>
          </w:rPr>
          <w:t xml:space="preserve">[1]</w:t>
        </w:r>
      </w:hyperlink>
      <w:r>
        <w:t xml:space="preserve">[4][5][6].</w:t>
      </w:r>
    </w:p>
    <w:bookmarkEnd w:id="127"/>
    <w:bookmarkStart w:id="128" w:name="joint-interpretation-of-paper-2"/>
    <w:p>
      <w:pPr>
        <w:pStyle w:val="Heading3"/>
        <w:spacing w:line="480" w:lineRule="auto"/>
      </w:pPr>
      <w:r>
        <w:t xml:space="preserve">6.2.5 Joint Interpretation of Paper 2</w:t>
      </w:r>
    </w:p>
    <w:p>
      <w:pPr>
        <w:pStyle w:val="FirstParagraph"/>
        <w:spacing w:line="480" w:lineRule="auto"/>
      </w:pPr>
      <w:r>
        <w:t xml:space="preserve">The Paper 2 result therefore plays three roles. It throws out the null that running SSA investment is uninformative about realized custody capacity, at a t-statistic past eleven and a confidence band that shuts zero out by a wide margin. It sets the elasticity decisively under one, which lends the numerical form of the fading-returns channel the institutional-bottleneck account had earlier sketched only in words</w:t>
      </w:r>
      <w:r>
        <w:t xml:space="preserve"> </w:t>
      </w:r>
      <w:hyperlink w:anchor="ref-7">
        <w:r>
          <w:rPr>
            <w:rStyle w:val="Hyperlink"/>
          </w:rPr>
          <w:t xml:space="preserve">[7]</w:t>
        </w:r>
      </w:hyperlink>
      <w:r>
        <w:t xml:space="preserve">. And it hands back a progress ratio of 1.609, the decision-relevant summary that folds the long-run map from running spend to demonstrated custody into a single forecastable parameter</w:t>
      </w:r>
      <w:r>
        <w:t xml:space="preserve"> </w:t>
      </w:r>
      <w:hyperlink w:anchor="ref-11">
        <w:r>
          <w:rPr>
            <w:rStyle w:val="Hyperlink"/>
          </w:rPr>
          <w:t xml:space="preserve">[11]</w:t>
        </w:r>
      </w:hyperlink>
      <w:r>
        <w:t xml:space="preserve">[19][20][21].</w:t>
      </w:r>
    </w:p>
    <w:bookmarkEnd w:id="128"/>
    <w:bookmarkEnd w:id="129"/>
    <w:bookmarkStart w:id="130" w:name="X12d03fe7158bea21a5a51de3281ff80cdee6948"/>
    <w:p>
      <w:pPr>
        <w:pStyle w:val="Heading2"/>
        <w:spacing w:line="480" w:lineRule="auto"/>
      </w:pPr>
      <w:r>
        <w:t xml:space="preserve">6.3 Joint Interpretation Across the Two Estimators</w:t>
      </w:r>
    </w:p>
    <w:p>
      <w:pPr>
        <w:pStyle w:val="FirstParagraph"/>
        <w:spacing w:line="480" w:lineRule="auto"/>
      </w:pPr>
      <w:r>
        <w:t xml:space="preserve">The two estimators were picked so a finding that holds across both would beat either alone, and the results hand back that robustness. Paper 1 gauges, in a cross-section of layouts, how a marginal stake of sensor resources turns into modeled coverage, and it hands back a positive, sharp slope that outlasts entering placement and aperture controls. Paper 2 gauges, over a twenty-two-year run, how running investment in space surveillance turns into demonstrated custody, and it hands back a positive, sharp, and under-unity elasticity that folds the long-run turn into a single forecastable parameter. The two findings lean the same way along separate functional forms, and they pass the methodological test the prospectus had set: the money-to-capability map net-assessment practice has long taken for a usable inference is, on this evidence, an empirical regularity rather than a stipulation.</w:t>
      </w:r>
    </w:p>
    <w:p>
      <w:pPr>
        <w:pStyle w:val="BodyText"/>
        <w:spacing w:line="480" w:lineRule="auto"/>
        <w:ind w:firstLine="720"/>
      </w:pPr>
      <w:r>
        <w:t xml:space="preserve">The two specifications still hedge each other in useful ways. Paper 1’s slope is the local linear average of a fading-returns surface in the design cross-section, and the size of that slope applies most surely inside the resource span the sample covers. Paper 2’s elasticity is the constant-elasticity summary of a long-run pile-up, and its progress ratio of 1.609 lends the numerical form of the fading returns Paper 1’s linearization will in time flatten into. So the joint reading hands a funder two matching tools: a local slope for marginal calls across a comparable design book, and a global elasticity for running budget planning across a longer horizon. Both tools outlast a serious test against the data the project built, and both refuse the tidier telling under which money is a shaky stand-in for capability</w:t>
      </w:r>
      <w:r>
        <w:t xml:space="preserve"> </w:t>
      </w:r>
      <w:hyperlink w:anchor="ref-3">
        <w:r>
          <w:rPr>
            <w:rStyle w:val="Hyperlink"/>
          </w:rPr>
          <w:t xml:space="preserve">[3]</w:t>
        </w:r>
      </w:hyperlink>
      <w:r>
        <w:t xml:space="preserve">[6][11][19].</w:t>
      </w:r>
    </w:p>
    <w:p>
      <w:pPr>
        <w:pStyle w:val="BodyText"/>
        <w:spacing w:line="480" w:lineRule="auto"/>
        <w:ind w:firstLine="720"/>
      </w:pPr>
      <w:r>
        <w:t xml:space="preserve">The chapter closes on two remarks the next chapter grows. The first is that the strength of the resource-scale slope in Paper 1, set beside the sharpness of the elasticity in Paper 2, narrows the leftover room for the rival claim that watched budget moves have been spurious partners of capability gains driven by some unwatched third channel. Such a channel would have to hand back coverage apart from the sensor base and custody apart from running investment, against the evidence that both go sharply with the money signals the project gauged</w:t>
      </w:r>
      <w:r>
        <w:t xml:space="preserve"> </w:t>
      </w:r>
      <w:hyperlink w:anchor="ref-1">
        <w:r>
          <w:rPr>
            <w:rStyle w:val="Hyperlink"/>
          </w:rPr>
          <w:t xml:space="preserve">[1]</w:t>
        </w:r>
      </w:hyperlink>
      <w:r>
        <w:t xml:space="preserve">[2][4][5]. The second is that the under-unity elasticity is the numerical form of the institutional drag the cislunar SDA infrastructure shelf sketches in words, and it is the parameter on which any responsible forecasting use of the money-to-capability map must be conditioned</w:t>
      </w:r>
      <w:r>
        <w:t xml:space="preserve"> </w:t>
      </w:r>
      <w:hyperlink w:anchor="ref-7">
        <w:r>
          <w:rPr>
            <w:rStyle w:val="Hyperlink"/>
          </w:rPr>
          <w:t xml:space="preserve">[7]</w:t>
        </w:r>
      </w:hyperlink>
      <w:r>
        <w:t xml:space="preserve">[14][20][21]. Both remarks feed straight into the discussion of contribution, limits, and policy use that Chapter 7 takes up.</w:t>
      </w:r>
    </w:p>
    <w:bookmarkEnd w:id="130"/>
    <w:bookmarkEnd w:id="131"/>
    <w:bookmarkStart w:id="139" w:name="X21322cb5e29cbf4eb576afddcad42f86ace4e0d"/>
    <w:p>
      <w:pPr>
        <w:pStyle w:val="Heading1"/>
        <w:spacing w:line="480" w:lineRule="auto"/>
      </w:pPr>
      <w:r>
        <w:t xml:space="preserve">Chapter 7. Discussion and Governance Implications</w:t>
      </w:r>
    </w:p>
    <w:bookmarkStart w:id="132" w:name="what-the-two-estimates-mean-together"/>
    <w:p>
      <w:pPr>
        <w:pStyle w:val="Heading2"/>
        <w:spacing w:line="480" w:lineRule="auto"/>
      </w:pPr>
      <w:r>
        <w:t xml:space="preserve">7.1 What the Two Estimates Mean Together</w:t>
      </w:r>
    </w:p>
    <w:p>
      <w:pPr>
        <w:pStyle w:val="FirstParagraph"/>
        <w:spacing w:line="480" w:lineRule="auto"/>
      </w:pPr>
      <w:r>
        <w:t xml:space="preserve">Testing whether appropriations serve as a forecastable stand-in for cislunar space domain awareness capability was the study’s aim, and it pursued that aim through two specifications that come at the matter from structurally opposite sides. The cross-section in Paper 1 put modeled coverage capability against a normalized resource-scale money signal, recovering a slope of 7.45 percentage points of coverage per unit of resource scale, with a robust standard error of 1.56 and an R-squared of 0.79 over twenty-four design observations</w:t>
      </w:r>
      <w:r>
        <w:t xml:space="preserve"> </w:t>
      </w:r>
      <w:hyperlink w:anchor="ref-1">
        <w:r>
          <w:rPr>
            <w:rStyle w:val="Hyperlink"/>
          </w:rPr>
          <w:t xml:space="preserve">[1]</w:t>
        </w:r>
      </w:hyperlink>
      <w:r>
        <w:t xml:space="preserve">[2][4][5]. The time-series learning curve in Paper 2 put log catalog tally against log running space situational awareness investment over twenty-two annual observations, recovering an elasticity of 0.686 with a robust standard error of 0.060 and an R-squared of 0.869, which implies a progress ratio near 1.61 per doubling of running spend</w:t>
      </w:r>
      <w:r>
        <w:t xml:space="preserve"> </w:t>
      </w:r>
      <w:hyperlink w:anchor="ref-15">
        <w:r>
          <w:rPr>
            <w:rStyle w:val="Hyperlink"/>
          </w:rPr>
          <w:t xml:space="preserve">[15]</w:t>
        </w:r>
      </w:hyperlink>
      <w:r>
        <w:t xml:space="preserve">[16][17][19][20][21]. The two results do not gauge the same object: the cross-section gauges what a layout is built to do at a stated resource scale, while the learning curve gauges what the deployed net actually keeps. Two different objects, one shared heading.</w:t>
      </w:r>
    </w:p>
    <w:p>
      <w:pPr>
        <w:pStyle w:val="BodyText"/>
        <w:spacing w:line="480" w:lineRule="auto"/>
        <w:ind w:firstLine="720"/>
      </w:pPr>
      <w:r>
        <w:t xml:space="preserve">That the two specifications lean the same way, with positive and statistically tight slopes, is the study’s central empirical finding, and it beats either result alone because functional-form risk genuinely menaces inference in a young band with thin annual data</w:t>
      </w:r>
      <w:r>
        <w:t xml:space="preserve"> </w:t>
      </w:r>
      <w:hyperlink w:anchor="ref-1">
        <w:r>
          <w:rPr>
            <w:rStyle w:val="Hyperlink"/>
          </w:rPr>
          <w:t xml:space="preserve">[1]</w:t>
        </w:r>
      </w:hyperlink>
      <w:r>
        <w:t xml:space="preserve">[4].</w:t>
      </w:r>
    </w:p>
    <w:p>
      <w:pPr>
        <w:pStyle w:val="BodyText"/>
        <w:spacing w:line="480" w:lineRule="auto"/>
        <w:ind w:firstLine="720"/>
      </w:pPr>
      <w:r>
        <w:t xml:space="preserve">A net assessor reading appropriations as a forecast of cislunar capability is, on this evidence, holding a signal that carries real forecastable news rather than political static. That is the headline a NASA program manager or a Jet Propulsion Laboratory portfolio lead needs to catch, since it clears, inside the sample’s bounds, the very habit of treating budget lines as capability maps that the appropriations community has long leaned on off the record. The intellectually responsible telling, though, is the hedged one. The cross-section’s slope is local to the resource scales the design-optimization shelf has printed so far, and that shelf has yet to be driven into the dense, multi-tier sensor bands the next decade of lunar work will call for</w:t>
      </w:r>
      <w:r>
        <w:t xml:space="preserve"> </w:t>
      </w:r>
      <w:hyperlink w:anchor="ref-2">
        <w:r>
          <w:rPr>
            <w:rStyle w:val="Hyperlink"/>
          </w:rPr>
          <w:t xml:space="preserve">[2]</w:t>
        </w:r>
      </w:hyperlink>
      <w:r>
        <w:t xml:space="preserve">[6]. The learning curve’s elasticity sits well under unity, its upper confidence bound at 0.804, and that is just the fading-returns form the institutional-bottleneck shelf foretells for a money-to-capability channel that is real yet draggy</w:t>
      </w:r>
      <w:r>
        <w:t xml:space="preserve"> </w:t>
      </w:r>
      <w:hyperlink w:anchor="ref-7">
        <w:r>
          <w:rPr>
            <w:rStyle w:val="Hyperlink"/>
          </w:rPr>
          <w:t xml:space="preserve">[7]</w:t>
        </w:r>
      </w:hyperlink>
      <w:r>
        <w:t xml:space="preserve">. Together the results say money counts, money converts, and money converts at a slackening rate.</w:t>
      </w:r>
    </w:p>
    <w:p>
      <w:pPr>
        <w:pStyle w:val="BodyText"/>
        <w:spacing w:line="480" w:lineRule="auto"/>
        <w:ind w:firstLine="720"/>
      </w:pPr>
      <w:r>
        <w:t xml:space="preserve">The slackening is the snag. A straight-line reach that doubles cislunar awareness for a doubled cislunar budget will oversell the dividend.</w:t>
      </w:r>
    </w:p>
    <w:bookmarkEnd w:id="132"/>
    <w:bookmarkStart w:id="133" w:name="implications-for-nasa-program-management"/>
    <w:p>
      <w:pPr>
        <w:pStyle w:val="Heading2"/>
        <w:spacing w:line="480" w:lineRule="auto"/>
      </w:pPr>
      <w:r>
        <w:t xml:space="preserve">7.2 Implications for NASA Program Management</w:t>
      </w:r>
    </w:p>
    <w:p>
      <w:pPr>
        <w:pStyle w:val="FirstParagraph"/>
        <w:spacing w:line="480" w:lineRule="auto"/>
      </w:pPr>
      <w:r>
        <w:t xml:space="preserve">For NASA program managers, the working upshot is that the money-to-capability tie can be pinned inside the cislunar SDA effort, but the pinning has to run a certain way to earn policy use. A first upshot bears on how the agency should shape the link between its forward investment plan and its forecast of fielded custody. Internal program forecasts of cislunar awareness capability often lean on engineering trade studies that hold cost as an outside design limit and then solve against it</w:t>
      </w:r>
      <w:r>
        <w:t xml:space="preserve"> </w:t>
      </w:r>
      <w:hyperlink w:anchor="ref-1">
        <w:r>
          <w:rPr>
            <w:rStyle w:val="Hyperlink"/>
          </w:rPr>
          <w:t xml:space="preserve">[1]</w:t>
        </w:r>
      </w:hyperlink>
      <w:r>
        <w:t xml:space="preserve">[2][4]. That framing answers a different question from the one a budget officer needs answered, namely what the voted dollar will buy three to seven years down the line. The estimates in this study hand the agency a start on translating between the two coins, but they also expose a process gap: NASA keeps no paired time series today that ties its cislunar-relevant program elements to a model-built custody-capacity frontier of the sort the design community prints</w:t>
      </w:r>
      <w:r>
        <w:t xml:space="preserve"> </w:t>
      </w:r>
      <w:hyperlink w:anchor="ref-1">
        <w:r>
          <w:rPr>
            <w:rStyle w:val="Hyperlink"/>
          </w:rPr>
          <w:t xml:space="preserve">[1]</w:t>
        </w:r>
      </w:hyperlink>
      <w:r>
        <w:t xml:space="preserve">[4][5]. Standing up that paired series, even at a slow cadence, would turn the study’s exploratory finding into a rolling internal forecasting tool.</w:t>
      </w:r>
    </w:p>
    <w:p>
      <w:pPr>
        <w:pStyle w:val="BodyText"/>
        <w:spacing w:line="480" w:lineRule="auto"/>
        <w:ind w:firstLine="720"/>
      </w:pPr>
      <w:r>
        <w:t xml:space="preserve">A second upshot bears on mission selection, where geometry is no free knob. The cross-section’s positive slope on the space-based placement flag, set beside the design community’s repeated finding that geometry weighs as much as scale</w:t>
      </w:r>
      <w:r>
        <w:t xml:space="preserve"> </w:t>
      </w:r>
      <w:hyperlink w:anchor="ref-2">
        <w:r>
          <w:rPr>
            <w:rStyle w:val="Hyperlink"/>
          </w:rPr>
          <w:t xml:space="preserve">[2]</w:t>
        </w:r>
      </w:hyperlink>
      <w:r>
        <w:t xml:space="preserve">[5][10], suggests resource scale alone is too thin a frame for ranking cislunar SDA investments at the mission-formulation stage. Two layouts of matched sensor count and matched aperture can hand back sharply different coverage if one rides a periodic cislunar orbit and the other leans on a lone space-based asset paired with sparse ground baselines</w:t>
      </w:r>
      <w:r>
        <w:t xml:space="preserve"> </w:t>
      </w:r>
      <w:hyperlink w:anchor="ref-5">
        <w:r>
          <w:rPr>
            <w:rStyle w:val="Hyperlink"/>
          </w:rPr>
          <w:t xml:space="preserve">[5]</w:t>
        </w:r>
      </w:hyperlink>
      <w:r>
        <w:t xml:space="preserve">[10][12][13]. NASA’s centers and Federally Funded Research and Development Centers hold a comparative edge in modeling these geometry-brokered tradeoffs outright, and the agency’s program-management practice should weigh that modeling more heavily in early-phase selection than a headline cost figure would imply. Put concretely, the Authority to Proceed gate for a cislunar SDA mission concept should carry a printed, outside-reviewable coverage curve that traces capability against resource scale at several placement assumptions, not a lone point estimate at the proposed cost.</w:t>
      </w:r>
    </w:p>
    <w:p>
      <w:pPr>
        <w:pStyle w:val="BodyText"/>
        <w:spacing w:line="480" w:lineRule="auto"/>
        <w:ind w:firstLine="720"/>
      </w:pPr>
      <w:r>
        <w:t xml:space="preserve">A third upshot bears on the agency’s stance toward the slices of cislunar SDA that NASA does not fund itself. The Office of Space Commerce, the Space Force, and the Air Force Research Laboratory hold the bigger share of the voted dollars the learning curve in Paper 2 actually sums</w:t>
      </w:r>
      <w:r>
        <w:t xml:space="preserve"> </w:t>
      </w:r>
      <w:hyperlink w:anchor="ref-8">
        <w:r>
          <w:rPr>
            <w:rStyle w:val="Hyperlink"/>
          </w:rPr>
          <w:t xml:space="preserve">[8]</w:t>
        </w:r>
      </w:hyperlink>
      <w:r>
        <w:t xml:space="preserve">[14][19][20][21][23], and the catalog the learning curve uses as its output gauge is overwhelmingly a Department of Defense product realized through the Space Surveillance Network</w:t>
      </w:r>
      <w:r>
        <w:t xml:space="preserve"> </w:t>
      </w:r>
      <w:hyperlink w:anchor="ref-15">
        <w:r>
          <w:rPr>
            <w:rStyle w:val="Hyperlink"/>
          </w:rPr>
          <w:t xml:space="preserve">[15]</w:t>
        </w:r>
      </w:hyperlink>
      <w:r>
        <w:t xml:space="preserve">[18]. NASA’s cislunar science and exploration missions draw custody as a public good rather than making it at scale, and that lopsidedness carries program weight. If the agency wants to read its own appropriations as forecasts of the awareness its missions will lean on, it has to do so against the wider interagency budget envelope, not against its own line items in isolation. The study’s elasticity, fit on the aggregate national investment series, hands the agency a defensible figure for that joint forecast, and it should feed NASA’s strategic planning whenever mission concepts presume a level of cislunar custody the agency itself does not fund.</w:t>
      </w:r>
    </w:p>
    <w:p>
      <w:pPr>
        <w:pStyle w:val="BodyText"/>
        <w:spacing w:line="480" w:lineRule="auto"/>
        <w:ind w:firstLine="720"/>
      </w:pPr>
      <w:r>
        <w:t xml:space="preserve">A fourth upshot is operational, and lag is the working word. The institutional-bottleneck account that drove the lagged shape in Paper 2 foretells that acquisition lead time, technology readiness, and contracting drag smear the money-to-capability channel over time</w:t>
      </w:r>
      <w:r>
        <w:t xml:space="preserve"> </w:t>
      </w:r>
      <w:hyperlink w:anchor="ref-7">
        <w:r>
          <w:rPr>
            <w:rStyle w:val="Hyperlink"/>
          </w:rPr>
          <w:t xml:space="preserve">[7]</w:t>
        </w:r>
      </w:hyperlink>
      <w:r>
        <w:t xml:space="preserve">[23]. Program managers feel this firsthand when a milestone slips and a downstream demonstration sheds a year. That the running specification fits the data well, at an R-squared near 0.87, while a same-year regression on annual change would run far noisier, is the numerical shape of that drag. The actionable read is that NASA cislunar SDA program plans should be judged against a multi-year running-spend baseline rather than against a single-year delta, and that contingency planning should treat the lag between budget pledge and realized custody as a planning horizon of years, not quarters.</w:t>
      </w:r>
    </w:p>
    <w:bookmarkEnd w:id="133"/>
    <w:bookmarkStart w:id="134" w:name="implications-for-jpl-decision-making"/>
    <w:p>
      <w:pPr>
        <w:pStyle w:val="Heading2"/>
        <w:spacing w:line="480" w:lineRule="auto"/>
      </w:pPr>
      <w:r>
        <w:t xml:space="preserve">7.3 Implications for JPL Decision-Making</w:t>
      </w:r>
    </w:p>
    <w:p>
      <w:pPr>
        <w:pStyle w:val="FirstParagraph"/>
        <w:spacing w:line="480" w:lineRule="auto"/>
      </w:pPr>
      <w:r>
        <w:t xml:space="preserve">For JPL in particular, the findings hone several standing portfolio questions. The laboratory’s ground-based planetary-radar capability ranks among the assets the cislunar SDA design community counts as foundational, both for asteroid reading and for the radar-anchored slices of cislunar tracking</w:t>
      </w:r>
      <w:r>
        <w:t xml:space="preserve"> </w:t>
      </w:r>
      <w:hyperlink w:anchor="ref-24">
        <w:r>
          <w:rPr>
            <w:rStyle w:val="Hyperlink"/>
          </w:rPr>
          <w:t xml:space="preserve">[24]</w:t>
        </w:r>
      </w:hyperlink>
      <w:r>
        <w:t xml:space="preserve">[27][34]. Calls on whether to renew, refit, or grow those assets are usually argued on science-return grounds, and the findings here add a matching frame: running investment in surveillance infrastructure turns into custody capacity at a measurable elasticity, and JPL’s radar program numbers among the investment lines the running series quietly sums</w:t>
      </w:r>
      <w:r>
        <w:t xml:space="preserve"> </w:t>
      </w:r>
      <w:hyperlink w:anchor="ref-24">
        <w:r>
          <w:rPr>
            <w:rStyle w:val="Hyperlink"/>
          </w:rPr>
          <w:t xml:space="preserve">[24]</w:t>
        </w:r>
      </w:hyperlink>
      <w:r>
        <w:t xml:space="preserve">. When the laboratory builds a business case for radar reinvestment, the learning-curve elasticity is a defensible scalar for turning the proposed added investment into a forecast of added contribution to the national catalog, even where the radar’s mission case rests on a separate scientific aim. That is a quantitative argument the laboratory has not held before, and it rounds out rather than unseats the planetary-science case.</w:t>
      </w:r>
    </w:p>
    <w:p>
      <w:pPr>
        <w:pStyle w:val="BodyText"/>
        <w:spacing w:line="480" w:lineRule="auto"/>
        <w:ind w:firstLine="720"/>
      </w:pPr>
      <w:r>
        <w:t xml:space="preserve">Second, JPL’s book holds mission concepts that hang on a cislunar awareness baseline the laboratory does not field itself. The cross-section in Paper 1 fits the added coverage that resource scale buys at a given placement, and the design-optimization shelf it draws on shows again and again that custody of resident space objects in cislunar periodic and halo orbits is a steep function of where sensors sit</w:t>
      </w:r>
      <w:r>
        <w:t xml:space="preserve"> </w:t>
      </w:r>
      <w:hyperlink w:anchor="ref-5">
        <w:r>
          <w:rPr>
            <w:rStyle w:val="Hyperlink"/>
          </w:rPr>
          <w:t xml:space="preserve">[5]</w:t>
        </w:r>
      </w:hyperlink>
      <w:r>
        <w:t xml:space="preserve">[10][12]. JPL’s mission-concept teams can wield those curves to pressure-test the cislunar-custody assumptions baked into proposed missions, above all those that presume timely conjunction warnings or fragmentation tracking on hand in regions where the cataloged baseline runs thin</w:t>
      </w:r>
      <w:r>
        <w:t xml:space="preserve"> </w:t>
      </w:r>
      <w:hyperlink w:anchor="ref-30">
        <w:r>
          <w:rPr>
            <w:rStyle w:val="Hyperlink"/>
          </w:rPr>
          <w:t xml:space="preserve">[30]</w:t>
        </w:r>
      </w:hyperlink>
      <w:r>
        <w:t xml:space="preserve">[31][35]. Where a mission concept’s risk stance leans on a level of cislunar awareness the current budget path does not buy on a learning-curve reach, the concept either has to redraw its risk stance, offer a contributing sensor of its own, or coordinate with the interagency to press for the relevant investment line.</w:t>
      </w:r>
    </w:p>
    <w:p>
      <w:pPr>
        <w:pStyle w:val="BodyText"/>
        <w:spacing w:line="480" w:lineRule="auto"/>
        <w:ind w:firstLine="720"/>
      </w:pPr>
      <w:r>
        <w:t xml:space="preserve">Third, the cooperative-agent and adaptive-tasking shelf suggests even modest tasking-policy gains can wring real added capability from a fixed sensor base</w:t>
      </w:r>
      <w:r>
        <w:t xml:space="preserve"> </w:t>
      </w:r>
      <w:hyperlink w:anchor="ref-2">
        <w:r>
          <w:rPr>
            <w:rStyle w:val="Hyperlink"/>
          </w:rPr>
          <w:t xml:space="preserve">[2]</w:t>
        </w:r>
      </w:hyperlink>
      <w:r>
        <w:t xml:space="preserve">[6]. JPL’s strengths in autonomy, navigation, and onboard decision-making set the laboratory up to add to the policy-and-tasking side of the design optimization, not only to the sensor-and-spacecraft side. The study’s finding that placement holds its own weight past resource count squares with the wider engineering read that tasking is a force multiplier on a fielded sensor base</w:t>
      </w:r>
      <w:r>
        <w:t xml:space="preserve"> </w:t>
      </w:r>
      <w:hyperlink w:anchor="ref-2">
        <w:r>
          <w:rPr>
            <w:rStyle w:val="Hyperlink"/>
          </w:rPr>
          <w:t xml:space="preserve">[2]</w:t>
        </w:r>
      </w:hyperlink>
      <w:r>
        <w:t xml:space="preserve">[6]. The laboratory’s book should treat tasking-and-autonomy input to cislunar SDA as a first-class research line rather than a downstream technology insert, since the elasticity above implies the added dollar at a given level of piled-up spend is going into a band where sharper use of standing assets pays a high margin.</w:t>
      </w:r>
    </w:p>
    <w:p>
      <w:pPr>
        <w:pStyle w:val="BodyText"/>
        <w:spacing w:line="480" w:lineRule="auto"/>
        <w:ind w:firstLine="720"/>
      </w:pPr>
      <w:r>
        <w:t xml:space="preserve">Fourth, the elasticity under unity is a warning to portfolio planners against assuming a doubling of laboratory funding for cislunar surveillance work would double laboratory input to demonstrated capability. The progress ratio near 1.61 implies that, in the aggregate, each doubling of the running experience base pays a 61 percent capability gain rather than a 100 percent one. JPL’s internal allocation calls across rival surveillance and tracking efforts should be made with that ceiling in sight, favoring the efforts the design shelf suggests sit on the steep stretch of the local capability curve and ducking the tacit assumption that proportionality is a free design knob.</w:t>
      </w:r>
    </w:p>
    <w:bookmarkEnd w:id="134"/>
    <w:bookmarkStart w:id="135" w:name="X83f21a81912112161d603341e052601f1436881"/>
    <w:p>
      <w:pPr>
        <w:pStyle w:val="Heading2"/>
        <w:spacing w:line="480" w:lineRule="auto"/>
      </w:pPr>
      <w:r>
        <w:t xml:space="preserve">7.4 Implications for Interagency Coordination and International Posture</w:t>
      </w:r>
    </w:p>
    <w:p>
      <w:pPr>
        <w:pStyle w:val="FirstParagraph"/>
        <w:spacing w:line="480" w:lineRule="auto"/>
      </w:pPr>
      <w:r>
        <w:t xml:space="preserve">The findings also bear on how the United States should set itself in the international cislunar governance talk. The European Space Agency catalog reporting that anchors the dependent variable in Paper 2 is the main channel through which a non-US watcher reads the global custody record, and the European Union Space Surveillance and Tracking program reports its own design and capability growth through matching public channels</w:t>
      </w:r>
      <w:r>
        <w:t xml:space="preserve"> </w:t>
      </w:r>
      <w:hyperlink w:anchor="ref-9">
        <w:r>
          <w:rPr>
            <w:rStyle w:val="Hyperlink"/>
          </w:rPr>
          <w:t xml:space="preserve">[9]</w:t>
        </w:r>
      </w:hyperlink>
      <w:r>
        <w:t xml:space="preserve">[16][17][29]. Foreign actors who read the United States appropriations record as a forecast of US capability are doing what this study finds defensible inside the bounds tested, and they are doing so under a power-law conversion that travels fairly across actors of similar institutional make. A Japanese case study of space situational awareness capability growth shows the same qualitative pattern of piled-up investment turning into added capability under institutional drag</w:t>
      </w:r>
      <w:r>
        <w:t xml:space="preserve"> </w:t>
      </w:r>
      <w:hyperlink w:anchor="ref-26">
        <w:r>
          <w:rPr>
            <w:rStyle w:val="Hyperlink"/>
          </w:rPr>
          <w:t xml:space="preserve">[26]</w:t>
        </w:r>
      </w:hyperlink>
      <w:r>
        <w:t xml:space="preserve">. The upshot is that US budget signaling in cislunar SDA works as a strategic message, and the agencies that hold the voted lines should steer the public framing of their investment path with that signaling side in view.</w:t>
      </w:r>
    </w:p>
    <w:p>
      <w:pPr>
        <w:pStyle w:val="BodyText"/>
        <w:spacing w:line="480" w:lineRule="auto"/>
        <w:ind w:firstLine="720"/>
      </w:pPr>
      <w:r>
        <w:t xml:space="preserve">A related upshot is that the cooperative design lines proposed in the shelf carry governance content past their engineering content. Robust optimization for cooperative agents</w:t>
      </w:r>
      <w:r>
        <w:t xml:space="preserve"> </w:t>
      </w:r>
      <w:hyperlink w:anchor="ref-2">
        <w:r>
          <w:rPr>
            <w:rStyle w:val="Hyperlink"/>
          </w:rPr>
          <w:t xml:space="preserve">[2]</w:t>
        </w:r>
      </w:hyperlink>
      <w:r>
        <w:t xml:space="preserve"> </w:t>
      </w:r>
      <w:r>
        <w:t xml:space="preserve">and game-theoretical readings of L1 and L2 cislunar awareness</w:t>
      </w:r>
      <w:r>
        <w:t xml:space="preserve"> </w:t>
      </w:r>
      <w:hyperlink w:anchor="ref-28">
        <w:r>
          <w:rPr>
            <w:rStyle w:val="Hyperlink"/>
          </w:rPr>
          <w:t xml:space="preserve">[28]</w:t>
        </w:r>
      </w:hyperlink>
      <w:r>
        <w:t xml:space="preserve"> </w:t>
      </w:r>
      <w:r>
        <w:t xml:space="preserve">both presume that capability build-up by one actor is watched by others and steers their later investment picks. Under the learning curve, the rate of build-up is the policy knob that matters most, since a steady running path piles up capability faster than a matched total spend pulsed unevenly. That is an argument for steadiness of cislunar SDA appropriations as a policy good in itself, apart from the level at which the appropriation is set.</w:t>
      </w:r>
    </w:p>
    <w:bookmarkEnd w:id="135"/>
    <w:bookmarkStart w:id="136" w:name="limitations"/>
    <w:p>
      <w:pPr>
        <w:pStyle w:val="Heading2"/>
        <w:spacing w:line="480" w:lineRule="auto"/>
      </w:pPr>
      <w:r>
        <w:t xml:space="preserve">7.5 Limitations</w:t>
      </w:r>
    </w:p>
    <w:p>
      <w:pPr>
        <w:pStyle w:val="FirstParagraph"/>
        <w:spacing w:line="480" w:lineRule="auto"/>
      </w:pPr>
      <w:r>
        <w:t xml:space="preserve">Six limits frame the inferences above, and each maps to a specific route for follow-on work.</w:t>
      </w:r>
    </w:p>
    <w:p>
      <w:pPr>
        <w:pStyle w:val="BodyText"/>
        <w:spacing w:line="480" w:lineRule="auto"/>
        <w:ind w:firstLine="720"/>
      </w:pPr>
      <w:r>
        <w:t xml:space="preserve">The first is short and well-worn. The time series in Paper 2 runs twenty-two annual observations, three of them plainly back-cast, and the cislunar-specific design shelf in Paper 1 effectively starts in 2020</w:t>
      </w:r>
      <w:r>
        <w:t xml:space="preserve"> </w:t>
      </w:r>
      <w:hyperlink w:anchor="ref-1">
        <w:r>
          <w:rPr>
            <w:rStyle w:val="Hyperlink"/>
          </w:rPr>
          <w:t xml:space="preserve">[1]</w:t>
        </w:r>
      </w:hyperlink>
      <w:r>
        <w:t xml:space="preserve">[12][13]. Both panels run small against the parameters they fit, and the standard errors mirror that. The single-elasticity assumption of the learning curve cannot catch a structural break should the cislunar mission bring a genuinely new sensing band</w:t>
      </w:r>
      <w:r>
        <w:t xml:space="preserve"> </w:t>
      </w:r>
      <w:hyperlink w:anchor="ref-4">
        <w:r>
          <w:rPr>
            <w:rStyle w:val="Hyperlink"/>
          </w:rPr>
          <w:t xml:space="preserve">[4]</w:t>
        </w:r>
      </w:hyperlink>
      <w:r>
        <w:t xml:space="preserve">[5], and the linear specification in the cross-section is a local stand-in for a curve the underlying studies call fading</w:t>
      </w:r>
      <w:r>
        <w:t xml:space="preserve"> </w:t>
      </w:r>
      <w:hyperlink w:anchor="ref-1">
        <w:r>
          <w:rPr>
            <w:rStyle w:val="Hyperlink"/>
          </w:rPr>
          <w:t xml:space="preserve">[1]</w:t>
        </w:r>
      </w:hyperlink>
      <w:r>
        <w:t xml:space="preserve">[3]. Rerunning both specifications as the shelf ripens is the main robustness check the field wants.</w:t>
      </w:r>
    </w:p>
    <w:p>
      <w:pPr>
        <w:pStyle w:val="BodyText"/>
        <w:spacing w:line="480" w:lineRule="auto"/>
        <w:ind w:firstLine="720"/>
      </w:pPr>
      <w:r>
        <w:t xml:space="preserve">The second limit is the gap between modeled and fielded capability. The dependent variable in Paper 1 is a model-built coverage value reported by design studies, and the dependent variable in Paper 2 is the realized catalog of resident space objects, ruled by near-Earth rather than cislunar custody</w:t>
      </w:r>
      <w:r>
        <w:t xml:space="preserve"> </w:t>
      </w:r>
      <w:hyperlink w:anchor="ref-15">
        <w:r>
          <w:rPr>
            <w:rStyle w:val="Hyperlink"/>
          </w:rPr>
          <w:t xml:space="preserve">[15]</w:t>
        </w:r>
      </w:hyperlink>
      <w:r>
        <w:t xml:space="preserve">[16][17][18]. A truly cislunar-specific fielded panel does not yet exist, since the Oracle demonstrator and the cislunar-specific tasking pipelines tied to it are only now coming online</w:t>
      </w:r>
      <w:r>
        <w:t xml:space="preserve"> </w:t>
      </w:r>
      <w:hyperlink w:anchor="ref-8">
        <w:r>
          <w:rPr>
            <w:rStyle w:val="Hyperlink"/>
          </w:rPr>
          <w:t xml:space="preserve">[8]</w:t>
        </w:r>
      </w:hyperlink>
      <w:r>
        <w:t xml:space="preserve">. As that panel arrives, the running learning curve should be refit with a cislunar-specific output gauge, and a split between the all-orbit elasticity and the cislunar elasticity would itself be a substantive finding.</w:t>
      </w:r>
    </w:p>
    <w:p>
      <w:pPr>
        <w:pStyle w:val="BodyText"/>
        <w:spacing w:line="480" w:lineRule="auto"/>
        <w:ind w:firstLine="720"/>
      </w:pPr>
      <w:r>
        <w:t xml:space="preserve">The third limit is attribution. The running investment series in Paper 2 sums lines across several agencies and across program elements not evenly tagged as cislunar</w:t>
      </w:r>
      <w:r>
        <w:t xml:space="preserve"> </w:t>
      </w:r>
      <w:hyperlink w:anchor="ref-19">
        <w:r>
          <w:rPr>
            <w:rStyle w:val="Hyperlink"/>
          </w:rPr>
          <w:t xml:space="preserve">[19]</w:t>
        </w:r>
      </w:hyperlink>
      <w:r>
        <w:t xml:space="preserve">[20][21][23]. The cross-section in Paper 1 leans on a normalized resource-scale signal built from the published design studies, which sidesteps the appropriations-attribution snag but at the cost of distance from the voted dollar</w:t>
      </w:r>
      <w:r>
        <w:t xml:space="preserve"> </w:t>
      </w:r>
      <w:hyperlink w:anchor="ref-2">
        <w:r>
          <w:rPr>
            <w:rStyle w:val="Hyperlink"/>
          </w:rPr>
          <w:t xml:space="preserve">[2]</w:t>
        </w:r>
      </w:hyperlink>
      <w:r>
        <w:t xml:space="preserve">[4]. Reconciling the two attribution routes, ideally through a public NASA and interagency cislunar SDA budget crosswalk, would let the study’s ties be refit on sharper inputs.</w:t>
      </w:r>
    </w:p>
    <w:p>
      <w:pPr>
        <w:pStyle w:val="BodyText"/>
        <w:spacing w:line="480" w:lineRule="auto"/>
        <w:ind w:firstLine="720"/>
      </w:pPr>
      <w:r>
        <w:t xml:space="preserve">The fourth limit is the partial reach of NASA-specific lines inside the aggregate. The learning curve is fit on a national experience base, yet the study’s research question aims at NASA program management and JPL decision-making. The elasticity informs NASA only insofar as NASA-funded surveillance investments behave like the marginal dollar in the national series. Should NASA’s cislunar SDA investments differ systematically in institutional drag against the Space Force or Office of Space Commerce lines, the agency-specific elasticity could part from 0.686 either way. The follow-on study would fit agency-specific elasticities on a disaggregated panel.</w:t>
      </w:r>
    </w:p>
    <w:p>
      <w:pPr>
        <w:pStyle w:val="BodyText"/>
        <w:spacing w:line="480" w:lineRule="auto"/>
        <w:ind w:firstLine="720"/>
      </w:pPr>
      <w:r>
        <w:t xml:space="preserve">The fifth limit is reverse flow. The cross-section cannot rule out that watched coverage wins draw later investment, and the learning curve, by summing spend, partly soaks up but does not fully settle whether late catalog growth trailed earlier custody showings rather than the reverse. The prospectus’s Granger-precedence test stays the fitting falsification frame for the lead-lag claim, and a refresh of that test as the panel lengthens would meet the residual identification worry raised in Paper 2’s discussion head-on</w:t>
      </w:r>
      <w:r>
        <w:t xml:space="preserve"> </w:t>
      </w:r>
      <w:hyperlink w:anchor="ref-7">
        <w:r>
          <w:rPr>
            <w:rStyle w:val="Hyperlink"/>
          </w:rPr>
          <w:t xml:space="preserve">[7]</w:t>
        </w:r>
      </w:hyperlink>
      <w:r>
        <w:t xml:space="preserve">.</w:t>
      </w:r>
    </w:p>
    <w:p>
      <w:pPr>
        <w:pStyle w:val="BodyText"/>
        <w:spacing w:line="480" w:lineRule="auto"/>
        <w:ind w:firstLine="720"/>
      </w:pPr>
      <w:r>
        <w:t xml:space="preserve">The sixth limit bears on the breadth of the capability idea. Custody capacity and coverage fraction make handy summary outputs because they recompute, but they do not exhaust the policy-live content of awareness. Conjunction-warning latency, fragmentation-reconstruction skill, and the knack for reading uncooperative bodies are separate capability outputs the design community treats outright</w:t>
      </w:r>
      <w:r>
        <w:t xml:space="preserve"> </w:t>
      </w:r>
      <w:hyperlink w:anchor="ref-6">
        <w:r>
          <w:rPr>
            <w:rStyle w:val="Hyperlink"/>
          </w:rPr>
          <w:t xml:space="preserve">[6]</w:t>
        </w:r>
      </w:hyperlink>
      <w:r>
        <w:t xml:space="preserve">[30][31]. The study has tested whether money foretells the most-modeled output. Whether money foretells these other outputs at matching elasticities is a question the data on hand cannot settle, and it is a natural reach once the relevant capability time series are printed.</w:t>
      </w:r>
    </w:p>
    <w:bookmarkEnd w:id="136"/>
    <w:bookmarkStart w:id="137" w:name="future-research"/>
    <w:p>
      <w:pPr>
        <w:pStyle w:val="Heading2"/>
        <w:spacing w:line="480" w:lineRule="auto"/>
      </w:pPr>
      <w:r>
        <w:t xml:space="preserve">7.6 Future Research</w:t>
      </w:r>
    </w:p>
    <w:p>
      <w:pPr>
        <w:pStyle w:val="FirstParagraph"/>
        <w:spacing w:line="480" w:lineRule="auto"/>
      </w:pPr>
      <w:r>
        <w:t xml:space="preserve">Four research lines carry the study forward directly, with a fifth reaching further.</w:t>
      </w:r>
    </w:p>
    <w:p>
      <w:pPr>
        <w:pStyle w:val="BodyText"/>
        <w:spacing w:line="480" w:lineRule="auto"/>
        <w:ind w:firstLine="720"/>
      </w:pPr>
      <w:r>
        <w:t xml:space="preserve">The first is the cislunar-specific learning curve. Once the Oracle program and the tied cislunar tracking pipelines have logged enough operational years to bear an annual cislunar-custody gauge</w:t>
      </w:r>
      <w:r>
        <w:t xml:space="preserve"> </w:t>
      </w:r>
      <w:hyperlink w:anchor="ref-8">
        <w:r>
          <w:rPr>
            <w:rStyle w:val="Hyperlink"/>
          </w:rPr>
          <w:t xml:space="preserve">[8]</w:t>
        </w:r>
      </w:hyperlink>
      <w:r>
        <w:t xml:space="preserve">, the learning-curve specification should be refit against that gauge. A cislunar elasticity above the all-orbit elasticity would imply the marginal dollar in the cislunar effort delivers more capability than the marginal dollar in the wider surveillance effort, a strong policy sign for steady cislunar investment. A cislunar elasticity below the all-orbit elasticity would imply the reverse, and would earn a closer look at the drag sources unique to cislunar acquisition.</w:t>
      </w:r>
    </w:p>
    <w:p>
      <w:pPr>
        <w:pStyle w:val="BodyText"/>
        <w:spacing w:line="480" w:lineRule="auto"/>
        <w:ind w:firstLine="720"/>
      </w:pPr>
      <w:r>
        <w:t xml:space="preserve">The second is the multi-output reach. The design shelf reports several capability outputs beyond coverage and custody, taking in uncooperative tasking adequacy</w:t>
      </w:r>
      <w:r>
        <w:t xml:space="preserve"> </w:t>
      </w:r>
      <w:hyperlink w:anchor="ref-6">
        <w:r>
          <w:rPr>
            <w:rStyle w:val="Hyperlink"/>
          </w:rPr>
          <w:t xml:space="preserve">[6]</w:t>
        </w:r>
      </w:hyperlink>
      <w:r>
        <w:t xml:space="preserve">, fragmentation-reconstruction skill</w:t>
      </w:r>
      <w:r>
        <w:t xml:space="preserve"> </w:t>
      </w:r>
      <w:hyperlink w:anchor="ref-30">
        <w:r>
          <w:rPr>
            <w:rStyle w:val="Hyperlink"/>
          </w:rPr>
          <w:t xml:space="preserve">[30]</w:t>
        </w:r>
      </w:hyperlink>
      <w:r>
        <w:t xml:space="preserve">, and lunar-region situational adequacy</w:t>
      </w:r>
      <w:r>
        <w:t xml:space="preserve"> </w:t>
      </w:r>
      <w:hyperlink w:anchor="ref-12">
        <w:r>
          <w:rPr>
            <w:rStyle w:val="Hyperlink"/>
          </w:rPr>
          <w:t xml:space="preserve">[12]</w:t>
        </w:r>
      </w:hyperlink>
      <w:r>
        <w:t xml:space="preserve">[13][35]. A multivariate specification that puts a vector of capability outputs against running investment and design covariates would fit a capability-output matrix richer for portfolio calls than the scalar elasticity fit here. The methodological hurdle is building comparable annual gauges for each output; the analytical prize is a far richer forecasting tool.</w:t>
      </w:r>
    </w:p>
    <w:p>
      <w:pPr>
        <w:pStyle w:val="BodyText"/>
        <w:spacing w:line="480" w:lineRule="auto"/>
        <w:ind w:firstLine="720"/>
      </w:pPr>
      <w:r>
        <w:t xml:space="preserve">The third research line is the international comparative panel. The European Union Space Surveillance and Tracking program prints design and capability growth through structured reporting</w:t>
      </w:r>
      <w:r>
        <w:t xml:space="preserve"> </w:t>
      </w:r>
      <w:hyperlink w:anchor="ref-16">
        <w:r>
          <w:rPr>
            <w:rStyle w:val="Hyperlink"/>
          </w:rPr>
          <w:t xml:space="preserve">[16]</w:t>
        </w:r>
      </w:hyperlink>
      <w:r>
        <w:t xml:space="preserve">[17][29], and the wider international shelf on capability build-up lends matching cases</w:t>
      </w:r>
      <w:r>
        <w:t xml:space="preserve"> </w:t>
      </w:r>
      <w:hyperlink w:anchor="ref-26">
        <w:r>
          <w:rPr>
            <w:rStyle w:val="Hyperlink"/>
          </w:rPr>
          <w:t xml:space="preserve">[26]</w:t>
        </w:r>
      </w:hyperlink>
      <w:r>
        <w:t xml:space="preserve">[33]. A panel that fits elasticities across actors would tell the elasticity intrinsic to the technical effort apart from the elasticity brokered by institutional make. Elasticities that converge across actors would back the engineering-determinism read of the result; elasticities that split would back the institutional-drag read and would name the specific institutional features that weigh most.</w:t>
      </w:r>
    </w:p>
    <w:p>
      <w:pPr>
        <w:pStyle w:val="BodyText"/>
        <w:spacing w:line="480" w:lineRule="auto"/>
        <w:ind w:firstLine="720"/>
      </w:pPr>
      <w:r>
        <w:t xml:space="preserve">The fourth research line is the tasking-policy and autonomy frontier. The cross-section in Paper 1 already hints that placement and design covariates hold their own weight past resource scale</w:t>
      </w:r>
      <w:r>
        <w:t xml:space="preserve"> </w:t>
      </w:r>
      <w:hyperlink w:anchor="ref-2">
        <w:r>
          <w:rPr>
            <w:rStyle w:val="Hyperlink"/>
          </w:rPr>
          <w:t xml:space="preserve">[2]</w:t>
        </w:r>
      </w:hyperlink>
      <w:r>
        <w:t xml:space="preserve">[5][6]. A research program that treats tasking policy as a further axis of the capability function, drawing on the cooperative-agent and game-theoretical shelf</w:t>
      </w:r>
      <w:r>
        <w:t xml:space="preserve"> </w:t>
      </w:r>
      <w:hyperlink w:anchor="ref-2">
        <w:r>
          <w:rPr>
            <w:rStyle w:val="Hyperlink"/>
          </w:rPr>
          <w:t xml:space="preserve">[2]</w:t>
        </w:r>
      </w:hyperlink>
      <w:r>
        <w:t xml:space="preserve">[28], would fit the marginal capability input of policy gains at a fixed sensor base. That fit bears straight on JPL’s autonomy and navigation books, and it would knit the study’s appropriations-and-capability frame to the agency’s strategic strengths in software-heavy input to design performance.</w:t>
      </w:r>
    </w:p>
    <w:p>
      <w:pPr>
        <w:pStyle w:val="BodyText"/>
        <w:spacing w:line="480" w:lineRule="auto"/>
        <w:ind w:firstLine="720"/>
      </w:pPr>
      <w:r>
        <w:t xml:space="preserve">A fifth, more speculative line ties the money-to-capability relationship to the wider space economy. The aggregate space-economy shelf records that government investment is the main lever through which states sponsor sectoral capability growth</w:t>
      </w:r>
      <w:r>
        <w:t xml:space="preserve"> </w:t>
      </w:r>
      <w:hyperlink w:anchor="ref-3">
        <w:r>
          <w:rPr>
            <w:rStyle w:val="Hyperlink"/>
          </w:rPr>
          <w:t xml:space="preserve">[3]</w:t>
        </w:r>
      </w:hyperlink>
      <w:r>
        <w:t xml:space="preserve">[11], and the recent shelf on space-resources market judgment and commercial station feasibility suggests public-investment-driven capability build-up is a precondition for commercial work rather than a stand-in for it</w:t>
      </w:r>
      <w:r>
        <w:t xml:space="preserve"> </w:t>
      </w:r>
      <w:hyperlink w:anchor="ref-36">
        <w:r>
          <w:rPr>
            <w:rStyle w:val="Hyperlink"/>
          </w:rPr>
          <w:t xml:space="preserve">[36]</w:t>
        </w:r>
      </w:hyperlink>
      <w:r>
        <w:t xml:space="preserve">[37]. A line that ties the cislunar SDA elasticity fit here to later commercial-activity gauges would tackle whether public surveillance investment crowds in private cislunar work. That question runs past the study’s scope, but it is the natural reach of the appropriations-as-forecast frame into the policy band where commercial cislunar work is the next quantitative variable that begs explanation.</w:t>
      </w:r>
    </w:p>
    <w:bookmarkEnd w:id="137"/>
    <w:bookmarkStart w:id="138" w:name="closing"/>
    <w:p>
      <w:pPr>
        <w:pStyle w:val="Heading2"/>
        <w:spacing w:line="480" w:lineRule="auto"/>
      </w:pPr>
      <w:r>
        <w:t xml:space="preserve">7.7 Closing</w:t>
      </w:r>
    </w:p>
    <w:p>
      <w:pPr>
        <w:pStyle w:val="FirstParagraph"/>
        <w:spacing w:line="480" w:lineRule="auto"/>
      </w:pPr>
      <w:r>
        <w:t xml:space="preserve">The empirical case for reading cislunar SSA appropriations as a forecast of cislunar SDA capability is, on the evidence this study built, defensible but hedged. Money signals carry forecastable news, the elasticity of capability against running spend is sharply fit, and the cross-sectional slope of coverage on resource scale runs large enough to count operationally. At the same time, the turn of dollars into capability slackens as the experience base grows, geometry and placement hold their own weight, and the institutional drag that brokers the channel is a feature of the system rather than a passing quirk. NASA program management and JPL portfolio decision-making can both put this frame to good use, provided the use honors the fading-returns form of the tie, the gap between modeled and fielded capability, and the interagency setting in which the voted dollars actually pile up. What the study contributes is to bring those hedges into quantitative focus, and to leave the field a figure that future work can refine as the cislunar design ripens and as the fielded catalog closes on the model frontier the design shelf has already drawn.</w:t>
      </w:r>
    </w:p>
    <w:bookmarkEnd w:id="138"/>
    <w:bookmarkEnd w:id="139"/>
    <w:bookmarkStart w:id="201" w:name="chapter-8.-conclusion"/>
    <w:p>
      <w:pPr>
        <w:pStyle w:val="Heading1"/>
        <w:spacing w:line="480" w:lineRule="auto"/>
      </w:pPr>
      <w:r>
        <w:t xml:space="preserve">Chapter 8. Conclusion</w:t>
      </w:r>
    </w:p>
    <w:bookmarkStart w:id="140" w:name="restatement-of-the-problem"/>
    <w:p>
      <w:pPr>
        <w:pStyle w:val="Heading2"/>
        <w:spacing w:line="480" w:lineRule="auto"/>
      </w:pPr>
      <w:r>
        <w:t xml:space="preserve">8.1 Restatement of the Problem</w:t>
      </w:r>
    </w:p>
    <w:p>
      <w:pPr>
        <w:pStyle w:val="FirstParagraph"/>
        <w:spacing w:line="480" w:lineRule="auto"/>
      </w:pPr>
      <w:r>
        <w:t xml:space="preserve">A plain-looking remark about how states and outside watchers think through space capability opened this study. Read in the policy key, appropriations lines, program elements, and budget justifications pass for prophecies of what a nation will manage to do. Keeping cislunar bodies under custody, aiming sensors at uncooperative agents, and holding a clean picture of the shell from geosynchronous orbit to the Moon all get treated as things that fall out automatically from the money staked on them. Read in the engineering key, though, the very same capability arrives in a wholly separate coin, as a modeled custody-capacity frontier that design-optimization studies produce by taking sensor spread, placement, and aperture as inputs and handing back a recomputable coverage figure</w:t>
      </w:r>
      <w:r>
        <w:t xml:space="preserve"> </w:t>
      </w:r>
      <w:hyperlink w:anchor="ref-1">
        <w:r>
          <w:rPr>
            <w:rStyle w:val="Hyperlink"/>
          </w:rPr>
          <w:t xml:space="preserve">[1]</w:t>
        </w:r>
      </w:hyperlink>
      <w:r>
        <w:t xml:space="preserve">[2][4]. That split between the two keys, one bureaucratic and one technical, is what the study set out to pry apart. At issue was never whether funding counts, since the space-economy shelf already shows that public money has long powered sector capability</w:t>
      </w:r>
      <w:r>
        <w:t xml:space="preserve"> </w:t>
      </w:r>
      <w:hyperlink w:anchor="ref-3">
        <w:r>
          <w:rPr>
            <w:rStyle w:val="Hyperlink"/>
          </w:rPr>
          <w:t xml:space="preserve">[3]</w:t>
        </w:r>
      </w:hyperlink>
      <w:r>
        <w:t xml:space="preserve">, but whether the money signal carries forecastable news about the one model-built capability figure the design community has settled on.</w:t>
      </w:r>
    </w:p>
    <w:p>
      <w:pPr>
        <w:pStyle w:val="BodyText"/>
        <w:spacing w:line="480" w:lineRule="auto"/>
        <w:ind w:firstLine="720"/>
      </w:pPr>
      <w:r>
        <w:t xml:space="preserve">Fixing a single throw-out-able test in the prospectus sharpened the matter: whether year-on-year motion in cislunar-SDA-relevant funding runs ahead of, trails, or floats free of motion in the achievable custody-capacity frontier</w:t>
      </w:r>
      <w:r>
        <w:t xml:space="preserve"> </w:t>
      </w:r>
      <w:hyperlink w:anchor="ref-1">
        <w:r>
          <w:rPr>
            <w:rStyle w:val="Hyperlink"/>
          </w:rPr>
          <w:t xml:space="preserve">[1]</w:t>
        </w:r>
      </w:hyperlink>
      <w:r>
        <w:t xml:space="preserve">[2][4]. That null was strict on purpose, because failing to reject it would have knocked out a widespread reasoning habit in net assessment and policy forecasting. The study then set two paired empirical assaults on the null. One took the matter in its cross-sectional, design-by-design shape, asking whether the resource scale staked on a cislunar SDA layout foretells the coverage capability that layout hands back, with sensor placement and aperture held fixed. The other took it in its running, learning-curve shape, asking whether the whole piled-up stock of SSA investment turns into demonstrated custody capacity along a steady power law. Between them these analyses cover the two functional forms in which the money-to-capability question most often gets posed, and they were built so a finding that survives both would beat either standing alone.</w:t>
      </w:r>
    </w:p>
    <w:bookmarkEnd w:id="140"/>
    <w:bookmarkStart w:id="141" w:name="synthesis-of-the-argument"/>
    <w:p>
      <w:pPr>
        <w:pStyle w:val="Heading2"/>
        <w:spacing w:line="480" w:lineRule="auto"/>
      </w:pPr>
      <w:r>
        <w:t xml:space="preserve">8.2 Synthesis of the Argument</w:t>
      </w:r>
    </w:p>
    <w:p>
      <w:pPr>
        <w:pStyle w:val="FirstParagraph"/>
        <w:spacing w:line="480" w:lineRule="auto"/>
      </w:pPr>
      <w:r>
        <w:t xml:space="preserve">What the foregoing chapters advance boils down to three linked claims, each anchored in its own body of evidence.</w:t>
      </w:r>
    </w:p>
    <w:p>
      <w:pPr>
        <w:pStyle w:val="BodyText"/>
        <w:spacing w:line="480" w:lineRule="auto"/>
        <w:ind w:firstLine="720"/>
      </w:pPr>
      <w:r>
        <w:t xml:space="preserve">Claim one, no throwaway precondition, is that the cislunar SDA shelf now turns out a recomputable capability score. A money-to-capability test only carries meaning when capability rides in a coin that does not itself wander with program storytelling. The design-optimization shelf supplies exactly that coin: the capacity-based optimization baseline of 2022</w:t>
      </w:r>
      <w:r>
        <w:t xml:space="preserve"> </w:t>
      </w:r>
      <w:hyperlink w:anchor="ref-1">
        <w:r>
          <w:rPr>
            <w:rStyle w:val="Hyperlink"/>
          </w:rPr>
          <w:t xml:space="preserve">[1]</w:t>
        </w:r>
      </w:hyperlink>
      <w:r>
        <w:t xml:space="preserve">, its robust cooperative-agent extension in 2023</w:t>
      </w:r>
      <w:r>
        <w:t xml:space="preserve"> </w:t>
      </w:r>
      <w:hyperlink w:anchor="ref-2">
        <w:r>
          <w:rPr>
            <w:rStyle w:val="Hyperlink"/>
          </w:rPr>
          <w:t xml:space="preserve">[2]</w:t>
        </w:r>
      </w:hyperlink>
      <w:r>
        <w:t xml:space="preserve">, the comprehensive capacity approach of 2024</w:t>
      </w:r>
      <w:r>
        <w:t xml:space="preserve"> </w:t>
      </w:r>
      <w:hyperlink w:anchor="ref-4">
        <w:r>
          <w:rPr>
            <w:rStyle w:val="Hyperlink"/>
          </w:rPr>
          <w:t xml:space="preserve">[4]</w:t>
        </w:r>
      </w:hyperlink>
      <w:r>
        <w:t xml:space="preserve">, and the model-based optical-constellation trade study of the same year</w:t>
      </w:r>
      <w:r>
        <w:t xml:space="preserve"> </w:t>
      </w:r>
      <w:hyperlink w:anchor="ref-5">
        <w:r>
          <w:rPr>
            <w:rStyle w:val="Hyperlink"/>
          </w:rPr>
          <w:t xml:space="preserve">[5]</w:t>
        </w:r>
      </w:hyperlink>
      <w:r>
        <w:t xml:space="preserve"> </w:t>
      </w:r>
      <w:r>
        <w:t xml:space="preserve">each report a custody-capacity or coverage figure pinned to a calendar year and to a named sensor spread. Adaptive tasking work against uncooperative cislunar bodies pushes the recomputability further into the operational band</w:t>
      </w:r>
      <w:r>
        <w:t xml:space="preserve"> </w:t>
      </w:r>
      <w:hyperlink w:anchor="ref-6">
        <w:r>
          <w:rPr>
            <w:rStyle w:val="Hyperlink"/>
          </w:rPr>
          <w:t xml:space="preserve">[6]</w:t>
        </w:r>
      </w:hyperlink>
      <w:r>
        <w:t xml:space="preserve">. Claim one is therefore a methodological one: capability here has turned measurable in a way it was not ten years back, and that fact is what lets everything after it stand.</w:t>
      </w:r>
    </w:p>
    <w:p>
      <w:pPr>
        <w:pStyle w:val="BodyText"/>
        <w:spacing w:line="480" w:lineRule="auto"/>
        <w:ind w:firstLine="720"/>
      </w:pPr>
      <w:r>
        <w:t xml:space="preserve">Claim two is empirical and rests on the cross-sectional analysis laid out in the first research paper. Inside the set of cislunar and lunar SDA layouts studied so far, taking in the published trade studies and a handful of funded program anchors, staked resource scale goes positively and significantly with modeled coverage capability. The fitted slope of roughly 7.4 percentage points of coverage per added unit of resource scale, with a robust standard error of 1.56 and a p-value below 0.001, runs large enough to count operationally and tight enough to defend statistically. Placement pulls its own weight, with space-based layouts picking up capability past what node count alone hands over, in step with the geometry edges the optimization shelf reports</w:t>
      </w:r>
      <w:r>
        <w:t xml:space="preserve"> </w:t>
      </w:r>
      <w:hyperlink w:anchor="ref-2">
        <w:r>
          <w:rPr>
            <w:rStyle w:val="Hyperlink"/>
          </w:rPr>
          <w:t xml:space="preserve">[2]</w:t>
        </w:r>
      </w:hyperlink>
      <w:r>
        <w:t xml:space="preserve">[3][4]. The aperture term, negative in sign, was read not as a physical clash but as a flag that the largest-aperture rows in the cross-section are the sparse single-asset and ground-baseline anchors that field few nodes; once node count is held, aperture marks resource-thin layouts rather than richer ones. So the design cross-section answers the money-to-capability question in its static shape with a clean, defensible yes.</w:t>
      </w:r>
    </w:p>
    <w:p>
      <w:pPr>
        <w:pStyle w:val="BodyText"/>
        <w:spacing w:line="480" w:lineRule="auto"/>
        <w:ind w:firstLine="720"/>
      </w:pPr>
      <w:r>
        <w:t xml:space="preserve">Claim three is empirical and rests on the running learning-curve analysis. Across a twenty-two-year annual panel pairing the cataloged resident-space-object tally with running US SSA and SDA investment, the elasticity of log custody capacity against log running investment lands at 0.686, with a robust standard error of 0.060 and a confidence band from 0.569 to 0.804. The null of a zero elasticity falls decisively. It is not close. The implied progress ratio of 1.61 says each doubling of the piled-up experience base goes with roughly a 61 percent jump in demonstrated custody capacity. Because the elasticity sits well under unity, its upper confidence bound staying beneath one, the tie sketches a band of positive but fading returns. The running money signal therefore foretells realized custody capacity, but foretells it leakily, which is the numerical fingerprint of the institutional drag the awareness-infrastructure shelf has sketched in words</w:t>
      </w:r>
      <w:r>
        <w:t xml:space="preserve"> </w:t>
      </w:r>
      <w:hyperlink w:anchor="ref-7">
        <w:r>
          <w:rPr>
            <w:rStyle w:val="Hyperlink"/>
          </w:rPr>
          <w:t xml:space="preserve">[7]</w:t>
        </w:r>
      </w:hyperlink>
      <w:r>
        <w:t xml:space="preserve">.</w:t>
      </w:r>
    </w:p>
    <w:p>
      <w:pPr>
        <w:pStyle w:val="BodyText"/>
        <w:spacing w:line="480" w:lineRule="auto"/>
        <w:ind w:firstLine="720"/>
      </w:pPr>
      <w:r>
        <w:t xml:space="preserve">Set side by side, the three claims build one joined argument. Capability in cislunar SDA has turned measurable in a steady coin; inside that coin, resource scale foretells modeled coverage in the cross-section; and across the wider run of US space surveillance, running investment foretells realized custody capacity along a learning curve whose elasticity sits under unity. The meeting of the static and dynamic tests is the central empirical payoff. Reading appropriations as a prophecy of coming capability in cislunar SDA is, on this evidence, neither a plain blunder nor a crisp one-to-one map. It is a defensible habit whose sharpness has now been fenced.</w:t>
      </w:r>
    </w:p>
    <w:p>
      <w:pPr>
        <w:pStyle w:val="BodyText"/>
        <w:spacing w:line="480" w:lineRule="auto"/>
        <w:ind w:firstLine="720"/>
      </w:pPr>
      <w:r>
        <w:t xml:space="preserve">That is the whole of the finding, and the rest of the conclusion draws out what follows from it.</w:t>
      </w:r>
    </w:p>
    <w:bookmarkEnd w:id="141"/>
    <w:bookmarkStart w:id="142" w:name="contribution-to-knowledge"/>
    <w:p>
      <w:pPr>
        <w:pStyle w:val="Heading2"/>
        <w:spacing w:line="480" w:lineRule="auto"/>
      </w:pPr>
      <w:r>
        <w:t xml:space="preserve">8.3 Contribution to Knowledge</w:t>
      </w:r>
    </w:p>
    <w:p>
      <w:pPr>
        <w:pStyle w:val="FirstParagraph"/>
        <w:spacing w:line="480" w:lineRule="auto"/>
      </w:pPr>
      <w:r>
        <w:t xml:space="preserve">Four contributions issue from the study that, taken as a set, seal the opening named in the prospectus.</w:t>
      </w:r>
    </w:p>
    <w:p>
      <w:pPr>
        <w:pStyle w:val="BodyText"/>
        <w:spacing w:line="480" w:lineRule="auto"/>
        <w:ind w:firstLine="720"/>
      </w:pPr>
      <w:r>
        <w:t xml:space="preserve">The first knits three formerly separate shelves. Cislunar SDA design has turned out recomputable capability scores while handling money as an outside scalar</w:t>
      </w:r>
      <w:r>
        <w:t xml:space="preserve"> </w:t>
      </w:r>
      <w:hyperlink w:anchor="ref-1">
        <w:r>
          <w:rPr>
            <w:rStyle w:val="Hyperlink"/>
          </w:rPr>
          <w:t xml:space="preserve">[1]</w:t>
        </w:r>
      </w:hyperlink>
      <w:r>
        <w:t xml:space="preserve">[2][4]. Space economy has recorded that government space budgets run large and consequential without ever tying a named budget line to a named measured engineering result</w:t>
      </w:r>
      <w:r>
        <w:t xml:space="preserve"> </w:t>
      </w:r>
      <w:hyperlink w:anchor="ref-3">
        <w:r>
          <w:rPr>
            <w:rStyle w:val="Hyperlink"/>
          </w:rPr>
          <w:t xml:space="preserve">[3]</w:t>
        </w:r>
      </w:hyperlink>
      <w:r>
        <w:t xml:space="preserve">. The institutional shelf on awareness infrastructure has suspected a delayed and draggy tie between money and capability without ever putting a number on it</w:t>
      </w:r>
      <w:r>
        <w:t xml:space="preserve"> </w:t>
      </w:r>
      <w:hyperlink w:anchor="ref-7">
        <w:r>
          <w:rPr>
            <w:rStyle w:val="Hyperlink"/>
          </w:rPr>
          <w:t xml:space="preserve">[7]</w:t>
        </w:r>
      </w:hyperlink>
      <w:r>
        <w:t xml:space="preserve">. By fitting that tie, in static and dynamic shape both, the study joins these three at the seam where they had sat mutually in view but unlinked.</w:t>
      </w:r>
    </w:p>
    <w:p>
      <w:pPr>
        <w:pStyle w:val="BodyText"/>
        <w:spacing w:line="480" w:lineRule="auto"/>
        <w:ind w:firstLine="720"/>
      </w:pPr>
      <w:r>
        <w:t xml:space="preserve">The second calibrates a money-to-capability tie in units people can use. The cross-sectional slope says how many percentage points of modeled coverage ride along with an added unit of resource scale, placement and aperture held. The learning-curve elasticity says how realized custody capacity climbs with running investment, in a shape that lines up straight against the experience-curve estimates the industrial-engineering and defense-acquisition shelves have raised for other sectors. Both figures come with confidence bands, both get read inside stated covariate frames, and both tie back to named, auditable data sources. A budget officer or net assessor reading this work can turn a mulled shift in budget stance into a fenced guess at the capability shift it would foretell, caveats attached.</w:t>
      </w:r>
    </w:p>
    <w:p>
      <w:pPr>
        <w:pStyle w:val="BodyText"/>
        <w:spacing w:line="480" w:lineRule="auto"/>
        <w:ind w:firstLine="720"/>
      </w:pPr>
      <w:r>
        <w:t xml:space="preserve">The third is methodological. The study shows that the money-to-capability question is empirically workable in cislunar SDA precisely because the design-optimization shelf has ripened enough to turn out model-built custody-capacity figures pinned to publication years</w:t>
      </w:r>
      <w:r>
        <w:t xml:space="preserve"> </w:t>
      </w:r>
      <w:hyperlink w:anchor="ref-1">
        <w:r>
          <w:rPr>
            <w:rStyle w:val="Hyperlink"/>
          </w:rPr>
          <w:t xml:space="preserve">[1]</w:t>
        </w:r>
      </w:hyperlink>
      <w:r>
        <w:t xml:space="preserve">[2][4][5]. That showing carries over to any space mission area where capability can ride as a recomputable engineering figure. The methodological step, pairing an annual or cross-sectional capability score with an annual or running money signal and fitting the lagged or power-law tie between them, ports to debris cleanup, lunar communications, in-space servicing, and any other band where the engineering shelf has settled on a measurable output</w:t>
      </w:r>
      <w:r>
        <w:t xml:space="preserve"> </w:t>
      </w:r>
      <w:hyperlink w:anchor="ref-5">
        <w:r>
          <w:rPr>
            <w:rStyle w:val="Hyperlink"/>
          </w:rPr>
          <w:t xml:space="preserve">[5]</w:t>
        </w:r>
      </w:hyperlink>
      <w:r>
        <w:t xml:space="preserve">[6]. So the study hands over not only a result in cislunar SDA but a pattern for parallel tests elsewhere in space capability planning.</w:t>
      </w:r>
    </w:p>
    <w:p>
      <w:pPr>
        <w:pStyle w:val="BodyText"/>
        <w:spacing w:line="480" w:lineRule="auto"/>
        <w:ind w:firstLine="720"/>
      </w:pPr>
      <w:r>
        <w:t xml:space="preserve">The fourth is conceptual. The meeting of the static and dynamic results fences the sharpness of a common reasoning habit in space policy and net assessment. Reading capability off appropriations wins backing from the data, but only inside an envelope set by the cross-sectional slope, the running elasticity, and the institutional drag that pins the elasticity under unity. The study gives that envelope plain numerical shape. A reader who might otherwise have run a straight line from a planned budget to a foretold cislunar SDA capability is now fit to draw a curve instead, its slope fading and its confidence band splaying as the reach lengthens.</w:t>
      </w:r>
    </w:p>
    <w:bookmarkEnd w:id="142"/>
    <w:bookmarkStart w:id="143" w:name="X81d8fd16c004f965766575dbc524b6907bc26d5"/>
    <w:p>
      <w:pPr>
        <w:pStyle w:val="Heading2"/>
        <w:spacing w:line="480" w:lineRule="auto"/>
      </w:pPr>
      <w:r>
        <w:t xml:space="preserve">8.4 Limits, Boundaries, and the Cislunar-Specific Frontier</w:t>
      </w:r>
    </w:p>
    <w:p>
      <w:pPr>
        <w:pStyle w:val="FirstParagraph"/>
        <w:spacing w:line="480" w:lineRule="auto"/>
      </w:pPr>
      <w:r>
        <w:t xml:space="preserve">The contribution is fenced in ways the foregoing chapters made plain and the conclusion should not blur. The cislunar capability score is a modeled frontier rather than a fielded reading, and although the design-optimization shelf has ripened enough to make that frontier recomputable, the deployment gap owned through the institutional-bottleneck channel</w:t>
      </w:r>
      <w:r>
        <w:t xml:space="preserve"> </w:t>
      </w:r>
      <w:hyperlink w:anchor="ref-7">
        <w:r>
          <w:rPr>
            <w:rStyle w:val="Hyperlink"/>
          </w:rPr>
          <w:t xml:space="preserve">[7]</w:t>
        </w:r>
      </w:hyperlink>
      <w:r>
        <w:t xml:space="preserve"> </w:t>
      </w:r>
      <w:r>
        <w:t xml:space="preserve">is real and is the object of the running analysis rather than the cross-sectional one. The running analysis, in its turn, leans on the cataloged resident-space-object tally as its custody output, a tally ruled by the near-Earth band rather than by the cislunar shell that is the study’s final target. The catalog is the best fielded stand-in for custody capacity on hand, but a stand-in is all it is. The cislunar-specific custody frontier stays a modeled figure, so the study’s sharpest empirical statements about cislunar capability rest on the cross-sectional analysis, with the running learning curve serving as the broader corroborating sign that the money-to-capability channel is real across the space-surveillance effort at large.</w:t>
      </w:r>
    </w:p>
    <w:p>
      <w:pPr>
        <w:pStyle w:val="BodyText"/>
        <w:spacing w:line="480" w:lineRule="auto"/>
        <w:ind w:firstLine="720"/>
      </w:pPr>
      <w:r>
        <w:t xml:space="preserve">The time series for the cislunar-specific test runs short, since the capacity shelf effectively starts in 2022</w:t>
      </w:r>
      <w:r>
        <w:t xml:space="preserve"> </w:t>
      </w:r>
      <w:hyperlink w:anchor="ref-1">
        <w:r>
          <w:rPr>
            <w:rStyle w:val="Hyperlink"/>
          </w:rPr>
          <w:t xml:space="preserve">[1]</w:t>
        </w:r>
      </w:hyperlink>
      <w:r>
        <w:t xml:space="preserve">. The study met that limit with lean specifications, robust standard errors, and plain confidence bands rather than a lean on asymptotic significance alone, but the limit will only ease as more design-optimization studies enter the published record and as Oracle, the Office of Space Commerce Traffic Coordination System for Space, and the programs after them start to report fielded custody figures. Each fresh annual observation will tighten the confidence bands on the cross-sectional slope and the running elasticity alike, and each will allow a keener test of whether the static and dynamic results keep meeting.</w:t>
      </w:r>
    </w:p>
    <w:p>
      <w:pPr>
        <w:pStyle w:val="BodyText"/>
        <w:spacing w:line="480" w:lineRule="auto"/>
        <w:ind w:firstLine="720"/>
      </w:pPr>
      <w:r>
        <w:t xml:space="preserve">Attribution of the budget line stays judgment-laden, since cislunar SDA draws funds across several program elements. The study softened this through plain inclusion rules and through reporting how the result bends under narrow and broad attribution, but the softening does not dissolve the underlying haze. Aggregate budget evidence confirms the lines run large enough to measure without settling attribution at the project level</w:t>
      </w:r>
      <w:r>
        <w:t xml:space="preserve"> </w:t>
      </w:r>
      <w:hyperlink w:anchor="ref-3">
        <w:r>
          <w:rPr>
            <w:rStyle w:val="Hyperlink"/>
          </w:rPr>
          <w:t xml:space="preserve">[3]</w:t>
        </w:r>
      </w:hyperlink>
      <w:r>
        <w:t xml:space="preserve">. Because the cislunar mission area is unlikely to win a single, clean program element any time soon, the attribution sensitivity will stay a fixed feature of work in this band rather than a passing one.</w:t>
      </w:r>
    </w:p>
    <w:bookmarkEnd w:id="143"/>
    <w:bookmarkStart w:id="144" w:name="closing-statement"/>
    <w:p>
      <w:pPr>
        <w:pStyle w:val="Heading2"/>
        <w:spacing w:line="480" w:lineRule="auto"/>
      </w:pPr>
      <w:r>
        <w:t xml:space="preserve">8.5 Closing Statement</w:t>
      </w:r>
    </w:p>
    <w:p>
      <w:pPr>
        <w:pStyle w:val="FirstParagraph"/>
        <w:spacing w:line="480" w:lineRule="auto"/>
      </w:pPr>
      <w:r>
        <w:t xml:space="preserve">The study circles back, in closing, to the question that drove it. Does the budget signal forecast cislunar SDA capability, The reply the foregoing chapters have built is a fenced and numerically bounded yes. The cross-sectional design evidence shows that staked resource scale foretells modeled coverage with a defensible slope and tight sharpness. The running learning-curve evidence shows that piled-up investment foretells realized custody capacity with a positive elasticity that is sharply fit and that sits under unity. The two findings come at the money-to-capability link through separate functional forms and land on the same direction. Reading appropriations as a prophecy of cislunar SDA capability is not, on this evidence, a plain blunder; it is a habit whose sharpness has been fenced and whose fade has been quantified.</w:t>
      </w:r>
    </w:p>
    <w:p>
      <w:pPr>
        <w:pStyle w:val="BodyText"/>
        <w:spacing w:line="480" w:lineRule="auto"/>
        <w:ind w:firstLine="720"/>
      </w:pPr>
      <w:r>
        <w:t xml:space="preserve">For the policy reader the closing point is therefore not that money signals earn more credulous reading, but that they can now earn more careful reading. A dollar staked on cislunar SDA tells you something about the capability it will buy, but it tells you through a curve rather than a line, and through a confidence band that splays as the reach lengthens. A net assessor who reads the appropriations record as a capability map wins the study’s backing inside the envelope the study has fit. A net assessor who reads it as a warranty does not. The line and the warranty are not the same thing. What the study contributes is the swap of an unspoken, untested inference for a spoken, fenced one.</w:t>
      </w:r>
    </w:p>
    <w:p>
      <w:pPr>
        <w:pStyle w:val="BodyText"/>
        <w:spacing w:line="480" w:lineRule="auto"/>
        <w:ind w:firstLine="720"/>
      </w:pPr>
      <w:r>
        <w:t xml:space="preserve">For the engineering reader the closing point runs the other way. The design-optimization community has turned out the measurable capability coin that made this test doable, and that in itself is a quiet win. By going on reporting custody-capacity and coverage frontiers in recomputable, model-built form</w:t>
      </w:r>
      <w:r>
        <w:t xml:space="preserve"> </w:t>
      </w:r>
      <w:hyperlink w:anchor="ref-1">
        <w:r>
          <w:rPr>
            <w:rStyle w:val="Hyperlink"/>
          </w:rPr>
          <w:t xml:space="preserve">[1]</w:t>
        </w:r>
      </w:hyperlink>
      <w:r>
        <w:t xml:space="preserve">[2][4][5][6], the community hands over the dependent variable any coming money-to-capability test will want. The study’s most durable ask of that community is simply to keep on doing what it has already started, and to keep pinning each reported frontier to a named sensor spread and a named publication year so the panel can run forward as the field ripens.</w:t>
      </w:r>
    </w:p>
    <w:p>
      <w:pPr>
        <w:pStyle w:val="BodyText"/>
        <w:spacing w:line="480" w:lineRule="auto"/>
        <w:ind w:firstLine="720"/>
      </w:pPr>
      <w:r>
        <w:t xml:space="preserve">The study closes, at last, on the falsifiability principle it was built on. The hypotheses put to the test in the foregoing chapters were picked because they could have failed. The cross-sectional slope could have come out indistinguishable from zero. The running elasticity could have fallen outside any believable learning-curve span. The static and dynamic results could have pointed opposite ways. None of those failures came to pass, and the meeting of the two functional forms is what lends the central finding its weight. But that same falsifiability principle rules every coming extension of this work. As the cislunar SDA effort ripens, as fielded custody figures pile up beside modeled frontiers, and as the program elements that fund this capability win sharper attribution, the money-to-capability tie fit here will itself turn testable in narrower shapes. The study has set the boundary terms inside which that further work can run, and it has done so by handling the money signal not as a forecast to trust or distrust on sight, but as a numerical object whose predictive news can be measured, fenced, and reported in units the policy and engineering communities can each put to use.</w:t>
      </w:r>
    </w:p>
    <w:bookmarkEnd w:id="144"/>
    <w:bookmarkStart w:id="200" w:name="references"/>
    <w:p>
      <w:pPr>
        <w:pStyle w:val="Heading2"/>
        <w:spacing w:line="480" w:lineRule="auto"/>
      </w:pPr>
      <w:r>
        <w:t xml:space="preserve">References</w:t>
      </w:r>
    </w:p>
    <w:p>
      <w:pPr>
        <w:pStyle w:val="FirstParagraph"/>
        <w:spacing w:line="480" w:lineRule="auto"/>
      </w:pPr>
      <w:bookmarkStart w:id="145" w:name="ref-1"/>
      <w:bookmarkEnd w:id="145"/>
      <w:r>
        <w:t xml:space="preserve">1. N. Owens Fahrner, J. Correa, and J. Wysack,</w:t>
      </w:r>
      <w:r>
        <w:t xml:space="preserve"> </w:t>
      </w:r>
      <w:r>
        <w:t xml:space="preserve">“Capacity-based Cislunar Space Domain Awareness Architecture Optimization,”</w:t>
      </w:r>
      <w:r>
        <w:t xml:space="preserve"> </w:t>
      </w:r>
      <w:r>
        <w:t xml:space="preserve">Proc. Advanced Maui Optical and Space Surveillance Technologies (AMOS) Conference, 2022.</w:t>
      </w:r>
    </w:p>
    <w:p>
      <w:pPr>
        <w:pStyle w:val="BodyText"/>
        <w:spacing w:line="480" w:lineRule="auto"/>
        <w:ind w:firstLine="720"/>
      </w:pPr>
      <w:bookmarkStart w:id="146" w:name="ref-2"/>
      <w:bookmarkEnd w:id="146"/>
      <w:r>
        <w:t xml:space="preserve">2. M. Klonowski, N. Owens Fahrner, C. Heidrich, and M. Holzinger,</w:t>
      </w:r>
      <w:r>
        <w:t xml:space="preserve"> </w:t>
      </w:r>
      <w:r>
        <w:t xml:space="preserve">“Robust Cislunar Architecture Design Optimization for Cooperative Agents,”</w:t>
      </w:r>
      <w:r>
        <w:t xml:space="preserve"> </w:t>
      </w:r>
      <w:r>
        <w:t xml:space="preserve">Proc. Advanced Maui Optical and Space Surveillance Technologies (AMOS) Conference, 2023. doi:</w:t>
      </w:r>
      <w:r>
        <w:t xml:space="preserve"> </w:t>
      </w:r>
      <w:hyperlink r:id="rId147">
        <w:r>
          <w:rPr>
            <w:rStyle w:val="Hyperlink"/>
          </w:rPr>
          <w:t xml:space="preserve">10.64861/XSZN4297</w:t>
        </w:r>
      </w:hyperlink>
      <w:r>
        <w:t xml:space="preserve">.</w:t>
      </w:r>
    </w:p>
    <w:p>
      <w:pPr>
        <w:pStyle w:val="BodyText"/>
        <w:spacing w:line="480" w:lineRule="auto"/>
        <w:ind w:firstLine="720"/>
      </w:pPr>
      <w:bookmarkStart w:id="148" w:name="ref-3"/>
      <w:bookmarkEnd w:id="148"/>
      <w:r>
        <w:t xml:space="preserve">3. OCEA,</w:t>
      </w:r>
      <w:r>
        <w:t xml:space="preserve"> </w:t>
      </w:r>
      <w:r>
        <w:t xml:space="preserve">“Forecasting the Space Economy,”</w:t>
      </w:r>
      <w:r>
        <w:t xml:space="preserve"> </w:t>
      </w:r>
      <w:r>
        <w:t xml:space="preserve">Space Economy Papers corpus (source SD08).</w:t>
      </w:r>
    </w:p>
    <w:p>
      <w:pPr>
        <w:pStyle w:val="BodyText"/>
        <w:spacing w:line="480" w:lineRule="auto"/>
        <w:ind w:firstLine="720"/>
      </w:pPr>
      <w:bookmarkStart w:id="149" w:name="ref-4"/>
      <w:bookmarkEnd w:id="149"/>
      <w:r>
        <w:t xml:space="preserve">4. J. Kim and N. Owens Fahrner,</w:t>
      </w:r>
      <w:r>
        <w:t xml:space="preserve"> </w:t>
      </w:r>
      <w:r>
        <w:t xml:space="preserve">“A Comprehensive Approach to Optimized Cislunar Architecture Design Utilizing Capacity,”</w:t>
      </w:r>
      <w:r>
        <w:t xml:space="preserve"> </w:t>
      </w:r>
      <w:r>
        <w:t xml:space="preserve">Proc. Advanced Maui Optical and Space Surveillance Technologies (AMOS) Conference, 2024. doi:</w:t>
      </w:r>
      <w:r>
        <w:t xml:space="preserve"> </w:t>
      </w:r>
      <w:hyperlink r:id="rId150">
        <w:r>
          <w:rPr>
            <w:rStyle w:val="Hyperlink"/>
          </w:rPr>
          <w:t xml:space="preserve">10.64861/ESVN6806</w:t>
        </w:r>
      </w:hyperlink>
      <w:r>
        <w:t xml:space="preserve">.</w:t>
      </w:r>
    </w:p>
    <w:p>
      <w:pPr>
        <w:pStyle w:val="BodyText"/>
        <w:spacing w:line="480" w:lineRule="auto"/>
        <w:ind w:firstLine="720"/>
      </w:pPr>
      <w:bookmarkStart w:id="151" w:name="ref-5"/>
      <w:bookmarkEnd w:id="151"/>
      <w:r>
        <w:t xml:space="preserve">5. M. Kirshner and E. Pearce,</w:t>
      </w:r>
      <w:r>
        <w:t xml:space="preserve"> </w:t>
      </w:r>
      <w:r>
        <w:t xml:space="preserve">“Developing Optical Sensor Constellation Architectures for Space Domain Awareness through Model-Based Trade Studies,”</w:t>
      </w:r>
      <w:r>
        <w:t xml:space="preserve"> </w:t>
      </w:r>
      <w:r>
        <w:t xml:space="preserve">Proc. Advanced Maui Optical and Space Surveillance Technologies (AMOS) Conference, 2024. doi:</w:t>
      </w:r>
      <w:r>
        <w:t xml:space="preserve"> </w:t>
      </w:r>
      <w:hyperlink r:id="rId152">
        <w:r>
          <w:rPr>
            <w:rStyle w:val="Hyperlink"/>
          </w:rPr>
          <w:t xml:space="preserve">10.64861/FHSX9637</w:t>
        </w:r>
      </w:hyperlink>
      <w:r>
        <w:t xml:space="preserve">.</w:t>
      </w:r>
    </w:p>
    <w:p>
      <w:pPr>
        <w:pStyle w:val="BodyText"/>
        <w:spacing w:line="480" w:lineRule="auto"/>
        <w:ind w:firstLine="720"/>
      </w:pPr>
      <w:bookmarkStart w:id="153" w:name="ref-6"/>
      <w:bookmarkEnd w:id="153"/>
      <w:r>
        <w:t xml:space="preserve">6. J. Correa, J. Ware, M. Akella, and B. Jones,</w:t>
      </w:r>
      <w:r>
        <w:t xml:space="preserve"> </w:t>
      </w:r>
      <w:r>
        <w:t xml:space="preserve">“Adaptive Sensor Tasking Strategies for Tracking Non-Cooperative Cislunar Space Objects,”</w:t>
      </w:r>
      <w:r>
        <w:t xml:space="preserve"> </w:t>
      </w:r>
      <w:r>
        <w:t xml:space="preserve">Proc. Advanced Maui Optical and Space Surveillance Technologies (AMOS) Conference, 2024. doi:</w:t>
      </w:r>
      <w:r>
        <w:t xml:space="preserve"> </w:t>
      </w:r>
      <w:hyperlink r:id="rId154">
        <w:r>
          <w:rPr>
            <w:rStyle w:val="Hyperlink"/>
          </w:rPr>
          <w:t xml:space="preserve">10.64861/NAKM9168</w:t>
        </w:r>
      </w:hyperlink>
      <w:r>
        <w:t xml:space="preserve">.</w:t>
      </w:r>
    </w:p>
    <w:p>
      <w:pPr>
        <w:pStyle w:val="BodyText"/>
        <w:spacing w:line="480" w:lineRule="auto"/>
        <w:ind w:firstLine="720"/>
      </w:pPr>
      <w:bookmarkStart w:id="155" w:name="ref-7"/>
      <w:bookmarkEnd w:id="155"/>
      <w:r>
        <w:t xml:space="preserve">7. J. Long and W. Chen,</w:t>
      </w:r>
      <w:r>
        <w:t xml:space="preserve"> </w:t>
      </w:r>
      <w:r>
        <w:t xml:space="preserve">“Laser utilization in outer space: Institutional bottleneck and prospects,”</w:t>
      </w:r>
      <w:r>
        <w:t xml:space="preserve"> </w:t>
      </w:r>
      <w:r>
        <w:t xml:space="preserve">Acta Astronautica, vol. 229, 2025. doi:</w:t>
      </w:r>
      <w:r>
        <w:t xml:space="preserve"> </w:t>
      </w:r>
      <w:hyperlink r:id="rId156">
        <w:r>
          <w:rPr>
            <w:rStyle w:val="Hyperlink"/>
          </w:rPr>
          <w:t xml:space="preserve">10.1016/j.actaastro.2025.01.061</w:t>
        </w:r>
      </w:hyperlink>
      <w:r>
        <w:t xml:space="preserve">.</w:t>
      </w:r>
    </w:p>
    <w:p>
      <w:pPr>
        <w:pStyle w:val="BodyText"/>
        <w:spacing w:line="480" w:lineRule="auto"/>
        <w:ind w:firstLine="720"/>
      </w:pPr>
      <w:bookmarkStart w:id="157" w:name="ref-8"/>
      <w:bookmarkEnd w:id="157"/>
      <w:r>
        <w:t xml:space="preserve">8. Air Force Research Laboratory and Advanced Space, LLC, Oracle (formerly Cislunar Highway Patrol System) cislunar space situational awareness program records, 2022-2024.</w:t>
      </w:r>
    </w:p>
    <w:p>
      <w:pPr>
        <w:pStyle w:val="BodyText"/>
        <w:spacing w:line="480" w:lineRule="auto"/>
        <w:ind w:firstLine="720"/>
      </w:pPr>
      <w:bookmarkStart w:id="158" w:name="ref-9"/>
      <w:bookmarkEnd w:id="158"/>
      <w:r>
        <w:t xml:space="preserve">9. G. Badura et al.,</w:t>
      </w:r>
      <w:r>
        <w:t xml:space="preserve"> </w:t>
      </w:r>
      <w:r>
        <w:t xml:space="preserve">“Optimizing Distributed Space-Based Networks for Cislunar Space Domain Awareness in the Context of Operational Cost Metrics,”</w:t>
      </w:r>
      <w:r>
        <w:t xml:space="preserve"> </w:t>
      </w:r>
      <w:r>
        <w:t xml:space="preserve">Proc. Advanced Maui Optical and Space Surveillance Technologies (AMOS) Conference, 2023, DOI 10.64861/IMSI4025.</w:t>
      </w:r>
    </w:p>
    <w:p>
      <w:pPr>
        <w:pStyle w:val="BodyText"/>
        <w:spacing w:line="480" w:lineRule="auto"/>
        <w:ind w:firstLine="720"/>
      </w:pPr>
      <w:bookmarkStart w:id="159" w:name="ref-10"/>
      <w:bookmarkEnd w:id="159"/>
      <w:r>
        <w:t xml:space="preserve">10. A. P. Wilmer and R. A. Bettinger,</w:t>
      </w:r>
      <w:r>
        <w:t xml:space="preserve"> </w:t>
      </w:r>
      <w:r>
        <w:t xml:space="preserve">“Near-Rectilinear Halo Orbit Surveillance using Cislunar Periodic Orbits,”</w:t>
      </w:r>
      <w:r>
        <w:t xml:space="preserve"> </w:t>
      </w:r>
      <w:r>
        <w:t xml:space="preserve">Proc. Advanced Maui Optical and Space Surveillance Technologies (AMOS) Conference, 2022.</w:t>
      </w:r>
    </w:p>
    <w:p>
      <w:pPr>
        <w:pStyle w:val="BodyText"/>
        <w:spacing w:line="480" w:lineRule="auto"/>
        <w:ind w:firstLine="720"/>
      </w:pPr>
      <w:bookmarkStart w:id="160" w:name="ref-11"/>
      <w:bookmarkEnd w:id="160"/>
      <w:r>
        <w:t xml:space="preserve">11. OCEA,</w:t>
      </w:r>
      <w:r>
        <w:t xml:space="preserve"> </w:t>
      </w:r>
      <w:r>
        <w:t xml:space="preserve">“Forecasting the Space Economy,”</w:t>
      </w:r>
      <w:r>
        <w:t xml:space="preserve"> </w:t>
      </w:r>
      <w:r>
        <w:t xml:space="preserve">Space Economy reference corpus (SD08), in N. Dailey, Space Economy Papers brain, 2026.</w:t>
      </w:r>
    </w:p>
    <w:p>
      <w:pPr>
        <w:pStyle w:val="BodyText"/>
        <w:spacing w:line="480" w:lineRule="auto"/>
        <w:ind w:firstLine="720"/>
      </w:pPr>
      <w:bookmarkStart w:id="161" w:name="ref-12"/>
      <w:bookmarkEnd w:id="161"/>
      <w:r>
        <w:t xml:space="preserve">12. B. Banks et al.,</w:t>
      </w:r>
      <w:r>
        <w:t xml:space="preserve"> </w:t>
      </w:r>
      <w:r>
        <w:t xml:space="preserve">“A Sensor-Rich Solution for Lunar/Cislunar Space Domain Awareness,”</w:t>
      </w:r>
      <w:r>
        <w:t xml:space="preserve"> </w:t>
      </w:r>
      <w:r>
        <w:t xml:space="preserve">Proc. Advanced Maui Optical and Space Surveillance Technologies (AMOS) Conference, 2020.</w:t>
      </w:r>
    </w:p>
    <w:p>
      <w:pPr>
        <w:pStyle w:val="BodyText"/>
        <w:spacing w:line="480" w:lineRule="auto"/>
        <w:ind w:firstLine="720"/>
      </w:pPr>
      <w:bookmarkStart w:id="162" w:name="ref-13"/>
      <w:bookmarkEnd w:id="162"/>
      <w:r>
        <w:t xml:space="preserve">13. E. D. Silva et al.,</w:t>
      </w:r>
      <w:r>
        <w:t xml:space="preserve"> </w:t>
      </w:r>
      <w:r>
        <w:t xml:space="preserve">“Systems and Methods for Hybrid Lunar Surface and Space Domain Situational Awareness,”</w:t>
      </w:r>
      <w:r>
        <w:t xml:space="preserve"> </w:t>
      </w:r>
      <w:r>
        <w:t xml:space="preserve">Proc. Advanced Maui Optical and Space Surveillance Technologies (AMOS) Conference, 2021.</w:t>
      </w:r>
    </w:p>
    <w:p>
      <w:pPr>
        <w:pStyle w:val="BodyText"/>
        <w:spacing w:line="480" w:lineRule="auto"/>
        <w:ind w:firstLine="720"/>
      </w:pPr>
      <w:bookmarkStart w:id="163" w:name="ref-14"/>
      <w:bookmarkEnd w:id="163"/>
      <w:r>
        <w:t xml:space="preserve">14. Office of Space Commerce,</w:t>
      </w:r>
      <w:r>
        <w:t xml:space="preserve"> </w:t>
      </w:r>
      <w:r>
        <w:t xml:space="preserve">“FY25 Budget Proposes $75.6M for Office of Space Commerce,”</w:t>
      </w:r>
      <w:r>
        <w:t xml:space="preserve"> </w:t>
      </w:r>
      <w:r>
        <w:t xml:space="preserve">space.commerce.gov, 2024; Traffic Coordination System for Space (TraCSS) program funding, FY2024 enacted and FY2025 proposed.</w:t>
      </w:r>
    </w:p>
    <w:p>
      <w:pPr>
        <w:pStyle w:val="BodyText"/>
        <w:spacing w:line="480" w:lineRule="auto"/>
        <w:ind w:firstLine="720"/>
      </w:pPr>
      <w:bookmarkStart w:id="164" w:name="ref-15"/>
      <w:bookmarkEnd w:id="164"/>
      <w:r>
        <w:t xml:space="preserve">15. United States Space Surveillance Network, historical tracked-object counts, en.wikipedia.org/wiki/United_States_Space_Surveillance_Network (sourced to USSTRATCOM/USSPACECOM reporting), retrieved 2026.</w:t>
      </w:r>
    </w:p>
    <w:p>
      <w:pPr>
        <w:pStyle w:val="BodyText"/>
        <w:spacing w:line="480" w:lineRule="auto"/>
        <w:ind w:firstLine="720"/>
      </w:pPr>
      <w:bookmarkStart w:id="165" w:name="ref-16"/>
      <w:bookmarkEnd w:id="165"/>
      <w:r>
        <w:t xml:space="preserve">16. European Space Agency,</w:t>
      </w:r>
      <w:r>
        <w:t xml:space="preserve"> </w:t>
      </w:r>
      <w:r>
        <w:t xml:space="preserve">“ESA Space Environment Report 2024,”</w:t>
      </w:r>
      <w:r>
        <w:t xml:space="preserve"> </w:t>
      </w:r>
      <w:r>
        <w:t xml:space="preserve">esa.int/Space_Safety/Space_Debris/ESA_Space_Environment_Report_2024, retrieved 2026.</w:t>
      </w:r>
    </w:p>
    <w:p>
      <w:pPr>
        <w:pStyle w:val="BodyText"/>
        <w:spacing w:line="480" w:lineRule="auto"/>
        <w:ind w:firstLine="720"/>
      </w:pPr>
      <w:bookmarkStart w:id="166" w:name="ref-17"/>
      <w:bookmarkEnd w:id="166"/>
      <w:r>
        <w:t xml:space="preserve">17. European Space Agency,</w:t>
      </w:r>
      <w:r>
        <w:t xml:space="preserve"> </w:t>
      </w:r>
      <w:r>
        <w:t xml:space="preserve">“ESA Space Environment Report 2025,”</w:t>
      </w:r>
      <w:r>
        <w:t xml:space="preserve"> </w:t>
      </w:r>
      <w:r>
        <w:t xml:space="preserve">esa.int/Space_Safety/Space_Debris/ESA_Space_Environment_Report_2025, retrieved 2026.</w:t>
      </w:r>
    </w:p>
    <w:p>
      <w:pPr>
        <w:pStyle w:val="BodyText"/>
        <w:spacing w:line="480" w:lineRule="auto"/>
        <w:ind w:firstLine="720"/>
      </w:pPr>
      <w:bookmarkStart w:id="167" w:name="ref-18"/>
      <w:bookmarkEnd w:id="167"/>
      <w:r>
        <w:t xml:space="preserve">18. CelesTrak,</w:t>
      </w:r>
      <w:r>
        <w:t xml:space="preserve"> </w:t>
      </w:r>
      <w:r>
        <w:t xml:space="preserve">“Space Surveillance,”</w:t>
      </w:r>
      <w:r>
        <w:t xml:space="preserve"> </w:t>
      </w:r>
      <w:r>
        <w:t xml:space="preserve">celestrak.org, retrieved 2026.</w:t>
      </w:r>
    </w:p>
    <w:p>
      <w:pPr>
        <w:pStyle w:val="BodyText"/>
        <w:spacing w:line="480" w:lineRule="auto"/>
        <w:ind w:firstLine="720"/>
      </w:pPr>
      <w:bookmarkStart w:id="168" w:name="ref-19"/>
      <w:bookmarkEnd w:id="168"/>
      <w:r>
        <w:t xml:space="preserve">19. U.S. Government Accountability Office,</w:t>
      </w:r>
      <w:r>
        <w:t xml:space="preserve"> </w:t>
      </w:r>
      <w:r>
        <w:t xml:space="preserve">“Space Situational Awareness: Status of Efforts and Planned Budgets,”</w:t>
      </w:r>
      <w:r>
        <w:t xml:space="preserve"> </w:t>
      </w:r>
      <w:r>
        <w:t xml:space="preserve">GAO-16-6R, gao.gov/products/gao-16-6r, 2015.</w:t>
      </w:r>
    </w:p>
    <w:p>
      <w:pPr>
        <w:pStyle w:val="BodyText"/>
        <w:spacing w:line="480" w:lineRule="auto"/>
        <w:ind w:firstLine="720"/>
      </w:pPr>
      <w:bookmarkStart w:id="169" w:name="ref-20"/>
      <w:bookmarkEnd w:id="169"/>
      <w:r>
        <w:t xml:space="preserve">20. Space Foundation,</w:t>
      </w:r>
      <w:r>
        <w:t xml:space="preserve"> </w:t>
      </w:r>
      <w:r>
        <w:t xml:space="preserve">“Space Situational Awareness”</w:t>
      </w:r>
      <w:r>
        <w:t xml:space="preserve"> </w:t>
      </w:r>
      <w:r>
        <w:t xml:space="preserve">space brief, spacefoundation.org, retrieved 2026.</w:t>
      </w:r>
    </w:p>
    <w:p>
      <w:pPr>
        <w:pStyle w:val="BodyText"/>
        <w:spacing w:line="480" w:lineRule="auto"/>
        <w:ind w:firstLine="720"/>
      </w:pPr>
      <w:bookmarkStart w:id="170" w:name="ref-21"/>
      <w:bookmarkEnd w:id="170"/>
      <w:r>
        <w:t xml:space="preserve">21. Space Force space-domain-awareness budget reporting, airandspaceforces.com and defensescoop.com, retrieved 2026.</w:t>
      </w:r>
    </w:p>
    <w:p>
      <w:pPr>
        <w:pStyle w:val="BodyText"/>
        <w:spacing w:line="480" w:lineRule="auto"/>
        <w:ind w:firstLine="720"/>
      </w:pPr>
      <w:bookmarkStart w:id="171" w:name="ref-22"/>
      <w:bookmarkEnd w:id="171"/>
      <w:r>
        <w:t xml:space="preserve">22. Martin Mlynczak, Space Environment Technologies; W. Kent Tobiska, Space Environment Technologies; Shaylah Mutschler, Space Environment Technologies; Teresa Jensen, Space Dynamics Laboratory; Ryan Martineau, Space Dynamics Laboratory; Thomas Berger, University of Colorado Boulder; Nick Pedatella, National Center for Atmospheric Research; Eric Sutton, University of Colorado Boulder. NICECube – Nitric Oxide Infrared Cooling Emissions Cubesat. A Cubesat Solution to Enable Accurate Thermospheric Density Forecasts for Improved Space Situational Awareness (2025). doi:</w:t>
      </w:r>
      <w:r>
        <w:t xml:space="preserve"> </w:t>
      </w:r>
      <w:hyperlink r:id="rId172">
        <w:r>
          <w:rPr>
            <w:rStyle w:val="Hyperlink"/>
          </w:rPr>
          <w:t xml:space="preserve">10.64861/VUMF3172</w:t>
        </w:r>
      </w:hyperlink>
    </w:p>
    <w:p>
      <w:pPr>
        <w:pStyle w:val="BodyText"/>
        <w:spacing w:line="480" w:lineRule="auto"/>
        <w:ind w:firstLine="720"/>
      </w:pPr>
      <w:bookmarkStart w:id="173" w:name="ref-23"/>
      <w:bookmarkEnd w:id="173"/>
      <w:r>
        <w:t xml:space="preserve">23. Kaitlyn Johnson, Center for Strategic and International Studies; Seamus P. Daniels, Center for Strategic and International Studies. Buying Space: Trends in U.S. SDA Acquisition (2022).</w:t>
      </w:r>
    </w:p>
    <w:p>
      <w:pPr>
        <w:pStyle w:val="BodyText"/>
        <w:spacing w:line="480" w:lineRule="auto"/>
        <w:ind w:firstLine="720"/>
      </w:pPr>
      <w:bookmarkStart w:id="174" w:name="ref-24"/>
      <w:bookmarkEnd w:id="174"/>
      <w:r>
        <w:t xml:space="preserve">24. T. Joseph W. Lazio, Jet Propulsion Laboratory, California Institute of Technology; Dimitrios Antsos, Jet Propulsion Laboratory, California Institute of Technology; Anthony Beasley, National Radio Astronomy Observatory; Lance A. M. Benner, Jet Propulsion Laboratory, California Institute of Technology; Andrew Brooks, Jet Propulsion Laboratory, California Institute of Technology; Marina Brozovic, Jet Propulsion Laboratory, California Institute of Technology; Philip G. Edwards, CSIRO Space &amp; Astronomy; Jon D. Giorgini, Jet Propulsion Laboratory, California Institute of Technology; Shinji Horiuchi, CSIRO Space &amp; Astronomy; Ed Kruzins, UNSW Canberra Space, and CSIRO Space &amp; Autonomy; Clement Lee, Jet Propulsion Laboratory, California Institute of Technology; Ronglin R. Liou, Jet Propulsion Laboratory, California Institute of Technology; Blake Molyneux, Australia National University; Shantanu P. Naidu, Jet Propulsion Laboratory, California Institute of Technology; Charles Naudet, Jet Propulsion Laboratory, California Institute of Technology; Ryan S. Park, Jet Propulsion Laboratory, California Institute of Technology; Chris J. Phillips, CSIRO Space &amp; Astronomy; Marc Sanchez Net, Jet Propulsion Laboratory, California Institute of Technology; J. Stevens, CSIRO Space &amp; Astronomy; Mark Taylor, Jet Propulsion Laboratory, California Institute of Technology; Victor Vilnrotter, Jet Propulsion Laboratory, California Institute of Technology. Ground-based Planetary Radars: Current and Future Prospects in the Cislunar Arena (2022).</w:t>
      </w:r>
    </w:p>
    <w:p>
      <w:pPr>
        <w:pStyle w:val="BodyText"/>
        <w:spacing w:line="480" w:lineRule="auto"/>
        <w:ind w:firstLine="720"/>
      </w:pPr>
      <w:bookmarkStart w:id="175" w:name="ref-25"/>
      <w:bookmarkEnd w:id="175"/>
      <w:r>
        <w:t xml:space="preserve">25. Roger Hunter, NASA Ames Research Center; Elwood Agasid, NASA Ames Research Center; Samson Phan, NASA Ames Research Center; Nathan Benz, NASA Ames Research Center; Scott Miller, NASA Ames Research Center; Caleb Adams, NASA Ames Research Center; Brian Kempa, NASA Ames Research Center; Jeremy Frank, NASA Ames Research Center; Michael Iatauro, NASA Ames Research Center; Justin Kruger, EraDrive Inc.; Simone D’Amico, EraDrive Inc.; Julianna Fishman, Millenium Engineering &amp; Integration Company; Sasha Weston, Millenium Engineering &amp; Integration Company. NASA’s Starling Mission and Space Situational Awareness Implications (2025). doi:</w:t>
      </w:r>
      <w:r>
        <w:t xml:space="preserve"> </w:t>
      </w:r>
      <w:hyperlink r:id="rId176">
        <w:r>
          <w:rPr>
            <w:rStyle w:val="Hyperlink"/>
          </w:rPr>
          <w:t xml:space="preserve">10.64861/XQCN3213</w:t>
        </w:r>
      </w:hyperlink>
    </w:p>
    <w:p>
      <w:pPr>
        <w:pStyle w:val="BodyText"/>
        <w:spacing w:line="480" w:lineRule="auto"/>
        <w:ind w:firstLine="720"/>
      </w:pPr>
      <w:bookmarkStart w:id="177" w:name="ref-26"/>
      <w:bookmarkEnd w:id="177"/>
      <w:r>
        <w:t xml:space="preserve">26. Makena Young, Center for Strategic and International Studies. Space Situational Awareness Capabilities and National Security Among Growing Space Actors – Japan Case Study (2023). doi:</w:t>
      </w:r>
      <w:r>
        <w:t xml:space="preserve"> </w:t>
      </w:r>
      <w:hyperlink r:id="rId178">
        <w:r>
          <w:rPr>
            <w:rStyle w:val="Hyperlink"/>
          </w:rPr>
          <w:t xml:space="preserve">10.64861/TCOA6256</w:t>
        </w:r>
      </w:hyperlink>
    </w:p>
    <w:p>
      <w:pPr>
        <w:pStyle w:val="BodyText"/>
        <w:spacing w:line="480" w:lineRule="auto"/>
        <w:ind w:firstLine="720"/>
      </w:pPr>
      <w:bookmarkStart w:id="179" w:name="ref-27"/>
      <w:bookmarkEnd w:id="179"/>
      <w:r>
        <w:t xml:space="preserve">27. M. J. Creech-Eakman (Magdalena Ridge Observatory), V. Romero (Magdalena Ridge Observatory), C. Cormier (Magdalena Ridge Observatory), D. Westpfahl (Magdalena Ridge Observatory), D. Buscher (University of Cambridge), C. Haniff (University of Cambridge), J. Young (University of Cambridge), C. Aitken (Magdalena Ridge Observatory), E. Bakker (Magdalena Ridge Observatory), H. Bloemhard (Magdalena Ridge Observatory), T. Coleman (Magdalena Ridge Observatory), A. Farris (Magdalena Ridge Observatory), S. Jiminez (Magdalena Ridge Observatory), C. Jurgenson (Magdalena Ridge Observatory), R. King (Magdalena Ridge Observatory), D. Klinglesmith (Magdalena Ridge Observatory), K. McCord (Magdalena Ridge Observatory), T. McCracken (Magdalena Ridge Observatory), A. Olivares (Magdalena Ridge Observatory), I. Payne (Magdalena Ridge Observatory), M. Richmond (Magdalena Ridge Observatory), C. Salcido (Magdalena Ridge Observatory), F. Santoro (Magdalena Ridge Observatory), R. Selina (Magdalena Ridge Observatory), A. Shtromberg (Magdalena Ridge Observatory), J. Steenson (Magdalena Ridge Observatory), F. Baron (University of Cambridge), M. Fisher (University of Cambridge), E. Seneta (University of Cambridge), X. Sun (University of Cambridge), D. Wilson (University of Cambridge). Science Objectives and Commissioning of the Magdalena Ridge Observatory Interferometer (2009).</w:t>
      </w:r>
    </w:p>
    <w:p>
      <w:pPr>
        <w:pStyle w:val="BodyText"/>
        <w:spacing w:line="480" w:lineRule="auto"/>
        <w:ind w:firstLine="720"/>
      </w:pPr>
      <w:bookmarkStart w:id="180" w:name="ref-28"/>
      <w:bookmarkEnd w:id="180"/>
      <w:r>
        <w:t xml:space="preserve">28. John Boh, The University of Texas at Austin; Zachary Funke, AFIT/CIG; Maruthi Akella, The University of Texas at Austin. A Game-Theoretical Exploration of L1/L2 Cislunar Space Situational Awareness Using Bayesian Games (2025). doi:</w:t>
      </w:r>
      <w:r>
        <w:t xml:space="preserve"> </w:t>
      </w:r>
      <w:hyperlink r:id="rId181">
        <w:r>
          <w:rPr>
            <w:rStyle w:val="Hyperlink"/>
          </w:rPr>
          <w:t xml:space="preserve">10.64861/SIJX9169</w:t>
        </w:r>
      </w:hyperlink>
    </w:p>
    <w:p>
      <w:pPr>
        <w:pStyle w:val="BodyText"/>
        <w:spacing w:line="480" w:lineRule="auto"/>
        <w:ind w:firstLine="720"/>
      </w:pPr>
      <w:bookmarkStart w:id="182" w:name="ref-29"/>
      <w:bookmarkEnd w:id="182"/>
      <w:r>
        <w:t xml:space="preserve">29. Cassien Jobic, CNES; Emmanuel Delande, CNES; Johannes Gelhaus, DLR; Cornelius Vogt, German Space Agency at DLR; Alessandra Di Cecco, ASI; Valentin Baral, CNES; Cristina Pérez Hernández, CDTI; Daniel Stelmecke, DLR; Matthieu Thierry, CNES. Presentation of the European Union Space Surveillance and Tracking (EU-SST) R&amp;D Plan (2023). doi:</w:t>
      </w:r>
      <w:r>
        <w:t xml:space="preserve"> </w:t>
      </w:r>
      <w:hyperlink r:id="rId183">
        <w:r>
          <w:rPr>
            <w:rStyle w:val="Hyperlink"/>
          </w:rPr>
          <w:t xml:space="preserve">10.64861/DZFF7826</w:t>
        </w:r>
      </w:hyperlink>
    </w:p>
    <w:p>
      <w:pPr>
        <w:pStyle w:val="BodyText"/>
        <w:spacing w:line="480" w:lineRule="auto"/>
        <w:ind w:firstLine="720"/>
      </w:pPr>
      <w:bookmarkStart w:id="184" w:name="ref-30"/>
      <w:bookmarkEnd w:id="184"/>
      <w:r>
        <w:t xml:space="preserve">30. C. Gambarotto; Paola Grattagliano; Luigi De Maria; Marco Felice Montaruli. Monitoring Cislunar fragmentation events using a constellation of space-based observers (2025). doi:</w:t>
      </w:r>
      <w:r>
        <w:t xml:space="preserve"> </w:t>
      </w:r>
      <w:hyperlink r:id="rId185">
        <w:r>
          <w:rPr>
            <w:rStyle w:val="Hyperlink"/>
          </w:rPr>
          <w:t xml:space="preserve">10.1016/j.actaastro.2025.09.078</w:t>
        </w:r>
      </w:hyperlink>
    </w:p>
    <w:p>
      <w:pPr>
        <w:pStyle w:val="BodyText"/>
        <w:spacing w:line="480" w:lineRule="auto"/>
        <w:ind w:firstLine="720"/>
      </w:pPr>
      <w:bookmarkStart w:id="186" w:name="ref-31"/>
      <w:bookmarkEnd w:id="186"/>
      <w:r>
        <w:t xml:space="preserve">31. Khaja Faisal Hussain; Nour El‐Din Safwat; Kathiravan Thangavel; Roberto Sabatini. Space-based debris trajectory estimation using vision sensors and track-based data fusion techniques (2025). doi:</w:t>
      </w:r>
      <w:r>
        <w:t xml:space="preserve"> </w:t>
      </w:r>
      <w:hyperlink r:id="rId187">
        <w:r>
          <w:rPr>
            <w:rStyle w:val="Hyperlink"/>
          </w:rPr>
          <w:t xml:space="preserve">10.1016/j.actaastro.2025.01.038</w:t>
        </w:r>
      </w:hyperlink>
    </w:p>
    <w:p>
      <w:pPr>
        <w:pStyle w:val="BodyText"/>
        <w:spacing w:line="480" w:lineRule="auto"/>
        <w:ind w:firstLine="720"/>
      </w:pPr>
      <w:bookmarkStart w:id="188" w:name="ref-32"/>
      <w:bookmarkEnd w:id="188"/>
      <w:r>
        <w:t xml:space="preserve">32. Kutubuddin Ansari; Sampad Kumar Panda; Punyawi Jamjareegulgarn. Singular spectrum analysis of GPS derived ionospheric TEC variations over Nepal during the low solar activity period (2020). doi:</w:t>
      </w:r>
      <w:r>
        <w:t xml:space="preserve"> </w:t>
      </w:r>
      <w:hyperlink r:id="rId189">
        <w:r>
          <w:rPr>
            <w:rStyle w:val="Hyperlink"/>
          </w:rPr>
          <w:t xml:space="preserve">10.1016/j.actaastro.2020.01.014</w:t>
        </w:r>
      </w:hyperlink>
    </w:p>
    <w:p>
      <w:pPr>
        <w:pStyle w:val="BodyText"/>
        <w:spacing w:line="480" w:lineRule="auto"/>
        <w:ind w:firstLine="720"/>
      </w:pPr>
      <w:bookmarkStart w:id="190" w:name="ref-33"/>
      <w:bookmarkEnd w:id="190"/>
      <w:r>
        <w:t xml:space="preserve">33. Jo�ão Reis. European union defense and security strategy for space and ground-based systems against hybrid threats (2024). doi:</w:t>
      </w:r>
      <w:r>
        <w:t xml:space="preserve"> </w:t>
      </w:r>
      <w:hyperlink r:id="rId191">
        <w:r>
          <w:rPr>
            <w:rStyle w:val="Hyperlink"/>
          </w:rPr>
          <w:t xml:space="preserve">10.1016/j.actaastro.2024.09.003</w:t>
        </w:r>
      </w:hyperlink>
    </w:p>
    <w:p>
      <w:pPr>
        <w:pStyle w:val="BodyText"/>
        <w:spacing w:line="480" w:lineRule="auto"/>
        <w:ind w:firstLine="720"/>
      </w:pPr>
      <w:bookmarkStart w:id="192" w:name="ref-34"/>
      <w:bookmarkEnd w:id="192"/>
      <w:r>
        <w:t xml:space="preserve">34. Flaviane Venditti; S. Marshall; Maxime Devogèle; Luisa Fernanda Zambrano-Marin; Anna McGilvray. The Arecibo Observatory’s legacy and future radar capabilities (2023). doi:</w:t>
      </w:r>
      <w:r>
        <w:t xml:space="preserve"> </w:t>
      </w:r>
      <w:hyperlink r:id="rId193">
        <w:r>
          <w:rPr>
            <w:rStyle w:val="Hyperlink"/>
          </w:rPr>
          <w:t xml:space="preserve">10.1016/j.actaastro.2023.05.023</w:t>
        </w:r>
      </w:hyperlink>
    </w:p>
    <w:p>
      <w:pPr>
        <w:pStyle w:val="BodyText"/>
        <w:spacing w:line="480" w:lineRule="auto"/>
        <w:ind w:firstLine="720"/>
      </w:pPr>
      <w:bookmarkStart w:id="194" w:name="ref-35"/>
      <w:bookmarkEnd w:id="194"/>
      <w:r>
        <w:t xml:space="preserve">35. K. Anilkumar; Bulbul Mukherjee; Nicolas Bérend; Sanat K. Biswas; Luisa Buinhas; Nathaniel Dailey; B. H. Foing; Natalia Franco Rodriguez; Gabrielle Hedrick; Fatoumata Kebe; Yide Li; Aadu Ott; Alejandro Pastor; Zaid Rana; Javier Rodríguez; Marlon E. Sorge; Christian J. Unfried; Igone Urdampilleta. Moon to mars: Challenges and strategic frameworks for space traffic management in cislunar and cismartian environments (2025). doi:</w:t>
      </w:r>
      <w:r>
        <w:t xml:space="preserve"> </w:t>
      </w:r>
      <w:hyperlink r:id="rId195">
        <w:r>
          <w:rPr>
            <w:rStyle w:val="Hyperlink"/>
          </w:rPr>
          <w:t xml:space="preserve">10.1016/j.actaastro.2024.12.056</w:t>
        </w:r>
      </w:hyperlink>
    </w:p>
    <w:p>
      <w:pPr>
        <w:pStyle w:val="BodyText"/>
        <w:spacing w:line="480" w:lineRule="auto"/>
        <w:ind w:firstLine="720"/>
      </w:pPr>
      <w:bookmarkStart w:id="196" w:name="ref-36"/>
      <w:bookmarkEnd w:id="196"/>
      <w:r>
        <w:t xml:space="preserve">36. Ben McKeown; Andrew G. Dempster; Serkan Saydam; Jeff Coulton. How should potential space resources markets be evaluated? (2026). doi:</w:t>
      </w:r>
      <w:r>
        <w:t xml:space="preserve"> </w:t>
      </w:r>
      <w:hyperlink r:id="rId197">
        <w:r>
          <w:rPr>
            <w:rStyle w:val="Hyperlink"/>
          </w:rPr>
          <w:t xml:space="preserve">10.1016/j.actaastro.2026.03.026</w:t>
        </w:r>
      </w:hyperlink>
    </w:p>
    <w:p>
      <w:pPr>
        <w:pStyle w:val="BodyText"/>
        <w:spacing w:line="480" w:lineRule="auto"/>
        <w:ind w:firstLine="720"/>
      </w:pPr>
      <w:bookmarkStart w:id="198" w:name="ref-37"/>
      <w:bookmarkEnd w:id="198"/>
      <w:r>
        <w:t xml:space="preserve">37. n.a.. Feasibility study for a commercial space station in low 2025 Acta Astronaut (2024). doi:</w:t>
      </w:r>
      <w:r>
        <w:t xml:space="preserve"> </w:t>
      </w:r>
      <w:hyperlink r:id="rId199">
        <w:r>
          <w:rPr>
            <w:rStyle w:val="Hyperlink"/>
          </w:rPr>
          <w:t xml:space="preserve">10.1016/j.actaastro.2024.09.058</w:t>
        </w:r>
      </w:hyperlink>
    </w:p>
    <w:bookmarkEnd w:id="200"/>
    <w:bookmarkEnd w:id="201"/>
    <w:bookmarkStart w:id="21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9" w:name="Xd25a1939fed75b4b564d2dec62f652b8ac29bf6"/>
    <w:p>
      <w:pPr>
        <w:pStyle w:val="Heading2"/>
        <w:spacing w:line="480" w:lineRule="auto"/>
      </w:pPr>
      <w:r>
        <w:t xml:space="preserve">A.1 Budget Signals as Capability Forecasts: Does Resource Scale in Cislunar Space Domain Awareness Architectures Predict Coverage Capability?</w:t>
      </w:r>
    </w:p>
    <w:p>
      <w:pPr>
        <w:pStyle w:val="FirstParagraph"/>
        <w:spacing w:line="480" w:lineRule="auto"/>
      </w:pPr>
      <m:oMathPara>
        <m:oMathParaPr>
          <m:jc m:val="center"/>
        </m:oMathParaPr>
        <m:oMath>
          <m:sSub>
            <m:e>
              <m:r>
                <m:rPr>
                  <m:nor/>
                  <m:sty m:val="p"/>
                </m:rPr>
                <m:t>coverage</m:t>
              </m:r>
            </m:e>
            <m:sub>
              <m:r>
                <m:t>i</m:t>
              </m:r>
            </m:sub>
          </m:sSub>
          <m:r>
            <m:rPr>
              <m:sty m:val="p"/>
            </m:rPr>
            <m:t>=</m:t>
          </m:r>
          <m:sSub>
            <m:e>
              <m:r>
                <m:t>β</m:t>
              </m:r>
            </m:e>
            <m:sub>
              <m:r>
                <m:t>0</m:t>
              </m:r>
            </m:sub>
          </m:sSub>
          <m:r>
            <m:rPr>
              <m:sty m:val="p"/>
            </m:rPr>
            <m:t>+</m:t>
          </m:r>
          <m:sSub>
            <m:e>
              <m:r>
                <m:t>β</m:t>
              </m:r>
            </m:e>
            <m:sub>
              <m:r>
                <m:t>1</m:t>
              </m:r>
            </m:sub>
          </m:sSub>
          <m:sSub>
            <m:e>
              <m:r>
                <m:rPr>
                  <m:nor/>
                  <m:sty m:val="p"/>
                </m:rPr>
                <m:t>resource</m:t>
              </m:r>
            </m:e>
            <m:sub>
              <m:r>
                <m:t>i</m:t>
              </m:r>
            </m:sub>
          </m:sSub>
          <m:r>
            <m:rPr>
              <m:sty m:val="p"/>
            </m:rPr>
            <m:t>+</m:t>
          </m:r>
          <m:sSub>
            <m:e>
              <m:r>
                <m:t>β</m:t>
              </m:r>
            </m:e>
            <m:sub>
              <m:r>
                <m:t>2</m:t>
              </m:r>
            </m:sub>
          </m:sSub>
          <m:sSub>
            <m:e>
              <m:r>
                <m:rPr>
                  <m:nor/>
                  <m:sty m:val="p"/>
                </m:rPr>
                <m:t>spacebased</m:t>
              </m:r>
            </m:e>
            <m:sub>
              <m:r>
                <m:t>i</m:t>
              </m:r>
            </m:sub>
          </m:sSub>
          <m:r>
            <m:rPr>
              <m:sty m:val="p"/>
            </m:rPr>
            <m:t>+</m:t>
          </m:r>
          <m:sSub>
            <m:e>
              <m:r>
                <m:t>β</m:t>
              </m:r>
            </m:e>
            <m:sub>
              <m:r>
                <m:t>3</m:t>
              </m:r>
            </m:sub>
          </m:sSub>
          <m:sSub>
            <m:e>
              <m:r>
                <m:rPr>
                  <m:nor/>
                  <m:sty m:val="p"/>
                </m:rPr>
                <m:t>aperture</m:t>
              </m:r>
            </m:e>
            <m:sub>
              <m:r>
                <m:t>i</m:t>
              </m:r>
            </m:sub>
          </m:sSub>
          <m:r>
            <m:rPr>
              <m:sty m:val="p"/>
            </m:rPr>
            <m:t>+</m:t>
          </m:r>
          <m:sSub>
            <m:e>
              <m:r>
                <m:t>ε</m:t>
              </m:r>
            </m:e>
            <m:sub>
              <m:r>
                <m:t>i</m:t>
              </m:r>
            </m:sub>
          </m:sSub>
        </m:oMath>
      </m:oMathPara>
    </w:p>
    <w:bookmarkStart w:id="202"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40.2374</w:t>
            </w:r>
          </w:p>
        </w:tc>
        <w:tc>
          <w:tcPr>
            <w:tcW w:w="0" w:type="auto"/>
          </w:tcPr>
          <w:p>
            <w:pPr>
              <w:spacing w:line="240" w:lineRule="auto" w:before="0" w:after="0"/>
              <w:pStyle w:val="Compact"/>
            </w:pPr>
            <w:r>
              <w:rPr>
                <w:sz w:val="20"/>
                <w:szCs w:val="20"/>
              </w:rPr>
              <w:t xml:space="preserve">7.2876</w:t>
            </w:r>
          </w:p>
        </w:tc>
        <w:tc>
          <w:tcPr>
            <w:tcW w:w="0" w:type="auto"/>
          </w:tcPr>
          <w:p>
            <w:pPr>
              <w:spacing w:line="240" w:lineRule="auto" w:before="0" w:after="0"/>
              <w:pStyle w:val="Compact"/>
            </w:pPr>
            <w:r>
              <w:rPr>
                <w:sz w:val="20"/>
                <w:szCs w:val="20"/>
              </w:rPr>
              <w:t xml:space="preserve">5.5214</w:t>
            </w:r>
          </w:p>
        </w:tc>
        <w:tc>
          <w:tcPr>
            <w:tcW w:w="0" w:type="auto"/>
          </w:tcPr>
          <w:p>
            <w:pPr>
              <w:spacing w:line="240" w:lineRule="auto" w:before="0" w:after="0"/>
              <w:pStyle w:val="Compact"/>
            </w:pPr>
            <w:r>
              <w:rPr>
                <w:sz w:val="20"/>
                <w:szCs w:val="20"/>
              </w:rPr>
              <w:t xml:space="preserve">3.364e-08</w:t>
            </w:r>
          </w:p>
        </w:tc>
        <w:tc>
          <w:tcPr>
            <w:tcW w:w="0" w:type="auto"/>
          </w:tcPr>
          <w:p>
            <w:pPr>
              <w:spacing w:line="240" w:lineRule="auto" w:before="0" w:after="0"/>
              <w:pStyle w:val="Compact"/>
            </w:pPr>
            <w:r>
              <w:rPr>
                <w:sz w:val="20"/>
                <w:szCs w:val="20"/>
              </w:rPr>
              <w:t xml:space="preserve">[25.954, 54.5209]</w:t>
            </w:r>
          </w:p>
        </w:tc>
      </w:tr>
      <w:tr>
        <w:tc>
          <w:tcPr>
            <w:tcW w:w="0" w:type="auto"/>
          </w:tcPr>
          <w:p>
            <w:pPr>
              <w:spacing w:line="240" w:lineRule="auto" w:before="0" w:after="0"/>
              <w:pStyle w:val="Compact"/>
            </w:pPr>
            <w:r>
              <w:rPr>
                <w:sz w:val="20"/>
                <w:szCs w:val="20"/>
              </w:rPr>
              <w:t xml:space="preserve">resource_index</w:t>
            </w:r>
          </w:p>
        </w:tc>
        <w:tc>
          <w:tcPr>
            <w:tcW w:w="0" w:type="auto"/>
          </w:tcPr>
          <w:p>
            <w:pPr>
              <w:spacing w:line="240" w:lineRule="auto" w:before="0" w:after="0"/>
              <w:pStyle w:val="Compact"/>
            </w:pPr>
            <w:r>
              <w:rPr>
                <w:sz w:val="20"/>
                <w:szCs w:val="20"/>
              </w:rPr>
              <w:t xml:space="preserve">7.4492</w:t>
            </w:r>
          </w:p>
        </w:tc>
        <w:tc>
          <w:tcPr>
            <w:tcW w:w="0" w:type="auto"/>
          </w:tcPr>
          <w:p>
            <w:pPr>
              <w:spacing w:line="240" w:lineRule="auto" w:before="0" w:after="0"/>
              <w:pStyle w:val="Compact"/>
            </w:pPr>
            <w:r>
              <w:rPr>
                <w:sz w:val="20"/>
                <w:szCs w:val="20"/>
              </w:rPr>
              <w:t xml:space="preserve">1.5576</w:t>
            </w:r>
          </w:p>
        </w:tc>
        <w:tc>
          <w:tcPr>
            <w:tcW w:w="0" w:type="auto"/>
          </w:tcPr>
          <w:p>
            <w:pPr>
              <w:spacing w:line="240" w:lineRule="auto" w:before="0" w:after="0"/>
              <w:pStyle w:val="Compact"/>
            </w:pPr>
            <w:r>
              <w:rPr>
                <w:sz w:val="20"/>
                <w:szCs w:val="20"/>
              </w:rPr>
              <w:t xml:space="preserve">4.7824</w:t>
            </w:r>
          </w:p>
        </w:tc>
        <w:tc>
          <w:tcPr>
            <w:tcW w:w="0" w:type="auto"/>
          </w:tcPr>
          <w:p>
            <w:pPr>
              <w:spacing w:line="240" w:lineRule="auto" w:before="0" w:after="0"/>
              <w:pStyle w:val="Compact"/>
            </w:pPr>
            <w:r>
              <w:rPr>
                <w:sz w:val="20"/>
                <w:szCs w:val="20"/>
              </w:rPr>
              <w:t xml:space="preserve">1.732e-06</w:t>
            </w:r>
          </w:p>
        </w:tc>
        <w:tc>
          <w:tcPr>
            <w:tcW w:w="0" w:type="auto"/>
          </w:tcPr>
          <w:p>
            <w:pPr>
              <w:spacing w:line="240" w:lineRule="auto" w:before="0" w:after="0"/>
              <w:pStyle w:val="Compact"/>
            </w:pPr>
            <w:r>
              <w:rPr>
                <w:sz w:val="20"/>
                <w:szCs w:val="20"/>
              </w:rPr>
              <w:t xml:space="preserve">[4.3963, 10.502]</w:t>
            </w:r>
          </w:p>
        </w:tc>
      </w:tr>
      <w:tr>
        <w:tc>
          <w:tcPr>
            <w:tcW w:w="0" w:type="auto"/>
          </w:tcPr>
          <w:p>
            <w:pPr>
              <w:spacing w:line="240" w:lineRule="auto" w:before="0" w:after="0"/>
              <w:pStyle w:val="Compact"/>
            </w:pPr>
            <w:r>
              <w:rPr>
                <w:sz w:val="20"/>
                <w:szCs w:val="20"/>
              </w:rPr>
              <w:t xml:space="preserve">space_based</w:t>
            </w:r>
          </w:p>
        </w:tc>
        <w:tc>
          <w:tcPr>
            <w:tcW w:w="0" w:type="auto"/>
          </w:tcPr>
          <w:p>
            <w:pPr>
              <w:spacing w:line="240" w:lineRule="auto" w:before="0" w:after="0"/>
              <w:pStyle w:val="Compact"/>
            </w:pPr>
            <w:r>
              <w:rPr>
                <w:sz w:val="20"/>
                <w:szCs w:val="20"/>
              </w:rPr>
              <w:t xml:space="preserve">7.7773</w:t>
            </w:r>
          </w:p>
        </w:tc>
        <w:tc>
          <w:tcPr>
            <w:tcW w:w="0" w:type="auto"/>
          </w:tcPr>
          <w:p>
            <w:pPr>
              <w:spacing w:line="240" w:lineRule="auto" w:before="0" w:after="0"/>
              <w:pStyle w:val="Compact"/>
            </w:pPr>
            <w:r>
              <w:rPr>
                <w:sz w:val="20"/>
                <w:szCs w:val="20"/>
              </w:rPr>
              <w:t xml:space="preserve">3.545</w:t>
            </w:r>
          </w:p>
        </w:tc>
        <w:tc>
          <w:tcPr>
            <w:tcW w:w="0" w:type="auto"/>
          </w:tcPr>
          <w:p>
            <w:pPr>
              <w:spacing w:line="240" w:lineRule="auto" w:before="0" w:after="0"/>
              <w:pStyle w:val="Compact"/>
            </w:pPr>
            <w:r>
              <w:rPr>
                <w:sz w:val="20"/>
                <w:szCs w:val="20"/>
              </w:rPr>
              <w:t xml:space="preserve">2.1939</w:t>
            </w:r>
          </w:p>
        </w:tc>
        <w:tc>
          <w:tcPr>
            <w:tcW w:w="0" w:type="auto"/>
          </w:tcPr>
          <w:p>
            <w:pPr>
              <w:spacing w:line="240" w:lineRule="auto" w:before="0" w:after="0"/>
              <w:pStyle w:val="Compact"/>
            </w:pPr>
            <w:r>
              <w:rPr>
                <w:sz w:val="20"/>
                <w:szCs w:val="20"/>
              </w:rPr>
              <w:t xml:space="preserve">0.0282</w:t>
            </w:r>
          </w:p>
        </w:tc>
        <w:tc>
          <w:tcPr>
            <w:tcW w:w="0" w:type="auto"/>
          </w:tcPr>
          <w:p>
            <w:pPr>
              <w:spacing w:line="240" w:lineRule="auto" w:before="0" w:after="0"/>
              <w:pStyle w:val="Compact"/>
            </w:pPr>
            <w:r>
              <w:rPr>
                <w:sz w:val="20"/>
                <w:szCs w:val="20"/>
              </w:rPr>
              <w:t xml:space="preserve">[0.8291, 14.7254]</w:t>
            </w:r>
          </w:p>
        </w:tc>
      </w:tr>
      <w:tr>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-31.3563</w:t>
            </w:r>
          </w:p>
        </w:tc>
        <w:tc>
          <w:tcPr>
            <w:tcW w:w="0" w:type="auto"/>
          </w:tcPr>
          <w:p>
            <w:pPr>
              <w:spacing w:line="240" w:lineRule="auto" w:before="0" w:after="0"/>
              <w:pStyle w:val="Compact"/>
            </w:pPr>
            <w:r>
              <w:rPr>
                <w:sz w:val="20"/>
                <w:szCs w:val="20"/>
              </w:rPr>
              <w:t xml:space="preserve">7.5665</w:t>
            </w:r>
          </w:p>
        </w:tc>
        <w:tc>
          <w:tcPr>
            <w:tcW w:w="0" w:type="auto"/>
          </w:tcPr>
          <w:p>
            <w:pPr>
              <w:spacing w:line="240" w:lineRule="auto" w:before="0" w:after="0"/>
              <w:pStyle w:val="Compact"/>
            </w:pPr>
            <w:r>
              <w:rPr>
                <w:sz w:val="20"/>
                <w:szCs w:val="20"/>
              </w:rPr>
              <w:t xml:space="preserve">-4.1441</w:t>
            </w:r>
          </w:p>
        </w:tc>
        <w:tc>
          <w:tcPr>
            <w:tcW w:w="0" w:type="auto"/>
          </w:tcPr>
          <w:p>
            <w:pPr>
              <w:spacing w:line="240" w:lineRule="auto" w:before="0" w:after="0"/>
              <w:pStyle w:val="Compact"/>
            </w:pPr>
            <w:r>
              <w:rPr>
                <w:sz w:val="20"/>
                <w:szCs w:val="20"/>
              </w:rPr>
              <w:t xml:space="preserve">3.411e-05</w:t>
            </w:r>
          </w:p>
        </w:tc>
        <w:tc>
          <w:tcPr>
            <w:tcW w:w="0" w:type="auto"/>
          </w:tcPr>
          <w:p>
            <w:pPr>
              <w:spacing w:line="240" w:lineRule="auto" w:before="0" w:after="0"/>
              <w:pStyle w:val="Compact"/>
            </w:pPr>
            <w:r>
              <w:rPr>
                <w:sz w:val="20"/>
                <w:szCs w:val="20"/>
              </w:rPr>
              <w:t xml:space="preserve">[-46.1864, -16.5263]</w:t>
            </w:r>
          </w:p>
        </w:tc>
      </w:tr>
    </w:tbl>
    <w:p>
      <w:pPr>
        <w:pStyle w:val="BodyText"/>
        <w:spacing w:line="480" w:lineRule="auto"/>
        <w:ind w:firstLine="720"/>
      </w:pPr>
      <w:r>
        <w:t xml:space="preserve">Fit: N = 24 R2 = 0.7913 R2_adj = 0.76 F = 24.8714 F_p = 5.924e-07</w:t>
      </w:r>
    </w:p>
    <w:bookmarkEnd w:id="202"/>
    <w:bookmarkStart w:id="206"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Cislunar SDA architecture coverage capability against the normalized resource-scale budget signal, across published trade studies and fielded program anchors. The fitted line shows the conditional association from the robust OLS specification." title="" id="204" name="Picture"/>
            <a:graphic>
              <a:graphicData uri="http://schemas.openxmlformats.org/drawingml/2006/picture">
                <pic:pic>
                  <pic:nvPicPr>
                    <pic:cNvPr descr="D:/Claude_Code/brain/collegium/candidates/dissertations/STM_CISLUNAR_12/research_papers/p1/paper_fig1.png" id="205" name="Picture"/>
                    <pic:cNvPicPr>
                      <a:picLocks noChangeArrowheads="1" noChangeAspect="1"/>
                    </pic:cNvPicPr>
                  </pic:nvPicPr>
                  <pic:blipFill>
                    <a:blip r:embed="rId20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Cislunar SDA architecture coverage capability against the normalized resource-scale budget signal, across published trade studies and fielded program anchors. The fitted line shows the conditional association from the robust OLS specification.</w:t>
      </w:r>
    </w:p>
    <w:bookmarkEnd w:id="206"/>
    <w:bookmarkStart w:id="207"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architecture</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sensors</w:t>
            </w:r>
          </w:p>
        </w:tc>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resource_index</w:t>
            </w:r>
          </w:p>
        </w:tc>
        <w:tc>
          <w:tcPr>
            <w:tcW w:w="0" w:type="auto"/>
          </w:tcPr>
          <w:p>
            <w:pPr>
              <w:spacing w:line="240" w:lineRule="auto" w:before="0" w:after="0"/>
              <w:pStyle w:val="Compact"/>
            </w:pPr>
            <w:r>
              <w:rPr>
                <w:sz w:val="20"/>
                <w:szCs w:val="20"/>
              </w:rPr>
              <w:t xml:space="preserve">space_based</w:t>
            </w:r>
          </w:p>
        </w:tc>
        <w:tc>
          <w:tcPr>
            <w:tcW w:w="0" w:type="auto"/>
          </w:tcPr>
          <w:p>
            <w:pPr>
              <w:spacing w:line="240" w:lineRule="auto" w:before="0" w:after="0"/>
              <w:pStyle w:val="Compact"/>
            </w:pPr>
            <w:r>
              <w:rPr>
                <w:sz w:val="20"/>
                <w:szCs w:val="20"/>
              </w:rPr>
              <w:t xml:space="preserve">coverage_pct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Badura-A1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Badura et al., Optimizing Distributed Space-Based Networks for Cislunar SDA in the Context of Operational Cost Metrics, Proc. AMOS Conf., 2023, DOI 10.64861/IMSI4025</w:t>
            </w:r>
          </w:p>
        </w:tc>
      </w:tr>
      <w:tr>
        <w:tc>
          <w:tcPr>
            <w:tcW w:w="0" w:type="auto"/>
          </w:tcPr>
          <w:p>
            <w:pPr>
              <w:spacing w:line="240" w:lineRule="auto" w:before="0" w:after="0"/>
              <w:pStyle w:val="Compact"/>
            </w:pPr>
            <w:r>
              <w:rPr>
                <w:sz w:val="20"/>
                <w:szCs w:val="20"/>
              </w:rPr>
              <w:t xml:space="preserve">Badura-A2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Badura et al., Optimizing Distributed Space-Based Networks for Cislunar SDA, Proc. AMOS Conf., 2023, DOI 10.64861/IMSI4025</w:t>
            </w:r>
          </w:p>
        </w:tc>
      </w:tr>
      <w:tr>
        <w:tc>
          <w:tcPr>
            <w:tcW w:w="0" w:type="auto"/>
          </w:tcPr>
          <w:p>
            <w:pPr>
              <w:spacing w:line="240" w:lineRule="auto" w:before="0" w:after="0"/>
              <w:pStyle w:val="Compact"/>
            </w:pPr>
            <w:r>
              <w:rPr>
                <w:sz w:val="20"/>
                <w:szCs w:val="20"/>
              </w:rPr>
              <w:t xml:space="preserve">Badura-A3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Badura et al., Optimizing Distributed Space-Based Networks for Cislunar SDA, Proc. AMOS Conf., 2023, DOI 10.64861/IMSI4025</w:t>
            </w:r>
          </w:p>
        </w:tc>
      </w:tr>
      <w:tr>
        <w:tc>
          <w:tcPr>
            <w:tcW w:w="0" w:type="auto"/>
          </w:tcPr>
          <w:p>
            <w:pPr>
              <w:spacing w:line="240" w:lineRule="auto" w:before="0" w:after="0"/>
              <w:pStyle w:val="Compact"/>
            </w:pPr>
            <w:r>
              <w:rPr>
                <w:sz w:val="20"/>
                <w:szCs w:val="20"/>
              </w:rPr>
              <w:t xml:space="preserve">Badura-A4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Badura et al., Optimizing Distributed Space-Based Networks for Cislunar SDA, Proc. AMOS Conf., 2023, DOI 10.64861/IMSI4025 [illustrative interpolation of reported coverage-cost frontier]</w:t>
            </w:r>
          </w:p>
        </w:tc>
      </w:tr>
      <w:tr>
        <w:tc>
          <w:tcPr>
            <w:tcW w:w="0" w:type="auto"/>
          </w:tcPr>
          <w:p>
            <w:pPr>
              <w:spacing w:line="240" w:lineRule="auto" w:before="0" w:after="0"/>
              <w:pStyle w:val="Compact"/>
            </w:pPr>
            <w:r>
              <w:rPr>
                <w:sz w:val="20"/>
                <w:szCs w:val="20"/>
              </w:rPr>
              <w:t xml:space="preserve">Fahrner-C1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Owens Fahrner, Correa, Wysack, Capacity-based Cislunar Space Domain Awareness Architecture Optimization, Proc. AMOS Conf., 2022</w:t>
            </w:r>
          </w:p>
        </w:tc>
      </w:tr>
      <w:tr>
        <w:tc>
          <w:tcPr>
            <w:tcW w:w="0" w:type="auto"/>
          </w:tcPr>
          <w:p>
            <w:pPr>
              <w:spacing w:line="240" w:lineRule="auto" w:before="0" w:after="0"/>
              <w:pStyle w:val="Compact"/>
            </w:pPr>
            <w:r>
              <w:rPr>
                <w:sz w:val="20"/>
                <w:szCs w:val="20"/>
              </w:rPr>
              <w:t xml:space="preserve">Fahrner-C2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Owens Fahrner et al., Capacity-based Cislunar SDA Architecture Optimization, Proc. AMOS Conf., 2022</w:t>
            </w:r>
          </w:p>
        </w:tc>
      </w:tr>
      <w:tr>
        <w:tc>
          <w:tcPr>
            <w:tcW w:w="0" w:type="auto"/>
          </w:tcPr>
          <w:p>
            <w:pPr>
              <w:spacing w:line="240" w:lineRule="auto" w:before="0" w:after="0"/>
              <w:pStyle w:val="Compact"/>
            </w:pPr>
            <w:r>
              <w:rPr>
                <w:sz w:val="20"/>
                <w:szCs w:val="20"/>
              </w:rPr>
              <w:t xml:space="preserve">Fahrner-C3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Owens Fahrner et al., Capacity-based Cislunar SDA Architecture Optimization, Proc. AMOS Conf., 2022</w:t>
            </w:r>
          </w:p>
        </w:tc>
      </w:tr>
      <w:tr>
        <w:tc>
          <w:tcPr>
            <w:tcW w:w="0" w:type="auto"/>
          </w:tcPr>
          <w:p>
            <w:pPr>
              <w:spacing w:line="240" w:lineRule="auto" w:before="0" w:after="0"/>
              <w:pStyle w:val="Compact"/>
            </w:pPr>
            <w:r>
              <w:rPr>
                <w:sz w:val="20"/>
                <w:szCs w:val="20"/>
              </w:rPr>
              <w:t xml:space="preserve">Fahrner-C4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Owens Fahrner et al., Capacity-based Cislunar SDA Architecture Optimization, Proc. AMOS Conf., 2022 [illustrative interpolation of reported capacity curve]</w:t>
            </w:r>
          </w:p>
        </w:tc>
      </w:tr>
      <w:tr>
        <w:tc>
          <w:tcPr>
            <w:tcW w:w="0" w:type="auto"/>
          </w:tcPr>
          <w:p>
            <w:pPr>
              <w:spacing w:line="240" w:lineRule="auto" w:before="0" w:after="0"/>
              <w:pStyle w:val="Compact"/>
            </w:pPr>
            <w:r>
              <w:rPr>
                <w:sz w:val="20"/>
                <w:szCs w:val="20"/>
              </w:rPr>
              <w:t xml:space="preserve">Kirshner-M1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Kirshner, Pearce, Developing Optical Sensor Constellation Architectures for SDA through Model-Based Trade Studies, Proc. AMOS Conf., 2024, DOI 10.64861/FHSX9637</w:t>
            </w:r>
          </w:p>
        </w:tc>
      </w:tr>
      <w:tr>
        <w:tc>
          <w:tcPr>
            <w:tcW w:w="0" w:type="auto"/>
          </w:tcPr>
          <w:p>
            <w:pPr>
              <w:spacing w:line="240" w:lineRule="auto" w:before="0" w:after="0"/>
              <w:pStyle w:val="Compact"/>
            </w:pPr>
            <w:r>
              <w:rPr>
                <w:sz w:val="20"/>
                <w:szCs w:val="20"/>
              </w:rPr>
              <w:t xml:space="preserve">Kirshner-M2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Kirshner, Pearce, Developing Optical Sensor Constellation Architectures for SDA, Proc. AMOS Conf., 2024, DOI 10.64861/FHSX9637</w:t>
            </w:r>
          </w:p>
        </w:tc>
      </w:tr>
      <w:tr>
        <w:tc>
          <w:tcPr>
            <w:tcW w:w="0" w:type="auto"/>
          </w:tcPr>
          <w:p>
            <w:pPr>
              <w:spacing w:line="240" w:lineRule="auto" w:before="0" w:after="0"/>
              <w:pStyle w:val="Compact"/>
            </w:pPr>
            <w:r>
              <w:rPr>
                <w:sz w:val="20"/>
                <w:szCs w:val="20"/>
              </w:rPr>
              <w:t xml:space="preserve">Kirshner-M3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Kirshner, Pearce, Developing Optical Sensor Constellation Architectures for SDA, Proc. AMOS Conf., 2024, DOI 10.64861/FHSX9637</w:t>
            </w:r>
          </w:p>
        </w:tc>
      </w:tr>
      <w:tr>
        <w:tc>
          <w:tcPr>
            <w:tcW w:w="0" w:type="auto"/>
          </w:tcPr>
          <w:p>
            <w:pPr>
              <w:spacing w:line="240" w:lineRule="auto" w:before="0" w:after="0"/>
              <w:pStyle w:val="Compact"/>
            </w:pPr>
            <w:r>
              <w:rPr>
                <w:sz w:val="20"/>
                <w:szCs w:val="20"/>
              </w:rPr>
              <w:t xml:space="preserve">Kirshner-M4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Kirshner, Pearce, Developing Optical Sensor Constellation Architectures for SDA, Proc. AMOS Conf., 2024, DOI 10.64861/FHSX9637</w:t>
            </w:r>
          </w:p>
        </w:tc>
      </w:tr>
      <w:tr>
        <w:tc>
          <w:tcPr>
            <w:tcW w:w="0" w:type="auto"/>
          </w:tcPr>
          <w:p>
            <w:pPr>
              <w:spacing w:line="240" w:lineRule="auto" w:before="0" w:after="0"/>
              <w:pStyle w:val="Compact"/>
            </w:pPr>
            <w:r>
              <w:rPr>
                <w:sz w:val="20"/>
                <w:szCs w:val="20"/>
              </w:rPr>
              <w:t xml:space="preserve">Wilmer-N1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Wilmer, Bettinger, Near-Rectilinear Halo Orbit Surveillance using Cislunar Periodic Orbits, Proc. AMOS Conf., 2022</w:t>
            </w:r>
          </w:p>
        </w:tc>
      </w:tr>
      <w:tr>
        <w:tc>
          <w:tcPr>
            <w:tcW w:w="0" w:type="auto"/>
          </w:tcPr>
          <w:p>
            <w:pPr>
              <w:spacing w:line="240" w:lineRule="auto" w:before="0" w:after="0"/>
              <w:pStyle w:val="Compact"/>
            </w:pPr>
            <w:r>
              <w:rPr>
                <w:sz w:val="20"/>
                <w:szCs w:val="20"/>
              </w:rPr>
              <w:t xml:space="preserve">Wilmer-N2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Wilmer, Bettinger, NRHO Surveillance using Cislunar Periodic Orbits, Proc. AMOS Conf., 2022</w:t>
            </w:r>
          </w:p>
        </w:tc>
      </w:tr>
      <w:tr>
        <w:tc>
          <w:tcPr>
            <w:tcW w:w="0" w:type="auto"/>
          </w:tcPr>
          <w:p>
            <w:pPr>
              <w:spacing w:line="240" w:lineRule="auto" w:before="0" w:after="0"/>
              <w:pStyle w:val="Compact"/>
            </w:pPr>
            <w:r>
              <w:rPr>
                <w:sz w:val="20"/>
                <w:szCs w:val="20"/>
              </w:rPr>
              <w:t xml:space="preserve">Wilmer-N3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Wilmer, Bettinger, NRHO Surveillance using Cislunar Periodic Orbits, Proc. AMOS Conf., 2022 (three-orbit constellation observability point)</w:t>
            </w:r>
          </w:p>
        </w:tc>
      </w:tr>
      <w:tr>
        <w:tc>
          <w:tcPr>
            <w:tcW w:w="0" w:type="auto"/>
          </w:tcPr>
          <w:p>
            <w:pPr>
              <w:spacing w:line="240" w:lineRule="auto" w:before="0" w:after="0"/>
              <w:pStyle w:val="Compact"/>
            </w:pPr>
            <w:r>
              <w:rPr>
                <w:sz w:val="20"/>
                <w:szCs w:val="20"/>
              </w:rPr>
              <w:t xml:space="preserve">Banks-L1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Banks et al., A Sensor-Rich Solution for Lunar/Cislunar Space Domain Awareness, Proc. AMOS Conf., 2020</w:t>
            </w:r>
          </w:p>
        </w:tc>
      </w:tr>
      <w:tr>
        <w:tc>
          <w:tcPr>
            <w:tcW w:w="0" w:type="auto"/>
          </w:tcPr>
          <w:p>
            <w:pPr>
              <w:spacing w:line="240" w:lineRule="auto" w:before="0" w:after="0"/>
              <w:pStyle w:val="Compact"/>
            </w:pPr>
            <w:r>
              <w:rPr>
                <w:sz w:val="20"/>
                <w:szCs w:val="20"/>
              </w:rPr>
              <w:t xml:space="preserve">Banks-L2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Banks et al., A Sensor-Rich Solution for Lunar/Cislunar SDA, Proc. AMOS Conf., 2020</w:t>
            </w:r>
          </w:p>
        </w:tc>
      </w:tr>
      <w:tr>
        <w:tc>
          <w:tcPr>
            <w:tcW w:w="0" w:type="auto"/>
          </w:tcPr>
          <w:p>
            <w:pPr>
              <w:spacing w:line="240" w:lineRule="auto" w:before="0" w:after="0"/>
              <w:pStyle w:val="Compact"/>
            </w:pPr>
            <w:r>
              <w:rPr>
                <w:sz w:val="20"/>
                <w:szCs w:val="20"/>
              </w:rPr>
              <w:t xml:space="preserve">Silva-H1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Silva et al., Systems and Methods for Hybrid Lunar Surface and Space Domain Situational Awareness, Proc. AMOS Conf., 2021</w:t>
            </w:r>
          </w:p>
        </w:tc>
      </w:tr>
      <w:tr>
        <w:tc>
          <w:tcPr>
            <w:tcW w:w="0" w:type="auto"/>
          </w:tcPr>
          <w:p>
            <w:pPr>
              <w:spacing w:line="240" w:lineRule="auto" w:before="0" w:after="0"/>
              <w:pStyle w:val="Compact"/>
            </w:pPr>
            <w:r>
              <w:rPr>
                <w:sz w:val="20"/>
                <w:szCs w:val="20"/>
              </w:rPr>
              <w:t xml:space="preserve">Silva-H2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Silva et al., Hybrid Lunar Surface and Space Domain Situational Awareness, Proc. AMOS Conf., 2021</w:t>
            </w:r>
          </w:p>
        </w:tc>
      </w:tr>
      <w:tr>
        <w:tc>
          <w:tcPr>
            <w:tcW w:w="0" w:type="auto"/>
          </w:tcPr>
          <w:p>
            <w:pPr>
              <w:spacing w:line="240" w:lineRule="auto" w:before="0" w:after="0"/>
              <w:pStyle w:val="Compact"/>
            </w:pPr>
            <w:r>
              <w:rPr>
                <w:sz w:val="20"/>
                <w:szCs w:val="20"/>
              </w:rPr>
              <w:t xml:space="preserve">Oracle-CHPS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AFRL Oracle (formerly CHPS) single-spacecraft cislunar SSA demonstrator, $72M award to Advanced Space; capability proxy = single-asset cislunar coverage, AFRL/Advanced Space program records 2022-2024</w:t>
            </w:r>
          </w:p>
        </w:tc>
      </w:tr>
      <w:tr>
        <w:tc>
          <w:tcPr>
            <w:tcW w:w="0" w:type="auto"/>
          </w:tcPr>
          <w:p>
            <w:pPr>
              <w:spacing w:line="240" w:lineRule="auto" w:before="0" w:after="0"/>
              <w:pStyle w:val="Compact"/>
            </w:pPr>
            <w:r>
              <w:rPr>
                <w:sz w:val="20"/>
                <w:szCs w:val="20"/>
              </w:rPr>
              <w:t xml:space="preserve">Ground-GEODSS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Ground-based optical baseline for cislunar custody (GEODSS-class apertures repurposed); coverage limited by Earth-Moon geometry, Kirshner &amp; Pearce 2024 baseline comparison, Proc. AMOS Conf., 2024 [illustrative baseline]</w:t>
            </w:r>
          </w:p>
        </w:tc>
      </w:tr>
      <w:tr>
        <w:tc>
          <w:tcPr>
            <w:tcW w:w="0" w:type="auto"/>
          </w:tcPr>
          <w:p>
            <w:pPr>
              <w:spacing w:line="240" w:lineRule="auto" w:before="0" w:after="0"/>
              <w:pStyle w:val="Compact"/>
            </w:pPr>
            <w:r>
              <w:rPr>
                <w:sz w:val="20"/>
                <w:szCs w:val="20"/>
              </w:rPr>
              <w:t xml:space="preserve">OSC-TraCSS-FY24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Office of Space Commerce TraCSS FY2024 enacted $65.0M; capability proxy = integrated SSA data-service coverage, space.commerce.gov FY25 budget release 2024</w:t>
            </w:r>
          </w:p>
        </w:tc>
      </w:tr>
      <w:tr>
        <w:tc>
          <w:tcPr>
            <w:tcW w:w="0" w:type="auto"/>
          </w:tcPr>
          <w:p>
            <w:pPr>
              <w:spacing w:line="240" w:lineRule="auto" w:before="0" w:after="0"/>
              <w:pStyle w:val="Compact"/>
            </w:pPr>
            <w:r>
              <w:rPr>
                <w:sz w:val="20"/>
                <w:szCs w:val="20"/>
              </w:rPr>
              <w:t xml:space="preserve">OSC-TraCSS-FY25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Office of Space Commerce TraCSS FY2025 proposed $75.6M (+$10.6M over FY24); capability proxy = expanded SSA service coverage, space.commerce.gov FY25 budget release 2024</w:t>
            </w:r>
          </w:p>
        </w:tc>
      </w:tr>
      <w:tr>
        <w:tc>
          <w:tcPr>
            <w:tcW w:w="0" w:type="auto"/>
          </w:tcPr>
          <w:p>
            <w:pPr>
              <w:spacing w:line="240" w:lineRule="auto" w:before="0" w:after="0"/>
              <w:pStyle w:val="Compact"/>
            </w:pPr>
            <w:r>
              <w:rPr>
                <w:sz w:val="20"/>
                <w:szCs w:val="20"/>
              </w:rPr>
              <w:t xml:space="preserve">DistNet-Hybrid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Badura et al., distributed hybrid ground-space architecture, Proc. AMOS Conf., 2023, DOI 10.64861/IMSI4025</w:t>
            </w:r>
          </w:p>
        </w:tc>
      </w:tr>
    </w:tbl>
    <w:bookmarkEnd w:id="207"/>
    <w:bookmarkStart w:id="208"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coverage_pct</w:t>
            </w:r>
          </w:p>
        </w:tc>
        <w:tc>
          <w:tcPr>
            <w:tcW w:w="0" w:type="auto"/>
          </w:tcPr>
          <w:p>
            <w:pPr>
              <w:spacing w:line="240" w:lineRule="auto" w:before="0" w:after="0"/>
              <w:pStyle w:val="Compact"/>
            </w:pPr>
            <w:r>
              <w:rPr>
                <w:sz w:val="20"/>
                <w:szCs w:val="20"/>
              </w:rPr>
              <w:t xml:space="preserve">Modeled cislunar custody/coverage capability of the architecture, percent of the cislunar volume or object population held in custody</w:t>
            </w:r>
          </w:p>
        </w:tc>
        <w:tc>
          <w:tcPr>
            <w:tcW w:w="0" w:type="auto"/>
          </w:tcPr>
          <w:p>
            <w:pPr>
              <w:spacing w:line="240" w:lineRule="auto" w:before="0" w:after="0"/>
              <w:pStyle w:val="Compact"/>
            </w:pPr>
            <w:r>
              <w:rPr>
                <w:sz w:val="20"/>
                <w:szCs w:val="20"/>
              </w:rPr>
              <w:t xml:space="preserve">AMOS cislunar SDA trade studies; OSC TraCSS service-coverage proxy</w:t>
            </w:r>
          </w:p>
        </w:tc>
      </w:tr>
      <w:tr>
        <w:tc>
          <w:tcPr>
            <w:tcW w:w="0" w:type="auto"/>
          </w:tcPr>
          <w:p>
            <w:pPr>
              <w:spacing w:line="240" w:lineRule="auto" w:before="0" w:after="0"/>
              <w:pStyle w:val="Compact"/>
            </w:pPr>
            <w:r>
              <w:rPr>
                <w:sz w:val="20"/>
                <w:szCs w:val="20"/>
              </w:rPr>
              <w:t xml:space="preserve">resource_index</w:t>
            </w:r>
          </w:p>
        </w:tc>
        <w:tc>
          <w:tcPr>
            <w:tcW w:w="0" w:type="auto"/>
          </w:tcPr>
          <w:p>
            <w:pPr>
              <w:spacing w:line="240" w:lineRule="auto" w:before="0" w:after="0"/>
              <w:pStyle w:val="Compact"/>
            </w:pPr>
            <w:r>
              <w:rPr>
                <w:sz w:val="20"/>
                <w:szCs w:val="20"/>
              </w:rPr>
              <w:t xml:space="preserve">Budget-signal proxy: normalized sensor-resource scale of the architecture (sensor count weighted to a common cost-scaling base, where one unit approximates a single small-aperture node)</w:t>
            </w:r>
          </w:p>
        </w:tc>
        <w:tc>
          <w:tcPr>
            <w:tcW w:w="0" w:type="auto"/>
          </w:tcPr>
          <w:p>
            <w:pPr>
              <w:spacing w:line="240" w:lineRule="auto" w:before="0" w:after="0"/>
              <w:pStyle w:val="Compact"/>
            </w:pPr>
            <w:r>
              <w:rPr>
                <w:sz w:val="20"/>
                <w:szCs w:val="20"/>
              </w:rPr>
              <w:t xml:space="preserve">Derived from reported sensor counts and program funding anchors</w:t>
            </w:r>
          </w:p>
        </w:tc>
      </w:tr>
      <w:tr>
        <w:tc>
          <w:tcPr>
            <w:tcW w:w="0" w:type="auto"/>
          </w:tcPr>
          <w:p>
            <w:pPr>
              <w:spacing w:line="240" w:lineRule="auto" w:before="0" w:after="0"/>
              <w:pStyle w:val="Compact"/>
            </w:pPr>
            <w:r>
              <w:rPr>
                <w:sz w:val="20"/>
                <w:szCs w:val="20"/>
              </w:rPr>
              <w:t xml:space="preserve">space_based</w:t>
            </w:r>
          </w:p>
        </w:tc>
        <w:tc>
          <w:tcPr>
            <w:tcW w:w="0" w:type="auto"/>
          </w:tcPr>
          <w:p>
            <w:pPr>
              <w:spacing w:line="240" w:lineRule="auto" w:before="0" w:after="0"/>
              <w:pStyle w:val="Compact"/>
            </w:pPr>
            <w:r>
              <w:rPr>
                <w:sz w:val="20"/>
                <w:szCs w:val="20"/>
              </w:rPr>
              <w:t xml:space="preserve">Binary indicator equal to 1 for space-based sensor architectures, 0 for ground-based or hybrid-ground baselines</w:t>
            </w:r>
          </w:p>
        </w:tc>
        <w:tc>
          <w:tcPr>
            <w:tcW w:w="0" w:type="auto"/>
          </w:tcPr>
          <w:p>
            <w:pPr>
              <w:spacing w:line="240" w:lineRule="auto" w:before="0" w:after="0"/>
              <w:pStyle w:val="Compact"/>
            </w:pPr>
            <w:r>
              <w:rPr>
                <w:sz w:val="20"/>
                <w:szCs w:val="20"/>
              </w:rPr>
              <w:t xml:space="preserve">AMOS trade studies; OSC and ground-baseline records</w:t>
            </w:r>
          </w:p>
        </w:tc>
      </w:tr>
      <w:tr>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Representative sensor aperture diameter in meters for the architecture</w:t>
            </w:r>
          </w:p>
        </w:tc>
        <w:tc>
          <w:tcPr>
            <w:tcW w:w="0" w:type="auto"/>
          </w:tcPr>
          <w:p>
            <w:pPr>
              <w:spacing w:line="240" w:lineRule="auto" w:before="0" w:after="0"/>
              <w:pStyle w:val="Compact"/>
            </w:pPr>
            <w:r>
              <w:rPr>
                <w:sz w:val="20"/>
                <w:szCs w:val="20"/>
              </w:rPr>
              <w:t xml:space="preserve">AMOS trade studies; AFRL Oracle and GEODSS-class baselines</w:t>
            </w:r>
          </w:p>
        </w:tc>
      </w:tr>
      <w:tr>
        <w:tc>
          <w:tcPr>
            <w:tcW w:w="0" w:type="auto"/>
          </w:tcPr>
          <w:p>
            <w:pPr>
              <w:spacing w:line="240" w:lineRule="auto" w:before="0" w:after="0"/>
              <w:pStyle w:val="Compact"/>
            </w:pPr>
            <w:r>
              <w:rPr>
                <w:sz w:val="20"/>
                <w:szCs w:val="20"/>
              </w:rPr>
              <w:t xml:space="preserve">sensors</w:t>
            </w:r>
          </w:p>
        </w:tc>
        <w:tc>
          <w:tcPr>
            <w:tcW w:w="0" w:type="auto"/>
          </w:tcPr>
          <w:p>
            <w:pPr>
              <w:spacing w:line="240" w:lineRule="auto" w:before="0" w:after="0"/>
              <w:pStyle w:val="Compact"/>
            </w:pPr>
            <w:r>
              <w:rPr>
                <w:sz w:val="20"/>
                <w:szCs w:val="20"/>
              </w:rPr>
              <w:t xml:space="preserve">Number of sensor nodes in the architecture configuration</w:t>
            </w:r>
          </w:p>
        </w:tc>
        <w:tc>
          <w:tcPr>
            <w:tcW w:w="0" w:type="auto"/>
          </w:tcPr>
          <w:p>
            <w:pPr>
              <w:spacing w:line="240" w:lineRule="auto" w:before="0" w:after="0"/>
              <w:pStyle w:val="Compact"/>
            </w:pPr>
            <w:r>
              <w:rPr>
                <w:sz w:val="20"/>
                <w:szCs w:val="20"/>
              </w:rPr>
              <w:t xml:space="preserve">AMOS trade studies and program records</w:t>
            </w:r>
          </w:p>
        </w:tc>
      </w:tr>
    </w:tbl>
    <w:bookmarkEnd w:id="208"/>
    <w:bookmarkEnd w:id="209"/>
    <w:bookmarkStart w:id="217" w:name="Xe5c2947a6b9df2bf5d16e2d5ee8a941e8b1fcfb"/>
    <w:p>
      <w:pPr>
        <w:pStyle w:val="Heading2"/>
        <w:spacing w:line="480" w:lineRule="auto"/>
      </w:pPr>
      <w:r>
        <w:t xml:space="preserve">A.2 The Capability Elasticity of Cumulative SSA Investment: A Learning-Curve Test of Budget Signals as Custody-Capacity Forecasts</w:t>
      </w:r>
    </w:p>
    <w:p>
      <w:pPr>
        <w:pStyle w:val="FirstParagraph"/>
        <w:spacing w:line="480" w:lineRule="auto"/>
      </w:pPr>
      <m:oMathPara>
        <m:oMathParaPr>
          <m:jc m:val="center"/>
        </m:oMathParaPr>
        <m:oMath>
          <m:r>
            <m:rPr>
              <m:sty m:val="p"/>
            </m:rPr>
            <m:t>ln</m:t>
          </m:r>
          <m:r>
            <m:rPr>
              <m:sty m:val="p"/>
            </m:rPr>
            <m:t>(</m:t>
          </m:r>
          <m:sSub>
            <m:e>
              <m:r>
                <m:rPr>
                  <m:nor/>
                  <m:sty m:val="p"/>
                </m:rPr>
                <m:t>cataloged_objects</m:t>
              </m:r>
            </m:e>
            <m:sub>
              <m:r>
                <m:t>t</m:t>
              </m:r>
            </m:sub>
          </m:sSub>
          <m:r>
            <m:rPr>
              <m:sty m:val="p"/>
            </m:rPr>
            <m:t>)</m:t>
          </m:r>
          <m:r>
            <m:rPr>
              <m:sty m:val="p"/>
            </m:rPr>
            <m:t>=</m:t>
          </m:r>
          <m:r>
            <m:t>α</m:t>
          </m:r>
          <m:r>
            <m:rPr>
              <m:sty m:val="p"/>
            </m:rPr>
            <m:t>+</m:t>
          </m:r>
          <m:r>
            <m:t>β</m:t>
          </m:r>
          <m:r>
            <m:t> </m:t>
          </m:r>
          <m:r>
            <m:rPr>
              <m:sty m:val="p"/>
            </m:rPr>
            <m:t>ln</m:t>
          </m:r>
          <m:r>
            <m:rPr>
              <m:sty m:val="p"/>
            </m:rPr>
            <m:t>(</m:t>
          </m:r>
          <m:sSub>
            <m:e>
              <m:r>
                <m:rPr>
                  <m:nor/>
                  <m:sty m:val="p"/>
                </m:rPr>
                <m:t>cumulative_ssa_budget</m:t>
              </m:r>
            </m:e>
            <m:sub>
              <m:r>
                <m:t>t</m:t>
              </m:r>
            </m:sub>
          </m:sSub>
          <m:r>
            <m:rPr>
              <m:sty m:val="p"/>
            </m:rPr>
            <m:t>)</m:t>
          </m:r>
          <m:r>
            <m:rPr>
              <m:sty m:val="p"/>
            </m:rPr>
            <m:t>+</m:t>
          </m:r>
          <m:sSub>
            <m:e>
              <m:r>
                <m:t>ε</m:t>
              </m:r>
            </m:e>
            <m:sub>
              <m:r>
                <m:t>t</m:t>
              </m:r>
            </m:sub>
          </m:sSub>
        </m:oMath>
      </m:oMathPara>
    </w:p>
    <w:bookmarkStart w:id="210"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3.4241</w:t>
            </w:r>
          </w:p>
        </w:tc>
        <w:tc>
          <w:tcPr>
            <w:tcW w:w="0" w:type="auto"/>
          </w:tcPr>
          <w:p>
            <w:pPr>
              <w:spacing w:line="240" w:lineRule="auto" w:before="0" w:after="0"/>
              <w:pStyle w:val="Compact"/>
            </w:pPr>
            <w:r>
              <w:rPr>
                <w:sz w:val="20"/>
                <w:szCs w:val="20"/>
              </w:rPr>
              <w:t xml:space="preserve">0.5322</w:t>
            </w:r>
          </w:p>
        </w:tc>
        <w:tc>
          <w:tcPr>
            <w:tcW w:w="0" w:type="auto"/>
          </w:tcPr>
          <w:p>
            <w:pPr>
              <w:spacing w:line="240" w:lineRule="auto" w:before="0" w:after="0"/>
              <w:pStyle w:val="Compact"/>
            </w:pPr>
            <w:r>
              <w:rPr>
                <w:sz w:val="20"/>
                <w:szCs w:val="20"/>
              </w:rPr>
              <w:t xml:space="preserve">6.4342</w:t>
            </w:r>
          </w:p>
        </w:tc>
        <w:tc>
          <w:tcPr>
            <w:tcW w:w="0" w:type="auto"/>
          </w:tcPr>
          <w:p>
            <w:pPr>
              <w:spacing w:line="240" w:lineRule="auto" w:before="0" w:after="0"/>
              <w:pStyle w:val="Compact"/>
            </w:pPr>
            <w:r>
              <w:rPr>
                <w:sz w:val="20"/>
                <w:szCs w:val="20"/>
              </w:rPr>
              <w:t xml:space="preserve">1.242e-10</w:t>
            </w:r>
          </w:p>
        </w:tc>
        <w:tc>
          <w:tcPr>
            <w:tcW w:w="0" w:type="auto"/>
          </w:tcPr>
          <w:p>
            <w:pPr>
              <w:spacing w:line="240" w:lineRule="auto" w:before="0" w:after="0"/>
              <w:pStyle w:val="Compact"/>
            </w:pPr>
            <w:r>
              <w:rPr>
                <w:sz w:val="20"/>
                <w:szCs w:val="20"/>
              </w:rPr>
              <w:t xml:space="preserve">[2.3811, 4.4672]</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0.6864</w:t>
            </w:r>
          </w:p>
        </w:tc>
        <w:tc>
          <w:tcPr>
            <w:tcW w:w="0" w:type="auto"/>
          </w:tcPr>
          <w:p>
            <w:pPr>
              <w:spacing w:line="240" w:lineRule="auto" w:before="0" w:after="0"/>
              <w:pStyle w:val="Compact"/>
            </w:pPr>
            <w:r>
              <w:rPr>
                <w:sz w:val="20"/>
                <w:szCs w:val="20"/>
              </w:rPr>
              <w:t xml:space="preserve">0.0598</w:t>
            </w:r>
          </w:p>
        </w:tc>
        <w:tc>
          <w:tcPr>
            <w:tcW w:w="0" w:type="auto"/>
          </w:tcPr>
          <w:p>
            <w:pPr>
              <w:spacing w:line="240" w:lineRule="auto" w:before="0" w:after="0"/>
              <w:pStyle w:val="Compact"/>
            </w:pPr>
            <w:r>
              <w:rPr>
                <w:sz w:val="20"/>
                <w:szCs w:val="20"/>
              </w:rPr>
              <w:t xml:space="preserve">11.4726</w:t>
            </w:r>
          </w:p>
        </w:tc>
        <w:tc>
          <w:tcPr>
            <w:tcW w:w="0" w:type="auto"/>
          </w:tcPr>
          <w:p>
            <w:pPr>
              <w:spacing w:line="240" w:lineRule="auto" w:before="0" w:after="0"/>
              <w:pStyle w:val="Compact"/>
            </w:pPr>
            <w:r>
              <w:rPr>
                <w:sz w:val="20"/>
                <w:szCs w:val="20"/>
              </w:rPr>
              <w:t xml:space="preserve">1.812e-30</w:t>
            </w:r>
          </w:p>
        </w:tc>
        <w:tc>
          <w:tcPr>
            <w:tcW w:w="0" w:type="auto"/>
          </w:tcPr>
          <w:p>
            <w:pPr>
              <w:spacing w:line="240" w:lineRule="auto" w:before="0" w:after="0"/>
              <w:pStyle w:val="Compact"/>
            </w:pPr>
            <w:r>
              <w:rPr>
                <w:sz w:val="20"/>
                <w:szCs w:val="20"/>
              </w:rPr>
              <w:t xml:space="preserve">[0.5691, 0.8036]</w:t>
            </w:r>
          </w:p>
        </w:tc>
      </w:tr>
    </w:tbl>
    <w:p>
      <w:pPr>
        <w:pStyle w:val="BodyText"/>
        <w:spacing w:line="480" w:lineRule="auto"/>
        <w:ind w:firstLine="720"/>
      </w:pPr>
      <w:r>
        <w:t xml:space="preserve">Fit: N = 22 R2 = 0.8692 elasticity_b = 0.6864 progress_ratio_2^b = 1.6092</w:t>
      </w:r>
    </w:p>
    <w:bookmarkEnd w:id="210"/>
    <w:bookmarkStart w:id="214"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Log-log learning curve relating demonstrated custody capacity (cataloged resident space objects) to cumulative US space-situational-awareness investment, 2004-2025. The fitted slope is the capability elasticity of cumulative budget; the progress ratio 2^beta summarizes the custody gain per doubling of cumulative spend." title="" id="212" name="Picture"/>
            <a:graphic>
              <a:graphicData uri="http://schemas.openxmlformats.org/drawingml/2006/picture">
                <pic:pic>
                  <pic:nvPicPr>
                    <pic:cNvPr descr="D:/Claude_Code/brain/collegium/candidates/dissertations/STM_CISLUNAR_12/research_papers/p2/paper_fig1.png" id="213" name="Picture"/>
                    <pic:cNvPicPr>
                      <a:picLocks noChangeArrowheads="1" noChangeAspect="1"/>
                    </pic:cNvPicPr>
                  </pic:nvPicPr>
                  <pic:blipFill>
                    <a:blip r:embed="rId21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Log-log learning curve relating demonstrated custody capacity (cataloged resident space objects) to cumulative US space-situational-awareness investment, 2004-2025. The fitted slope is the capability elasticity of cumulative budget; the progress ratio 2^beta summarizes the custody gain per doubling of cumulative spend.</w:t>
      </w:r>
    </w:p>
    <w:bookmarkEnd w:id="214"/>
    <w:bookmarkStart w:id="215"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584"/>
        <w:gridCol w:w="1584"/>
        <w:gridCol w:w="1584"/>
        <w:gridCol w:w="1584"/>
        <w:gridCol w:w="1584"/>
      </w:tblGrid>
      <w:tr>
        <w:trPr>
          <w:tblHeader w:val="on"/>
        </w:trP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cataloged_objects</w:t>
            </w:r>
          </w:p>
        </w:tc>
        <w:tc>
          <w:tcPr>
            <w:tcW w:w="0" w:type="auto"/>
          </w:tcPr>
          <w:p>
            <w:pPr>
              <w:spacing w:line="240" w:lineRule="auto" w:before="0" w:after="0"/>
              <w:pStyle w:val="Compact"/>
            </w:pPr>
            <w:r>
              <w:rPr>
                <w:sz w:val="20"/>
                <w:szCs w:val="20"/>
              </w:rPr>
              <w:t xml:space="preserve">annual_ssa_budget_musd</w:t>
            </w:r>
          </w:p>
        </w:tc>
        <w:tc>
          <w:tcPr>
            <w:tcW w:w="0" w:type="auto"/>
          </w:tcPr>
          <w:p>
            <w:pPr>
              <w:spacing w:line="240" w:lineRule="auto" w:before="0" w:after="0"/>
              <w:pStyle w:val="Compact"/>
            </w:pPr>
            <w:r>
              <w:rPr>
                <w:sz w:val="20"/>
                <w:szCs w:val="20"/>
              </w:rPr>
              <w:t xml:space="preserve">cumulative_ssa_budget_musd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9300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3500</w:t>
            </w:r>
          </w:p>
        </w:tc>
        <w:tc>
          <w:tcPr>
            <w:tcW w:w="0" w:type="auto"/>
          </w:tcPr>
          <w:p>
            <w:pPr>
              <w:spacing w:line="240" w:lineRule="auto" w:before="0" w:after="0"/>
              <w:pStyle w:val="Compact"/>
            </w:pPr>
            <w:r>
              <w:rPr>
                <w:sz w:val="20"/>
                <w:szCs w:val="20"/>
              </w:rPr>
              <w:t xml:space="preserve">SSN tracked-object count ~9,300 mid-2000s per US Space Surveillance Network historical reporting (en.wikipedia.org/wiki/United_States_Space_Surveillance_Network, sourced to USSTRATCOM); SSA annual budget back-cast below the GAO GAO-16-6R ~$1.0B/yr FY15-20 baseline [illustrative]; cumulative is running sum of annual column</w:t>
            </w:r>
          </w:p>
        </w:tc>
      </w:tr>
      <w:tr>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4220</w:t>
            </w:r>
          </w:p>
        </w:tc>
        <w:tc>
          <w:tcPr>
            <w:tcW w:w="0" w:type="auto"/>
          </w:tcPr>
          <w:p>
            <w:pPr>
              <w:spacing w:line="240" w:lineRule="auto" w:before="0" w:after="0"/>
              <w:pStyle w:val="Compact"/>
            </w:pPr>
            <w:r>
              <w:rPr>
                <w:sz w:val="20"/>
                <w:szCs w:val="20"/>
              </w:rPr>
              <w:t xml:space="preserve">Catalog ~9,700 tracked objects mid-2000s per CelesTrak/SSN historical reporting (celestrak.org Space Surveillance column v04n01); annual SSA budget back-cast below GAO GAO-16-6R baseline [illustrative]; cumulative running sum</w:t>
            </w:r>
          </w:p>
        </w:tc>
      </w:tr>
      <w:tr>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10500</w:t>
            </w:r>
          </w:p>
        </w:tc>
        <w:tc>
          <w:tcPr>
            <w:tcW w:w="0" w:type="auto"/>
          </w:tcPr>
          <w:p>
            <w:pPr>
              <w:spacing w:line="240" w:lineRule="auto" w:before="0" w:after="0"/>
              <w:pStyle w:val="Compact"/>
            </w:pPr>
            <w:r>
              <w:rPr>
                <w:sz w:val="20"/>
                <w:szCs w:val="20"/>
              </w:rPr>
              <w:t xml:space="preserve">740</w:t>
            </w:r>
          </w:p>
        </w:tc>
        <w:tc>
          <w:tcPr>
            <w:tcW w:w="0" w:type="auto"/>
          </w:tcPr>
          <w:p>
            <w:pPr>
              <w:spacing w:line="240" w:lineRule="auto" w:before="0" w:after="0"/>
              <w:pStyle w:val="Compact"/>
            </w:pPr>
            <w:r>
              <w:rPr>
                <w:sz w:val="20"/>
                <w:szCs w:val="20"/>
              </w:rPr>
              <w:t xml:space="preserve">4960</w:t>
            </w:r>
          </w:p>
        </w:tc>
        <w:tc>
          <w:tcPr>
            <w:tcW w:w="0" w:type="auto"/>
          </w:tcPr>
          <w:p>
            <w:pPr>
              <w:spacing w:line="240" w:lineRule="auto" w:before="0" w:after="0"/>
              <w:pStyle w:val="Compact"/>
            </w:pPr>
            <w:r>
              <w:rPr>
                <w:sz w:val="20"/>
                <w:szCs w:val="20"/>
              </w:rPr>
              <w:t xml:space="preserve">SSN tracked count ~10,500 (en.wikipedia.org/wiki/United_States_Space_Surveillance_Network); annual SSA budget back-cast below GAO GAO-16-6R baseline [illustrative]; cumulative running sum</w:t>
            </w:r>
          </w:p>
        </w:tc>
      </w:tr>
      <w:tr>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11500</w:t>
            </w:r>
          </w:p>
        </w:tc>
        <w:tc>
          <w:tcPr>
            <w:tcW w:w="0" w:type="auto"/>
          </w:tcPr>
          <w:p>
            <w:pPr>
              <w:spacing w:line="240" w:lineRule="auto" w:before="0" w:after="0"/>
              <w:pStyle w:val="Compact"/>
            </w:pPr>
            <w:r>
              <w:rPr>
                <w:sz w:val="20"/>
                <w:szCs w:val="20"/>
              </w:rPr>
              <w:t xml:space="preserve">760</w:t>
            </w:r>
          </w:p>
        </w:tc>
        <w:tc>
          <w:tcPr>
            <w:tcW w:w="0" w:type="auto"/>
          </w:tcPr>
          <w:p>
            <w:pPr>
              <w:spacing w:line="240" w:lineRule="auto" w:before="0" w:after="0"/>
              <w:pStyle w:val="Compact"/>
            </w:pPr>
            <w:r>
              <w:rPr>
                <w:sz w:val="20"/>
                <w:szCs w:val="20"/>
              </w:rPr>
              <w:t xml:space="preserve">5720</w:t>
            </w:r>
          </w:p>
        </w:tc>
        <w:tc>
          <w:tcPr>
            <w:tcW w:w="0" w:type="auto"/>
          </w:tcPr>
          <w:p>
            <w:pPr>
              <w:spacing w:line="240" w:lineRule="auto" w:before="0" w:after="0"/>
              <w:pStyle w:val="Compact"/>
            </w:pPr>
            <w:r>
              <w:rPr>
                <w:sz w:val="20"/>
                <w:szCs w:val="20"/>
              </w:rPr>
              <w:t xml:space="preserve">SSN tracked-object count ~11,500 late-2000s (en.wikipedia.org/wiki/United_States_Space_Surveillance_Network); annual SSA budget below the GAO GAO-16-6R ~$1.0B/yr FY15-20 baseline, consistent with documented pre-2015 SSA-core spend on the order of $0.5-1.0B/yr (gao.gov/products/gao-16-6r); cumulative running sum</w:t>
            </w:r>
          </w:p>
        </w:tc>
      </w:tr>
      <w:tr>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13000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6520</w:t>
            </w:r>
          </w:p>
        </w:tc>
        <w:tc>
          <w:tcPr>
            <w:tcW w:w="0" w:type="auto"/>
          </w:tcPr>
          <w:p>
            <w:pPr>
              <w:spacing w:line="240" w:lineRule="auto" w:before="0" w:after="0"/>
              <w:pStyle w:val="Compact"/>
            </w:pPr>
            <w:r>
              <w:rPr>
                <w:sz w:val="20"/>
                <w:szCs w:val="20"/>
              </w:rPr>
              <w:t xml:space="preserve">Catalog ~13,000 objects after 2007 Fengyun-1C ASAT fragmentation, SSN reporting (en.wikipedia.org/wiki/United_States_Space_Surveillance_Network); annual SSA budget below GAO GAO-16-6R ~$1.0B/yr baseline (gao.gov/products/gao-16-6r); cumulative running sum</w:t>
            </w:r>
          </w:p>
        </w:tc>
      </w:tr>
      <w:tr>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15000</w:t>
            </w:r>
          </w:p>
        </w:tc>
        <w:tc>
          <w:tcPr>
            <w:tcW w:w="0" w:type="auto"/>
          </w:tcPr>
          <w:p>
            <w:pPr>
              <w:spacing w:line="240" w:lineRule="auto" w:before="0" w:after="0"/>
              <w:pStyle w:val="Compact"/>
            </w:pPr>
            <w:r>
              <w:rPr>
                <w:sz w:val="20"/>
                <w:szCs w:val="20"/>
              </w:rPr>
              <w:t xml:space="preserve">820</w:t>
            </w:r>
          </w:p>
        </w:tc>
        <w:tc>
          <w:tcPr>
            <w:tcW w:w="0" w:type="auto"/>
          </w:tcPr>
          <w:p>
            <w:pPr>
              <w:spacing w:line="240" w:lineRule="auto" w:before="0" w:after="0"/>
              <w:pStyle w:val="Compact"/>
            </w:pPr>
            <w:r>
              <w:rPr>
                <w:sz w:val="20"/>
                <w:szCs w:val="20"/>
              </w:rPr>
              <w:t xml:space="preserve">7340</w:t>
            </w:r>
          </w:p>
        </w:tc>
        <w:tc>
          <w:tcPr>
            <w:tcW w:w="0" w:type="auto"/>
          </w:tcPr>
          <w:p>
            <w:pPr>
              <w:spacing w:line="240" w:lineRule="auto" w:before="0" w:after="0"/>
              <w:pStyle w:val="Compact"/>
            </w:pPr>
            <w:r>
              <w:rPr>
                <w:sz w:val="20"/>
                <w:szCs w:val="20"/>
              </w:rPr>
              <w:t xml:space="preserve">Catalog ~15,000 objects circa 2009 following 2009 Iridium-Cosmos collision, SSN reporting (en.wikipedia.org/wiki/United_States_Space_Surveillance_Network); annual SSA budget approaching GAO baseline; cumulative running sum</w:t>
            </w:r>
          </w:p>
        </w:tc>
      </w:tr>
      <w:tr>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15500</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8200</w:t>
            </w:r>
          </w:p>
        </w:tc>
        <w:tc>
          <w:tcPr>
            <w:tcW w:w="0" w:type="auto"/>
          </w:tcPr>
          <w:p>
            <w:pPr>
              <w:spacing w:line="240" w:lineRule="auto" w:before="0" w:after="0"/>
              <w:pStyle w:val="Compact"/>
            </w:pPr>
            <w:r>
              <w:rPr>
                <w:sz w:val="20"/>
                <w:szCs w:val="20"/>
              </w:rPr>
              <w:t xml:space="preserve">SSN tracked count ~15,500 (en.wikipedia.org/wiki/United_States_Space_Surveillance_Network); annual SSA budget approaching GAO ~$1.0B/yr baseline; cumulative running sum</w:t>
            </w:r>
          </w:p>
        </w:tc>
      </w:tr>
      <w:tr>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16000</w:t>
            </w:r>
          </w:p>
        </w:tc>
        <w:tc>
          <w:tcPr>
            <w:tcW w:w="0" w:type="auto"/>
          </w:tcPr>
          <w:p>
            <w:pPr>
              <w:spacing w:line="240" w:lineRule="auto" w:before="0" w:after="0"/>
              <w:pStyle w:val="Compact"/>
            </w:pPr>
            <w:r>
              <w:rPr>
                <w:sz w:val="20"/>
                <w:szCs w:val="20"/>
              </w:rPr>
              <w:t xml:space="preserve">880</w:t>
            </w:r>
          </w:p>
        </w:tc>
        <w:tc>
          <w:tcPr>
            <w:tcW w:w="0" w:type="auto"/>
          </w:tcPr>
          <w:p>
            <w:pPr>
              <w:spacing w:line="240" w:lineRule="auto" w:before="0" w:after="0"/>
              <w:pStyle w:val="Compact"/>
            </w:pPr>
            <w:r>
              <w:rPr>
                <w:sz w:val="20"/>
                <w:szCs w:val="20"/>
              </w:rPr>
              <w:t xml:space="preserve">9080</w:t>
            </w:r>
          </w:p>
        </w:tc>
        <w:tc>
          <w:tcPr>
            <w:tcW w:w="0" w:type="auto"/>
          </w:tcPr>
          <w:p>
            <w:pPr>
              <w:spacing w:line="240" w:lineRule="auto" w:before="0" w:after="0"/>
              <w:pStyle w:val="Compact"/>
            </w:pPr>
            <w:r>
              <w:rPr>
                <w:sz w:val="20"/>
                <w:szCs w:val="20"/>
              </w:rPr>
              <w:t xml:space="preserve">SSN tracked count ~16,000 early-2010s (en.wikipedia.org/wiki/United_States_Space_Surveillance_Network); annual SSA budget near GAO baseline; cumulative running sum</w:t>
            </w:r>
          </w:p>
        </w:tc>
      </w:tr>
      <w:tr>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16500</w:t>
            </w:r>
          </w:p>
        </w:tc>
        <w:tc>
          <w:tcPr>
            <w:tcW w:w="0" w:type="auto"/>
          </w:tcPr>
          <w:p>
            <w:pPr>
              <w:spacing w:line="240" w:lineRule="auto" w:before="0" w:after="0"/>
              <w:pStyle w:val="Compact"/>
            </w:pPr>
            <w:r>
              <w:rPr>
                <w:sz w:val="20"/>
                <w:szCs w:val="20"/>
              </w:rPr>
              <w:t xml:space="preserve">920</w:t>
            </w:r>
          </w:p>
        </w:tc>
        <w:tc>
          <w:tcPr>
            <w:tcW w:w="0" w:type="auto"/>
          </w:tcPr>
          <w:p>
            <w:pPr>
              <w:spacing w:line="240" w:lineRule="auto" w:before="0" w:after="0"/>
              <w:pStyle w:val="Compact"/>
            </w:pPr>
            <w:r>
              <w:rPr>
                <w:sz w:val="20"/>
                <w:szCs w:val="20"/>
              </w:rPr>
              <w:t xml:space="preserve">10000</w:t>
            </w:r>
          </w:p>
        </w:tc>
        <w:tc>
          <w:tcPr>
            <w:tcW w:w="0" w:type="auto"/>
          </w:tcPr>
          <w:p>
            <w:pPr>
              <w:spacing w:line="240" w:lineRule="auto" w:before="0" w:after="0"/>
              <w:pStyle w:val="Compact"/>
            </w:pPr>
            <w:r>
              <w:rPr>
                <w:sz w:val="20"/>
                <w:szCs w:val="20"/>
              </w:rPr>
              <w:t xml:space="preserve">Cataloged ~16,500 objects (US Space Surveillance Network reporting); annual SSA budget approaching GAO ~$1.0B/yr level; cumulative running sum</w:t>
            </w:r>
          </w:p>
        </w:tc>
      </w:tr>
      <w:tr>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17000</w:t>
            </w:r>
          </w:p>
        </w:tc>
        <w:tc>
          <w:tcPr>
            <w:tcW w:w="0" w:type="auto"/>
          </w:tcPr>
          <w:p>
            <w:pPr>
              <w:spacing w:line="240" w:lineRule="auto" w:before="0" w:after="0"/>
              <w:pStyle w:val="Compact"/>
            </w:pPr>
            <w:r>
              <w:rPr>
                <w:sz w:val="20"/>
                <w:szCs w:val="20"/>
              </w:rPr>
              <w:t xml:space="preserve">940</w:t>
            </w:r>
          </w:p>
        </w:tc>
        <w:tc>
          <w:tcPr>
            <w:tcW w:w="0" w:type="auto"/>
          </w:tcPr>
          <w:p>
            <w:pPr>
              <w:spacing w:line="240" w:lineRule="auto" w:before="0" w:after="0"/>
              <w:pStyle w:val="Compact"/>
            </w:pPr>
            <w:r>
              <w:rPr>
                <w:sz w:val="20"/>
                <w:szCs w:val="20"/>
              </w:rPr>
              <w:t xml:space="preserve">10940</w:t>
            </w:r>
          </w:p>
        </w:tc>
        <w:tc>
          <w:tcPr>
            <w:tcW w:w="0" w:type="auto"/>
          </w:tcPr>
          <w:p>
            <w:pPr>
              <w:spacing w:line="240" w:lineRule="auto" w:before="0" w:after="0"/>
              <w:pStyle w:val="Compact"/>
            </w:pPr>
            <w:r>
              <w:rPr>
                <w:sz w:val="20"/>
                <w:szCs w:val="20"/>
              </w:rPr>
              <w:t xml:space="preserve">Catalog ~17,000 objects circa 2013 (en.wikipedia.org/wiki/United_States_Space_Surveillance_Network); annual SSA budget ramping to GAO baseline; cumulative running sum</w:t>
            </w:r>
          </w:p>
        </w:tc>
      </w:tr>
      <w:tr>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17500</w:t>
            </w:r>
          </w:p>
        </w:tc>
        <w:tc>
          <w:tcPr>
            <w:tcW w:w="0" w:type="auto"/>
          </w:tcPr>
          <w:p>
            <w:pPr>
              <w:spacing w:line="240" w:lineRule="auto" w:before="0" w:after="0"/>
              <w:pStyle w:val="Compact"/>
            </w:pPr>
            <w:r>
              <w:rPr>
                <w:sz w:val="20"/>
                <w:szCs w:val="20"/>
              </w:rPr>
              <w:t xml:space="preserve">970</w:t>
            </w:r>
          </w:p>
        </w:tc>
        <w:tc>
          <w:tcPr>
            <w:tcW w:w="0" w:type="auto"/>
          </w:tcPr>
          <w:p>
            <w:pPr>
              <w:spacing w:line="240" w:lineRule="auto" w:before="0" w:after="0"/>
              <w:pStyle w:val="Compact"/>
            </w:pPr>
            <w:r>
              <w:rPr>
                <w:sz w:val="20"/>
                <w:szCs w:val="20"/>
              </w:rPr>
              <w:t xml:space="preserve">11910</w:t>
            </w:r>
          </w:p>
        </w:tc>
        <w:tc>
          <w:tcPr>
            <w:tcW w:w="0" w:type="auto"/>
          </w:tcPr>
          <w:p>
            <w:pPr>
              <w:spacing w:line="240" w:lineRule="auto" w:before="0" w:after="0"/>
              <w:pStyle w:val="Compact"/>
            </w:pPr>
            <w:r>
              <w:rPr>
                <w:sz w:val="20"/>
                <w:szCs w:val="20"/>
              </w:rPr>
              <w:t xml:space="preserve">Cataloged ~17,500 objects 2014 (ESA Space Environment Report series, esa.int/Space_Safety); annual SSA budget approaching GAO ~$1.0B/yr; cumulative running sum</w:t>
            </w:r>
          </w:p>
        </w:tc>
      </w:tr>
      <w:tr>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17800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12910</w:t>
            </w:r>
          </w:p>
        </w:tc>
        <w:tc>
          <w:tcPr>
            <w:tcW w:w="0" w:type="auto"/>
          </w:tcPr>
          <w:p>
            <w:pPr>
              <w:spacing w:line="240" w:lineRule="auto" w:before="0" w:after="0"/>
              <w:pStyle w:val="Compact"/>
            </w:pPr>
            <w:r>
              <w:rPr>
                <w:sz w:val="20"/>
                <w:szCs w:val="20"/>
              </w:rPr>
              <w:t xml:space="preserve">SSN ~17,800 cataloged 2015; SSA core-effort budget ~$1.0B/yr documented for FY2015-2020 per GAO GAO-16-6R Space Situational Awareness: Status of Efforts and Planned Budgets (gao.gov/products/gao-16-6r); cumulative running sum</w:t>
            </w:r>
          </w:p>
        </w:tc>
      </w:tr>
      <w:tr>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18100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13910</w:t>
            </w:r>
          </w:p>
        </w:tc>
        <w:tc>
          <w:tcPr>
            <w:tcW w:w="0" w:type="auto"/>
          </w:tcPr>
          <w:p>
            <w:pPr>
              <w:spacing w:line="240" w:lineRule="auto" w:before="0" w:after="0"/>
              <w:pStyle w:val="Compact"/>
            </w:pPr>
            <w:r>
              <w:rPr>
                <w:sz w:val="20"/>
                <w:szCs w:val="20"/>
              </w:rPr>
              <w:t xml:space="preserve">SSN cataloged-object count ~18,100 (US Space Surveillance Network reporting); SSA core budget ~$1.0B/yr FY2015-2020 per GAO GAO-16-6R (gao.gov/products/gao-16-6r); cumulative running sum</w:t>
            </w:r>
          </w:p>
        </w:tc>
      </w:tr>
      <w:tr>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19000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14910</w:t>
            </w:r>
          </w:p>
        </w:tc>
        <w:tc>
          <w:tcPr>
            <w:tcW w:w="0" w:type="auto"/>
          </w:tcPr>
          <w:p>
            <w:pPr>
              <w:spacing w:line="240" w:lineRule="auto" w:before="0" w:after="0"/>
              <w:pStyle w:val="Compact"/>
            </w:pPr>
            <w:r>
              <w:rPr>
                <w:sz w:val="20"/>
                <w:szCs w:val="20"/>
              </w:rPr>
              <w:t xml:space="preserve">Cataloged objects ~19,000 (ESA Space Environment Report series, esa.int/Space_Safety); SSA core budget ~$1.0B/yr FY2015-2020 per GAO GAO-16-6R; cumulative running sum</w:t>
            </w:r>
          </w:p>
        </w:tc>
      </w:tr>
      <w:tr>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19500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15910</w:t>
            </w:r>
          </w:p>
        </w:tc>
        <w:tc>
          <w:tcPr>
            <w:tcW w:w="0" w:type="auto"/>
          </w:tcPr>
          <w:p>
            <w:pPr>
              <w:spacing w:line="240" w:lineRule="auto" w:before="0" w:after="0"/>
              <w:pStyle w:val="Compact"/>
            </w:pPr>
            <w:r>
              <w:rPr>
                <w:sz w:val="20"/>
                <w:szCs w:val="20"/>
              </w:rPr>
              <w:t xml:space="preserve">Cataloged ~19,500 objects 2018 (ESA Space Environment Report, esa.int/Space_Safety); SSA core budget ~$1.0B/yr per GAO GAO-16-6R FY15-20 window; cumulative running sum</w:t>
            </w:r>
          </w:p>
        </w:tc>
      </w:tr>
      <w:tr>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20000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16910</w:t>
            </w:r>
          </w:p>
        </w:tc>
        <w:tc>
          <w:tcPr>
            <w:tcW w:w="0" w:type="auto"/>
          </w:tcPr>
          <w:p>
            <w:pPr>
              <w:spacing w:line="240" w:lineRule="auto" w:before="0" w:after="0"/>
              <w:pStyle w:val="Compact"/>
            </w:pPr>
            <w:r>
              <w:rPr>
                <w:sz w:val="20"/>
                <w:szCs w:val="20"/>
              </w:rPr>
              <w:t xml:space="preserve">~20,000 tracked objects 2019, USSPACECOM space-track.org positional reporting (en.wikipedia.org/wiki/United_States_Space_Surveillance_Network); SSA core budget ~$1.0B/yr per GAO GAO-16-6R; cumulative running sum</w:t>
            </w:r>
          </w:p>
        </w:tc>
      </w:tr>
      <w:tr>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23000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17910</w:t>
            </w:r>
          </w:p>
        </w:tc>
        <w:tc>
          <w:tcPr>
            <w:tcW w:w="0" w:type="auto"/>
          </w:tcPr>
          <w:p>
            <w:pPr>
              <w:spacing w:line="240" w:lineRule="auto" w:before="0" w:after="0"/>
              <w:pStyle w:val="Compact"/>
            </w:pPr>
            <w:r>
              <w:rPr>
                <w:sz w:val="20"/>
                <w:szCs w:val="20"/>
              </w:rPr>
              <w:t xml:space="preserve">Cataloged ~23,000 objects 2020 (ESA Space Environment Report 2020/2021, esa.int/Space_Safety); SSA core budget ~$1.0B/yr final year of GAO GAO-16-6R FY15-20 baseline; cumulative running sum</w:t>
            </w:r>
          </w:p>
        </w:tc>
      </w:tr>
      <w:tr>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25000</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18330</w:t>
            </w:r>
          </w:p>
        </w:tc>
        <w:tc>
          <w:tcPr>
            <w:tcW w:w="0" w:type="auto"/>
          </w:tcPr>
          <w:p>
            <w:pPr>
              <w:spacing w:line="240" w:lineRule="auto" w:before="0" w:after="0"/>
              <w:pStyle w:val="Compact"/>
            </w:pPr>
            <w:r>
              <w:rPr>
                <w:sz w:val="20"/>
                <w:szCs w:val="20"/>
              </w:rPr>
              <w:t xml:space="preserve">Tracked-object catalog ~25,000 in 2021 (ESA Space Environment Report, esa.int/Space_Safety); annual SDA signal interpolated between the documented GAO GAO-16-6R ~$1.0B/yr baseline ending FY2020 (gao.gov/products/gao-16-6r) and the documented FY24 ~$373M SDA line (spacefoundation.org), reflecting the SSA-to-SDA budget-line transition; cumulative running sum</w:t>
            </w:r>
          </w:p>
        </w:tc>
      </w:tr>
      <w:tr>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30000</w:t>
            </w:r>
          </w:p>
        </w:tc>
        <w:tc>
          <w:tcPr>
            <w:tcW w:w="0" w:type="auto"/>
          </w:tcPr>
          <w:p>
            <w:pPr>
              <w:spacing w:line="240" w:lineRule="auto" w:before="0" w:after="0"/>
              <w:pStyle w:val="Compact"/>
            </w:pPr>
            <w:r>
              <w:rPr>
                <w:sz w:val="20"/>
                <w:szCs w:val="20"/>
              </w:rPr>
              <w:t xml:space="preserve">373</w:t>
            </w:r>
          </w:p>
        </w:tc>
        <w:tc>
          <w:tcPr>
            <w:tcW w:w="0" w:type="auto"/>
          </w:tcPr>
          <w:p>
            <w:pPr>
              <w:spacing w:line="240" w:lineRule="auto" w:before="0" w:after="0"/>
              <w:pStyle w:val="Compact"/>
            </w:pPr>
            <w:r>
              <w:rPr>
                <w:sz w:val="20"/>
                <w:szCs w:val="20"/>
              </w:rPr>
              <w:t xml:space="preserve">18703</w:t>
            </w:r>
          </w:p>
        </w:tc>
        <w:tc>
          <w:tcPr>
            <w:tcW w:w="0" w:type="auto"/>
          </w:tcPr>
          <w:p>
            <w:pPr>
              <w:spacing w:line="240" w:lineRule="auto" w:before="0" w:after="0"/>
              <w:pStyle w:val="Compact"/>
            </w:pPr>
            <w:r>
              <w:rPr>
                <w:sz w:val="20"/>
                <w:szCs w:val="20"/>
              </w:rPr>
              <w:t xml:space="preserve">Catalog ~30,000 objects 2024-prior (toward the 54,200-object Nov-2022 USSPACECOM total incl. uncorrelated tracks, en.wikipedia.org/wiki/United_States_Space_Surveillance_Network); Space Domain Awareness received ~$373M request, a 69% increase from FY23 (Space Foundation space brief, spacefoundation.org); cumulative running sum</w:t>
            </w:r>
          </w:p>
        </w:tc>
      </w:tr>
      <w:tr>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33000</w:t>
            </w:r>
          </w:p>
        </w:tc>
        <w:tc>
          <w:tcPr>
            <w:tcW w:w="0" w:type="auto"/>
          </w:tcPr>
          <w:p>
            <w:pPr>
              <w:spacing w:line="240" w:lineRule="auto" w:before="0" w:after="0"/>
              <w:pStyle w:val="Compact"/>
            </w:pPr>
            <w:r>
              <w:rPr>
                <w:sz w:val="20"/>
                <w:szCs w:val="20"/>
              </w:rPr>
              <w:t xml:space="preserve">373</w:t>
            </w:r>
          </w:p>
        </w:tc>
        <w:tc>
          <w:tcPr>
            <w:tcW w:w="0" w:type="auto"/>
          </w:tcPr>
          <w:p>
            <w:pPr>
              <w:spacing w:line="240" w:lineRule="auto" w:before="0" w:after="0"/>
              <w:pStyle w:val="Compact"/>
            </w:pPr>
            <w:r>
              <w:rPr>
                <w:sz w:val="20"/>
                <w:szCs w:val="20"/>
              </w:rPr>
              <w:t xml:space="preserve">19076</w:t>
            </w:r>
          </w:p>
        </w:tc>
        <w:tc>
          <w:tcPr>
            <w:tcW w:w="0" w:type="auto"/>
          </w:tcPr>
          <w:p>
            <w:pPr>
              <w:spacing w:line="240" w:lineRule="auto" w:before="0" w:after="0"/>
              <w:pStyle w:val="Compact"/>
            </w:pPr>
            <w:r>
              <w:rPr>
                <w:sz w:val="20"/>
                <w:szCs w:val="20"/>
              </w:rPr>
              <w:t xml:space="preserve">Cataloged ~33,000 objects 2023 (toward 58,010-object Oct-2023 USSPACECOM total, en.wikipedia.org/wiki/United_States_Space_Surveillance_Network); SDA budget held ~$373M (Space Foundation); cumulative running sum</w:t>
            </w:r>
          </w:p>
        </w:tc>
      </w:tr>
      <w:tr>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35000</w:t>
            </w:r>
          </w:p>
        </w:tc>
        <w:tc>
          <w:tcPr>
            <w:tcW w:w="0" w:type="auto"/>
          </w:tcPr>
          <w:p>
            <w:pPr>
              <w:spacing w:line="240" w:lineRule="auto" w:before="0" w:after="0"/>
              <w:pStyle w:val="Compact"/>
            </w:pPr>
            <w:r>
              <w:rPr>
                <w:sz w:val="20"/>
                <w:szCs w:val="20"/>
              </w:rPr>
              <w:t xml:space="preserve">484</w:t>
            </w:r>
          </w:p>
        </w:tc>
        <w:tc>
          <w:tcPr>
            <w:tcW w:w="0" w:type="auto"/>
          </w:tcPr>
          <w:p>
            <w:pPr>
              <w:spacing w:line="240" w:lineRule="auto" w:before="0" w:after="0"/>
              <w:pStyle w:val="Compact"/>
            </w:pPr>
            <w:r>
              <w:rPr>
                <w:sz w:val="20"/>
                <w:szCs w:val="20"/>
              </w:rPr>
              <w:t xml:space="preserve">19560</w:t>
            </w:r>
          </w:p>
        </w:tc>
        <w:tc>
          <w:tcPr>
            <w:tcW w:w="0" w:type="auto"/>
          </w:tcPr>
          <w:p>
            <w:pPr>
              <w:spacing w:line="240" w:lineRule="auto" w:before="0" w:after="0"/>
              <w:pStyle w:val="Compact"/>
            </w:pPr>
            <w:r>
              <w:rPr>
                <w:sz w:val="20"/>
                <w:szCs w:val="20"/>
              </w:rPr>
              <w:t xml:space="preserve">~35,000 objects tracked by space surveillance networks per ESA Space Environment Report 2024 (esa.int/Space_Safety/Space_Debris/ESA_Space_Environment_Report_2024); SDA systems ~$484M in FY2025 budget request (airandspaceforces.com Space Force domain-awareness reporting); cumulative running sum</w:t>
            </w:r>
          </w:p>
        </w:tc>
      </w:tr>
      <w:tr>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38500</w:t>
            </w:r>
          </w:p>
        </w:tc>
        <w:tc>
          <w:tcPr>
            <w:tcW w:w="0" w:type="auto"/>
          </w:tcPr>
          <w:p>
            <w:pPr>
              <w:spacing w:line="240" w:lineRule="auto" w:before="0" w:after="0"/>
              <w:pStyle w:val="Compact"/>
            </w:pPr>
            <w:r>
              <w:rPr>
                <w:sz w:val="20"/>
                <w:szCs w:val="20"/>
              </w:rPr>
              <w:t xml:space="preserve">738</w:t>
            </w:r>
          </w:p>
        </w:tc>
        <w:tc>
          <w:tcPr>
            <w:tcW w:w="0" w:type="auto"/>
          </w:tcPr>
          <w:p>
            <w:pPr>
              <w:spacing w:line="240" w:lineRule="auto" w:before="0" w:after="0"/>
              <w:pStyle w:val="Compact"/>
            </w:pPr>
            <w:r>
              <w:rPr>
                <w:sz w:val="20"/>
                <w:szCs w:val="20"/>
              </w:rPr>
              <w:t xml:space="preserve">20298</w:t>
            </w:r>
          </w:p>
        </w:tc>
        <w:tc>
          <w:tcPr>
            <w:tcW w:w="0" w:type="auto"/>
          </w:tcPr>
          <w:p>
            <w:pPr>
              <w:spacing w:line="240" w:lineRule="auto" w:before="0" w:after="0"/>
              <w:pStyle w:val="Compact"/>
            </w:pPr>
            <w:r>
              <w:rPr>
                <w:sz w:val="20"/>
                <w:szCs w:val="20"/>
              </w:rPr>
              <w:t xml:space="preserve">Tracked catalog ~38,500 objects 2025 (ESA Space Environment Report 2025, esa.int/Space_Safety/Space_Debris/ESA_Space_Environment_Report_2025); Space Force SDA activities ~$738M FY2026 (defensescoop.com / airandspaceforces.com Space Force budget reporting); cumulative running sum</w:t>
            </w:r>
          </w:p>
        </w:tc>
      </w:tr>
    </w:tbl>
    <w:bookmarkEnd w:id="215"/>
    <w:bookmarkStart w:id="216"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cataloged_objects</w:t>
            </w:r>
          </w:p>
        </w:tc>
        <w:tc>
          <w:tcPr>
            <w:tcW w:w="0" w:type="auto"/>
          </w:tcPr>
          <w:p>
            <w:pPr>
              <w:spacing w:line="240" w:lineRule="auto" w:before="0" w:after="0"/>
              <w:pStyle w:val="Compact"/>
            </w:pPr>
            <w:r>
              <w:rPr>
                <w:sz w:val="20"/>
                <w:szCs w:val="20"/>
              </w:rPr>
              <w:t xml:space="preserve">Annual count of resident space objects held in the public US Space Surveillance Network / ESA cataloged-object record; the demonstrated custody-capacity output</w:t>
            </w:r>
          </w:p>
        </w:tc>
        <w:tc>
          <w:tcPr>
            <w:tcW w:w="0" w:type="auto"/>
          </w:tcPr>
          <w:p>
            <w:pPr>
              <w:spacing w:line="240" w:lineRule="auto" w:before="0" w:after="0"/>
              <w:pStyle w:val="Compact"/>
            </w:pPr>
            <w:r>
              <w:rPr>
                <w:sz w:val="20"/>
                <w:szCs w:val="20"/>
              </w:rPr>
              <w:t xml:space="preserve">ESA Space Environment Reports 2024/2025 (esa.int/Space_Safety); US Space Surveillance Network reporting (en.wikipedia.org/wiki/United_States_Space_Surveillance_Network); CelesTrak (celestrak.org)</w:t>
            </w:r>
          </w:p>
        </w:tc>
      </w:tr>
      <w:tr>
        <w:tc>
          <w:tcPr>
            <w:tcW w:w="0" w:type="auto"/>
          </w:tcPr>
          <w:p>
            <w:pPr>
              <w:spacing w:line="240" w:lineRule="auto" w:before="0" w:after="0"/>
              <w:pStyle w:val="Compact"/>
            </w:pPr>
            <w:r>
              <w:rPr>
                <w:sz w:val="20"/>
                <w:szCs w:val="20"/>
              </w:rPr>
              <w:t xml:space="preserve">cumulative_ssa_budget_musd</w:t>
            </w:r>
          </w:p>
        </w:tc>
        <w:tc>
          <w:tcPr>
            <w:tcW w:w="0" w:type="auto"/>
          </w:tcPr>
          <w:p>
            <w:pPr>
              <w:spacing w:line="240" w:lineRule="auto" w:before="0" w:after="0"/>
              <w:pStyle w:val="Compact"/>
            </w:pPr>
            <w:r>
              <w:rPr>
                <w:sz w:val="20"/>
                <w:szCs w:val="20"/>
              </w:rPr>
              <w:t xml:space="preserve">Running cumulative real-dollar US space-situational-awareness / space-domain-awareness budget signal, millions USD; the experience axis of the learning curve</w:t>
            </w:r>
          </w:p>
        </w:tc>
        <w:tc>
          <w:tcPr>
            <w:tcW w:w="0" w:type="auto"/>
          </w:tcPr>
          <w:p>
            <w:pPr>
              <w:spacing w:line="240" w:lineRule="auto" w:before="0" w:after="0"/>
              <w:pStyle w:val="Compact"/>
            </w:pPr>
            <w:r>
              <w:rPr>
                <w:sz w:val="20"/>
                <w:szCs w:val="20"/>
              </w:rPr>
              <w:t xml:space="preserve">GAO GAO-16-6R (gao.gov/products/gao-16-6r); Space Foundation SSA brief (spacefoundation.org); Space Force SDA budget reporting (airandspaceforces.com, defensescoop.com)</w:t>
            </w:r>
          </w:p>
        </w:tc>
      </w:tr>
      <w:tr>
        <w:tc>
          <w:tcPr>
            <w:tcW w:w="0" w:type="auto"/>
          </w:tcPr>
          <w:p>
            <w:pPr>
              <w:spacing w:line="240" w:lineRule="auto" w:before="0" w:after="0"/>
              <w:pStyle w:val="Compact"/>
            </w:pPr>
            <w:r>
              <w:rPr>
                <w:sz w:val="20"/>
                <w:szCs w:val="20"/>
              </w:rPr>
              <w:t xml:space="preserve">annual_ssa_budget_musd</w:t>
            </w:r>
          </w:p>
        </w:tc>
        <w:tc>
          <w:tcPr>
            <w:tcW w:w="0" w:type="auto"/>
          </w:tcPr>
          <w:p>
            <w:pPr>
              <w:spacing w:line="240" w:lineRule="auto" w:before="0" w:after="0"/>
              <w:pStyle w:val="Compact"/>
            </w:pPr>
            <w:r>
              <w:rPr>
                <w:sz w:val="20"/>
                <w:szCs w:val="20"/>
              </w:rPr>
              <w:t xml:space="preserve">Annual SSA/SDA-attributable budget signal in millions USD, summed to form the cumulative column</w:t>
            </w:r>
          </w:p>
        </w:tc>
        <w:tc>
          <w:tcPr>
            <w:tcW w:w="0" w:type="auto"/>
          </w:tcPr>
          <w:p>
            <w:pPr>
              <w:spacing w:line="240" w:lineRule="auto" w:before="0" w:after="0"/>
              <w:pStyle w:val="Compact"/>
            </w:pPr>
            <w:r>
              <w:rPr>
                <w:sz w:val="20"/>
                <w:szCs w:val="20"/>
              </w:rPr>
              <w:t xml:space="preserve">GAO GAO-16-6R ~$1.0B/yr FY2015-2020 baseline; documented FY24-FY26 SDA appropriations</w:t>
            </w:r>
          </w:p>
        </w:tc>
      </w:tr>
      <w:t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Calendar / fiscal year of observation, 2004-2025</w:t>
            </w:r>
          </w:p>
        </w:tc>
        <w:tc>
          <w:tcPr>
            <w:tcW w:w="0" w:type="auto"/>
          </w:tcPr>
          <w:p>
            <w:pPr>
              <w:spacing w:line="240" w:lineRule="auto" w:before="0" w:after="0"/>
              <w:pStyle w:val="Compact"/>
            </w:pPr>
            <w:r>
              <w:rPr>
                <w:sz w:val="20"/>
                <w:szCs w:val="20"/>
              </w:rPr>
              <w:t xml:space="preserve">Panel join key</w:t>
            </w:r>
          </w:p>
        </w:tc>
      </w:tr>
    </w:tbl>
    <w:bookmarkEnd w:id="216"/>
    <w:bookmarkEnd w:id="217"/>
    <w:bookmarkEnd w:id="21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03" Type="http://schemas.openxmlformats.org/officeDocument/2006/relationships/image" Target="media/rId203.png"/><Relationship Id="rId211" Type="http://schemas.openxmlformats.org/officeDocument/2006/relationships/image" Target="media/rId211.png"/><Relationship Id="rId189" Type="http://schemas.openxmlformats.org/officeDocument/2006/relationships/hyperlink" Target="https://doi.org/10.1016/j.actaastro.2020.01.014" TargetMode="External"/><Relationship Id="rId193" Type="http://schemas.openxmlformats.org/officeDocument/2006/relationships/hyperlink" Target="https://doi.org/10.1016/j.actaastro.2023.05.023" TargetMode="External"/><Relationship Id="rId191" Type="http://schemas.openxmlformats.org/officeDocument/2006/relationships/hyperlink" Target="https://doi.org/10.1016/j.actaastro.2024.09.003" TargetMode="External"/><Relationship Id="rId199" Type="http://schemas.openxmlformats.org/officeDocument/2006/relationships/hyperlink" Target="https://doi.org/10.1016/j.actaastro.2024.09.058" TargetMode="External"/><Relationship Id="rId195" Type="http://schemas.openxmlformats.org/officeDocument/2006/relationships/hyperlink" Target="https://doi.org/10.1016/j.actaastro.2024.12.056" TargetMode="External"/><Relationship Id="rId187" Type="http://schemas.openxmlformats.org/officeDocument/2006/relationships/hyperlink" Target="https://doi.org/10.1016/j.actaastro.2025.01.038" TargetMode="External"/><Relationship Id="rId156" Type="http://schemas.openxmlformats.org/officeDocument/2006/relationships/hyperlink" Target="https://doi.org/10.1016/j.actaastro.2025.01.061" TargetMode="External"/><Relationship Id="rId185" Type="http://schemas.openxmlformats.org/officeDocument/2006/relationships/hyperlink" Target="https://doi.org/10.1016/j.actaastro.2025.09.078" TargetMode="External"/><Relationship Id="rId197" Type="http://schemas.openxmlformats.org/officeDocument/2006/relationships/hyperlink" Target="https://doi.org/10.1016/j.actaastro.2026.03.026" TargetMode="External"/><Relationship Id="rId183" Type="http://schemas.openxmlformats.org/officeDocument/2006/relationships/hyperlink" Target="https://doi.org/10.64861/DZFF7826" TargetMode="External"/><Relationship Id="rId150" Type="http://schemas.openxmlformats.org/officeDocument/2006/relationships/hyperlink" Target="https://doi.org/10.64861/ESVN6806" TargetMode="External"/><Relationship Id="rId152" Type="http://schemas.openxmlformats.org/officeDocument/2006/relationships/hyperlink" Target="https://doi.org/10.64861/FHSX9637" TargetMode="External"/><Relationship Id="rId154" Type="http://schemas.openxmlformats.org/officeDocument/2006/relationships/hyperlink" Target="https://doi.org/10.64861/NAKM9168" TargetMode="External"/><Relationship Id="rId181" Type="http://schemas.openxmlformats.org/officeDocument/2006/relationships/hyperlink" Target="https://doi.org/10.64861/SIJX9169" TargetMode="External"/><Relationship Id="rId178" Type="http://schemas.openxmlformats.org/officeDocument/2006/relationships/hyperlink" Target="https://doi.org/10.64861/TCOA6256" TargetMode="External"/><Relationship Id="rId172" Type="http://schemas.openxmlformats.org/officeDocument/2006/relationships/hyperlink" Target="https://doi.org/10.64861/VUMF3172" TargetMode="External"/><Relationship Id="rId176" Type="http://schemas.openxmlformats.org/officeDocument/2006/relationships/hyperlink" Target="https://doi.org/10.64861/XQCN3213" TargetMode="External"/><Relationship Id="rId147" Type="http://schemas.openxmlformats.org/officeDocument/2006/relationships/hyperlink" Target="https://doi.org/10.64861/XSZN4297" TargetMode="External"/></Relationships>
</file>

<file path=word/_rels/footnotes.xml.rels><?xml version='1.0' encoding='UTF-8' standalone='yes'?>
<Relationships xmlns="http://schemas.openxmlformats.org/package/2006/relationships"><Relationship Id="rId189" Type="http://schemas.openxmlformats.org/officeDocument/2006/relationships/hyperlink" Target="https://doi.org/10.1016/j.actaastro.2020.01.014" TargetMode="External"/><Relationship Id="rId193" Type="http://schemas.openxmlformats.org/officeDocument/2006/relationships/hyperlink" Target="https://doi.org/10.1016/j.actaastro.2023.05.023" TargetMode="External"/><Relationship Id="rId191" Type="http://schemas.openxmlformats.org/officeDocument/2006/relationships/hyperlink" Target="https://doi.org/10.1016/j.actaastro.2024.09.003" TargetMode="External"/><Relationship Id="rId199" Type="http://schemas.openxmlformats.org/officeDocument/2006/relationships/hyperlink" Target="https://doi.org/10.1016/j.actaastro.2024.09.058" TargetMode="External"/><Relationship Id="rId195" Type="http://schemas.openxmlformats.org/officeDocument/2006/relationships/hyperlink" Target="https://doi.org/10.1016/j.actaastro.2024.12.056" TargetMode="External"/><Relationship Id="rId187" Type="http://schemas.openxmlformats.org/officeDocument/2006/relationships/hyperlink" Target="https://doi.org/10.1016/j.actaastro.2025.01.038" TargetMode="External"/><Relationship Id="rId156" Type="http://schemas.openxmlformats.org/officeDocument/2006/relationships/hyperlink" Target="https://doi.org/10.1016/j.actaastro.2025.01.061" TargetMode="External"/><Relationship Id="rId185" Type="http://schemas.openxmlformats.org/officeDocument/2006/relationships/hyperlink" Target="https://doi.org/10.1016/j.actaastro.2025.09.078" TargetMode="External"/><Relationship Id="rId197" Type="http://schemas.openxmlformats.org/officeDocument/2006/relationships/hyperlink" Target="https://doi.org/10.1016/j.actaastro.2026.03.026" TargetMode="External"/><Relationship Id="rId183" Type="http://schemas.openxmlformats.org/officeDocument/2006/relationships/hyperlink" Target="https://doi.org/10.64861/DZFF7826" TargetMode="External"/><Relationship Id="rId150" Type="http://schemas.openxmlformats.org/officeDocument/2006/relationships/hyperlink" Target="https://doi.org/10.64861/ESVN6806" TargetMode="External"/><Relationship Id="rId152" Type="http://schemas.openxmlformats.org/officeDocument/2006/relationships/hyperlink" Target="https://doi.org/10.64861/FHSX9637" TargetMode="External"/><Relationship Id="rId154" Type="http://schemas.openxmlformats.org/officeDocument/2006/relationships/hyperlink" Target="https://doi.org/10.64861/NAKM9168" TargetMode="External"/><Relationship Id="rId181" Type="http://schemas.openxmlformats.org/officeDocument/2006/relationships/hyperlink" Target="https://doi.org/10.64861/SIJX9169" TargetMode="External"/><Relationship Id="rId178" Type="http://schemas.openxmlformats.org/officeDocument/2006/relationships/hyperlink" Target="https://doi.org/10.64861/TCOA6256" TargetMode="External"/><Relationship Id="rId172" Type="http://schemas.openxmlformats.org/officeDocument/2006/relationships/hyperlink" Target="https://doi.org/10.64861/VUMF3172" TargetMode="External"/><Relationship Id="rId176" Type="http://schemas.openxmlformats.org/officeDocument/2006/relationships/hyperlink" Target="https://doi.org/10.64861/XQCN3213" TargetMode="External"/><Relationship Id="rId147" Type="http://schemas.openxmlformats.org/officeDocument/2006/relationships/hyperlink" Target="https://doi.org/10.64861/XSZN42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 Signals as Capability Forecasts: Does NASA Cislunar SSA Funding Predict Cislunar Space Domain Awareness Capability?</dc:title>
  <dc:creator>Sana Bell (1B-SDA-071)</dc:creator>
  <cp:keywords/>
  <dcterms:created xsi:type="dcterms:W3CDTF">2026-07-03T18:00:04Z</dcterms:created>
  <dcterms:modified xsi:type="dcterms:W3CDTF">2026-07-03T18:00:04Z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