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2aece9d0e96e6225e698f1315f655a2f1dbda9"/>
    <w:p>
      <w:pPr>
        <w:pStyle w:val="Heading1"/>
      </w:pPr>
      <w:r>
        <w:t xml:space="preserve">Attention Accumulation in The Coordination Tipping Point Critical Mass for Voluntary STM Data-Sharing Net: A Learning-Curve Analysis of Citation Growth by Article Age</w:t>
      </w:r>
    </w:p>
    <w:bookmarkStart w:id="61" w:name="introduction"/>
    <w:p>
      <w:pPr>
        <w:pStyle w:val="Heading2"/>
      </w:pPr>
      <w:r>
        <w:t xml:space="preserve">1. Introduction</w:t>
      </w:r>
    </w:p>
    <w:p>
      <w:pPr>
        <w:pStyle w:val="FirstParagraph"/>
      </w:pPr>
      <w:r>
        <w:t xml:space="preserve">This empirical paper supports Bruno Wren (1B-SDA-174) and the dissertation project</w:t>
      </w:r>
      <w:r>
        <w:t xml:space="preserve"> </w:t>
      </w:r>
      <w:r>
        <w:rPr>
          <w:i/>
          <w:iCs/>
        </w:rPr>
        <w:t xml:space="preserve">The Coordination Tipping Point: Critical Mass for Voluntary STM Data-Sharing Net</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R2=0.15557180180902042, elasticity_b=-0.877770830490746, progress_ratio_2^b=0.5442076603766843. The exact term summary is: const coef=2.2693788208516903 p=0.0013756484603943836; _ln_x coef=-0.877770830490746 p=0.02919348742061792.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r>
        <w:t xml:space="preserve"> </w:t>
      </w:r>
      <w:bookmarkStart w:id="68" w:name="ref-2"/>
      <w:bookmarkEnd w:id="68"/>
      <w:r>
        <w:t xml:space="preserve">2. W. Thomas Vestrand, Los Alamos National Laboratory; Przemek Wozniak, Los Alamos National Laboratory; Sean Brennan, Los Alamos National Laboratory; Troy McVay, Los Alamos National Laboratory; Lucas Parker, Los Alamos National Laboratory; Rebecca Holmes Sandoval, Los Alamos National Laboratory; Yancey Sechrest, Los Alamos National Laboratory. Artificial Intelligence Enabled Dynamic Coalition Architecture for Space Traffic Management (2021). [AMOS]</w:t>
      </w:r>
      <w:r>
        <w:t xml:space="preserve"> </w:t>
      </w:r>
      <w:bookmarkStart w:id="69" w:name="ref-3"/>
      <w:bookmarkEnd w:id="69"/>
      <w:r>
        <w:t xml:space="preserve">3. Todd Harrison, Center for Strategic and International Studies. International Perspectives on Space Weapons (2020). [AMOS]</w:t>
      </w:r>
      <w:r>
        <w:t xml:space="preserve"> </w:t>
      </w:r>
      <w:bookmarkStart w:id="70" w:name="ref-4"/>
      <w:bookmarkEnd w:id="70"/>
      <w:r>
        <w:t xml:space="preserve">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 [AMOS]</w:t>
      </w:r>
      <w:r>
        <w:t xml:space="preserve"> </w:t>
      </w:r>
      <w:bookmarkStart w:id="71" w:name="ref-5"/>
      <w:bookmarkEnd w:id="71"/>
      <w:r>
        <w:t xml:space="preserve">5. Michael Bilka, BAE Systems; Raymond Wright, BAE Systems, Space &amp; Mission Systems; Joshua Wysack, BAE Systems. Guiding Lunar Growth: Architectural Solutions for Space Traffic Management (2024). doi:</w:t>
      </w:r>
      <w:r>
        <w:t xml:space="preserve"> </w:t>
      </w:r>
      <w:hyperlink r:id="rId72">
        <w:r>
          <w:rPr>
            <w:rStyle w:val="Hyperlink"/>
          </w:rPr>
          <w:t xml:space="preserve">10.64861/RBTM5104</w:t>
        </w:r>
      </w:hyperlink>
      <w:r>
        <w:t xml:space="preserve"> </w:t>
      </w:r>
      <w:bookmarkStart w:id="73" w:name="ref-6"/>
      <w:bookmarkEnd w:id="73"/>
      <w:r>
        <w:t xml:space="preserve">6. Andre Antunes de Sa, Kayhan Space; Matthew Shouppe, Kayhan Space; Shota Takahashi, Kayhan Space; Felix Portillo, Kayhan Space; Masafumi Isaji, Kayhan Space; Siamak Hesar, Kayhan Space Corp; Sita Sonty, Boston Consulting Group. Characterizing A Novel Coordinated Optimal Avoidance Maneuver Framework for Space Traffic Management (STM) (2023). doi:</w:t>
      </w:r>
      <w:r>
        <w:t xml:space="preserve"> </w:t>
      </w:r>
      <w:hyperlink r:id="rId74">
        <w:r>
          <w:rPr>
            <w:rStyle w:val="Hyperlink"/>
          </w:rPr>
          <w:t xml:space="preserve">10.64861/OHST9432</w:t>
        </w:r>
      </w:hyperlink>
      <w:r>
        <w:t xml:space="preserve"> </w:t>
      </w:r>
      <w:bookmarkStart w:id="75" w:name="ref-7"/>
      <w:bookmarkEnd w:id="75"/>
      <w:r>
        <w:t xml:space="preserve">7. Ralph “Dinz” Dinsley, Northern Space and Security, Reflecting Space; Christopher Newman, Northumbria University and Reflecting Space. The Governance of Space Situational Awareness – Revolution not Evolution (2018). [AMOS]</w:t>
      </w:r>
      <w:r>
        <w:t xml:space="preserve"> </w:t>
      </w:r>
      <w:bookmarkStart w:id="76" w:name="ref-8"/>
      <w:bookmarkEnd w:id="76"/>
      <w:r>
        <w:t xml:space="preserve">8. Dylan R. Penn, Virginia Polytechnic Institute and State University; Cameron Harris, Virginia Polytechnic Institute and State University; Kevin Schroeder, Virginia Polytechnic Institute and State University; Jonathan Black, Virginia Polytechnic Institute and State University. Geometry Sensitivity Study of a Recently-Maneuvered Satellite (2022). [AMOS]</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2.2694</w:t>
            </w:r>
          </w:p>
        </w:tc>
        <w:tc>
          <w:tcPr>
            <w:tcW w:w="0" w:type="auto"/>
          </w:tcPr>
          <w:p>
            <w:pPr>
              <w:spacing w:line="240" w:lineRule="auto" w:before="0" w:after="0"/>
              <w:pStyle w:val="Compact"/>
            </w:pPr>
            <w:r>
              <w:rPr>
                <w:sz w:val="20"/>
                <w:szCs w:val="20"/>
              </w:rPr>
              <w:t xml:space="preserve">0.7092</w:t>
            </w:r>
          </w:p>
        </w:tc>
        <w:tc>
          <w:tcPr>
            <w:tcW w:w="0" w:type="auto"/>
          </w:tcPr>
          <w:p>
            <w:pPr>
              <w:spacing w:line="240" w:lineRule="auto" w:before="0" w:after="0"/>
              <w:pStyle w:val="Compact"/>
            </w:pPr>
            <w:r>
              <w:rPr>
                <w:sz w:val="20"/>
                <w:szCs w:val="20"/>
              </w:rPr>
              <w:t xml:space="preserve">3.1997</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[0.8793, 3.6595]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-0.8778</w:t>
            </w:r>
          </w:p>
        </w:tc>
        <w:tc>
          <w:tcPr>
            <w:tcW w:w="0" w:type="auto"/>
          </w:tcPr>
          <w:p>
            <w:pPr>
              <w:spacing w:line="240" w:lineRule="auto" w:before="0" w:after="0"/>
              <w:pStyle w:val="Compact"/>
            </w:pPr>
            <w:r>
              <w:rPr>
                <w:sz w:val="20"/>
                <w:szCs w:val="20"/>
              </w:rPr>
              <w:t xml:space="preserve">0.4025</w:t>
            </w:r>
          </w:p>
        </w:tc>
        <w:tc>
          <w:tcPr>
            <w:tcW w:w="0" w:type="auto"/>
          </w:tcPr>
          <w:p>
            <w:pPr>
              <w:spacing w:line="240" w:lineRule="auto" w:before="0" w:after="0"/>
              <w:pStyle w:val="Compact"/>
            </w:pPr>
            <w:r>
              <w:rPr>
                <w:sz w:val="20"/>
                <w:szCs w:val="20"/>
              </w:rPr>
              <w:t xml:space="preserve">-2.1809</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[-1.6666, -0.0889]</w:t>
            </w:r>
          </w:p>
        </w:tc>
      </w:tr>
    </w:tbl>
    <w:p>
      <w:pPr>
        <w:pStyle w:val="BodyText"/>
      </w:pPr>
      <w:r>
        <w:t xml:space="preserve">Fit: N = 30 R2 = 0.1556 elasticity_b = -0.8778 progress_ratio_2^b = 0.5442</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STM_CISLUNAR_11\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https://amostech.space/year/2021/artificial-intelligence-enabled-dynamic-coalition-architecture-for-space-traffic-management/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10.64861/RBTM5104</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10.64861/OHST9432</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https://amostech.space/year/2012/data-handling-and-protection-of-need-to-know-data-in-a-need-to-share-net-centric-enterprise/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10.1016/j.actaastro.2020.11.056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10.1016/j.actaastro.2022.01.027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10.1016/j.actaastro.2024.09.002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10.1016/j.actaastro.2025.07.053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10.1016/j.actaastro.2024.12.017</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10.1016/j.actaastro.2026.03.025</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10.1016/j.actaastro.2021.11.023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for Norms Development (AMOS)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Sharing Operational Risk Information in the Space Domain to Facilitate Norms Development and Compliance Monitoring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An IRD working paper by Dailey, Stilwell et al. (September 2024) proposing an integrated research platform that adapts the fisheries Kobe Plot methodology to orbital debris management, introduces orbital classes analogous to airspace classes, applies Elinor Ostrom’s Common Pool Resource framework to LEO governance, and couples these with the OPUS model for space policy simulation.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2.2694</w:t>
            </w:r>
          </w:p>
        </w:tc>
        <w:tc>
          <w:tcPr>
            <w:tcW w:w="0" w:type="auto"/>
          </w:tcPr>
          <w:p>
            <w:pPr>
              <w:spacing w:line="240" w:lineRule="auto" w:before="0" w:after="0"/>
              <w:pStyle w:val="Compact"/>
            </w:pPr>
            <w:r>
              <w:rPr>
                <w:sz w:val="20"/>
                <w:szCs w:val="20"/>
              </w:rPr>
              <w:t xml:space="preserve">0.7092</w:t>
            </w:r>
          </w:p>
        </w:tc>
        <w:tc>
          <w:tcPr>
            <w:tcW w:w="0" w:type="auto"/>
          </w:tcPr>
          <w:p>
            <w:pPr>
              <w:spacing w:line="240" w:lineRule="auto" w:before="0" w:after="0"/>
              <w:pStyle w:val="Compact"/>
            </w:pPr>
            <w:r>
              <w:rPr>
                <w:sz w:val="20"/>
                <w:szCs w:val="20"/>
              </w:rPr>
              <w:t xml:space="preserve">3.1997</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[0.8793, 3.6595]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-0.8778</w:t>
            </w:r>
          </w:p>
        </w:tc>
        <w:tc>
          <w:tcPr>
            <w:tcW w:w="0" w:type="auto"/>
          </w:tcPr>
          <w:p>
            <w:pPr>
              <w:spacing w:line="240" w:lineRule="auto" w:before="0" w:after="0"/>
              <w:pStyle w:val="Compact"/>
            </w:pPr>
            <w:r>
              <w:rPr>
                <w:sz w:val="20"/>
                <w:szCs w:val="20"/>
              </w:rPr>
              <w:t xml:space="preserve">0.4025</w:t>
            </w:r>
          </w:p>
        </w:tc>
        <w:tc>
          <w:tcPr>
            <w:tcW w:w="0" w:type="auto"/>
          </w:tcPr>
          <w:p>
            <w:pPr>
              <w:spacing w:line="240" w:lineRule="auto" w:before="0" w:after="0"/>
              <w:pStyle w:val="Compact"/>
            </w:pPr>
            <w:r>
              <w:rPr>
                <w:sz w:val="20"/>
                <w:szCs w:val="20"/>
              </w:rPr>
              <w:t xml:space="preserve">-2.1809</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[-1.6666, -0.0889]</w:t>
            </w:r>
          </w:p>
        </w:tc>
      </w:tr>
    </w:tbl>
    <w:p>
      <w:pPr>
        <w:pStyle w:val="BodyText"/>
      </w:pPr>
      <w:r>
        <w:t xml:space="preserve">Fit: N = 30 R2 = 0.1556 elasticity_b = -0.8778 progress_ratio_2^b = 0.5442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4" Target="https://doi.org/10.64861/OHST9432" TargetMode="External" /><Relationship Type="http://schemas.openxmlformats.org/officeDocument/2006/relationships/hyperlink" Id="rId72" Target="https://doi.org/10.64861/RBTM5104"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OHST9432" TargetMode="External" /><Relationship Type="http://schemas.openxmlformats.org/officeDocument/2006/relationships/hyperlink" Id="rId72" Target="https://doi.org/10.64861/RBTM510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2026-06-28T19:49:52Z</dcterms:created>
  <dcterms:modified xsi:type="dcterms:W3CDTF">2026-06-28T19:49:52Z</dcterms:modified>
</cp:coreProperties>
</file>

<file path=docProps/custom.xml><?xml version="1.0" encoding="utf-8"?>
<Properties xmlns="http://schemas.openxmlformats.org/officeDocument/2006/custom-properties" xmlns:vt="http://schemas.openxmlformats.org/officeDocument/2006/docPropsVTypes"/>
</file>