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COORDINATION TIPPING POINT: CRITICAL MASS FOR VOLUNTARY STM DATA-SHARING NET</w:t>
      </w:r>
    </w:p>
    <w:p>
      <w:pPr>
        <w:jc w:val="center"/>
      </w:pPr>
    </w:p>
    <w:p>
      <w:pPr>
        <w:jc w:val="center"/>
      </w:pPr>
      <w:r>
        <w:rPr>
          <w:rFonts w:ascii="Times New Roman" w:hAnsi="Times New Roman"/>
          <w:sz w:val="24"/>
        </w:rPr>
        <w:t>by</w:t>
      </w:r>
    </w:p>
    <w:p>
      <w:pPr>
        <w:jc w:val="center"/>
      </w:pPr>
      <w:r>
        <w:rPr>
          <w:rFonts w:ascii="Times New Roman" w:hAnsi="Times New Roman"/>
          <w:b/>
          <w:sz w:val="28"/>
        </w:rPr>
        <w:t>Bruno Wren</w:t>
      </w:r>
    </w:p>
    <w:p>
      <w:pPr>
        <w:jc w:val="center"/>
      </w:pPr>
      <w:r>
        <w:rPr>
          <w:rFonts w:ascii="Times New Roman" w:hAnsi="Times New Roman"/>
          <w:sz w:val="24"/>
        </w:rPr>
        <w:t>1B-SDA-174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p>
      <w:pPr>
        <w:pStyle w:val="FirstParagraph"/>
        <w:spacing w:line="480" w:lineRule="auto"/>
      </w:pPr>
      <w:r>
        <w:t xml:space="preserve">Space governance tends to arrive late. It usually does. A hazard becomes visible in operations, then in technical papers, then in trade venues, and only afterward do institutions converge on a rule that everyone agrees to follow. Space traffic management sits inside that lag. Operators can already see the cost of an uncoordinated orbital environment, yet the coordination that would reduce that cost, voluntary and continuous sharing of state and behavior data, remains partial and fragile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Bruno Wren’s dissertation,</w:t>
      </w:r>
      <w:r>
        <w:t xml:space="preserve"> </w:t>
      </w:r>
      <w:r>
        <w:rPr>
          <w:i/>
          <w:iCs/>
        </w:rPr>
        <w:t xml:space="preserve">The Coordination Tipping Point: Critical Mass for Voluntary STM Data-Sharing Net</w:t>
      </w:r>
      <w:r>
        <w:t xml:space="preserve">, takes that lag as its subject and asks a narrower, more answerable question than the policy debate usually poses. It asks whether the emergence of this coordination problem is already legible in the documentary record: in when the relevant sources were published, in how much citation attention they have drawn, and in the kinds of venues that carry them.</w:t>
      </w:r>
    </w:p>
    <w:p>
      <w:pPr>
        <w:pStyle w:val="BodyText"/>
        <w:spacing w:line="480" w:lineRule="auto"/>
        <w:ind w:firstLine="720"/>
      </w:pPr>
      <w:r>
        <w:t xml:space="preserve">To see why the question is answerable at all, it helps to separate two things that the phrase</w:t>
      </w:r>
      <w:r>
        <w:t xml:space="preserve"> </w:t>
      </w:r>
      <w:r>
        <w:t xml:space="preserve">“coordination tipping point”</w:t>
      </w:r>
      <w:r>
        <w:t xml:space="preserve"> </w:t>
      </w:r>
      <w:r>
        <w:t xml:space="preserve">runs together. One is the behavioral event: the moment when enough operators share data that sharing becomes the dominant strategy. The other is the field’s growing awareness that such an event is possible, desirable, and worth designing toward. The behavioral event is invisible to a documentary study, because operator sharing decisions are private and largely undisclosed. The awareness is not invisible. It accumulates in papers, concentrates in citations, and migrates across venues, and those movements can be measured</w:t>
      </w:r>
      <w:r>
        <w:t xml:space="preserve"> </w:t>
      </w:r>
      <w:hyperlink w:anchor="ref-1">
        <w:r>
          <w:rPr>
            <w:rStyle w:val="Hyperlink"/>
          </w:rPr>
          <w:t xml:space="preserve">[1]</w:t>
        </w:r>
      </w:hyperlink>
      <w:r>
        <w:t xml:space="preserve"> </w:t>
      </w:r>
      <w:hyperlink w:anchor="ref-9">
        <w:r>
          <w:rPr>
            <w:rStyle w:val="Hyperlink"/>
          </w:rPr>
          <w:t xml:space="preserve">[9]</w:t>
        </w:r>
      </w:hyperlink>
      <w:r>
        <w:t xml:space="preserve">. This dissertation studies the second thing as a tractable stand-in for the first, and it is careful throughout to keep the two distinct so that a reader never mistakes a claim about the literature for a claim about operator behavior.</w:t>
      </w:r>
    </w:p>
    <w:p>
      <w:pPr>
        <w:pStyle w:val="BodyText"/>
        <w:spacing w:line="480" w:lineRule="auto"/>
        <w:ind w:firstLine="720"/>
      </w:pPr>
      <w:r>
        <w:t xml:space="preserve">The question matters. The alternative to measurement is intuition, and intuition scales badly. Analysts who work on data-sharing regimes routinely assert that the field is maturing, that attention is rising, that a threshold is near. Those assertions may be correct. They are also, as stated, untestable. This study does something deliberately smaller and firmer. It converts a portion of the coordination claim into a document-level hypothesis that can be checked against retained records and reproduced by anyone holding the same corpus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contribution is bounded on purpose. It is a single falsifiable test, reported through deterministic estimator output, with every observation traced back to a source.</w:t>
      </w:r>
    </w:p>
    <w:bookmarkStart w:id="61" w:name="the-stakes"/>
    <w:p>
      <w:pPr>
        <w:pStyle w:val="Heading2"/>
        <w:spacing w:line="480" w:lineRule="auto"/>
      </w:pPr>
      <w:r>
        <w:t xml:space="preserve">The stakes</w:t>
      </w:r>
    </w:p>
    <w:p>
      <w:pPr>
        <w:pStyle w:val="FirstParagraph"/>
        <w:spacing w:line="480" w:lineRule="auto"/>
      </w:pPr>
      <w:r>
        <w:t xml:space="preserve">Cislunar and crowded low Earth orbit regimes both raise the same underlying difficulty. Coordination on data sharing is a collective good whose value depends on participation. One operator sharing state vectors into a void gains little; the same operator sharing into a dense, reciprocating network gains conjunction warning, maneuver deconfliction, and a defensible account of its own behavior</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structure, private cost now against a benefit that only materializes above some participation threshold, is the classic shape of a coordination problem with a tipping point. Guiding lunar growth toward a workable traffic architecture depends on reaching that threshold before the environment degrades</w:t>
      </w:r>
      <w:r>
        <w:t xml:space="preserve"> </w:t>
      </w:r>
      <w:hyperlink w:anchor="ref-5">
        <w:r>
          <w:rPr>
            <w:rStyle w:val="Hyperlink"/>
          </w:rPr>
          <w:t xml:space="preserve">[5]</w:t>
        </w:r>
      </w:hyperlink>
      <w:r>
        <w:t xml:space="preserve">. Cislunar and cismartian frameworks make the same argument at longer range, where sparse sensing and long light-time delays make voluntary information exchange even more valuable and even harder to sustain</w:t>
      </w:r>
      <w:r>
        <w:t xml:space="preserve"> </w:t>
      </w:r>
      <w:hyperlink w:anchor="ref-16">
        <w:r>
          <w:rPr>
            <w:rStyle w:val="Hyperlink"/>
          </w:rPr>
          <w:t xml:space="preserve">[16]</w:t>
        </w:r>
      </w:hyperlink>
      <w:r>
        <w:t xml:space="preserve">.</w:t>
      </w:r>
    </w:p>
    <w:p>
      <w:pPr>
        <w:pStyle w:val="BodyText"/>
        <w:spacing w:line="480" w:lineRule="auto"/>
        <w:ind w:firstLine="720"/>
      </w:pPr>
      <w:r>
        <w:t xml:space="preserve">If the tipping point is real, its approach should leave traces. A field nearing coordination should show rising publication activity, concentrating citation attention, and migration from informal conference venues toward archival journals. Those are not the tipping point itself. They are its shadow in the metadata, and a shadow is something a dissertation can measure without overclaiming.</w:t>
      </w:r>
    </w:p>
    <w:p>
      <w:pPr>
        <w:pStyle w:val="BodyText"/>
        <w:spacing w:line="480" w:lineRule="auto"/>
        <w:ind w:firstLine="720"/>
      </w:pPr>
      <w:r>
        <w:t xml:space="preserve">The gap between what operators can see and what institutions have agreed is not a temporary inconvenience. It is the recurring condition of space governance, visible in the slow institutionalization of situational awareness data and in the halting progress toward shared behavioral norms</w:t>
      </w:r>
      <w:r>
        <w:t xml:space="preserve"> </w:t>
      </w:r>
      <w:hyperlink w:anchor="ref-1">
        <w:r>
          <w:rPr>
            <w:rStyle w:val="Hyperlink"/>
          </w:rPr>
          <w:t xml:space="preserve">[1]</w:t>
        </w:r>
      </w:hyperlink>
      <w:r>
        <w:t xml:space="preserve"> </w:t>
      </w:r>
      <w:hyperlink w:anchor="ref-7">
        <w:r>
          <w:rPr>
            <w:rStyle w:val="Hyperlink"/>
          </w:rPr>
          <w:t xml:space="preserve">[7]</w:t>
        </w:r>
      </w:hyperlink>
      <w:r>
        <w:t xml:space="preserve">. Each new capability, autonomous maneuver, active servicing, dense constellation operation, arrives with its own coordination demand, and each demand tends to be met, if at all, only after a period during which the technical community understands the problem long before any institution acts on it</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A dissertation cannot close that gap. It can, however, measure whether a particular coordination problem has entered the phase where technical understanding is consolidating, which is the precondition for institutional action. That is the analytic service this study aims to provide, and it is why the study frames the question in terms of measurable documentary signals rather than in terms of the institutional outcome itself.</w:t>
      </w:r>
    </w:p>
    <w:bookmarkEnd w:id="61"/>
    <w:bookmarkStart w:id="62" w:name="why-documentary-measurement-and-why-now"/>
    <w:p>
      <w:pPr>
        <w:pStyle w:val="Heading2"/>
        <w:spacing w:line="480" w:lineRule="auto"/>
      </w:pPr>
      <w:r>
        <w:t xml:space="preserve">Why documentary measurement, and why now</w:t>
      </w:r>
    </w:p>
    <w:p>
      <w:pPr>
        <w:pStyle w:val="FirstParagraph"/>
        <w:spacing w:line="480" w:lineRule="auto"/>
      </w:pPr>
      <w:r>
        <w:t xml:space="preserve">A reasonable objection is that documentary signals are a weak proxy for a governance dynamic. The objection has force, and the dissertation concedes it up front by bounding every claim to the corpus it can inspect. What the objection misses is the alternative. The alternative to measuring the shadow is asserting the object, and assertion is what the coordination debate already has in abundance. Analysts confidently describe the field as maturing, attention as rising, a threshold as near. Those descriptions may be right, but as stated they cannot be checked, and a claim that cannot be checked cannot be wrong, which is a defect rather than a virtue in a doctoral argument</w:t>
      </w:r>
      <w:r>
        <w:t xml:space="preserve"> </w:t>
      </w:r>
      <w:hyperlink w:anchor="ref-3">
        <w:r>
          <w:rPr>
            <w:rStyle w:val="Hyperlink"/>
          </w:rPr>
          <w:t xml:space="preserve">[3]</w:t>
        </w:r>
      </w:hyperlink>
      <w:r>
        <w:t xml:space="preserve"> </w:t>
      </w:r>
      <w:hyperlink w:anchor="ref-9">
        <w:r>
          <w:rPr>
            <w:rStyle w:val="Hyperlink"/>
          </w:rPr>
          <w:t xml:space="preserve">[9]</w:t>
        </w:r>
      </w:hyperlink>
      <w:r>
        <w:t xml:space="preserve">. Choosing the measurable proxy over the unmeasurable assertion is the trade this study makes deliberately, accepting a narrower claim in exchange for a testable one.</w:t>
      </w:r>
    </w:p>
    <w:p>
      <w:pPr>
        <w:pStyle w:val="BodyText"/>
        <w:spacing w:line="480" w:lineRule="auto"/>
        <w:ind w:firstLine="720"/>
      </w:pPr>
      <w:r>
        <w:t xml:space="preserve">The moment matters. The timing is not incidental. The cislunar regime is transitioning from a handful of missions toward a projected density that will make uncoordinated operation costly, and the design of a traffic management architecture is under active discussion precisely now, while the standard is still soft</w:t>
      </w:r>
      <w:r>
        <w:t xml:space="preserve"> </w:t>
      </w:r>
      <w:hyperlink w:anchor="ref-5">
        <w:r>
          <w:rPr>
            <w:rStyle w:val="Hyperlink"/>
          </w:rPr>
          <w:t xml:space="preserve">[5]</w:t>
        </w:r>
      </w:hyperlink>
      <w:r>
        <w:t xml:space="preserve"> </w:t>
      </w:r>
      <w:hyperlink w:anchor="ref-16">
        <w:r>
          <w:rPr>
            <w:rStyle w:val="Hyperlink"/>
          </w:rPr>
          <w:t xml:space="preserve">[16]</w:t>
        </w:r>
      </w:hyperlink>
      <w:r>
        <w:t xml:space="preserve">. A method that can track, however imperfectly, whether the coordination topic is consolidating is therefore useful at exactly the moment institutional design has the most leverage. The window in which architectural choices shape the eventual regime is open, and it closes as the environment densifies.</w:t>
      </w:r>
    </w:p>
    <w:p>
      <w:pPr>
        <w:pStyle w:val="BodyText"/>
        <w:spacing w:line="480" w:lineRule="auto"/>
        <w:ind w:firstLine="720"/>
      </w:pPr>
      <w:r>
        <w:t xml:space="preserve">A second reason the timing rewards study is that the coordination problem is not static in kind. As satellites acquire onboard autonomy, the counterpart-predictability that a shared net provides becomes more valuable, because an autonomous actor that cannot anticipate its neighbors must behave conservatively and waste capability</w:t>
      </w:r>
      <w:r>
        <w:t xml:space="preserve"> </w:t>
      </w:r>
      <w:hyperlink w:anchor="ref-14">
        <w:r>
          <w:rPr>
            <w:rStyle w:val="Hyperlink"/>
          </w:rPr>
          <w:t xml:space="preserve">[14]</w:t>
        </w:r>
      </w:hyperlink>
      <w:r>
        <w:t xml:space="preserve">. As active servicing matures, the number of close, deliberate approaches rises, and each approach is a coordination event that a shared behavioral baseline would make safer</w:t>
      </w:r>
      <w:r>
        <w:t xml:space="preserve"> </w:t>
      </w:r>
      <w:hyperlink w:anchor="ref-15">
        <w:r>
          <w:rPr>
            <w:rStyle w:val="Hyperlink"/>
          </w:rPr>
          <w:t xml:space="preserve">[15]</w:t>
        </w:r>
      </w:hyperlink>
      <w:r>
        <w:t xml:space="preserve">. The coordination good is therefore appreciating in value even as the environment fills, which sharpens the cost of failing to reach critical mass. A study that can characterize whether the field is organizing to meet that rising demand contributes a small piece of situational awareness about the awareness problem itself.</w:t>
      </w:r>
    </w:p>
    <w:bookmarkEnd w:id="62"/>
    <w:bookmarkStart w:id="63" w:name="the-one-falsifiable-contribution"/>
    <w:p>
      <w:pPr>
        <w:pStyle w:val="Heading2"/>
        <w:spacing w:line="480" w:lineRule="auto"/>
      </w:pPr>
      <w:r>
        <w:t xml:space="preserve">The one falsifiable contribution</w:t>
      </w:r>
    </w:p>
    <w:p>
      <w:pPr>
        <w:pStyle w:val="FirstParagraph"/>
        <w:spacing w:line="480" w:lineRule="auto"/>
      </w:pPr>
      <w:r>
        <w:t xml:space="preserve">The dissertation reduces its claim to a single testable pair of hypotheses at the document level.</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That framing is modest by design. It does not assert that a coordination regime will form. It asserts only that if the coordination problem has become salient, the salience should be detectable in how the literature is timed, cited, and venued. Rejecting H0 would be evidence of structure. Failing to reject it would be evidence that, in this corpus, the salience is not yet legible in metadata alone and that a richer coding design is required. Both outcomes are informative, which is the point of building a test rather than an argument.</w:t>
      </w:r>
    </w:p>
    <w:bookmarkEnd w:id="63"/>
    <w:bookmarkStart w:id="64" w:name="the-empirical-core"/>
    <w:p>
      <w:pPr>
        <w:pStyle w:val="Heading2"/>
        <w:spacing w:line="480" w:lineRule="auto"/>
      </w:pPr>
      <w:r>
        <w:t xml:space="preserve">The empirical core</w:t>
      </w:r>
    </w:p>
    <w:p>
      <w:pPr>
        <w:pStyle w:val="FirstParagraph"/>
        <w:spacing w:line="480" w:lineRule="auto"/>
      </w:pPr>
      <w:r>
        <w:t xml:space="preserve">Two estimators carry the weight. They divide the labor. Paper 1 fits an ordinary least squares model of a composite topic-signal score on three predictors: a publication recency index, a reported citation count, and an ordinal venue-family score. It asks whether the topic’s visibility is patterned across time, attention, and venue</w:t>
      </w:r>
      <w:r>
        <w:t xml:space="preserve"> </w:t>
      </w:r>
      <w:hyperlink w:anchor="ref-3">
        <w:r>
          <w:rPr>
            <w:rStyle w:val="Hyperlink"/>
          </w:rPr>
          <w:t xml:space="preserve">[3]</w:t>
        </w:r>
      </w:hyperlink>
      <w:r>
        <w:t xml:space="preserve"> </w:t>
      </w:r>
      <w:hyperlink w:anchor="ref-4">
        <w:r>
          <w:rPr>
            <w:rStyle w:val="Hyperlink"/>
          </w:rPr>
          <w:t xml:space="preserve">[4]</w:t>
        </w:r>
      </w:hyperlink>
      <w:r>
        <w:t xml:space="preserve">. Paper 2 fits a log-log learning-curve model of citation accumulation on article age. It asks whether attention accrues along a measurable temporal curve rather than at random</w:t>
      </w:r>
      <w:r>
        <w:t xml:space="preserve"> </w:t>
      </w:r>
      <w:hyperlink w:anchor="ref-6">
        <w:r>
          <w:rPr>
            <w:rStyle w:val="Hyperlink"/>
          </w:rPr>
          <w:t xml:space="preserve">[6]</w:t>
        </w:r>
      </w:hyperlink>
      <w:r>
        <w:t xml:space="preserve">. The two are complementary. One reads the cross-section of the corpus; the other reads accumulation across the age of documents. Neither settles the policy question of whether a data-sharing regime will consolidate. Each disciplines what the corpus can and cannot support.</w:t>
      </w:r>
    </w:p>
    <w:p>
      <w:pPr>
        <w:pStyle w:val="BodyText"/>
        <w:spacing w:line="480" w:lineRule="auto"/>
        <w:ind w:firstLine="720"/>
      </w:pPr>
      <w:r>
        <w:t xml:space="preserve">Each paper is matched to its hypothesis rather than chosen for convenience. The cross-sectional model exists because Hypothesis 1 is a claim about a snapshot, whether signal intensity is patterned across recency, citations, and venue at one moment. The temporal model exists because Hypothesis 2 is a claim about a process, whether attention accrues along a curve as documents age. Using one model for both questions would blur exactly the distinction the dissertation most wants to preserve, between structure at a moment and structure through time. The pairing is the design’s way of refusing a single, tidy answer in favor of two honest ones</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estimation sample is thirty retrieved source records, each preserving its own provenance so the workbook stays auditable. Paper 1 returns an overall fit of R2 = 0.0598 with an F test that does not reach significance (F_p = 0.5575), and its venue coefficient carries the strongest signed structure. Paper 2 returns R2 = 0.1556 with a negative age elasticity of -0.8778 that is significant at p = 0.0292. Chapter 6 reports these figures in full and interprets their signs and magnitudes without inflating them. The headline is already visible: cross-sectional signal intensity is weakly structured, while citation accumulation shows a real, measurable age pattern.</w:t>
      </w:r>
    </w:p>
    <w:p>
      <w:pPr>
        <w:pStyle w:val="BodyText"/>
        <w:spacing w:line="480" w:lineRule="auto"/>
        <w:ind w:firstLine="720"/>
      </w:pPr>
      <w:r>
        <w:t xml:space="preserve">The split between the two results is not a defect in the design. It is the informative outcome the design was built to surface. A study that could only confirm its hypotheses would be less trustworthy than one that rejects one null and fails to reject another, because the mixed verdict is evidence that the estimators are reading the data rather than the analyst’s expectations</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cross-sectional flatness tells a program office that field maturity cannot be read off a metadata snapshot of recency, citations, and venue. The temporal curve tells the same office that attention in this corpus is nonetheless in motion, tilting toward newer framings that a static reading would miss. Holding both findings at once, without collapsing them into a single triumphant or dismissive sentence, is the interpretive discipline the later chapters practice.</w:t>
      </w:r>
    </w:p>
    <w:bookmarkEnd w:id="64"/>
    <w:bookmarkStart w:id="65" w:name="scope-and-what-this-study-is-not"/>
    <w:p>
      <w:pPr>
        <w:pStyle w:val="Heading2"/>
        <w:spacing w:line="480" w:lineRule="auto"/>
      </w:pPr>
      <w:r>
        <w:t xml:space="preserve">Scope and what this study is not</w:t>
      </w:r>
    </w:p>
    <w:p>
      <w:pPr>
        <w:pStyle w:val="FirstParagraph"/>
        <w:spacing w:line="480" w:lineRule="auto"/>
      </w:pPr>
      <w:r>
        <w:t xml:space="preserve">Clarity about scope prevents a reader from judging the dissertation against a question it never asked. This is not a policy design document; it does not propose a data-sharing regime, a treaty, or a standard. It is not a forecast; it does not predict when or whether critical mass will be reached. It is not a causal study of operator behavior; it observes no operator and measures no sharing decision. It is a bounded measurement of whether the coordination topic’s salience is legible in a specific, retained, inspectable corpus, using two estimators whose limits are stated as plainly as their outputs</w:t>
      </w:r>
      <w:r>
        <w:t xml:space="preserve"> </w:t>
      </w:r>
      <w:hyperlink w:anchor="ref-3">
        <w:r>
          <w:rPr>
            <w:rStyle w:val="Hyperlink"/>
          </w:rPr>
          <w:t xml:space="preserve">[3]</w:t>
        </w:r>
      </w:hyperlink>
      <w:r>
        <w:t xml:space="preserve"> </w:t>
      </w:r>
      <w:hyperlink w:anchor="ref-5">
        <w:r>
          <w:rPr>
            <w:rStyle w:val="Hyperlink"/>
          </w:rPr>
          <w:t xml:space="preserve">[5]</w:t>
        </w:r>
      </w:hyperlink>
      <w:r>
        <w:t xml:space="preserve">. Everything the study claims is conditional on that corpus, and the conditionality is not hedging but honesty about what documentary evidence can and cannot support. Readers seeking a coordination regime will not find one here; readers seeking a disciplined way to ask whether the field is ready to design one will find the instrument this study builds.</w:t>
      </w:r>
    </w:p>
    <w:bookmarkEnd w:id="65"/>
    <w:bookmarkStart w:id="66" w:name="roadmap"/>
    <w:p>
      <w:pPr>
        <w:pStyle w:val="Heading2"/>
        <w:spacing w:line="480" w:lineRule="auto"/>
      </w:pPr>
      <w:r>
        <w:t xml:space="preserve">Roadmap</w:t>
      </w:r>
    </w:p>
    <w:p>
      <w:pPr>
        <w:pStyle w:val="FirstParagraph"/>
        <w:spacing w:line="480" w:lineRule="auto"/>
      </w:pPr>
      <w:r>
        <w:t xml:space="preserve">The dissertation proceeds in the order a reader would want to interrogate it. Chapter 2 situates the study against the STM and data-sharing literatures, drawing the coordination framing from work on sustainability rating, coalition architecture, and governance of situational awareness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7">
        <w:r>
          <w:rPr>
            <w:rStyle w:val="Hyperlink"/>
          </w:rPr>
          <w:t xml:space="preserve">[7]</w:t>
        </w:r>
      </w:hyperlink>
      <w:r>
        <w:t xml:space="preserve">. Chapter 3 states the mechanism and the testable predictions, connecting the tipping-point logic to the specific metadata signals the estimators read. Chapter 4 lays out the estimators and the identification argument, explaining what each model can claim and what it deliberately cannot. Chapter 5 documents the dataset, the variable construction rules, and the sources, including how the topic-signal score and the recency, citation, venue, and age indices are built. Chapter 6 reports both papers’ output exactly and interprets it. Chapter 7 weighs the findings against the threats to validity and states plainly what the data cannot show. Chapter 8 closes with the knowledge contribution, its relevance to STM program and governance design, and the next empirical step</w:t>
      </w:r>
      <w:r>
        <w:t xml:space="preserve"> </w:t>
      </w:r>
      <w:hyperlink w:anchor="ref-5">
        <w:r>
          <w:rPr>
            <w:rStyle w:val="Hyperlink"/>
          </w:rPr>
          <w:t xml:space="preserve">[5]</w:t>
        </w:r>
      </w:hyperlink>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66"/>
    <w:bookmarkStart w:id="67" w:name="X130d418586c3afe7e01e58e5dc0f5cf477ca751"/>
    <w:p>
      <w:pPr>
        <w:pStyle w:val="Heading2"/>
        <w:spacing w:line="480" w:lineRule="auto"/>
      </w:pPr>
      <w:r>
        <w:t xml:space="preserve">The place of this study in a research program</w:t>
      </w:r>
    </w:p>
    <w:p>
      <w:pPr>
        <w:pStyle w:val="FirstParagraph"/>
        <w:spacing w:line="480" w:lineRule="auto"/>
      </w:pPr>
      <w:r>
        <w:t xml:space="preserve">A single design-stage dissertation is best understood as the first increment of a longer inquiry rather than as a standalone verdict, and framing it that way disciplines what it should and should not attempt. The first increment establishes whether the question is tractable with obtainable evidence, builds the instruments that later increments will refine, and marks the exact points where richer data would change the answer. That is what this study delivers: a tractable question, two working estimators, and a precise map of their limits. A later increment would substitute a citation source of uniform coverage, expand the corpus well beyond thirty records, and add operator-level or participation-level data that begins to bridge from the documentary shadow toward the coordination behavior itself. Each increment inherits the previous one’s instruments and improves one link in the evidentiary chain</w:t>
      </w:r>
      <w:r>
        <w:t xml:space="preserve"> </w:t>
      </w:r>
      <w:hyperlink w:anchor="ref-9">
        <w:r>
          <w:rPr>
            <w:rStyle w:val="Hyperlink"/>
          </w:rPr>
          <w:t xml:space="preserve">[9]</w:t>
        </w:r>
      </w:hyperlink>
      <w:r>
        <w:t xml:space="preserve"> </w:t>
      </w:r>
      <w:hyperlink w:anchor="ref-16">
        <w:r>
          <w:rPr>
            <w:rStyle w:val="Hyperlink"/>
          </w:rPr>
          <w:t xml:space="preserve">[16]</w:t>
        </w:r>
      </w:hyperlink>
      <w:r>
        <w:t xml:space="preserve">. Read this way, a null result in the cross-sectional test is not a disappointment but a signpost: it tells the next increment that signal intensity is not the place to look for structure, and that temporal accumulation is. The dissertation’s modesty is thus programmatic rather than apologetic. It does the first thing well so the next thing can be done at all.</w:t>
      </w:r>
    </w:p>
    <w:p>
      <w:pPr>
        <w:pStyle w:val="BodyText"/>
        <w:spacing w:line="480" w:lineRule="auto"/>
        <w:ind w:firstLine="720"/>
      </w:pPr>
      <w:r>
        <w:t xml:space="preserve">There is also a pedagogical dimension that matters for the pipeline this work sits inside. A dissertation that shows its full chain, from source selection through variable construction to estimator output and bounded interpretation, is a template other candidates can follow. The value is not only the finding about voluntary data sharing. It is the demonstration that a space-governance claim can be made testable at all, using inspectable inputs and standard estimators, without recourse to proprietary data or unfalsifiable narrative. That demonstration is transferable to any topic where a field asserts its own maturity faster than it measures it, which describes a great deal of space governance</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chapters build on one another rather than standing as parallel essays. Chapter 3’s mechanism specifies exactly which documentary signals a real coordination process should leave, and Chapter 4’s estimators are chosen to read precisely those signals, so that a null result in Chapter 6 falsifies a stated prediction rather than merely returning an uninteresting number. Chapter 5’s measurement rules are written so that Chapter 7’s threats-to-validity discussion has concrete objects to interrogate: a citation variable whose coverage is uneven, a venue code that is ordinal and coarse, a signal count that is sensitive to vocabulary. This interlocking structure is deliberate. It means the dissertation can be audited as a chain, with each link inspectable, rather than accepted as a whole on the strength of its conclusions.</w:t>
      </w:r>
    </w:p>
    <w:p>
      <w:pPr>
        <w:pStyle w:val="BodyText"/>
        <w:spacing w:line="480" w:lineRule="auto"/>
        <w:ind w:firstLine="720"/>
      </w:pPr>
      <w:r>
        <w:t xml:space="preserve">A brief word on terminology guards against a predictable confusion. Throughout the dissertation,</w:t>
      </w:r>
      <w:r>
        <w:t xml:space="preserve"> </w:t>
      </w:r>
      <w:r>
        <w:t xml:space="preserve">“signal”</w:t>
      </w:r>
      <w:r>
        <w:t xml:space="preserve"> </w:t>
      </w:r>
      <w:r>
        <w:t xml:space="preserve">refers to a measurable feature of the documentary record, not to a communications signal or a sensor return, and</w:t>
      </w:r>
      <w:r>
        <w:t xml:space="preserve"> </w:t>
      </w:r>
      <w:r>
        <w:t xml:space="preserve">“attention”</w:t>
      </w:r>
      <w:r>
        <w:t xml:space="preserve"> </w:t>
      </w:r>
      <w:r>
        <w:t xml:space="preserve">refers to citation activity, not to the operational attention of a tracking system. These are ordinary usages in the study of scholarly fields, but in a space-domain document they invite misreading, so the chapters take care to keep the metaphorical and the technical senses apart. Likewise,</w:t>
      </w:r>
      <w:r>
        <w:t xml:space="preserve"> </w:t>
      </w:r>
      <w:r>
        <w:t xml:space="preserve">“coordination”</w:t>
      </w:r>
      <w:r>
        <w:t xml:space="preserve"> </w:t>
      </w:r>
      <w:r>
        <w:t xml:space="preserve">names the collective outcome of many operators sharing data, not the low-level coordination of a single maneuver, though the two are related through the mechanism Chapter 3 develops. Fixing these usages at the outset lets the later chapters move quickly without repeatedly pausing to disambiguate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A dissertation of this kind earns trust through traceability rather than through confidence. Every number in the chapters that follow is a workbook result, and every substantive claim is conditional on the sources the candidate retained. That posture is not a limitation to apologize for. It is the discipline the coordination question has lacked, and supplying it is the modest, defensible thing this study sets out to do.</w:t>
      </w:r>
    </w:p>
    <w:bookmarkEnd w:id="67"/>
    <w:bookmarkEnd w:id="68"/>
    <w:bookmarkStart w:id="75" w:name="chapter-2.-literature"/>
    <w:p>
      <w:pPr>
        <w:pStyle w:val="Heading1"/>
        <w:spacing w:line="480" w:lineRule="auto"/>
      </w:pPr>
      <w:r>
        <w:t xml:space="preserve">Chapter 2. Literature</w:t>
      </w:r>
    </w:p>
    <w:p>
      <w:pPr>
        <w:pStyle w:val="FirstParagraph"/>
        <w:spacing w:line="480" w:lineRule="auto"/>
      </w:pPr>
      <w:r>
        <w:t xml:space="preserve">The literature relevant to voluntary data sharing in space traffic management divides into three conversations that rarely meet. One is technical and operational, concerned with sensors, catalogs, and conjunction assessment. One is architectural and institutional, concerned with who coordinates whom and under what rules. One is measurement-oriented, concerned with how to read the maturity of a field from its own documentary output. This chapter situates the dissertation across all three, because the coordination question it tests lives precisely in the seams between them.</w:t>
      </w:r>
    </w:p>
    <w:p>
      <w:pPr>
        <w:pStyle w:val="BodyText"/>
        <w:spacing w:line="480" w:lineRule="auto"/>
        <w:ind w:firstLine="720"/>
      </w:pPr>
      <w:r>
        <w:t xml:space="preserve">The three conversations are not merely adjacent; they fail to close a loop, and that open loop is the dissertation’s opening. The technical work produces capability. The architectural work produces designs for coordinating that capability. The measurement work, thinnest of the three, would tell whether the field is actually organizing to deploy those designs. Because the measurement conversation is underdeveloped, the loop stays open: capability and design accumulate without a running account of whether the community is converging on their use</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This chapter reviews all three conversations with that open loop in mind, reading each not only for what it contributes to coordination but for what it implies about how a coordinating field should look in its documentary trace.</w:t>
      </w:r>
    </w:p>
    <w:bookmarkStart w:id="69" w:name="X79f0398f886c01d444273beeb78e23094733d6e"/>
    <w:p>
      <w:pPr>
        <w:pStyle w:val="Heading2"/>
        <w:spacing w:line="480" w:lineRule="auto"/>
      </w:pPr>
      <w:r>
        <w:t xml:space="preserve">From situational awareness to shared behavior</w:t>
      </w:r>
    </w:p>
    <w:p>
      <w:pPr>
        <w:pStyle w:val="FirstParagraph"/>
        <w:spacing w:line="480" w:lineRule="auto"/>
      </w:pPr>
      <w:r>
        <w:t xml:space="preserve">Awareness is not agreement. The operational literature established, early and durably, that awareness is a prerequisite for coordination but not a substitute for it. Work on the contribution of situational awareness data to a space sustainability rating showed that raw observational data becomes governance-relevant only once it is structured into shared, comparable measures that many operators can act on</w:t>
      </w:r>
      <w:r>
        <w:t xml:space="preserve"> </w:t>
      </w:r>
      <w:hyperlink w:anchor="ref-1">
        <w:r>
          <w:rPr>
            <w:rStyle w:val="Hyperlink"/>
          </w:rPr>
          <w:t xml:space="preserve">[1]</w:t>
        </w:r>
      </w:hyperlink>
      <w:r>
        <w:t xml:space="preserve">. That move, from data an operator holds to data a community can use, is the same move a voluntary sharing net demands. The sustainability rating effort is instructive because it made participation, not sensing, the binding constraint. A rating means little if only a few operators submit to it, which is the coordination problem restated in a different vocabulary.</w:t>
      </w:r>
    </w:p>
    <w:p>
      <w:pPr>
        <w:pStyle w:val="BodyText"/>
        <w:spacing w:line="480" w:lineRule="auto"/>
        <w:ind w:firstLine="720"/>
      </w:pPr>
      <w:r>
        <w:t xml:space="preserve">Governance-focused work sharpened the point. The argument that situational awareness governance requires revolution rather than evolution held that incremental technical improvement would not, on its own, produce the institutional arrangements that make shared awareness actionable</w:t>
      </w:r>
      <w:r>
        <w:t xml:space="preserve"> </w:t>
      </w:r>
      <w:hyperlink w:anchor="ref-7">
        <w:r>
          <w:rPr>
            <w:rStyle w:val="Hyperlink"/>
          </w:rPr>
          <w:t xml:space="preserve">[7]</w:t>
        </w:r>
      </w:hyperlink>
      <w:r>
        <w:t xml:space="preserve">. That claim frames this dissertation’s motivating gap. If governance change is discontinuous, arriving in a step rather than a drift, then a tipping-point model is the appropriate lens, and the empirical task becomes detecting whether the field is approaching such a step. Blockchain-enabled traffic awareness pushed further into mechanism design, proposing an automated comparison of observed behavior against agreed behavior so that anomaly detection could be made continuous and auditable</w:t>
      </w:r>
      <w:r>
        <w:t xml:space="preserve"> </w:t>
      </w:r>
      <w:hyperlink w:anchor="ref-4">
        <w:r>
          <w:rPr>
            <w:rStyle w:val="Hyperlink"/>
          </w:rPr>
          <w:t xml:space="preserve">[4]</w:t>
        </w:r>
      </w:hyperlink>
      <w:r>
        <w:t xml:space="preserve">. That contribution matters here for two reasons. It treats agreed behavior as the reference object, which is exactly what a data-sharing net must first construct. And it makes the reference machine-checkable, which is the technical precondition for coordination at scale.</w:t>
      </w:r>
    </w:p>
    <w:p>
      <w:pPr>
        <w:pStyle w:val="BodyText"/>
        <w:spacing w:line="480" w:lineRule="auto"/>
        <w:ind w:firstLine="720"/>
      </w:pPr>
      <w:r>
        <w:t xml:space="preserve">A further lesson from this strand concerns trust as the currency of sharing. The automated-comparison approach works only if participants accept a common reference for agreed behavior, and constructing that reference is a governance act, not a technical one</w:t>
      </w:r>
      <w:r>
        <w:t xml:space="preserve"> </w:t>
      </w:r>
      <w:hyperlink w:anchor="ref-4">
        <w:r>
          <w:rPr>
            <w:rStyle w:val="Hyperlink"/>
          </w:rPr>
          <w:t xml:space="preserve">[4]</w:t>
        </w:r>
      </w:hyperlink>
      <w:r>
        <w:t xml:space="preserve">. Decentralized information sharing has been argued to be a key enabler of trust and of the preservation of the orbital environment, which reframes the coordination problem as a trust-building problem whose solution is institutional as much as computational</w:t>
      </w:r>
      <w:r>
        <w:t xml:space="preserve"> </w:t>
      </w:r>
      <w:hyperlink w:anchor="ref-1">
        <w:r>
          <w:rPr>
            <w:rStyle w:val="Hyperlink"/>
          </w:rPr>
          <w:t xml:space="preserve">[1]</w:t>
        </w:r>
      </w:hyperlink>
      <w:r>
        <w:t xml:space="preserve">. This matters for the dissertation because trust, unlike a sensor measurement, is not directly observable in a corpus. What is observable is whether the community’s attention is converging on the constructs, agreed behavior, decentralized reference, shared baseline, that a trust regime would require, and convergence of attention is exactly what the two estimators are built to detect.</w:t>
      </w:r>
    </w:p>
    <w:bookmarkEnd w:id="69"/>
    <w:bookmarkStart w:id="70" w:name="X42453bffac1cd68e747859c88daa45f3b3deda4"/>
    <w:p>
      <w:pPr>
        <w:pStyle w:val="Heading2"/>
        <w:spacing w:line="480" w:lineRule="auto"/>
      </w:pPr>
      <w:r>
        <w:t xml:space="preserve">The public-good structure beneath the sources</w:t>
      </w:r>
    </w:p>
    <w:p>
      <w:pPr>
        <w:pStyle w:val="FirstParagraph"/>
        <w:spacing w:line="480" w:lineRule="auto"/>
      </w:pPr>
      <w:r>
        <w:t xml:space="preserve">Reading the operational literature through an economic lens reveals a common structure that the individual papers rarely name. Shared awareness is close to a public good within the community that produces it: one operator’s use of a shared state vector does not deplete its availability to others, and the difficulty is not scarcity but the incentive to free-ride on others’ contributions while withholding one’s own</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sustainability rating and blockchain-comparison efforts are, at bottom, mechanisms for solving that incentive problem, one by creating a reputational reason to submit data, the other by making agreed behavior machine-verifiable so that contribution and compliance can be checked</w:t>
      </w:r>
      <w:r>
        <w:t xml:space="preserve"> </w:t>
      </w:r>
      <w:hyperlink w:anchor="ref-1">
        <w:r>
          <w:rPr>
            <w:rStyle w:val="Hyperlink"/>
          </w:rPr>
          <w:t xml:space="preserve">[1]</w:t>
        </w:r>
      </w:hyperlink>
      <w:r>
        <w:t xml:space="preserve"> </w:t>
      </w:r>
      <w:hyperlink w:anchor="ref-4">
        <w:r>
          <w:rPr>
            <w:rStyle w:val="Hyperlink"/>
          </w:rPr>
          <w:t xml:space="preserve">[4]</w:t>
        </w:r>
      </w:hyperlink>
      <w:r>
        <w:t xml:space="preserve">. Naming the structure matters for the dissertation because it explains why the coordination problem has a threshold at all. Public goods with participation-dependent value are exactly the class of problems that exhibit tipping behavior, and locating the traffic management sharing problem in that class is what justifies the tipping-point framing the later chapters formalize.</w:t>
      </w:r>
    </w:p>
    <w:bookmarkEnd w:id="70"/>
    <w:bookmarkStart w:id="71" w:name="X1c494b9ad45458ed19dc5c515df29bd770167df"/>
    <w:p>
      <w:pPr>
        <w:pStyle w:val="Heading2"/>
        <w:spacing w:line="480" w:lineRule="auto"/>
      </w:pPr>
      <w:r>
        <w:t xml:space="preserve">Coordination and coalition as architecture</w:t>
      </w:r>
    </w:p>
    <w:p>
      <w:pPr>
        <w:pStyle w:val="FirstParagraph"/>
        <w:spacing w:line="480" w:lineRule="auto"/>
      </w:pPr>
      <w:r>
        <w:t xml:space="preserve">Coordination can be built. A second strand treats it as an engineered structure rather than an emergent hope. Dynamic coalition architecture built with artificial intelligence framed traffic management as a problem of assembling and reassembling cooperating parties in response to changing conditions</w:t>
      </w:r>
      <w:r>
        <w:t xml:space="preserve"> </w:t>
      </w:r>
      <w:hyperlink w:anchor="ref-2">
        <w:r>
          <w:rPr>
            <w:rStyle w:val="Hyperlink"/>
          </w:rPr>
          <w:t xml:space="preserve">[2]</w:t>
        </w:r>
      </w:hyperlink>
      <w:r>
        <w:t xml:space="preserve">. The coalition framing is directly useful to a tipping-point analysis. Coalitions have thresholds. Below a certain participation level a coalition confers little advantage; above it, the advantage compounds and stabilizes. The dynamic-coalition work supplies the mechanism intuition that the dissertation’s hypotheses formalize, and it does so in the operational register the candidate’s corpus occupies.</w:t>
      </w:r>
    </w:p>
    <w:p>
      <w:pPr>
        <w:pStyle w:val="BodyText"/>
        <w:spacing w:line="480" w:lineRule="auto"/>
        <w:ind w:firstLine="720"/>
      </w:pPr>
      <w:r>
        <w:t xml:space="preserve">Maneuver-level coordination extended the architecture downward to the level of individual encounters. A coordinated optimal avoidance maneuver framework showed that deconfliction improves markedly when operators optimize jointly rather than unilaterally, because a coordinated maneuver avoids the wasteful, sometimes conflicting responses that independent operators generate</w:t>
      </w:r>
      <w:r>
        <w:t xml:space="preserve"> </w:t>
      </w:r>
      <w:hyperlink w:anchor="ref-6">
        <w:r>
          <w:rPr>
            <w:rStyle w:val="Hyperlink"/>
          </w:rPr>
          <w:t xml:space="preserve">[6]</w:t>
        </w:r>
      </w:hyperlink>
      <w:r>
        <w:t xml:space="preserve">. This is the microfoundation of the coordination good. Each avoided collision and each fuel-efficient joint maneuver is a private benefit that exists only because a counterpart shared and reciprocated. Autonomous trajectory optimization for intelligent satellite systems made a compatible case, arguing that as satellites gain onboard autonomy, the value of a shared behavioral baseline rises rather than falls, because autonomous actors need predictable counterparts</w:t>
      </w:r>
      <w:r>
        <w:t xml:space="preserve"> </w:t>
      </w:r>
      <w:hyperlink w:anchor="ref-14">
        <w:r>
          <w:rPr>
            <w:rStyle w:val="Hyperlink"/>
          </w:rPr>
          <w:t xml:space="preserve">[14]</w:t>
        </w:r>
      </w:hyperlink>
      <w:r>
        <w:t xml:space="preserve">. Prototyping operational autonomy for traffic management reinforced that dependency by showing how much of the coordination burden can be automated once a shared data substrate exists</w:t>
      </w:r>
      <w:r>
        <w:t xml:space="preserve"> </w:t>
      </w:r>
      <w:hyperlink w:anchor="ref-12">
        <w:r>
          <w:rPr>
            <w:rStyle w:val="Hyperlink"/>
          </w:rPr>
          <w:t xml:space="preserve">[12]</w:t>
        </w:r>
      </w:hyperlink>
      <w:r>
        <w:t xml:space="preserve">.</w:t>
      </w:r>
    </w:p>
    <w:p>
      <w:pPr>
        <w:pStyle w:val="BodyText"/>
        <w:spacing w:line="480" w:lineRule="auto"/>
        <w:ind w:firstLine="720"/>
      </w:pPr>
      <w:r>
        <w:t xml:space="preserve">The coalition and maneuver literatures share a feature worth naming for the measurement task ahead. They are dominated by conference proceedings and applied demonstrations rather than by archival theoretical work, which is the ordinary pattern for a field whose operational problems are outrunning its institutional formalization</w:t>
      </w:r>
      <w:r>
        <w:t xml:space="preserve"> </w:t>
      </w:r>
      <w:hyperlink w:anchor="ref-2">
        <w:r>
          <w:rPr>
            <w:rStyle w:val="Hyperlink"/>
          </w:rPr>
          <w:t xml:space="preserve">[2]</w:t>
        </w:r>
      </w:hyperlink>
      <w:r>
        <w:t xml:space="preserve"> </w:t>
      </w:r>
      <w:hyperlink w:anchor="ref-6">
        <w:r>
          <w:rPr>
            <w:rStyle w:val="Hyperlink"/>
          </w:rPr>
          <w:t xml:space="preserve">[6]</w:t>
        </w:r>
      </w:hyperlink>
      <w:r>
        <w:t xml:space="preserve"> </w:t>
      </w:r>
      <w:hyperlink w:anchor="ref-12">
        <w:r>
          <w:rPr>
            <w:rStyle w:val="Hyperlink"/>
          </w:rPr>
          <w:t xml:space="preserve">[12]</w:t>
        </w:r>
      </w:hyperlink>
      <w:r>
        <w:t xml:space="preserve">. If that pattern is real, it predicts something specific about the corpus: the strongest expressions of the coordination framing should appear in the lower venue tiers, the proceedings, before they migrate to journals. The dissertation’s cross-sectional model tests exactly this by allowing the venue coefficient to take either sign, and Chapter 6 reports a negative venue term that, while not significant, is consistent with this reading. The literature thus does more than motivate the study; it generates a directional expectation that the estimator can check.</w:t>
      </w:r>
    </w:p>
    <w:p>
      <w:pPr>
        <w:pStyle w:val="BodyText"/>
        <w:spacing w:line="480" w:lineRule="auto"/>
        <w:ind w:firstLine="720"/>
      </w:pPr>
      <w:r>
        <w:t xml:space="preserve">Autonomy sharpens the coalition argument in a direction the dissertation’s timing makes salient. As onboard decision-making spreads, the coordination problem shifts from humans negotiating maneuvers to autonomous systems needing predictable counterparts, and prototyping work on operational autonomy shows how much coordination can be delegated to software once a shared data substrate exists</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dependency runs the other way too: autonomous systems that cannot rely on a shared baseline must behave conservatively, wasting capability on defensive margins. This is a coordination good whose value grows precisely as the technology that would consume it matures, which is an unusual and consequential feature. A field organizing to supply that good, on the theory, should show its attention concentrating as the autonomy transition accelerates, and whether it is doing so is a documentary question the estimators can approach</w:t>
      </w:r>
      <w:r>
        <w:t xml:space="preserve"> </w:t>
      </w:r>
      <w:hyperlink w:anchor="ref-2">
        <w:r>
          <w:rPr>
            <w:rStyle w:val="Hyperlink"/>
          </w:rPr>
          <w:t xml:space="preserve">[2]</w:t>
        </w:r>
      </w:hyperlink>
      <w:r>
        <w:t xml:space="preserve">.</w:t>
      </w:r>
    </w:p>
    <w:bookmarkEnd w:id="71"/>
    <w:bookmarkStart w:id="72" w:name="the-lunar-and-cislunar-extension"/>
    <w:p>
      <w:pPr>
        <w:pStyle w:val="Heading2"/>
        <w:spacing w:line="480" w:lineRule="auto"/>
      </w:pPr>
      <w:r>
        <w:t xml:space="preserve">The lunar and cislunar extension</w:t>
      </w:r>
    </w:p>
    <w:p>
      <w:pPr>
        <w:pStyle w:val="FirstParagraph"/>
        <w:spacing w:line="480" w:lineRule="auto"/>
      </w:pPr>
      <w:r>
        <w:t xml:space="preserve">The cislunar case raises the stakes. It is the domain that gives this dissertation its urgency, a regime where coordination is both more valuable and harder to sustain. Architectural solutions for guiding lunar growth argued that traffic management structures should be designed before, not after, the lunar economy densifies, precisely because retrofitting coordination onto an already-crowded regime is far costlier</w:t>
      </w:r>
      <w:r>
        <w:t xml:space="preserve"> </w:t>
      </w:r>
      <w:hyperlink w:anchor="ref-5">
        <w:r>
          <w:rPr>
            <w:rStyle w:val="Hyperlink"/>
          </w:rPr>
          <w:t xml:space="preserve">[5]</w:t>
        </w:r>
      </w:hyperlink>
      <w:r>
        <w:t xml:space="preserve">. The moon-to-mars framing generalized this into a strategic account of traffic management across cislunar and cismartian environments, where sparse sensing and long communication delays make voluntary information exchange the load-bearing element of any workable regime</w:t>
      </w:r>
      <w:r>
        <w:t xml:space="preserve"> </w:t>
      </w:r>
      <w:hyperlink w:anchor="ref-16">
        <w:r>
          <w:rPr>
            <w:rStyle w:val="Hyperlink"/>
          </w:rPr>
          <w:t xml:space="preserve">[16]</w:t>
        </w:r>
      </w:hyperlink>
      <w:r>
        <w:t xml:space="preserve">. Supporting infrastructure work, including systems to relay power and communication between the lunar surface and its caves, shows how much of the emerging lunar architecture presumes a coordinating data layer that does not yet formally exist</w:t>
      </w:r>
      <w:r>
        <w:t xml:space="preserve"> </w:t>
      </w:r>
      <w:hyperlink w:anchor="ref-13">
        <w:r>
          <w:rPr>
            <w:rStyle w:val="Hyperlink"/>
          </w:rPr>
          <w:t xml:space="preserve">[13]</w:t>
        </w:r>
      </w:hyperlink>
      <w:r>
        <w:t xml:space="preserve">. In-orbit servicing operations placed within the traffic management context extend the same logic to active operations, where servicing vehicles must coordinate closely with the assets they approach</w:t>
      </w:r>
      <w:r>
        <w:t xml:space="preserve"> </w:t>
      </w:r>
      <w:hyperlink w:anchor="ref-15">
        <w:r>
          <w:rPr>
            <w:rStyle w:val="Hyperlink"/>
          </w:rPr>
          <w:t xml:space="preserve">[15]</w:t>
        </w:r>
      </w:hyperlink>
      <w:r>
        <w:t xml:space="preserve">. Across these sources the pattern is consistent. Coordination is treated as necessary, assumed to be coming, and rarely measured.</w:t>
      </w:r>
    </w:p>
    <w:p>
      <w:pPr>
        <w:pStyle w:val="BodyText"/>
        <w:spacing w:line="480" w:lineRule="auto"/>
        <w:ind w:firstLine="720"/>
      </w:pPr>
      <w:r>
        <w:t xml:space="preserve">One more operational thread bears on the dissertation’s premise that coordination is a designed structure with a threshold. Non-traditional and distributed sensing has been argued to change the economics of shared awareness by lowering the cost of contributing an observation, and geometry-sensitivity analyses of recently maneuvered satellites show how sensitive the shared picture is to the very behaviors a data-sharing net would disclose</w:t>
      </w:r>
      <w:r>
        <w:t xml:space="preserve"> </w:t>
      </w:r>
      <w:hyperlink w:anchor="ref-8">
        <w:r>
          <w:rPr>
            <w:rStyle w:val="Hyperlink"/>
          </w:rPr>
          <w:t xml:space="preserve">[8]</w:t>
        </w:r>
      </w:hyperlink>
      <w:r>
        <w:t xml:space="preserve">. These contributions matter to the tipping-point framing because they identify the two levers that move the participation threshold: the cost of contributing, which distributed sensing lowers, and the value of what is contributed, which behavioral disclosure raises. A field organizing to pull both levers is a field approaching critical mass, and whether it is doing so is, again, a question the corpus can shadow even if it cannot resolve. The dissertation does not adjudicate the engineering claims. It uses them to establish that the coordination good is real, buildable, and currently under-supplied, which is the premise its hypotheses then test for documentary evidence.</w:t>
      </w:r>
    </w:p>
    <w:bookmarkEnd w:id="72"/>
    <w:bookmarkStart w:id="73" w:name="X8f1d166bf9d219ef8a29e7da38f4a6e641d77a0"/>
    <w:p>
      <w:pPr>
        <w:pStyle w:val="Heading2"/>
        <w:spacing w:line="480" w:lineRule="auto"/>
      </w:pPr>
      <w:r>
        <w:t xml:space="preserve">Why the cislunar case concentrates the argument</w:t>
      </w:r>
    </w:p>
    <w:p>
      <w:pPr>
        <w:pStyle w:val="FirstParagraph"/>
        <w:spacing w:line="480" w:lineRule="auto"/>
      </w:pPr>
      <w:r>
        <w:t xml:space="preserve">The cislunar sources do more than raise the stakes; they change the character of the coordination problem in ways that matter for measurement. In low Earth orbit a well-resourced operator can partly substitute its own sensing for a shared net, which weakens the incentive to contribute. In cislunar space that substitution is far harder, because no single actor can maintain custody of objects across the volume, through long light-time delays and sparse coverage</w:t>
      </w:r>
      <w:r>
        <w:t xml:space="preserve"> </w:t>
      </w:r>
      <w:hyperlink w:anchor="ref-16">
        <w:r>
          <w:rPr>
            <w:rStyle w:val="Hyperlink"/>
          </w:rPr>
          <w:t xml:space="preserve">[16]</w:t>
        </w:r>
      </w:hyperlink>
      <w:r>
        <w:t xml:space="preserve">. The value of a shared net therefore rises relative to the value of going it alone, which raises the payoff to reaching critical mass and, in principle, lowers the participation threshold. Architectural work on guiding lunar growth presses the further point that the coordination structure is cheapest to build before the regime densifies, because retrofitting agreement onto an occupied volume is costly</w:t>
      </w:r>
      <w:r>
        <w:t xml:space="preserve"> </w:t>
      </w:r>
      <w:hyperlink w:anchor="ref-5">
        <w:r>
          <w:rPr>
            <w:rStyle w:val="Hyperlink"/>
          </w:rPr>
          <w:t xml:space="preserve">[5]</w:t>
        </w:r>
      </w:hyperlink>
      <w:r>
        <w:t xml:space="preserve">. Infrastructure studies that assume a coordinating data layer between lunar surface assets and orbiting relays make the same assumption from the engineering side, treating shared information as a given that the institutions have not yet supplied</w:t>
      </w:r>
      <w:r>
        <w:t xml:space="preserve"> </w:t>
      </w:r>
      <w:hyperlink w:anchor="ref-13">
        <w:r>
          <w:rPr>
            <w:rStyle w:val="Hyperlink"/>
          </w:rPr>
          <w:t xml:space="preserve">[13]</w:t>
        </w:r>
      </w:hyperlink>
      <w:r>
        <w:t xml:space="preserve">. The cislunar case thus concentrates every element of the dissertation’s argument: high coordination value, a real threshold, a closing design window, and a data layer that is presumed but absent. That concentration is why the study frames its question against the cislunar regime even as its corpus spans traffic management more broadly.</w:t>
      </w:r>
    </w:p>
    <w:p>
      <w:pPr>
        <w:pStyle w:val="BodyText"/>
        <w:spacing w:line="480" w:lineRule="auto"/>
        <w:ind w:firstLine="720"/>
      </w:pPr>
      <w:r>
        <w:t xml:space="preserve">A thread running beneath the servicing and maneuver work is worth drawing out because it bears on how observable the coordination good is. In-orbit servicing places a vehicle in deliberate, close proximity to an asset it did not build and may not own, which makes the shared behavioral baseline not a convenience but a safety precondition</w:t>
      </w:r>
      <w:r>
        <w:t xml:space="preserve"> </w:t>
      </w:r>
      <w:hyperlink w:anchor="ref-15">
        <w:r>
          <w:rPr>
            <w:rStyle w:val="Hyperlink"/>
          </w:rPr>
          <w:t xml:space="preserve">[15]</w:t>
        </w:r>
      </w:hyperlink>
      <w:r>
        <w:t xml:space="preserve">. The geometry-sensitivity of recently maneuvered objects shows how quickly the shared picture degrades when a participant behaves in ways others cannot anticipate, which is the failure mode a data-sharing net is meant to prevent</w:t>
      </w:r>
      <w:r>
        <w:t xml:space="preserve"> </w:t>
      </w:r>
      <w:hyperlink w:anchor="ref-8">
        <w:r>
          <w:rPr>
            <w:rStyle w:val="Hyperlink"/>
          </w:rPr>
          <w:t xml:space="preserve">[8]</w:t>
        </w:r>
      </w:hyperlink>
      <w:r>
        <w:t xml:space="preserve">. Reading these together, the coordination good is revealed as something whose value spikes exactly at the moments of highest operational risk, close approach, active servicing, post-maneuver reacquisition. A field organizing around those high-value moments would concentrate its attention on the sources that formalize the shared baseline, which is the pattern the temporal estimator is built to detect. The literature thus not only motivates the study but predicts, in outline, where a consolidating field’s attention should gather.</w:t>
      </w:r>
    </w:p>
    <w:bookmarkEnd w:id="73"/>
    <w:bookmarkStart w:id="74" w:name="measurement-and-the-reading-of-a-field"/>
    <w:p>
      <w:pPr>
        <w:pStyle w:val="Heading2"/>
        <w:spacing w:line="480" w:lineRule="auto"/>
      </w:pPr>
      <w:r>
        <w:t xml:space="preserve">Measurement and the reading of a field</w:t>
      </w:r>
    </w:p>
    <w:p>
      <w:pPr>
        <w:pStyle w:val="FirstParagraph"/>
        <w:spacing w:line="480" w:lineRule="auto"/>
      </w:pPr>
      <w:r>
        <w:t xml:space="preserve">The third conversation, and the one the dissertation most directly joins, concerns how to read a field’s maturity from its documentary trace. Outreach on traffic management explicitly took the community’s own communicative activity as an object of study, treating the volume and direction of attention as evidence about the field’s development</w:t>
      </w:r>
      <w:r>
        <w:t xml:space="preserve"> </w:t>
      </w:r>
      <w:hyperlink w:anchor="ref-9">
        <w:r>
          <w:rPr>
            <w:rStyle w:val="Hyperlink"/>
          </w:rPr>
          <w:t xml:space="preserve">[9]</w:t>
        </w:r>
      </w:hyperlink>
      <w:r>
        <w:t xml:space="preserve">. That is the methodological hinge of this dissertation. If attention can be treated as data, then recency, citation counts, and venue family become measurable predictors of a topic’s salience, and the coordination question acquires an empirical handle. International perspectives on space weapons supplies a cautionary counterpoint from an adjacent policy domain, showing how contested a field can be even when heavily documented, which warns against reading document counts as consensus</w:t>
      </w:r>
      <w:r>
        <w:t xml:space="preserve"> </w:t>
      </w:r>
      <w:hyperlink w:anchor="ref-3">
        <w:r>
          <w:rPr>
            <w:rStyle w:val="Hyperlink"/>
          </w:rPr>
          <w:t xml:space="preserve">[3]</w:t>
        </w:r>
      </w:hyperlink>
      <w:r>
        <w:t xml:space="preserve">. A review of electrodynamic-tether missions and a comprehensive ground-flight testing study of a critical space mechanism demonstrate the accumulation patterns that mature subfields exhibit, giving the dissertation a comparison class for what a structured attention signal looks like as a subfield ages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There is a methodological precedent worth making explicit, because it licenses treating a literature as data rather than only as background. Bibliometric and learning-curve approaches have long been used to characterize how technical fields mature, and studies of accumulation in adjacent space subfields, from electrodynamic tethers to precision space mechanisms, show that a maturing subfield exhibits a regular relationship between document age and accumulated attention</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Borrowing that instrument, the dissertation asks whether the coordination literature shows the same regularity. The move is not novel in the abstract; what is novel is applying it to the specific question of voluntary data-sharing salience, where the instrument has not previously been turned. Outreach on traffic management came closest by treating communicative activity as an object of study, but it stopped short of estimating the attention structure, which is the increment this dissertation supplies</w:t>
      </w:r>
      <w:r>
        <w:t xml:space="preserve"> </w:t>
      </w:r>
      <w:hyperlink w:anchor="ref-9">
        <w:r>
          <w:rPr>
            <w:rStyle w:val="Hyperlink"/>
          </w:rPr>
          <w:t xml:space="preserve">[9]</w:t>
        </w:r>
      </w:hyperlink>
      <w:r>
        <w:t xml:space="preserve">.</w:t>
      </w:r>
    </w:p>
    <w:p>
      <w:pPr>
        <w:pStyle w:val="BodyText"/>
        <w:spacing w:line="480" w:lineRule="auto"/>
        <w:ind w:firstLine="720"/>
      </w:pPr>
      <w:r>
        <w:t xml:space="preserve">Two gaps remain. The dissertation is positioned in both. The first is the gap between technical demonstration and institutional explanation. The sources show that coordination is buildable and valuable, but they do not measure whether the field is approaching the participation threshold that would make it self-sustaining</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second is the gap between asserted salience and measured salience. Recency, attention, and venue structure are invoked rhetorically but rarely estimated</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A final observation about the shape of this literature clarifies what the dissertation adds. The technical and architectural sources are rich and largely optimistic: they show that coordination can be built, that its payoffs are real, and that the cislunar case makes it urgent</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15">
        <w:r>
          <w:rPr>
            <w:rStyle w:val="Hyperlink"/>
          </w:rPr>
          <w:t xml:space="preserve">[15]</w:t>
        </w:r>
      </w:hyperlink>
      <w:r>
        <w:t xml:space="preserve">. The governance sources are fewer and more cautionary, warning that technical capability does not produce institutional agreement on its own</w:t>
      </w:r>
      <w:r>
        <w:t xml:space="preserve"> </w:t>
      </w:r>
      <w:hyperlink w:anchor="ref-3">
        <w:r>
          <w:rPr>
            <w:rStyle w:val="Hyperlink"/>
          </w:rPr>
          <w:t xml:space="preserve">[3]</w:t>
        </w:r>
      </w:hyperlink>
      <w:r>
        <w:t xml:space="preserve"> </w:t>
      </w:r>
      <w:hyperlink w:anchor="ref-7">
        <w:r>
          <w:rPr>
            <w:rStyle w:val="Hyperlink"/>
          </w:rPr>
          <w:t xml:space="preserve">[7]</w:t>
        </w:r>
      </w:hyperlink>
      <w:r>
        <w:t xml:space="preserve">. Almost none of the sources measure the field’s own trajectory. They describe a destination and a vehicle without checking the odometer. This dissertation reads the odometer, imperfectly, through documentary metadata, and reports what it says. The reading is partial and the instrument is coarse, but a coarse measurement of trajectory is a different kind of contribution from another demonstration that the destination is reachable, and it is the kind the literature has left undone.</w:t>
      </w:r>
    </w:p>
    <w:p>
      <w:pPr>
        <w:pStyle w:val="BodyText"/>
        <w:spacing w:line="480" w:lineRule="auto"/>
        <w:ind w:firstLine="720"/>
      </w:pPr>
      <w:r>
        <w:t xml:space="preserve">This dissertation does not close either gap fully. It supplies a reproducible first measurement, which is the step the literature has skipped. What follows in Chapter 3 turns that positioning into an explicit mechanism and a set of predictions that the two estimators can accept or reject.</w:t>
      </w:r>
    </w:p>
    <w:bookmarkEnd w:id="74"/>
    <w:bookmarkEnd w:id="75"/>
    <w:bookmarkStart w:id="84" w:name="chapter-3.-theory-and-hypotheses"/>
    <w:p>
      <w:pPr>
        <w:pStyle w:val="Heading1"/>
        <w:spacing w:line="480" w:lineRule="auto"/>
      </w:pPr>
      <w:r>
        <w:t xml:space="preserve">Chapter 3. Theory and Hypotheses</w:t>
      </w:r>
    </w:p>
    <w:p>
      <w:pPr>
        <w:pStyle w:val="FirstParagraph"/>
        <w:spacing w:line="480" w:lineRule="auto"/>
      </w:pPr>
      <w:r>
        <w:t xml:space="preserve">A tipping point is a claim about nonlinearity. The change is not gradual. It says that a system’s behavior changes qualitatively once a control variable crosses a threshold, and that below the threshold the same forces produce a different, often opposite, outcome. Voluntary data sharing in space traffic management has this shape. This chapter states the mechanism precisely, derives what it should leave in the documentary record, and converts those expectations into two testable hypotheses that the estimators can accept or reject.</w:t>
      </w:r>
    </w:p>
    <w:bookmarkStart w:id="76" w:name="the-coordination-mechanism"/>
    <w:p>
      <w:pPr>
        <w:pStyle w:val="Heading2"/>
        <w:spacing w:line="480" w:lineRule="auto"/>
      </w:pPr>
      <w:r>
        <w:t xml:space="preserve">The coordination mechanism</w:t>
      </w:r>
    </w:p>
    <w:p>
      <w:pPr>
        <w:pStyle w:val="FirstParagraph"/>
        <w:spacing w:line="480" w:lineRule="auto"/>
      </w:pPr>
      <w:r>
        <w:t xml:space="preserve">Start with one operator. Consider that operator deciding whether to share continuous state and behavior data into a common pool. The decision weighs a private cost against a benefit that depends on how many others are sharing. The cost is roughly fixed: instrumentation, reporting discipline, and the strategic exposure of revealing one’s own maneuvers. The benefit is not fixed. It rises with participation, because the value of shared awareness comes from the counterparts one can now anticipate, deconflict with, and hold accountable</w:t>
      </w:r>
      <w:r>
        <w:t xml:space="preserve"> </w:t>
      </w:r>
      <w:hyperlink w:anchor="ref-4">
        <w:r>
          <w:rPr>
            <w:rStyle w:val="Hyperlink"/>
          </w:rPr>
          <w:t xml:space="preserve">[4]</w:t>
        </w:r>
      </w:hyperlink>
      <w:r>
        <w:t xml:space="preserve"> </w:t>
      </w:r>
      <w:hyperlink w:anchor="ref-6">
        <w:r>
          <w:rPr>
            <w:rStyle w:val="Hyperlink"/>
          </w:rPr>
          <w:t xml:space="preserve">[6]</w:t>
        </w:r>
      </w:hyperlink>
      <w:r>
        <w:t xml:space="preserve">. When few participate, the benefit sits below the cost and rational operators abstain. When many participate, the benefit clears the cost and abstention becomes the costly choice. Between those regimes lies a threshold, a critical mass, above which sharing becomes self-reinforcing</w:t>
      </w:r>
      <w:r>
        <w:t xml:space="preserve"> </w:t>
      </w:r>
      <w:hyperlink w:anchor="ref-2">
        <w:r>
          <w:rPr>
            <w:rStyle w:val="Hyperlink"/>
          </w:rPr>
          <w:t xml:space="preserve">[2]</w:t>
        </w:r>
      </w:hyperlink>
      <w:r>
        <w:t xml:space="preserve">.</w:t>
      </w:r>
    </w:p>
    <w:p>
      <w:pPr>
        <w:pStyle w:val="BodyText"/>
        <w:spacing w:line="480" w:lineRule="auto"/>
        <w:ind w:firstLine="720"/>
      </w:pPr>
      <w:r>
        <w:t xml:space="preserve">The nonlinearity can be stated more formally without heavy machinery. Let the net benefit of sharing to a representative operator be the difference between a participation-dependent gain and a fixed cost. If the gain rises with the fraction of the population already sharing, and rises faster than linearly over some middle range because each additional participant makes the shared net more useful to everyone, then the net-benefit curve crosses zero at a participation fraction that constitutes the critical mass. Below that fraction, an operator weighing the decision finds abstention rational, and individual rational choices reproduce low participation. Above it, the same rational calculation flips, and participation reproduces itself. The two stable regimes, near-zero sharing and near-universal sharing, are separated by an unstable threshold, and the policy task is to push the system across that threshold before the orbital environment degrades to the point where coordination is being retrofitted under duress</w:t>
      </w:r>
      <w:r>
        <w:t xml:space="preserve"> </w:t>
      </w:r>
      <w:hyperlink w:anchor="ref-5">
        <w:r>
          <w:rPr>
            <w:rStyle w:val="Hyperlink"/>
          </w:rPr>
          <w:t xml:space="preserve">[5]</w:t>
        </w:r>
      </w:hyperlink>
      <w:r>
        <w:t xml:space="preserve">. The estimators in this dissertation do not measure the participation fraction. They measure whether the field that would design and populate such a net is showing the documentary signs of a topic approaching consolidation.</w:t>
      </w:r>
    </w:p>
    <w:p>
      <w:pPr>
        <w:pStyle w:val="BodyText"/>
        <w:spacing w:line="480" w:lineRule="auto"/>
        <w:ind w:firstLine="720"/>
      </w:pPr>
      <w:r>
        <w:t xml:space="preserve">This is the coordination good at the heart of the dissertation’s title. The good is nonrival in the sense that one operator’s use of shared data does not diminish another’s, but it is excludable through nonparticipation, and its supply is a function of collective behavior</w:t>
      </w:r>
      <w:r>
        <w:t xml:space="preserve"> </w:t>
      </w:r>
      <w:hyperlink w:anchor="ref-1">
        <w:r>
          <w:rPr>
            <w:rStyle w:val="Hyperlink"/>
          </w:rPr>
          <w:t xml:space="preserve">[1]</w:t>
        </w:r>
      </w:hyperlink>
      <w:r>
        <w:t xml:space="preserve"> </w:t>
      </w:r>
      <w:hyperlink w:anchor="ref-7">
        <w:r>
          <w:rPr>
            <w:rStyle w:val="Hyperlink"/>
          </w:rPr>
          <w:t xml:space="preserve">[7]</w:t>
        </w:r>
      </w:hyperlink>
      <w:r>
        <w:t xml:space="preserve">. Coalition architecture makes the point structural: coordinating parties assemble into arrangements whose stability depends on reaching a participation level where defection becomes irrational</w:t>
      </w:r>
      <w:r>
        <w:t xml:space="preserve"> </w:t>
      </w:r>
      <w:hyperlink w:anchor="ref-2">
        <w:r>
          <w:rPr>
            <w:rStyle w:val="Hyperlink"/>
          </w:rPr>
          <w:t xml:space="preserve">[2]</w:t>
        </w:r>
      </w:hyperlink>
      <w:r>
        <w:t xml:space="preserve">. In-orbit servicing and joint maneuver work make it operational: the concrete payoff of coordination, a fuel-efficient avoidance or a safely executed rendezvous, materializes only when a counterpart has already committed to the shared baseline</w:t>
      </w:r>
      <w:r>
        <w:t xml:space="preserve"> </w:t>
      </w:r>
      <w:hyperlink w:anchor="ref-6">
        <w:r>
          <w:rPr>
            <w:rStyle w:val="Hyperlink"/>
          </w:rPr>
          <w:t xml:space="preserve">[6]</w:t>
        </w:r>
      </w:hyperlink>
      <w:r>
        <w:t xml:space="preserve"> </w:t>
      </w:r>
      <w:hyperlink w:anchor="ref-15">
        <w:r>
          <w:rPr>
            <w:rStyle w:val="Hyperlink"/>
          </w:rPr>
          <w:t xml:space="preserve">[15]</w:t>
        </w:r>
      </w:hyperlink>
      <w:r>
        <w:t xml:space="preserve">. In the cislunar regime the threshold is higher and the payoff larger, because sensing is sparse, delays are long, and no single actor can substitute its own observation for a shared net</w:t>
      </w:r>
      <w:r>
        <w:t xml:space="preserve"> </w:t>
      </w:r>
      <w:hyperlink w:anchor="ref-16">
        <w:r>
          <w:rPr>
            <w:rStyle w:val="Hyperlink"/>
          </w:rPr>
          <w:t xml:space="preserve">[16]</w:t>
        </w:r>
      </w:hyperlink>
      <w:r>
        <w:t xml:space="preserve">.</w:t>
      </w:r>
    </w:p>
    <w:bookmarkEnd w:id="76"/>
    <w:bookmarkStart w:id="77" w:name="X2e7c8b04074c7d70087691e16812d08128ccb86"/>
    <w:p>
      <w:pPr>
        <w:pStyle w:val="Heading2"/>
        <w:spacing w:line="480" w:lineRule="auto"/>
      </w:pPr>
      <w:r>
        <w:t xml:space="preserve">What the mechanism should leave in the record</w:t>
      </w:r>
    </w:p>
    <w:p>
      <w:pPr>
        <w:pStyle w:val="FirstParagraph"/>
        <w:spacing w:line="480" w:lineRule="auto"/>
      </w:pPr>
      <w:r>
        <w:t xml:space="preserve">A tipping-point process is hard to observe directly at the level of operator decisions, which are private and often undisclosed. It is easier to observe in the field’s documentary shadow. If the coordination problem is becoming salient, three things should be visible in the literature that discusses it.</w:t>
      </w:r>
    </w:p>
    <w:p>
      <w:pPr>
        <w:pStyle w:val="BodyText"/>
        <w:spacing w:line="480" w:lineRule="auto"/>
        <w:ind w:firstLine="720"/>
      </w:pPr>
      <w:r>
        <w:t xml:space="preserve">Recency should carry signal. As the problem sharpens, more of the topic-relevant work should be recent, and recent work should express the coordination framing more intensely than older work that predates it. Citation attention should concentrate, because a maturing field draws citations toward the sources that articulate its core constructs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Venue family should shift, because a topic migrating from informal demonstration toward institutional acceptance tends to move from conference proceedings toward archival journals, and venue family is a coarse but observable index of that migration.</w:t>
      </w:r>
    </w:p>
    <w:p>
      <w:pPr>
        <w:pStyle w:val="BodyText"/>
        <w:spacing w:line="480" w:lineRule="auto"/>
        <w:ind w:firstLine="720"/>
      </w:pPr>
      <w:r>
        <w:t xml:space="preserve">None of these signals is the tipping point itself. Each is a trace the process should leave if it is underway. Treating attention and venue as data, rather than as rhetoric, is what lets the dissertation test the claim instead of merely asserting it</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p>
      <w:pPr>
        <w:pStyle w:val="BodyText"/>
        <w:spacing w:line="480" w:lineRule="auto"/>
        <w:ind w:firstLine="720"/>
      </w:pPr>
      <w:r>
        <w:t xml:space="preserve">It is worth being explicit about the inferential bridge, because it is where a careless study would overreach. The bridge has two spans. The first span connects the coordination process to the field’s attention: a process that is consolidating draws scholarly effort toward its core constructs, which is a well-attested feature of maturing technical fields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second span connects the field’s attention to observable metadata: attention that is concentrating shows up as citation accumulation, recency of high-signal work, and venue migration. The dissertation crosses both spans only in the weak, associational sense. It does not claim that observing the metadata pattern proves the process is underway; it claims that the absence of the pattern is evidence against the process being legible, and the presence of the pattern is evidence consistent with it. That asymmetry, weaker on confirmation than on disconfirmation, is deliberate, and it is what keeps the design falsifiable rather than merely illustrative</w:t>
      </w:r>
      <w:r>
        <w:t xml:space="preserve"> </w:t>
      </w:r>
      <w:hyperlink w:anchor="ref-4">
        <w:r>
          <w:rPr>
            <w:rStyle w:val="Hyperlink"/>
          </w:rPr>
          <w:t xml:space="preserve">[4]</w:t>
        </w:r>
      </w:hyperlink>
      <w:r>
        <w:t xml:space="preserve">.</w:t>
      </w:r>
    </w:p>
    <w:bookmarkEnd w:id="77"/>
    <w:bookmarkStart w:id="78" w:name="two-regimes-and-the-path-between-them"/>
    <w:p>
      <w:pPr>
        <w:pStyle w:val="Heading2"/>
        <w:spacing w:line="480" w:lineRule="auto"/>
      </w:pPr>
      <w:r>
        <w:t xml:space="preserve">Two regimes and the path between them</w:t>
      </w:r>
    </w:p>
    <w:p>
      <w:pPr>
        <w:pStyle w:val="FirstParagraph"/>
        <w:spacing w:line="480" w:lineRule="auto"/>
      </w:pPr>
      <w:r>
        <w:t xml:space="preserve">The tipping-point mechanism implies that the system can rest in either of two stable regimes, and understanding both is necessary to see why measurement of the transition is worthwhile. In the low-participation regime, few operators share, the shared net is thin, its value is low, and each operator’s rational abstention keeps the net thin; the regime is self-reproducing. In the high-participation regime, most operators share, the net is dense, its value is high, and abstention is the costly choice; that regime is self-reproducing too. Between them the system is unstable, poised so that a modest push in participation can send it toward the dense equilibrium while a modest withdrawal can collapse it toward the thin one</w:t>
      </w:r>
      <w:r>
        <w:t xml:space="preserve"> </w:t>
      </w:r>
      <w:hyperlink w:anchor="ref-2">
        <w:r>
          <w:rPr>
            <w:rStyle w:val="Hyperlink"/>
          </w:rPr>
          <w:t xml:space="preserve">[2]</w:t>
        </w:r>
      </w:hyperlink>
      <w:r>
        <w:t xml:space="preserve"> </w:t>
      </w:r>
      <w:hyperlink w:anchor="ref-4">
        <w:r>
          <w:rPr>
            <w:rStyle w:val="Hyperlink"/>
          </w:rPr>
          <w:t xml:space="preserve">[4]</w:t>
        </w:r>
      </w:hyperlink>
      <w:r>
        <w:t xml:space="preserve">. Policy leverage is concentrated near that unstable middle, because that is where a small institutional intervention, a shared standard, a reputational incentive, a verifiable behavioral reference, can tip the system rather than merely nudge it</w:t>
      </w:r>
      <w:r>
        <w:t xml:space="preserve"> </w:t>
      </w:r>
      <w:hyperlink w:anchor="ref-1">
        <w:r>
          <w:rPr>
            <w:rStyle w:val="Hyperlink"/>
          </w:rPr>
          <w:t xml:space="preserve">[1]</w:t>
        </w:r>
      </w:hyperlink>
      <w:r>
        <w:t xml:space="preserve">.</w:t>
      </w:r>
    </w:p>
    <w:p>
      <w:pPr>
        <w:pStyle w:val="BodyText"/>
        <w:spacing w:line="480" w:lineRule="auto"/>
        <w:ind w:firstLine="720"/>
      </w:pPr>
      <w:r>
        <w:t xml:space="preserve">The documentary signals the dissertation measures are, on this account, indirect indicators of where the field sits relative to the middle. A field still far below the threshold would show scattered, low-attention work; a field approaching the threshold would show concentrating attention and framing intensity migrating toward the venues where operational agreement forms</w:t>
      </w:r>
      <w:r>
        <w:t xml:space="preserve"> </w:t>
      </w:r>
      <w:hyperlink w:anchor="ref-7">
        <w:r>
          <w:rPr>
            <w:rStyle w:val="Hyperlink"/>
          </w:rPr>
          <w:t xml:space="preserve">[7]</w:t>
        </w:r>
      </w:hyperlink>
      <w:r>
        <w:t xml:space="preserve"> </w:t>
      </w:r>
      <w:hyperlink w:anchor="ref-9">
        <w:r>
          <w:rPr>
            <w:rStyle w:val="Hyperlink"/>
          </w:rPr>
          <w:t xml:space="preserve">[9]</w:t>
        </w:r>
      </w:hyperlink>
      <w:r>
        <w:t xml:space="preserve">. The estimators cannot locate the threshold, but they can ask whether the corpus looks like a field in motion toward it or a field at rest below it. That is the modest empirical translation of a mechanism whose full behavioral test lies beyond what documentary data can reach.</w:t>
      </w:r>
    </w:p>
    <w:bookmarkEnd w:id="78"/>
    <w:bookmarkStart w:id="79" w:name="hypothesis-1-cross-sectional-structure"/>
    <w:p>
      <w:pPr>
        <w:pStyle w:val="Heading2"/>
        <w:spacing w:line="480" w:lineRule="auto"/>
      </w:pPr>
      <w:r>
        <w:t xml:space="preserve">Hypothesis 1: cross-sectional structure</w:t>
      </w:r>
    </w:p>
    <w:p>
      <w:pPr>
        <w:pStyle w:val="FirstParagraph"/>
        <w:spacing w:line="480" w:lineRule="auto"/>
      </w:pPr>
      <w:r>
        <w:t xml:space="preserve">Begin with the snapshot. The first hypothesis reads the corpus at a single moment. It asks whether a composite topic-signal score, built from how strongly each record expresses the coordination theme, is patterned across the three observable predictors: publication recency, citation attention, and venue family.</w:t>
      </w:r>
    </w:p>
    <w:p>
      <w:pPr>
        <w:pStyle w:val="BodyText"/>
        <w:spacing w:line="480" w:lineRule="auto"/>
        <w:ind w:firstLine="720"/>
      </w:pPr>
      <w:r>
        <w:t xml:space="preserve">H1a (null): the topic-signal score is unrelated to publication recency, citation attention, and venue family in the retrieved source corpus.</w:t>
      </w:r>
    </w:p>
    <w:p>
      <w:pPr>
        <w:pStyle w:val="BodyText"/>
        <w:spacing w:line="480" w:lineRule="auto"/>
        <w:ind w:firstLine="720"/>
      </w:pPr>
      <w:r>
        <w:t xml:space="preserve">H1b (alternative): the topic-signal score is systematically related to those predictors, rising with recency and citation attention.</w:t>
      </w:r>
    </w:p>
    <w:p>
      <w:pPr>
        <w:pStyle w:val="BodyText"/>
        <w:spacing w:line="480" w:lineRule="auto"/>
        <w:ind w:firstLine="720"/>
      </w:pPr>
      <w:r>
        <w:t xml:space="preserve">The directional expectation is that recency and citation attention carry positive coefficients, because a sharpening problem should be expressed more intensely in recent, well-attended work. Venue family is left as an open sign. A positive venue coefficient would indicate that archival journals carry the strongest signal; a negative one would indicate that the coordination framing is expressed most intensely in the conference literature where operational problems surface first. Both are substantively meaningful, so the hypothesis does not prejudge the direction of the venue term.</w:t>
      </w:r>
    </w:p>
    <w:p>
      <w:pPr>
        <w:pStyle w:val="BodyText"/>
        <w:spacing w:line="480" w:lineRule="auto"/>
        <w:ind w:firstLine="720"/>
      </w:pPr>
      <w:r>
        <w:t xml:space="preserve">The choice to leave the venue sign open, rather than predicting it positive, is a deliberate act of theoretical honesty. A naive maturation story would predict that stronger signals live in archival journals, the higher venue tier, so a positive venue coefficient would confirm the story and a negative one would embarrass it. The mechanism developed here supports a more nuanced expectation. Operational communities that meet at conferences tend to articulate coordination problems before those problems are formalized in journals, so during the early phase of a topic’s maturation the strongest framing intensity may well sit in the lower venue tier</w:t>
      </w:r>
      <w:r>
        <w:t xml:space="preserve"> </w:t>
      </w:r>
      <w:hyperlink w:anchor="ref-4">
        <w:r>
          <w:rPr>
            <w:rStyle w:val="Hyperlink"/>
          </w:rPr>
          <w:t xml:space="preserve">[4]</w:t>
        </w:r>
      </w:hyperlink>
      <w:r>
        <w:t xml:space="preserve"> </w:t>
      </w:r>
      <w:hyperlink w:anchor="ref-7">
        <w:r>
          <w:rPr>
            <w:rStyle w:val="Hyperlink"/>
          </w:rPr>
          <w:t xml:space="preserve">[7]</w:t>
        </w:r>
      </w:hyperlink>
      <w:r>
        <w:t xml:space="preserve">. Because the theory can rationalize either sign depending on where the field sits on its path, the hypothesis declines to commit, and it reads whichever sign emerges as evidence about the field’s phase rather than as confirmation or refutation of maturation itself. A prediction that pre-commits only where the theory genuinely constrains it is stronger than one that pretends to more determinacy than the mechanism supplies.</w:t>
      </w:r>
    </w:p>
    <w:bookmarkEnd w:id="79"/>
    <w:bookmarkStart w:id="80" w:name="hypothesis-2-temporal-accumulation"/>
    <w:p>
      <w:pPr>
        <w:pStyle w:val="Heading2"/>
        <w:spacing w:line="480" w:lineRule="auto"/>
      </w:pPr>
      <w:r>
        <w:t xml:space="preserve">Hypothesis 2: temporal accumulation</w:t>
      </w:r>
    </w:p>
    <w:p>
      <w:pPr>
        <w:pStyle w:val="FirstParagraph"/>
        <w:spacing w:line="480" w:lineRule="auto"/>
      </w:pPr>
      <w:r>
        <w:t xml:space="preserve">Time is the second lens. The second hypothesis reads the corpus as a process. It asks whether citation attention accrues along a measurable curve as documents age, rather than accumulating at random. A learning-curve specification captures this: if attention follows a regular temporal law, the log of citations should be a linear function of the log of age, with a slope that summarizes how sharply attention concentrates by document age</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H2a (null): citation accumulation is unrelated to article age in the retrieved topic literature.</w:t>
      </w:r>
    </w:p>
    <w:p>
      <w:pPr>
        <w:pStyle w:val="BodyText"/>
        <w:spacing w:line="480" w:lineRule="auto"/>
        <w:ind w:firstLine="720"/>
      </w:pPr>
      <w:r>
        <w:t xml:space="preserve">H2b (alternative): citation accumulation follows a measurable age-based attention curve.</w:t>
      </w:r>
    </w:p>
    <w:p>
      <w:pPr>
        <w:pStyle w:val="BodyText"/>
        <w:spacing w:line="480" w:lineRule="auto"/>
        <w:ind w:firstLine="720"/>
      </w:pPr>
      <w:r>
        <w:t xml:space="preserve">The sign of the age slope is theoretically informative. A positive slope would say older documents accumulate more citations, the ordinary result of longer exposure time. A negative slope would say something more interesting for a tipping-point field: that recent documents draw disproportionate attention relative to their age, which is the pattern a rapidly consolidating topic produces when the newest framings capture the community’s focus. The dissertation therefore reads the age coefficient not only for significance but for its sign.</w:t>
      </w:r>
    </w:p>
    <w:p>
      <w:pPr>
        <w:pStyle w:val="BodyText"/>
        <w:spacing w:line="480" w:lineRule="auto"/>
        <w:ind w:firstLine="720"/>
      </w:pPr>
      <w:r>
        <w:t xml:space="preserve">The learning-curve form carries an additional interpretive payload through its progress ratio, the factor by which the outcome changes as the input doubles. In its original industrial setting, a progress ratio below one signals improvement with accumulated experience. Transposed to citation dynamics, a progress ratio below one as age doubles signals that attention thins with age rather than thickening, which for this literature would mean the community keeps reorienting toward its newest contributions. That is a substantively different claim from the mere sign of the slope, and reporting it lets the dissertation say not just whether attention is age-structured but how sharply. The two hypotheses are therefore complementary in a precise way. The first asks whether the corpus has structure at a moment; the second asks whether it has structure through time. A field could pass one test and fail the other, and knowing which combination holds is more informative than a single verdict would be</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80"/>
    <w:bookmarkStart w:id="81" w:name="from-mechanism-to-measurable-predictor"/>
    <w:p>
      <w:pPr>
        <w:pStyle w:val="Heading2"/>
        <w:spacing w:line="480" w:lineRule="auto"/>
      </w:pPr>
      <w:r>
        <w:t xml:space="preserve">From mechanism to measurable predictor</w:t>
      </w:r>
    </w:p>
    <w:p>
      <w:pPr>
        <w:pStyle w:val="FirstParagraph"/>
        <w:spacing w:line="480" w:lineRule="auto"/>
      </w:pPr>
      <w:r>
        <w:t xml:space="preserve">The mechanism licenses each predictor in the estimators, and the licensing is worth spelling out so that the models read as tests of the theory rather than as a convenient regression. Recency is licensed because a coordination problem that is sharpening should be discussed more, and more intensely, in recent work than in the older work that predates the problem’s recognition. Citation attention is licensed because a consolidating field concentrates its citations on the sources that state its core constructs, so attention is a proxy for which framings the community is organizing around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Venue family is licensed because the migration from proceedings to journals tracks a topic’s movement from operational recognition toward institutional formalization, and the direction of that migration is itself informative about where the field sits on its maturation path</w:t>
      </w:r>
      <w:r>
        <w:t xml:space="preserve"> </w:t>
      </w:r>
      <w:hyperlink w:anchor="ref-7">
        <w:r>
          <w:rPr>
            <w:rStyle w:val="Hyperlink"/>
          </w:rPr>
          <w:t xml:space="preserve">[7]</w:t>
        </w:r>
      </w:hyperlink>
      <w:r>
        <w:t xml:space="preserve">. Age, in the temporal model, is licensed because accumulation processes leave age-structured traces, and the presence or absence of that structure distinguishes a moving field from a static one</w:t>
      </w:r>
      <w:r>
        <w:t xml:space="preserve"> </w:t>
      </w:r>
      <w:hyperlink w:anchor="ref-11">
        <w:r>
          <w:rPr>
            <w:rStyle w:val="Hyperlink"/>
          </w:rPr>
          <w:t xml:space="preserve">[11]</w:t>
        </w:r>
      </w:hyperlink>
      <w:r>
        <w:t xml:space="preserve">.</w:t>
      </w:r>
    </w:p>
    <w:p>
      <w:pPr>
        <w:pStyle w:val="BodyText"/>
        <w:spacing w:line="480" w:lineRule="auto"/>
        <w:ind w:firstLine="720"/>
      </w:pPr>
      <w:r>
        <w:t xml:space="preserve">Each predictor therefore does theoretical work, not merely statistical work. A coefficient on recency is a test of whether the sharpening-problem prediction holds. A coefficient on venue is a test of the migration prediction. A slope on age is a test of the accumulation prediction. When Chapter 6 reports that some of these coefficients are precise and others are not, it is reporting which of the mechanism’s predictions the corpus supports, which is exactly the granular feedback a falsifiable design is supposed to return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1"/>
    <w:bookmarkStart w:id="82" w:name="scope-conditions-of-the-mechanism"/>
    <w:p>
      <w:pPr>
        <w:pStyle w:val="Heading2"/>
        <w:spacing w:line="480" w:lineRule="auto"/>
      </w:pPr>
      <w:r>
        <w:t xml:space="preserve">Scope conditions of the mechanism</w:t>
      </w:r>
    </w:p>
    <w:p>
      <w:pPr>
        <w:pStyle w:val="FirstParagraph"/>
        <w:spacing w:line="480" w:lineRule="auto"/>
      </w:pPr>
      <w:r>
        <w:t xml:space="preserve">Every mechanism holds only under conditions, and stating them keeps the theory from overreaching. The tipping-point account assumes that the value of the shared net rises with participation, which holds when the data are genuinely complementary, one operator’s state vectors making another’s picture more complete, and could weaken if operators’ assets were so segregated that sharing conferred little mutual benefit</w:t>
      </w:r>
      <w:r>
        <w:t xml:space="preserve"> </w:t>
      </w:r>
      <w:hyperlink w:anchor="ref-4">
        <w:r>
          <w:rPr>
            <w:rStyle w:val="Hyperlink"/>
          </w:rPr>
          <w:t xml:space="preserve">[4]</w:t>
        </w:r>
      </w:hyperlink>
      <w:r>
        <w:t xml:space="preserve"> </w:t>
      </w:r>
      <w:hyperlink w:anchor="ref-6">
        <w:r>
          <w:rPr>
            <w:rStyle w:val="Hyperlink"/>
          </w:rPr>
          <w:t xml:space="preserve">[6]</w:t>
        </w:r>
      </w:hyperlink>
      <w:r>
        <w:t xml:space="preserve">. It assumes that the cost of contributing is roughly fixed and non-trivial, which holds when reporting requires real instrumentation and strategic disclosure, and could weaken if contribution became nearly free through ubiquitous distributed sensing</w:t>
      </w:r>
      <w:r>
        <w:t xml:space="preserve"> </w:t>
      </w:r>
      <w:hyperlink w:anchor="ref-8">
        <w:r>
          <w:rPr>
            <w:rStyle w:val="Hyperlink"/>
          </w:rPr>
          <w:t xml:space="preserve">[8]</w:t>
        </w:r>
      </w:hyperlink>
      <w:r>
        <w:t xml:space="preserve">. It assumes that operators behave as if weighing costs against participation-dependent benefits, which is a simplification that abstracts from regulation, alliance politics, and commercial strategy. These scope conditions are not defects; they are the boundary within which the documentary predictions follow from the mechanism. Where the conditions hold, a consolidating field should leave the traces the hypotheses look for. Where they fail, the traces could be absent even if coordination is progressing through some other channel, which is one more reason the dissertation reads a null result as bounded rather than decisive</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bookmarkEnd w:id="82"/>
    <w:bookmarkStart w:id="83" w:name="rival-explanations-held-in-view"/>
    <w:p>
      <w:pPr>
        <w:pStyle w:val="Heading2"/>
        <w:spacing w:line="480" w:lineRule="auto"/>
      </w:pPr>
      <w:r>
        <w:t xml:space="preserve">Rival explanations, held in view</w:t>
      </w:r>
    </w:p>
    <w:p>
      <w:pPr>
        <w:pStyle w:val="FirstParagraph"/>
        <w:spacing w:line="480" w:lineRule="auto"/>
      </w:pPr>
      <w:r>
        <w:t xml:space="preserve">A responsible mechanism names what could produce the same traces without the coordination process being real. A citation pattern could reflect the mechanical fact that older papers have had longer to accumulate citations, independent of any tipping dynamic. A venue coefficient could reflect indexing and coverage differences across source families rather than substantive migration. A topic-signal score could reflect the vocabulary conventions of a venue rather than the intensity of the underlying concern. These rivals are not dismissed. They are the reasons the estimators use robust standard errors, the reasons the venue term is coded ordinally and read cautiously, and the reasons Chapter 7 treats every coefficient as conditional on the retained corpus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most dangerous rival deserves its own statement because it directly threatens the temporal result the dissertation cares about most. Older documents have simply had more time to gather citations, so a positive age-citation relationship could arise from exposure alone, with no field dynamic behind it. This is why the sign of the age elasticity carries so much interpretive weight. Exposure pushes the slope positive; if the estimated slope comes back negative, it is doing so against the exposure headwind, which makes a negative result harder to explain away as a mere artifact of time. The theory thus predicts not just that age will matter but that a genuinely consolidating field could produce the counterintuitive negative slope, and it tells the reader in advance how to interpret each possible sign. A prediction that specifies its own falsification conditions is the strongest kind a design of this scope can offer</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One rival deserves separate treatment because it concerns the outcome rather than the predictors. The signal-intensity measure is a vocabulary-based count, so a field that expresses coordination in evolving language could show a flat or noisy signal even while its substantive attention is concentrating. This means the cross-sectional and temporal tests are not fully independent: a weakness in the outcome measure would attenuate the first test while leaving the second, which uses citations rather than term counts, comparatively untouched. That asymmetry is worth anticipating, because if the results were to show exactly that pattern, a flat cross-section beside a structured temporal curve, the vocabulary-measurement rival would be one candidate explanation alongside the substantive one that the field is early in its motion. The theory cannot adjudicate between those two on documentary evidence alone, and it says so in advance rather than picking the flattering reading after the fact</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theory is strong enough to make predictions and honest enough to specify how those predictions could fail. Chapter 4 turns these hypotheses into estimators and states why each identifies the effect it claims.</w:t>
      </w:r>
    </w:p>
    <w:bookmarkEnd w:id="83"/>
    <w:bookmarkEnd w:id="84"/>
    <w:bookmarkStart w:id="90"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models do the work. Two estimators carry the empirical argument. The first is an ordinary least squares regression of topic-signal intensity on three predictors. The second is a log-log learning-curve regression of citation accumulation on document age. This chapter specifies both, explains why each is the right tool for its hypothesis, and states carefully what each can identify and what it deliberately cannot. The governing commitment is that every claim in the results chapter must be reconstructable from the configuration files, the data rows, and the standard estimator machinery, with nothing added by narration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commitment shapes even small choices. Both models are estimated with the same standard-error correction, so their inferential machinery is uniform and a reader need not track two conventions. Both report their fit alongside their coefficients, so no term can be read in isolation from the model’s overall explanatory power. And both are specified entirely in the configuration files, so the chapter that reports their output adds interpretation but never adds a parameter. These are the disciplines that let identification mean something in an observational design: not that confounding has been eliminated, which it has not, but that the mapping from data to number is fixed and public</w:t>
      </w:r>
      <w:r>
        <w:t xml:space="preserve"> </w:t>
      </w:r>
      <w:hyperlink w:anchor="ref-3">
        <w:r>
          <w:rPr>
            <w:rStyle w:val="Hyperlink"/>
          </w:rPr>
          <w:t xml:space="preserve">[3]</w:t>
        </w:r>
      </w:hyperlink>
      <w:r>
        <w:t xml:space="preserve">.</w:t>
      </w:r>
    </w:p>
    <w:p>
      <w:pPr>
        <w:pStyle w:val="BodyText"/>
        <w:spacing w:line="480" w:lineRule="auto"/>
        <w:ind w:firstLine="720"/>
      </w:pPr>
      <w:r>
        <w:t xml:space="preserve">Before specifying either model, one principle governs both. The estimators are chosen to be the simplest tools that can answer their respective hypotheses, not the most elaborate the data could bear. A more complex specification, with interactions, higher-order terms, or a hierarchical structure, might extract more from a larger dataset, but on thirty observations it would manufacture precision that is not there. Simplicity here is a form of honesty: a lean model reports what a small sample can actually support, and its coefficients mean what they appear to mean. The two specifications that follow are therefore deliberately plain, and their plainness is a feature the identification argument leans on rather than a shortcoming to excuse</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85" w:name="the-cross-sectional-estimator"/>
    <w:p>
      <w:pPr>
        <w:pStyle w:val="Heading2"/>
        <w:spacing w:line="480" w:lineRule="auto"/>
      </w:pPr>
      <w:r>
        <w:t xml:space="preserve">The cross-sectional estimator</w:t>
      </w:r>
    </w:p>
    <w:p>
      <w:pPr>
        <w:pStyle w:val="FirstParagraph"/>
        <w:spacing w:line="480" w:lineRule="auto"/>
      </w:pPr>
      <w:r>
        <w:t xml:space="preserve">Take Hypothesis 1 first. It concerns whether the topic-signal score is patterned across recency, citation attention, and venue family. The natural specification is linear in the predictors, estimated by ordinary least squares. The model recorded in the paper configuration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Each coefficient answers a distinct question. beta_1 asks whether more recent records express the coordination framing more intensely. beta_2 asks whether records with more citation attention carry a stronger topic signal. beta_3 asks whether venue family, coded ordinally, is associated with signal intensity. The intercept alpha captures the expected signal for a hypothetical record at the baseline of all three predictors, and it is not of substantive interest on its own.</w:t>
      </w:r>
    </w:p>
    <w:p>
      <w:pPr>
        <w:pStyle w:val="BodyText"/>
        <w:spacing w:line="480" w:lineRule="auto"/>
        <w:ind w:firstLine="720"/>
      </w:pPr>
      <w:r>
        <w:t xml:space="preserve">A note on the choice against a count model is warranted, since the signal score is built from term hits and could in principle be modeled as a Poisson or negative-binomial count. Two considerations favor the linear specification here. The scores occupy a narrow range in the low single digits with no extreme right tail, so the count distribution’s characteristic skew, which is what motivates a Poisson link, is largely absent from this sample. And the question Hypothesis 1 poses is about the conditional mean’s direction and precision, not about the probability of rare high counts, so the linear model’s coefficients answer the question more transparently than a link-function model whose coefficients require exponentiation to interpret. The linear model is thus not a concession but a fit to the outcome’s actual shape, and its transparency serves the auditability the whole design is built around</w:t>
      </w:r>
      <w:r>
        <w:t xml:space="preserve"> </w:t>
      </w:r>
      <w:hyperlink w:anchor="ref-2">
        <w:r>
          <w:rPr>
            <w:rStyle w:val="Hyperlink"/>
          </w:rPr>
          <w:t xml:space="preserve">[2]</w:t>
        </w:r>
      </w:hyperlink>
      <w:r>
        <w:t xml:space="preserve">.</w:t>
      </w:r>
    </w:p>
    <w:p>
      <w:pPr>
        <w:pStyle w:val="BodyText"/>
        <w:spacing w:line="480" w:lineRule="auto"/>
        <w:ind w:firstLine="720"/>
      </w:pPr>
      <w:r>
        <w:t xml:space="preserve">Ordinary least squares is appropriate here because the outcome is a bounded count-like composite that behaves, across this sample, as a continuous measure of intensity, and because the question is associational rather than causal. The estimator recovers the conditional mean of the signal score given the predictors, which is exactly the object Hypothesis 1 names. Standard errors are computed with the HC1 heteroskedasticity-consistent correction, because there is no reason to assume the error variance is constant across records that differ widely in venue and attention. The HC1 choice guards the inference against the most likely violation of the classical assumptions without imposing a specific variance structure that the data cannot justify</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What the intercept and the coefficients jointly imply is worth stating so the reader can reconstruct a predicted value by hand. For any record, the model’s fitted signal score is the intercept plus the recency coefficient times the record’s recency index, plus the citation coefficient times its citation count, plus the venue coefficient times its venue score. A conference record from an early year with no citations would be predicted near the intercept adjusted downward slightly by its low recency and its venue level; a recent journal article with many citations would be predicted by combining the small positive recency contribution, the small negative citation contribution, and the larger negative venue contribution. Laying the arithmetic out this plainly is not pedantry. It is what lets a reader confirm that the model is a transparent linear combination of observable fields rather than a black box, which is the property the whole design depends on</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linear model also assumes that the effect of each predictor is additive and independent of the others, which is a simplification worth acknowledging rather than assuming silently. In principle, recency and venue could interact: the newest journal articles might express the coordination framing differently from the newest proceedings. The design does not fit that interaction, because a thirty-record sample cannot support the additional parameters without inflating the standard errors past usefulness. The additive form is therefore a modeling choice dictated by sample size, and its consequence is that the coefficients report average associations across the sample rather than condition-specific ones. A larger corpus could relax this, and Chapter 8 lists it among the extensions the present data cannot yet bear. Naming the assumption here, at the point where it is imposed, keeps the results chapter from being read as more general than the specification allows</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85"/>
    <w:bookmarkStart w:id="86" w:name="the-temporal-estimator"/>
    <w:p>
      <w:pPr>
        <w:pStyle w:val="Heading2"/>
        <w:spacing w:line="480" w:lineRule="auto"/>
      </w:pPr>
      <w:r>
        <w:t xml:space="preserve">The temporal estimator</w:t>
      </w:r>
    </w:p>
    <w:p>
      <w:pPr>
        <w:pStyle w:val="FirstParagraph"/>
        <w:spacing w:line="480" w:lineRule="auto"/>
      </w:pPr>
      <w:r>
        <w:t xml:space="preserve">Now the temporal question. Hypothesis 2 concerns whether citation attention accrues along a measurable curve as documents age. A learning-curve specification, standard in the study of accumulation processes, models the outcome and the predictor in logarithms: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log-log form is chosen for a specific reason. Its single slope, beta_1, is an elasticity: the percentage change in citations associated with a one percent change in document age. That makes the coefficient interpretable as a rate law rather than as a raw increment, which is what a learning-curve claim requires. From the slope one can also read a progress ratio, the multiplicative factor by which citations change as age doubles, computed as two raised to the slope. This is the quantity that tells a reader how sharply attention concentrates by age. The outcome is citations plus one rather than raw citations, because many records report zero citations and the logarithm of zero is undefined; adding one preserves every observation while leaving the ordering intact. As with the first model, standard errors use the HC1 correction, since the dispersion of citation counts is visibly wider for older, more variable records than for recent ones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log-log form also handles a data feature that a linear model would mishandle: the enormous spread in raw citation counts, which run from zero for most conference records to thirty-nine for the most-cited journal article. In levels, that single high count would exert outsized leverage on a linear slope, and the fit would be a story about one observation. The logarithm compresses that spread, so the elasticity is estimated from the whole distribution of ages rather than being anchored by the extreme. This is a standard and defensible reason to prefer the multiplicative form for accumulation data, and it is the reason the learning-curve model, rather than a linear citations-on-age regression, is the right instrument for Hypothesis 2</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A word on why both models use robust rather than classical standard errors. Classical inference assumes the error variance is constant across observations, an assumption these data plainly violate: records differ by an order of magnitude in citation count and by more than a decade in age, and the dispersion of the outcome tracks those differences. The HC1 correction rescales the variance estimate to remain valid under that heteroskedasticity without requiring the analyst to specify its exact form. The practical consequence is that the p values reported in Chapter 6 are conservative relative to what classical errors would produce, which is the prudent direction to err when the sample is small and the temptation to overclaim is real</w:t>
      </w:r>
      <w:r>
        <w:t xml:space="preserve"> </w:t>
      </w:r>
      <w:hyperlink w:anchor="ref-6">
        <w:r>
          <w:rPr>
            <w:rStyle w:val="Hyperlink"/>
          </w:rPr>
          <w:t xml:space="preserve">[6]</w:t>
        </w:r>
      </w:hyperlink>
      <w:r>
        <w:t xml:space="preserve">.</w:t>
      </w:r>
    </w:p>
    <w:bookmarkEnd w:id="86"/>
    <w:bookmarkStart w:id="87" w:name="Xa682312e9a54487728b6729158ee08dedf7042d"/>
    <w:p>
      <w:pPr>
        <w:pStyle w:val="Heading2"/>
        <w:spacing w:line="480" w:lineRule="auto"/>
      </w:pPr>
      <w:r>
        <w:t xml:space="preserve">Why these estimators identify their targets</w:t>
      </w:r>
    </w:p>
    <w:p>
      <w:pPr>
        <w:pStyle w:val="FirstParagraph"/>
        <w:spacing w:line="480" w:lineRule="auto"/>
      </w:pPr>
      <w:r>
        <w:t xml:space="preserve">The claim is deliberately small. Identification here is modest and explicit. Neither model claims randomized assignment, and neither claims to recover a causal policy effect in the world of operators and agencies. What each claims is narrower and defensible: that the association it estimates is a real feature of the retained corpus, reproducible by anyone holding the same rows.</w:t>
      </w:r>
    </w:p>
    <w:p>
      <w:pPr>
        <w:pStyle w:val="BodyText"/>
        <w:spacing w:line="480" w:lineRule="auto"/>
        <w:ind w:firstLine="720"/>
      </w:pPr>
      <w:r>
        <w:t xml:space="preserve">The first model identifies cross-sectional structure because its predictors are constructed from observable metadata fields that exist independently of the outcome coding. Recency is a deterministic function of publication year. Citation count is parsed from the index. Venue family is assigned by a fixed ordinal rule. None of these is derived from the signal score, so the regression is not fitting a variable against a transformation of itself. When the model returns a signed, precise coefficient, that is evidence of genuine patterning in the corpus; when it returns an imprecise one, that is evidence the patterning is absent or too weak for this sample to detect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second model identifies a temporal law because age and citations are measured on different axes, one from the calendar and one from the index, and the log-log form imposes a functional shape that the data can either support or reject. If citations accumulated at random with respect to age, the slope would be indistinguishable from zero and the fit would collapse. A slope that is both signed and significant is therefore informative about the shape of accumulation, subject to the caveat that longer exposure alone can generate age-citation association independent of any field dynamic. Chapter 7 treats that caveat as a live threat rather than a settled matter</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87"/>
    <w:bookmarkStart w:id="88" w:name="X85fff9898f829170c9837057c24b9fc781244f1"/>
    <w:p>
      <w:pPr>
        <w:pStyle w:val="Heading2"/>
        <w:spacing w:line="480" w:lineRule="auto"/>
      </w:pPr>
      <w:r>
        <w:t xml:space="preserve">What each null and each rejection would mean</w:t>
      </w:r>
    </w:p>
    <w:p>
      <w:pPr>
        <w:pStyle w:val="FirstParagraph"/>
        <w:spacing w:line="480" w:lineRule="auto"/>
      </w:pPr>
      <w:r>
        <w:t xml:space="preserve">A well-specified test says in advance what each outcome implies, and stating that here keeps the results chapter from improvising its interpretations. For the cross-sectional model, failing to reject the null means that within this corpus, signal intensity is not a linear function of recency, citations, or venue, which would be evidence that the coordination framing is distributed across the literature without the metadata structure a consolidating field displays. Rejecting the null on any single predictor would identify which observable field carries the structure, and the sign of that predictor would say in which direction. For the temporal model, failing to reject means citation accumulation is not age-structured in a log-log sense, consistent with attention distributed at random across document ages. Rejecting it means accumulation follows a measurable curve, and the sign of the slope distinguishes an exposure-driven pattern, where older work gathers more, from a consolidation pattern, where newer work draws disproportionate attention. Each of these mappings is fixed before the numbers are read, so the interpretation in Chapter 6 is a lookup rather than a rationalization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This pre-commitment is a small but real safeguard against the temptation to narrate whatever the data happen to show as a success. The design cannot force an honest reading, but it can make a dishonest one visible, by having already stated what each result would mean. That is the most a bounded observational study can offer, and the dissertation offers it deliberately.</w:t>
      </w:r>
    </w:p>
    <w:bookmarkEnd w:id="88"/>
    <w:bookmarkStart w:id="89" w:name="the-boundary-of-the-design"/>
    <w:p>
      <w:pPr>
        <w:pStyle w:val="Heading2"/>
        <w:spacing w:line="480" w:lineRule="auto"/>
      </w:pPr>
      <w:r>
        <w:t xml:space="preserve">The boundary of the design</w:t>
      </w:r>
    </w:p>
    <w:p>
      <w:pPr>
        <w:pStyle w:val="FirstParagraph"/>
        <w:spacing w:line="480" w:lineRule="auto"/>
      </w:pPr>
      <w:r>
        <w:t xml:space="preserve">Sample size deserves a candid word within the identification argument rather than only in the limitations chapter, because it shapes what identification can mean here. Thirty observations is enough to estimate a three-predictor linear model and a one-predictor log-log model, but it is not enough to chase interactions, nonlinearities beyond the imposed functional form, or subgroup effects. The design accepts this by keeping both specifications deliberately lean. A leaner model estimated on a small sample yields coefficients that are interpretable and standard errors that are honest; a richer model on the same sample would produce impressive-looking terms that the data cannot actually support. The restraint is therefore part of the identification, not a compromise of it. It ensures that when Chapter 6 reports a coefficient, the number reflects signal the sample can bear rather than an artifact of overfitting</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two estimators share a common ceiling, and stating it is part of the identification argument. Both read a corpus, not a population of operators. They can show that the coordination topic has, or lacks, structure in the documentary record. They cannot show that a data-sharing regime will consolidate, that any particular operator will join, or that the participation threshold has been crossed in the world. Those are causal and behavioral questions that require operator-level data the corpus does not contain</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 design is honest about this ceiling because the alternative, letting the prose imply more than the estimators support, is exactly the failure mode the dissertation was built to avoid. Reproducibility is the operational meaning of identification in this design, and it deserves a concrete statement. Every quantity Chapter 6 reports, each coefficient, each standard error, each fit statistic, is a deterministic function of the thirty data rows and the two specifications recorded in the configuration files. There is no random seed, no sampling step, no analyst discretion between the data and the numbers. Anyone holding the same rows and running the same two models obtains the same output to the last decimal. That property is what lets the dissertation claim identification of corpus structure without claiming identification of a causal effect: the association is a fact about the data that anyone can verify, and the interpretation of that association as evidence about field maturation is the argument the surrounding chapters make and defend</w:t>
      </w:r>
      <w:r>
        <w:t xml:space="preserve"> </w:t>
      </w:r>
      <w:hyperlink w:anchor="ref-1">
        <w:r>
          <w:rPr>
            <w:rStyle w:val="Hyperlink"/>
          </w:rPr>
          <w:t xml:space="preserve">[1]</w:t>
        </w:r>
      </w:hyperlink>
      <w:r>
        <w:t xml:space="preserve"> </w:t>
      </w:r>
      <w:hyperlink w:anchor="ref-2">
        <w:r>
          <w:rPr>
            <w:rStyle w:val="Hyperlink"/>
          </w:rPr>
          <w:t xml:space="preserve">[2]</w:t>
        </w:r>
      </w:hyperlink>
      <w:r>
        <w:t xml:space="preserve">. Separating the verifiable fact from the arguable interpretation is the spine of the whole design.</w:t>
      </w:r>
    </w:p>
    <w:p>
      <w:pPr>
        <w:pStyle w:val="BodyText"/>
        <w:spacing w:line="480" w:lineRule="auto"/>
        <w:ind w:firstLine="720"/>
      </w:pPr>
      <w:r>
        <w:t xml:space="preserve">It also clarifies what a replication would and would not change. A replication on the same corpus would reproduce the numbers exactly. A replication on a differently retrieved corpus, or with a citation source of broader coverage, could change the numbers, and the dissertation says so openly in Chapter 7. The design’s honesty lies in making that dependence visible rather than hiding it behind a single reported result. A closing remark ties the two estimators back to the single falsifiable contribution. Each model is one blade of a two-part test of whether the coordination topic’s salience is legible in the record: the first blade cuts across the corpus at a moment, the second cuts through it over time. A contribution that rested on either blade alone would be easier to overclaim, because a single result invites a single tidy story. Two blades that can disagree, as they do, make the story harder to tell and therefore more trustworthy when it is told. The identification argument for the pair is thus stronger than the argument for either alone: together they can distinguish a field structured at a moment, a field structured through time, both, or neither, and knowing which of those four the corpus exhibits is more information than a single verdict could carry</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What the models can do, they do reproducibly. What they cannot do, they name. Chapter 5 documents the dataset that makes both estimators auditable, and Chapter 6 reports their exact output.</w:t>
      </w:r>
    </w:p>
    <w:bookmarkEnd w:id="89"/>
    <w:bookmarkEnd w:id="90"/>
    <w:bookmarkStart w:id="100" w:name="chapter-5.-data-and-measurement"/>
    <w:p>
      <w:pPr>
        <w:pStyle w:val="Heading1"/>
        <w:spacing w:line="480" w:lineRule="auto"/>
      </w:pPr>
      <w:r>
        <w:t xml:space="preserve">Chapter 5. Data and Measurement</w:t>
      </w:r>
    </w:p>
    <w:p>
      <w:pPr>
        <w:pStyle w:val="FirstParagraph"/>
        <w:spacing w:line="480" w:lineRule="auto"/>
      </w:pPr>
      <w:r>
        <w:t xml:space="preserve">Trust is built row by row. The credibility of a bounded empirical design rests on whether a reader can walk from a claim in the prose back to the exact row that supports it. This chapter documents that path. It describes the dataset, the construction of every variable in both estimators, the sources the records come from, and the sample size, with enough specificity that the two workbooks could be rebuilt from the description alone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91" w:name="the-auditability-principle"/>
    <w:p>
      <w:pPr>
        <w:pStyle w:val="Heading2"/>
        <w:spacing w:line="480" w:lineRule="auto"/>
      </w:pPr>
      <w:r>
        <w:t xml:space="preserve">The auditability principle</w:t>
      </w:r>
    </w:p>
    <w:p>
      <w:pPr>
        <w:pStyle w:val="FirstParagraph"/>
        <w:spacing w:line="480" w:lineRule="auto"/>
      </w:pPr>
      <w:r>
        <w:t xml:space="preserve">The design’s central commitment is that a reader can reconstruct any claim from the retained artifacts, and the dataset is built to honor that commitment at every level. A claim in the prose points to a coefficient in the results. The coefficient is produced by an estimator recorded in a configuration file. The estimator runs on rows in a data file. Each row carries a source column that resolves to an actual document. The chain runs unbroken from sentence to source, and no link requires trusting the analyst’s memory or judgment. This is what distinguishes a bounded empirical design from a narrative that merely cites sources: in the bounded design, the citations are load-bearing at the row level, not decorative at the paragraph level</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rest of this chapter documents each link so the chain can be walked in either direction.</w:t>
      </w:r>
    </w:p>
    <w:bookmarkEnd w:id="91"/>
    <w:bookmarkStart w:id="92" w:name="the-corpus"/>
    <w:p>
      <w:pPr>
        <w:pStyle w:val="Heading2"/>
        <w:spacing w:line="480" w:lineRule="auto"/>
      </w:pPr>
      <w:r>
        <w:t xml:space="preserve">The corpus</w:t>
      </w:r>
    </w:p>
    <w:p>
      <w:pPr>
        <w:pStyle w:val="FirstParagraph"/>
        <w:spacing w:line="480" w:lineRule="auto"/>
      </w:pPr>
      <w:r>
        <w:t xml:space="preserve">Thirty records make up the sample. They are drawn from the candidate’s local source files and the reference pool that anchors the dissertation. Each record is a document about, or adjacent to, space traffic management and voluntary data sharing, spanning conference proceedings, archival journal articles, and policy analyses. Both paper datasets contain the same thirty rows, differing only in the derived variables each estimator needs, and both preserve a source column so that every observation carries its provenance. That column holds either a conference permalink or a document identifier, which means any row can be traced to the underlying source without ambiguity.</w:t>
      </w:r>
    </w:p>
    <w:p>
      <w:pPr>
        <w:pStyle w:val="BodyText"/>
        <w:spacing w:line="480" w:lineRule="auto"/>
        <w:ind w:firstLine="720"/>
      </w:pPr>
      <w:r>
        <w:t xml:space="preserve">The range is wide. The records span publication years from 2012 to 2025. That range matters for the temporal model, because it gives the age variable real spread: the oldest document is well over a decade old while the newest are current, so the learning-curve regression has variation to work with rather than a compressed window that would flatten the slope. The venue composition is mixed by design. Conference proceedings from the space surveillance community sit alongside archival journal articles, which supplies the variation the venue-family variable requires</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corpus is not a random sample of all writing on space traffic management, and the dissertation does not pretend otherwise. It is a purposive retrieval built around the candidate’s coordination and data-sharing theme, assembled to include the sources that most directly express or bear on that theme. This has a consequence the reader should hold throughout. The estimators describe structure within a theme-selected corpus, so a null result means the structure is absent among the documents most relevant to the theme, not that it is absent in the space literature at large. That is the appropriate universe for the question, since the question is about the salience of a specific coordination framing, but it also means the results generalize to the theme’s documentary footprint rather than to the whole field. Naming the sampling frame precisely is part of what makes the measurement honest</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End w:id="92"/>
    <w:bookmarkStart w:id="93" w:name="how-the-records-distribute"/>
    <w:p>
      <w:pPr>
        <w:pStyle w:val="Heading2"/>
        <w:spacing w:line="480" w:lineRule="auto"/>
      </w:pPr>
      <w:r>
        <w:t xml:space="preserve">How the records distribute</w:t>
      </w:r>
    </w:p>
    <w:p>
      <w:pPr>
        <w:pStyle w:val="FirstParagraph"/>
        <w:spacing w:line="480" w:lineRule="auto"/>
      </w:pPr>
      <w:r>
        <w:t xml:space="preserve">A brief description of how the thirty records sit across the variables clarifies what the estimators are working with. By venue, the sample is weighted toward the space surveillance conference tier, with a substantial minority of archival journal articles and a small number of space-economy sources, which is why the venue variable has real but uneven spread across its three ordinal levels. By year, the records cluster toward the recent end, with a dense band of 2020 through 2025 documents and a thinner tail reaching back to 2012, which reflects both the growth of the field and the retrieval’s emphasis on current framing. By citation count, the distribution is sharply bimodal: the conference records overwhelmingly report zero indexed citations, while the journal articles carry positive counts that range widely up to thirty-nine. That bimodality is the single most consequential feature of the data, because it means the citation variable is, in practice, distinguishing indexed journal work from unindexed proceedings as much as it is measuring attention per se. Both estimators inherit this feature, and Chapter 7 treats it as the leading threat to the temporal result</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signal scores are tamer. Their distribution is gentler. Scores cluster in the low single digits, with a handful of records reaching the sample maximum of eight. The high-signal records are the ones that treat coordination most directly, including work on conjunction risk mapping across the cislunar domain and architectural solutions for lunar traffic growth, while the low-signal records touch the theme only glancingly or approach it from an adjacent angle such as weapons policy or mechanism testing</w:t>
      </w:r>
      <w:r>
        <w:t xml:space="preserve"> </w:t>
      </w:r>
      <w:hyperlink w:anchor="ref-5">
        <w:r>
          <w:rPr>
            <w:rStyle w:val="Hyperlink"/>
          </w:rPr>
          <w:t xml:space="preserve">[5]</w:t>
        </w:r>
      </w:hyperlink>
      <w:r>
        <w:t xml:space="preserve"> </w:t>
      </w:r>
      <w:hyperlink w:anchor="ref-11">
        <w:r>
          <w:rPr>
            <w:rStyle w:val="Hyperlink"/>
          </w:rPr>
          <w:t xml:space="preserve">[11]</w:t>
        </w:r>
      </w:hyperlink>
      <w:r>
        <w:t xml:space="preserve">. That the highest signal scores attach to the most on-theme records is a basic sanity check on the outcome measure, and the corpus passes it.</w:t>
      </w:r>
    </w:p>
    <w:bookmarkEnd w:id="93"/>
    <w:bookmarkStart w:id="94" w:name="variables-in-the-cross-sectional-model"/>
    <w:p>
      <w:pPr>
        <w:pStyle w:val="Heading2"/>
        <w:spacing w:line="480" w:lineRule="auto"/>
      </w:pPr>
      <w:r>
        <w:t xml:space="preserve">Variables in the cross-sectional model</w:t>
      </w:r>
    </w:p>
    <w:p>
      <w:pPr>
        <w:pStyle w:val="FirstParagraph"/>
        <w:spacing w:line="480" w:lineRule="auto"/>
      </w:pPr>
      <w:r>
        <w:t xml:space="preserve">One outcome, three predictors. Each is constructed by a fixed rule.</w:t>
      </w:r>
    </w:p>
    <w:p>
      <w:pPr>
        <w:pStyle w:val="BodyText"/>
        <w:spacing w:line="480" w:lineRule="auto"/>
        <w:ind w:firstLine="720"/>
      </w:pPr>
      <w:r>
        <w:t xml:space="preserve">The outcome, signal_score, is a composite topic-signal score for each retrieved source record. It is a deterministic count built from candidate-theme term hits in the source title, snippet, keyword field, and author metadata. A record that expresses the coordination and data-sharing framing across several of these fields scores higher than one that touches the theme only glancingly. Because the count is deterministic, the same record always yields the same score, which is what makes the outcome auditable rather than a matter of judgment. Across the sample the score ranges from low single digits to a high of eight, with the strongest signals attaching to records that treat coordination directly, such as work on conjunction risk mapping across the cislunar domain and on architectural solutions for lunar traffic growth</w:t>
      </w:r>
      <w:r>
        <w:t xml:space="preserve"> </w:t>
      </w:r>
      <w:hyperlink w:anchor="ref-5">
        <w:r>
          <w:rPr>
            <w:rStyle w:val="Hyperlink"/>
          </w:rPr>
          <w:t xml:space="preserve">[5]</w:t>
        </w:r>
      </w:hyperlink>
      <w:r>
        <w:t xml:space="preserve">.</w:t>
      </w:r>
    </w:p>
    <w:p>
      <w:pPr>
        <w:pStyle w:val="BodyText"/>
        <w:spacing w:line="480" w:lineRule="auto"/>
        <w:ind w:firstLine="720"/>
      </w:pPr>
      <w:r>
        <w:t xml:space="preserve">The first predictor, recency_index, is a publication recency index computed as the publication year minus the minimum publication year in the sample plus one. The 2012 record therefore takes a recency index of one, and the 2025 records take fourteen. The plus-one offset keeps the baseline record at a positive value rather than zero, which keeps the index interpretable as a count of years since the field’s earliest retained document.</w:t>
      </w:r>
    </w:p>
    <w:p>
      <w:pPr>
        <w:pStyle w:val="BodyText"/>
        <w:spacing w:line="480" w:lineRule="auto"/>
        <w:ind w:firstLine="720"/>
      </w:pPr>
      <w:r>
        <w:t xml:space="preserve">The second predictor, cites_num, is the reported citation count from the local index. It is parsed directly from the index’s citation field and set to zero when the index reports no count. The conference records in this sample generally carry zero indexed citations, while the archival journal articles carry counts ranging up to thirty-nine, so the citation variable is effectively distinguishing heavily indexed journal work from proceedings that the index does not track for citations. This is a real feature of the data and a real limitation, and Chapter 7 returns to it.</w:t>
      </w:r>
    </w:p>
    <w:p>
      <w:pPr>
        <w:pStyle w:val="BodyText"/>
        <w:spacing w:line="480" w:lineRule="auto"/>
        <w:ind w:firstLine="720"/>
      </w:pPr>
      <w:r>
        <w:t xml:space="preserve">The third predictor, venue_score, is an ordinal venue-family score assigned by a fixed rule: conference proceedings from the space surveillance venue score one, archival astronautics journal articles score two, and space-economy sources score three. The ordinal coding is coarse on purpose. It captures the coarse migration from informal to archival venues without pretending to measure venue prestige on a fine scale, and it is read cautiously in the results for exactly that reason.</w:t>
      </w:r>
    </w:p>
    <w:p>
      <w:pPr>
        <w:pStyle w:val="BodyText"/>
        <w:spacing w:line="480" w:lineRule="auto"/>
        <w:ind w:firstLine="720"/>
      </w:pPr>
      <w:r>
        <w:t xml:space="preserve">An ordinal variable entered as a numeric predictor carries an assumption worth surfacing: that the step from level one to level two means roughly the same thing as the step from level two to level three. That assumption is imperfect here, because the three venue families are qualitatively distinct communities rather than points on a single prestige ladder. The dissertation accepts this imperfection deliberately, because the alternative, a set of indicator variables for each venue family, would spend scarce degrees of freedom on a thirty-row sample and would make the venue coefficient harder to read as a direction. The ordinal coding trades some precision for interpretability and power, and the trade is defensible given the sample size, provided the coefficient is read as indicating a direction of association rather than a calibrated per-level effect. Chapter 6 respects that constraint in its interpretation</w:t>
      </w:r>
      <w:r>
        <w:t xml:space="preserve"> </w:t>
      </w:r>
      <w:hyperlink w:anchor="ref-7">
        <w:r>
          <w:rPr>
            <w:rStyle w:val="Hyperlink"/>
          </w:rPr>
          <w:t xml:space="preserve">[7]</w:t>
        </w:r>
      </w:hyperlink>
      <w:r>
        <w:t xml:space="preserve">.</w:t>
      </w:r>
    </w:p>
    <w:p>
      <w:pPr>
        <w:pStyle w:val="BodyText"/>
        <w:spacing w:line="480" w:lineRule="auto"/>
        <w:ind w:firstLine="720"/>
      </w:pPr>
      <w:r>
        <w:t xml:space="preserve">A subtle point about the citation field deserves emphasis, since it recurs in both models. The same reported citation count feeds the cross-sectional model as a predictor and the temporal model, plus one, as an outcome. This dual role is not a contradiction, because the two models ask different questions of the variable: one asks whether citation attention is associated with signal intensity at a moment, while the other asks how citation attention distributes across document ages. The variable’s known weakness, uneven index coverage that favors journal articles over proceedings, therefore propagates into both models but in different ways. In the cross-sectional model it adds noise to a predictor; in the temporal model it partly entangles the outcome with age, since the better-covered journal articles are also the more recent ones. Tracing exactly how one measurement limitation touches each model is the kind of bookkeeping a bounded design owes its reader, and it is why Chapter 7 can be so specific about which result the coverage problem threatens</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bookmarkEnd w:id="94"/>
    <w:bookmarkStart w:id="95" w:name="variables-in-the-temporal-model"/>
    <w:p>
      <w:pPr>
        <w:pStyle w:val="Heading2"/>
        <w:spacing w:line="480" w:lineRule="auto"/>
      </w:pPr>
      <w:r>
        <w:t xml:space="preserve">Variables in the temporal model</w:t>
      </w:r>
    </w:p>
    <w:p>
      <w:pPr>
        <w:pStyle w:val="FirstParagraph"/>
        <w:spacing w:line="480" w:lineRule="auto"/>
      </w:pPr>
      <w:r>
        <w:t xml:space="preserve">The second model is leaner still. It uses one outcome and one predictor, both in the same thirty rows.</w:t>
      </w:r>
    </w:p>
    <w:p>
      <w:pPr>
        <w:pStyle w:val="BodyText"/>
        <w:spacing w:line="480" w:lineRule="auto"/>
        <w:ind w:firstLine="720"/>
      </w:pPr>
      <w:r>
        <w:t xml:space="preserve">The outcome, cites_plus1, is the reported citation count plus one. The plus-one transformation exists so the logarithm is defined for the many records that report zero citations; without it, every uncited document would drop out of a log-log model and the sample would shrink to the journal articles alone. Adding one retains all thirty observations and preserves their rank order, which is what the learning-curve specification needs.</w:t>
      </w:r>
    </w:p>
    <w:p>
      <w:pPr>
        <w:pStyle w:val="BodyText"/>
        <w:spacing w:line="480" w:lineRule="auto"/>
        <w:ind w:firstLine="720"/>
      </w:pPr>
      <w:r>
        <w:t xml:space="preserve">The predictor, age_index, is a document age index computed as 2026 minus the publication year plus one. The 2025 records therefore take an age index of two, and the 2012 record takes fifteen. The fixed 2026 reference year makes the age variable a clean function of publication date, and the plus-one offset keeps the newest documents at a positive age rather than zero so that their logarithm is defined.</w:t>
      </w:r>
    </w:p>
    <w:bookmarkEnd w:id="95"/>
    <w:bookmarkStart w:id="96" w:name="Xc66efdf3dde2aff2aebaa505e74bb338cd66c69"/>
    <w:p>
      <w:pPr>
        <w:pStyle w:val="Heading2"/>
        <w:spacing w:line="480" w:lineRule="auto"/>
      </w:pPr>
      <w:r>
        <w:t xml:space="preserve">The two indices and why their baselines differ</w:t>
      </w:r>
    </w:p>
    <w:p>
      <w:pPr>
        <w:pStyle w:val="FirstParagraph"/>
        <w:spacing w:line="480" w:lineRule="auto"/>
      </w:pPr>
      <w:r>
        <w:t xml:space="preserve">The recency index and the age index measure closely related things from opposite ends, and the difference in their baselines is deliberate rather than arbitrary. Recency counts forward from the earliest document in the sample: the 2012 record anchors the index at one, and each later year adds a unit, so the index rewards how far a record sits above the field’s own historical floor. Age counts backward from a fixed 2026 reference: the most recent records take the smallest age values, and the 2012 record takes the largest, so the index measures elapsed time from a stable external anchor. The two are not simple mirror images, because recency is measured relative to the sample’s minimum year while age is measured relative to a fixed calendar year, and that distinction keeps each index appropriate to its model. The cross-sectional model wants recency relative to the field’s emergence, since Hypothesis 1 asks whether newer work within the field’s own span expresses the framing more intensely. The temporal model wants age relative to a fixed present, since Hypothesis 2 asks how attention distributes across how long a document has been in circulation. Using the right index for each question is part of matching estimator to hypothesis rather than reusing a single time variable for both</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bookmarkEnd w:id="96"/>
    <w:bookmarkStart w:id="97" w:name="X9219349ff06da13e458615e5c47df4df0ab768a"/>
    <w:p>
      <w:pPr>
        <w:pStyle w:val="Heading2"/>
        <w:spacing w:line="480" w:lineRule="auto"/>
      </w:pPr>
      <w:r>
        <w:t xml:space="preserve">Why zero-citation records are kept rather than dropped</w:t>
      </w:r>
    </w:p>
    <w:p>
      <w:pPr>
        <w:pStyle w:val="FirstParagraph"/>
        <w:spacing w:line="480" w:lineRule="auto"/>
      </w:pPr>
      <w:r>
        <w:t xml:space="preserve">A tempting shortcut would be to drop the many records reporting zero citations, on the grounds that they carry no attention information. The design refuses that shortcut, and the refusal is a measurement decision worth defending. Dropping the zeros would discard most of the conference proceedings, collapsing the sample toward the journal articles and destroying the venue variation that the cross-sectional model needs. It would also bias the temporal model severely, since the zero-citation records are disproportionately older or from less-indexed venues, and removing them would manufacture a spurious relationship between age and citations out of a selection rule rather than a real pattern. The plus-one transformation exists precisely so the zeros can be retained: it makes the logarithm defined for every record while preserving the rank order, so an uncited document sits at the bottom of the citation distribution rather than falling out of it</w:t>
      </w:r>
      <w:r>
        <w:t xml:space="preserve"> </w:t>
      </w:r>
      <w:hyperlink w:anchor="ref-9">
        <w:r>
          <w:rPr>
            <w:rStyle w:val="Hyperlink"/>
          </w:rPr>
          <w:t xml:space="preserve">[9]</w:t>
        </w:r>
      </w:hyperlink>
      <w:r>
        <w:t xml:space="preserve"> </w:t>
      </w:r>
      <w:hyperlink w:anchor="ref-11">
        <w:r>
          <w:rPr>
            <w:rStyle w:val="Hyperlink"/>
          </w:rPr>
          <w:t xml:space="preserve">[11]</w:t>
        </w:r>
      </w:hyperlink>
      <w:r>
        <w:t xml:space="preserve">. Keeping the full sample, zeros and all, is what lets both models describe the corpus as it actually is rather than a citation-rich subset of it, and it is the more honest of the two available choices even though it complicates the interpretation.</w:t>
      </w:r>
    </w:p>
    <w:bookmarkEnd w:id="97"/>
    <w:bookmarkStart w:id="98" w:name="provenance-and-reproducibility"/>
    <w:p>
      <w:pPr>
        <w:pStyle w:val="Heading2"/>
        <w:spacing w:line="480" w:lineRule="auto"/>
      </w:pPr>
      <w:r>
        <w:t xml:space="preserve">Provenance and reproducibility</w:t>
      </w:r>
    </w:p>
    <w:p>
      <w:pPr>
        <w:pStyle w:val="FirstParagraph"/>
        <w:spacing w:line="480" w:lineRule="auto"/>
      </w:pPr>
      <w:r>
        <w:t xml:space="preserve">The dataset sits inside a reproducible hierarchy that the dissertation treats as load-bearing. The reference pool and source metadata define the universe of eligible documents. The paper data files fix the thirty rows and their fields. The configuration files record each variable definition, the estimator, and the formula. The workbooks reproduce the estimator output from those rows. The prose is downstream of all of this, never upstream, which is the discipline that lets a reader audit rather than trust. Provenance is preserved at the row level, so the claim that a particular high-signal record concerns cislunar conjunction risk or lunar traffic architecture can be checked against its source link directly</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bookmarkEnd w:id="98"/>
    <w:bookmarkStart w:id="99" w:name="X03304167fbace59f62e2a54db166ecf17bc241b"/>
    <w:p>
      <w:pPr>
        <w:pStyle w:val="Heading2"/>
        <w:spacing w:line="480" w:lineRule="auto"/>
      </w:pPr>
      <w:r>
        <w:t xml:space="preserve">Construction of the signal score, examined</w:t>
      </w:r>
    </w:p>
    <w:p>
      <w:pPr>
        <w:pStyle w:val="FirstParagraph"/>
        <w:spacing w:line="480" w:lineRule="auto"/>
      </w:pPr>
      <w:r>
        <w:t xml:space="preserve">Because the signal score is the outcome of the cross-sectional model and the most constructed of all the variables, it deserves a closer look at how it behaves and where it could mislead. The score sums theme-term hits across four fields of each record: the title, the snippet, the keyword field, and the author metadata. A record scores high when the coordination and data-sharing vocabulary appears across several of these fields, and low when it appears in none or only glancingly. The construction has two virtues and one liability. Its first virtue is determinism: the same record always yields the same score, so the outcome is reproducible rather than a matter of coder judgment. Its second virtue is transparency: anyone can inspect which fields drove a given score. The liability is vocabulary sensitivity. A record that expresses the coordination idea in language the term list does not anticipate, using, say, a synonym or a domain-specific coinage, scores lower than its substantive relevance warrants. This injects measurement noise that is not random with respect to the predictors, since older records and different venues use different vocabulary, and it is one reason the cross-sectional fit could be attenuated toward zero. The dissertation flags this openly, because a deterministic measure is auditable precisely so that its weaknesses can be seen and weighed rather than hidden</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Two measurement facts bound what follows and are stated here so the results chapter can lean on them. First, the citation variable reflects local index coverage, not universal citation counts, so it under-measures attention for venues the index tracks poorly. Second, the venue-family variable is ordinal and coarse, so its coefficient should be read as a direction rather than a calibrated effect. Both facts are consequences of using an auditable local corpus rather than a proprietary bibliometric feed, and both are accepted openly because the design’s whole value is that its inputs are inspectable. A note on the sample size closes the measurement account. Thirty records is small by the standards of bibliometric studies that draw on entire databases, and the dissertation neither disputes that nor treats it as incidental. The count follows from the design’s core choice to work from an inspectable, theme-selected corpus that a reader can audit in full rather than from a large but opaque database pull. That trade buys transparency at the cost of statistical power, and the estimators are specified leanly precisely because the sample cannot support more. The measurement chapter’s job is to make the thirty rows and their construction so explicit that the modest N becomes a known, bounded feature of the study rather than a hidden weakness, and that is what the preceding sections have aimed to do</w:t>
      </w:r>
      <w:r>
        <w:t xml:space="preserve"> </w:t>
      </w:r>
      <w:hyperlink w:anchor="ref-1">
        <w:r>
          <w:rPr>
            <w:rStyle w:val="Hyperlink"/>
          </w:rPr>
          <w:t xml:space="preserve">[1]</w:t>
        </w:r>
      </w:hyperlink>
      <w:r>
        <w:t xml:space="preserve"> </w:t>
      </w:r>
      <w:hyperlink w:anchor="ref-2">
        <w:r>
          <w:rPr>
            <w:rStyle w:val="Hyperlink"/>
          </w:rPr>
          <w:t xml:space="preserve">[2]</w:t>
        </w:r>
      </w:hyperlink>
      <w:r>
        <w:t xml:space="preserve">. Chapter 6 now reports what the two estimators return when run on these thirty rows.</w:t>
      </w:r>
    </w:p>
    <w:bookmarkEnd w:id="99"/>
    <w:bookmarkEnd w:id="100"/>
    <w:bookmarkStart w:id="105" w:name="chapter-6.-results"/>
    <w:p>
      <w:pPr>
        <w:pStyle w:val="Heading1"/>
        <w:spacing w:line="480" w:lineRule="auto"/>
      </w:pPr>
      <w:r>
        <w:t xml:space="preserve">Chapter 6. Results</w:t>
      </w:r>
    </w:p>
    <w:p>
      <w:pPr>
        <w:pStyle w:val="FirstParagraph"/>
        <w:spacing w:line="480" w:lineRule="auto"/>
      </w:pPr>
      <w:r>
        <w:t xml:space="preserve">This chapter reports the exact output of both estimators and interprets the signs and magnitudes without inflating them. Every figure below is a workbook result computed from the thirty rows described in Chapter 5. Nothing is rounded away that changes a conclusion, and nothing is added that the models did not produce. The full-precision coefficients are given as the estimators returned them, and rounded restatements accompany the interpretation only to make the numbers legible, never to alter what they say. Where a p value denies significance, the interpretation honors that denial even when the coefficient’s sign is substantively suggestive, because respecting the inference is the discipline the whole design rests on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Start w:id="101" w:name="paper-1-the-cross-sectional-model"/>
    <w:p>
      <w:pPr>
        <w:pStyle w:val="Heading2"/>
        <w:spacing w:line="480" w:lineRule="auto"/>
      </w:pPr>
      <w:r>
        <w:t xml:space="preserve">Paper 1: the cross-sectional model</w:t>
      </w:r>
    </w:p>
    <w:p>
      <w:pPr>
        <w:pStyle w:val="FirstParagraph"/>
        <w:spacing w:line="480" w:lineRule="auto"/>
      </w:pPr>
      <w:r>
        <w:t xml:space="preserve">The cross-section comes first. Paper 1 estimates the ordinary least squares model of topic-signal intensity on recency, citation attention, and venue family, with HC1 robust standard errors. Read the fit first. It is reported before the coefficients because it frames how much weight any single term can bear.</w:t>
      </w:r>
    </w:p>
    <w:p>
      <w:pPr>
        <w:pStyle w:val="BodyText"/>
        <w:spacing w:line="480" w:lineRule="auto"/>
        <w:ind w:firstLine="720"/>
      </w:pPr>
      <w:r>
        <w:t xml:space="preserve">The model returns N = 30, R2 = 0.05977017294555809, and adjusted R2 = -0.04871788402226218. The joint test of the three predictors gives F = 0.7052474921737084 with F_p = 0.5575353848525965.</w:t>
      </w:r>
    </w:p>
    <w:p>
      <w:pPr>
        <w:pStyle w:val="BodyText"/>
        <w:spacing w:line="480" w:lineRule="auto"/>
        <w:ind w:firstLine="720"/>
      </w:pPr>
      <w:r>
        <w:t xml:space="preserve">The term-level estimates are as follows.</w:t>
      </w:r>
    </w:p>
    <w:p>
      <w:pPr>
        <w:pStyle w:val="Compact"/>
        <w:spacing w:line="480" w:lineRule="auto"/>
        <w:numPr>
          <w:ilvl w:val="0"/>
          <w:numId w:val="1001"/>
        </w:numPr>
      </w:pPr>
      <w:r>
        <w:t xml:space="preserve">const: coefficient 4.405041909345488, standard error 1.3894, p = 0.0015218923567733513.</w:t>
      </w:r>
    </w:p>
    <w:p>
      <w:pPr>
        <w:pStyle w:val="Compact"/>
        <w:spacing w:line="480" w:lineRule="auto"/>
        <w:numPr>
          <w:ilvl w:val="0"/>
          <w:numId w:val="1001"/>
        </w:numPr>
      </w:pPr>
      <w:r>
        <w:t xml:space="preserve">recency_index: coefficient 0.018662302131552094, standard error 0.1463, p = 0.8985224890361141.</w:t>
      </w:r>
    </w:p>
    <w:p>
      <w:pPr>
        <w:pStyle w:val="Compact"/>
        <w:spacing w:line="480" w:lineRule="auto"/>
        <w:numPr>
          <w:ilvl w:val="0"/>
          <w:numId w:val="1001"/>
        </w:numPr>
      </w:pPr>
      <w:r>
        <w:t xml:space="preserve">cites_num: coefficient -0.0014480397952156138, standard error 0.0403, p = 0.9713696207440928.</w:t>
      </w:r>
    </w:p>
    <w:p>
      <w:pPr>
        <w:pStyle w:val="Compact"/>
        <w:spacing w:line="480" w:lineRule="auto"/>
        <w:numPr>
          <w:ilvl w:val="0"/>
          <w:numId w:val="1001"/>
        </w:numPr>
      </w:pPr>
      <w:r>
        <w:t xml:space="preserve">venue_score: coefficient -0.7572203211152838, standard error 0.535, p = 0.1569891038823804.</w:t>
      </w:r>
    </w:p>
    <w:p>
      <w:pPr>
        <w:pStyle w:val="FirstParagraph"/>
        <w:spacing w:line="480" w:lineRule="auto"/>
      </w:pPr>
      <w:r>
        <w:t xml:space="preserve">The fit statistics tell a clear story before any coefficient is read. An R2 of 0.0598 means the three predictors jointly account for roughly six percent of the variation in the topic-signal score, and the adjusted R2 is slightly negative, which is what happens when predictors add essentially no explanatory value once the penalty for model complexity is applied. The joint F test, at F_p = 0.5575, does not come close to conventional significance. The model as a whole does not reject the null that signal intensity is unrelated to these three metadata fields.</w:t>
      </w:r>
    </w:p>
    <w:p>
      <w:pPr>
        <w:pStyle w:val="BodyText"/>
        <w:spacing w:line="480" w:lineRule="auto"/>
        <w:ind w:firstLine="720"/>
      </w:pPr>
      <w:r>
        <w:t xml:space="preserve">Read term by term, the picture is consistent. The recency coefficient is positive but tiny at 0.0187, and its p value of 0.8985 places it well inside the range one would expect from noise; the sign points in the direction Hypothesis 1 anticipated, but the estimate carries no precision. The citation coefficient is negative and essentially zero at -0.0014, with a p value of 0.9714 that is as close to pure noise as the sample produces; there is no detectable association between indexed citation attention and signal intensity in this corpus. The venue coefficient is the most substantively interesting: at -0.7572 it is the largest term in the model, and its negative sign says that records in lower-numbered venue families, the conference proceedings, carry the stronger topic signal. Its p value of 0.1570 does not reach significance at conventional thresholds, so the term is best described as suggestive rather than established. The intercept, at 4.405 with p = 0.0015, is precisely estimated, but the intercept is not a hypothesis of interest; it simply anchors the expected signal at the predictor baseline.</w:t>
      </w:r>
    </w:p>
    <w:p>
      <w:pPr>
        <w:pStyle w:val="BodyText"/>
        <w:spacing w:line="480" w:lineRule="auto"/>
        <w:ind w:firstLine="720"/>
      </w:pPr>
      <w:r>
        <w:t xml:space="preserve">The magnitudes deserve a plain-language pass, because a coefficient’s size matters even when its p value denies it significance. The recency coefficient of 0.0187 implies that moving a record one year later on the recency index shifts its expected signal score by about two hundredths of a point, on an outcome that ranges from roughly one to eight. Even across the full fourteen-year span of the recency index, that accumulates to about a quarter of a point, a change too small to matter substantively even if it were precisely estimated. The citation coefficient of -0.0014 is smaller still: a record with thirty-nine citations, the sample maximum, would be predicted to sit only about five hundredths of a point below an otherwise identical uncited record. These are not merely insignificant; they are negligible in size, which strengthens rather than weakens the conclusion that neither recency nor citation attention structures signal intensity in this corpus. The venue coefficient of -0.7572 is the exception in magnitude: a one-level rise in venue family, from proceedings to journal, is associated with a predicted drop of about three-quarters of a point in signal score, which on this outcome is a substantial move. Its imprecision, not its size, is what keeps it from being a finding.</w:t>
      </w:r>
    </w:p>
    <w:p>
      <w:pPr>
        <w:pStyle w:val="BodyText"/>
        <w:spacing w:line="480" w:lineRule="auto"/>
        <w:ind w:firstLine="720"/>
      </w:pPr>
      <w:r>
        <w:t xml:space="preserve">The honest reading of Paper 1 is that Hypothesis 1’s null cannot be rejected. Cross-sectional signal intensity is not systematically structured by recency, citation attention, or venue family in this sample. The one flicker of structure, the negative venue coefficient, points somewhere the theory allowed for: the coordination framing appears expressed most intensely in the conference literature where operational problems surface first, not in the archival journals. That is a lead, not a finding, and the dissertation treats it that way</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One further reading of Paper 1 concerns what the precise intercept does and does not tell us. At 4.405 with p = 0.0015, the intercept is the model’s most statistically confident term, but its confidence is nearly uninformative for the hypothesis. It says only that a hypothetical record at the baseline of all three predictors would carry a signal score around four and a half, which is close to the sample’s central tendency. A precisely estimated intercept sitting near the mean, paired with imprecise slopes, is the statistical fingerprint of a model that has located the center of the data but found no gradient across it. That fingerprint is worth naming because a careless reader might cite the intercept’s small p value as evidence the model</w:t>
      </w:r>
      <w:r>
        <w:t xml:space="preserve"> </w:t>
      </w:r>
      <w:r>
        <w:t xml:space="preserve">“works.”</w:t>
      </w:r>
      <w:r>
        <w:t xml:space="preserve"> </w:t>
      </w:r>
      <w:r>
        <w:t xml:space="preserve">It works in the sense that it estimates the average; it fails in the sense that matters, which is explaining variation around that average</w:t>
      </w:r>
      <w:r>
        <w:t xml:space="preserve"> </w:t>
      </w:r>
      <w:hyperlink w:anchor="ref-3">
        <w:r>
          <w:rPr>
            <w:rStyle w:val="Hyperlink"/>
          </w:rPr>
          <w:t xml:space="preserve">[3]</w:t>
        </w:r>
      </w:hyperlink>
      <w:r>
        <w:t xml:space="preserve">.</w:t>
      </w:r>
    </w:p>
    <w:bookmarkEnd w:id="101"/>
    <w:bookmarkStart w:id="102" w:name="paper-2-the-temporal-model"/>
    <w:p>
      <w:pPr>
        <w:pStyle w:val="Heading2"/>
        <w:spacing w:line="480" w:lineRule="auto"/>
      </w:pPr>
      <w:r>
        <w:t xml:space="preserve">Paper 2: the temporal model</w:t>
      </w:r>
    </w:p>
    <w:p>
      <w:pPr>
        <w:pStyle w:val="FirstParagraph"/>
        <w:spacing w:line="480" w:lineRule="auto"/>
      </w:pPr>
      <w:r>
        <w:t xml:space="preserve">Paper 2 estimates the log-log learning-curve model of citation accumulation on document age, again with HC1 robust standard errors. Here the corpus speaks. The contrast with Paper 1 is immediate.</w:t>
      </w:r>
    </w:p>
    <w:p>
      <w:pPr>
        <w:pStyle w:val="BodyText"/>
        <w:spacing w:line="480" w:lineRule="auto"/>
        <w:ind w:firstLine="720"/>
      </w:pPr>
      <w:r>
        <w:t xml:space="preserve">The model returns N = 30 and R2 = 0.15557180180902042. The estimated age elasticity is -0.877770830490746, which implies a progress ratio, two raised to the elasticity, of 0.5442076603766843.</w:t>
      </w:r>
    </w:p>
    <w:p>
      <w:pPr>
        <w:pStyle w:val="BodyText"/>
        <w:spacing w:line="480" w:lineRule="auto"/>
        <w:ind w:firstLine="720"/>
      </w:pPr>
      <w:r>
        <w:t xml:space="preserve">The term-level estimates are as follows.</w:t>
      </w:r>
    </w:p>
    <w:p>
      <w:pPr>
        <w:pStyle w:val="Compact"/>
        <w:spacing w:line="480" w:lineRule="auto"/>
        <w:numPr>
          <w:ilvl w:val="0"/>
          <w:numId w:val="1002"/>
        </w:numPr>
      </w:pPr>
      <w:r>
        <w:t xml:space="preserve">const: coefficient 2.2693788208516903, standard error 0.7092, p = 0.0013756484603943836.</w:t>
      </w:r>
    </w:p>
    <w:p>
      <w:pPr>
        <w:pStyle w:val="Compact"/>
        <w:spacing w:line="480" w:lineRule="auto"/>
        <w:numPr>
          <w:ilvl w:val="0"/>
          <w:numId w:val="1002"/>
        </w:numPr>
      </w:pPr>
      <w:r>
        <w:t xml:space="preserve">ln(age): coefficient -0.877770830490746, standard error 0.4025, p = 0.02919348742061792.</w:t>
      </w:r>
    </w:p>
    <w:p>
      <w:pPr>
        <w:pStyle w:val="FirstParagraph"/>
        <w:spacing w:line="480" w:lineRule="auto"/>
      </w:pPr>
      <w:r>
        <w:t xml:space="preserve">Here the null is rejected. The age elasticity of -0.8778 is significant at p = 0.0292, and the fit, at R2 = 0.1556, accounts for roughly sixteen percent of the variation in log citations, more than two and a half times what the cross-sectional model achieved. Citation accumulation in this corpus is not random with respect to age. It follows a measurable curve.</w:t>
      </w:r>
    </w:p>
    <w:p>
      <w:pPr>
        <w:pStyle w:val="BodyText"/>
        <w:spacing w:line="480" w:lineRule="auto"/>
        <w:ind w:firstLine="720"/>
      </w:pPr>
      <w:r>
        <w:t xml:space="preserve">The sign of that curve is the substantive result, and it is worth stating plainly what it means. A negative age elasticity says that, in this sample, older documents carry fewer citations per unit of age, not more. This runs against the ordinary expectation that longer exposure yields more citations, and it is exactly the pattern a rapidly consolidating field can produce when recent framings capture disproportionate attention relative to their short time in circulation. The progress ratio of 0.5442 quantifies the concentration: as document age doubles, citations-plus-one fall to roughly fifty-four percent of their prior level. Attention in this corpus tilts toward the newer work</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intercept, at 2.2694 with p = 0.0014, is precisely estimated and sets the level of the curve at the baseline age, but as in Paper 1 it is not a hypothesis of interest. The load-bearing term is the slope, and the slope is both signed against the naive prior and statistically distinguishable from zero.</w:t>
      </w:r>
    </w:p>
    <w:p>
      <w:pPr>
        <w:pStyle w:val="BodyText"/>
        <w:spacing w:line="480" w:lineRule="auto"/>
        <w:ind w:firstLine="720"/>
      </w:pPr>
      <w:r>
        <w:t xml:space="preserve">The elasticity of -0.8778 has a concrete reading that makes the result tangible. Because the model is log-log, the coefficient says that a one percent increase in a document’s age index is associated with roughly a nine-tenths of one percent decrease in its citations-plus-one. Compounded across the doubling that the progress ratio summarizes, a document twice as old is expected to carry only about fifty-four percent of the citation level of its younger counterpart. Stated across the actual age range of the sample, the contrast is stark: the newest records, at an age index of two, sit high on the fitted curve, while the oldest, at an age index of fifteen, sit far below it, despite having had more than seven times as long to accumulate citations. The curve is not gentle. It describes a corpus whose recorded attention is concentrated heavily on its most recent work.</w:t>
      </w:r>
    </w:p>
    <w:p>
      <w:pPr>
        <w:pStyle w:val="BodyText"/>
        <w:spacing w:line="480" w:lineRule="auto"/>
        <w:ind w:firstLine="720"/>
      </w:pPr>
      <w:r>
        <w:t xml:space="preserve">That the fit reaches R2 = 0.1556 on a single predictor is itself notable when set beside Paper 1, where three predictors together reached only 0.0598. Age alone explains more than two and a half times the variation that recency, citations, and venue explain jointly in the cross-section. The comparison is not a formal test, since the outcomes differ, but it sharpens the qualitative contrast the two papers draw: the corpus is far more structured through time than it is at a moment.</w:t>
      </w:r>
    </w:p>
    <w:p>
      <w:pPr>
        <w:pStyle w:val="BodyText"/>
        <w:spacing w:line="480" w:lineRule="auto"/>
        <w:ind w:firstLine="720"/>
      </w:pPr>
      <w:r>
        <w:t xml:space="preserve">To make the venue lead fully concrete, consider what its coefficient implies across the actual venue range. Moving from the conference tier at venue score one to the journal tier at score two lowers the predicted signal by about three-quarters of a point; moving on to the space-economy tier at score three lowers it by about a point and a half relative to the conference baseline. On an outcome whose observed maximum is eight and whose typical value is around four, a swing of a point and a half across the venue range is not trivial in size. That the term nonetheless fails to reach significance, at p = 0.1570, reflects the wide standard error a thirty-record sample produces for an ordinal predictor with uneven support across its levels, not a small underlying association. The distinction between an effect that is small and one that is imprecisely estimated matters for how the lead should be pursued: the appropriate response is a larger sample and finer venue coding, which would shrink the standard error, rather than abandoning the venue variable as substantively unimportant</w:t>
      </w:r>
      <w:r>
        <w:t xml:space="preserve"> </w:t>
      </w:r>
      <w:hyperlink w:anchor="ref-7">
        <w:r>
          <w:rPr>
            <w:rStyle w:val="Hyperlink"/>
          </w:rPr>
          <w:t xml:space="preserve">[7]</w:t>
        </w:r>
      </w:hyperlink>
      <w:r>
        <w:t xml:space="preserve">.</w:t>
      </w:r>
    </w:p>
    <w:bookmarkEnd w:id="102"/>
    <w:bookmarkStart w:id="103" w:name="the-joint-test-and-what-it-settles"/>
    <w:p>
      <w:pPr>
        <w:pStyle w:val="Heading2"/>
        <w:spacing w:line="480" w:lineRule="auto"/>
      </w:pPr>
      <w:r>
        <w:t xml:space="preserve">The joint test and what it settles</w:t>
      </w:r>
    </w:p>
    <w:p>
      <w:pPr>
        <w:pStyle w:val="FirstParagraph"/>
        <w:spacing w:line="480" w:lineRule="auto"/>
      </w:pPr>
      <w:r>
        <w:t xml:space="preserve">The overall F test for Paper 1 does interpretive work that the individual coefficients cannot, and it is worth dwelling on. At F = 0.7052474921737084 with F_p = 0.5575353848525965, the test asks whether the three predictors together explain more variation than chance would produce, and it answers no. This matters because a reader might otherwise be tempted to salvage the model by pointing to the venue coefficient’s substantively interesting size. The joint test forecloses that move. Even taking all three predictors at once, the model does not distinguish itself from a specification with no predictors at all, which is the cleanest possible statement that cross-sectional signal intensity is unstructured in this corpus. The near-zero and slightly negative adjusted R2 tells the same story from the fit side: adding these predictors does not improve on simply predicting every record’s signal score with the sample mean. Taken together, the joint test and the adjusted fit make the failure to reject Hypothesis 1’s null a firm result rather than a marginal one, and they prevent the venue lead from being oversold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Contrast this with Paper 2, where a single predictor achieves both a significant coefficient and a fit that, while modest in absolute terms, is respectable for a one-variable model on thirty noisy observations. The two models are not being held to different standards. They are returning genuinely different amounts of structure, and the machinery of joint tests and adjusted fit is what lets the dissertation say so with confidence rather than impression</w:t>
      </w:r>
      <w:r>
        <w:t xml:space="preserve"> </w:t>
      </w:r>
      <w:hyperlink w:anchor="ref-10">
        <w:r>
          <w:rPr>
            <w:rStyle w:val="Hyperlink"/>
          </w:rPr>
          <w:t xml:space="preserve">[10]</w:t>
        </w:r>
      </w:hyperlink>
      <w:r>
        <w:t xml:space="preserve">.</w:t>
      </w:r>
    </w:p>
    <w:bookmarkEnd w:id="103"/>
    <w:bookmarkStart w:id="104" w:name="reading-the-two-results-together"/>
    <w:p>
      <w:pPr>
        <w:pStyle w:val="Heading2"/>
        <w:spacing w:line="480" w:lineRule="auto"/>
      </w:pPr>
      <w:r>
        <w:t xml:space="preserve">Reading the two results together</w:t>
      </w:r>
    </w:p>
    <w:p>
      <w:pPr>
        <w:pStyle w:val="FirstParagraph"/>
        <w:spacing w:line="480" w:lineRule="auto"/>
      </w:pPr>
      <w:r>
        <w:t xml:space="preserve">The verdicts diverge. The two estimators answer different questions and return different answers, and the contrast is itself the finding. Paper 1 finds no cross-sectional structure: the intensity with which a record expresses the coordination theme is not predictable from its recency, its citations, or its venue, taken as a snapshot. Paper 2 finds temporal structure: citation attention accumulates along a real curve, and the curve tips toward recent work. A field can look flat in cross-section while its attention dynamics are moving, and that is precisely what these thirty rows show</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A cautious reader will ask whether the temporal result is robust or an artifact of the citation coverage described in Chapter 5, and the results themselves already contain the seed of that concern. Because indexed citations concentrate in the recent journal articles while the older conference records report zeros, the age variable and the coverage pattern are partly entangled, and the negative elasticity could in principle reflect that entanglement rather than a genuine attention tilt. Two features of the output push back against dismissing the result on those grounds. The elasticity is arising against the exposure headwind, since older documents have had more time to gather citations, and a coverage artifact alone would have to overcome that headwind to produce a slope this negative. And the coefficient clears conventional significance under conservative robust standard errors at p = 0.0292, which is not a fragile margin for a thirty-observation model. The honest position is that the temporal result is real within this corpus and this citation source, and that confirming it as a field property rather than a coverage property requires the uniform-coverage replication Chapter 8 specifies. The number stands; its interpretation is appropriately bounded</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For the dissertation’s single falsifiable contribution, the composite verdict is split and therefore informative. The metadata do not sustain the strong version of the coordination-salience claim in cross-section; Chapter 1’s H0 survives for the signal-intensity test. The temporal test, by contrast, rejects its null and detects a measurable, recency-weighted attention curve. It helps to state precisely what the split does and does not license, because a split verdict is the outcome most easily mishandled. It licenses the claim that, in this theme-selected corpus, recency, citation attention, and venue do not jointly predict how intensely a record expresses the coordination framing. It licenses the claim that citation attention in the same corpus is age-structured, concentrating on newer work, at conventional significance. It does not license any claim about operator behavior, about the actual level of participation in any sharing net, or about whether a coordination regime will form. The estimators read documents, and their verdicts are about documents. The bridge from documentary structure to the behavioral tipping point remains the argument of the surrounding chapters, offered as interpretation and plainly marked, never smuggled in as a result</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Neither result proves that a data-sharing regime is forming. Together they show which signals in this corpus are real and which are not, which is the auditable measurement step the study set out to deliver. A final observation ties the two results to the mechanism without overstepping. Chapter 3 predicted that a field approaching coordination should show concentrating attention and framing migration. The temporal model registers the concentration; the cross-sectional model does not register the migration. If both predictions had held, the corpus would look like a field well into consolidation. If neither had held, it would look like a field at rest. Registering one and not the other is the signature the mechanism assigns to a field early in motion, its attention already stirring while its cross-sectional structure has not yet sorted</w:t>
      </w:r>
      <w:r>
        <w:t xml:space="preserve"> </w:t>
      </w:r>
      <w:hyperlink w:anchor="ref-7">
        <w:r>
          <w:rPr>
            <w:rStyle w:val="Hyperlink"/>
          </w:rPr>
          <w:t xml:space="preserve">[7]</w:t>
        </w:r>
      </w:hyperlink>
      <w:r>
        <w:t xml:space="preserve"> </w:t>
      </w:r>
      <w:hyperlink w:anchor="ref-10">
        <w:r>
          <w:rPr>
            <w:rStyle w:val="Hyperlink"/>
          </w:rPr>
          <w:t xml:space="preserve">[10]</w:t>
        </w:r>
      </w:hyperlink>
      <w:r>
        <w:t xml:space="preserve">. The results chapter reports this as the pattern the numbers make; Chapter 7 subjects that reading to the threats that could undermine it, and states what the data cannot establish</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04"/>
    <w:bookmarkEnd w:id="105"/>
    <w:bookmarkStart w:id="114" w:name="chapter-7.-discussion-and-limitations"/>
    <w:p>
      <w:pPr>
        <w:pStyle w:val="Heading1"/>
        <w:spacing w:line="480" w:lineRule="auto"/>
      </w:pPr>
      <w:r>
        <w:t xml:space="preserve">Chapter 7. Discussion and Limitations</w:t>
      </w:r>
    </w:p>
    <w:p>
      <w:pPr>
        <w:pStyle w:val="FirstParagraph"/>
        <w:spacing w:line="480" w:lineRule="auto"/>
      </w:pPr>
      <w:r>
        <w:t xml:space="preserve">A split verdict tests an analyst’s discipline more than a clean one does. When both hypotheses confirm, the temptation is to celebrate; when both fail, the temptation is to bury; but when one rejects and one does not, the temptation is subtler and more dangerous, to emphasize whichever result flatters the framing and to soften the other. This chapter resists that by giving each result its full weight and its full set of threats before drawing any composite meaning. The cross-sectional null and the temporal rejection are treated as equally real facts about the corpus, and the account that reconciles them is offered as interpretation, plainly labeled, rather than as a conclusion the data compelled</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verdict is split. And a split verdict is easy to mishandle. It can be inflated into a discovery or dismissed as a failure, and both readings would be wrong. This chapter takes the middle, disciplined path. It says what the two estimators mean for the coordination question, catalogs the threats that could undermine each result, and states plainly the several things these thirty rows simply cannot show.</w:t>
      </w:r>
    </w:p>
    <w:bookmarkStart w:id="106" w:name="what-the-findings-mean"/>
    <w:p>
      <w:pPr>
        <w:pStyle w:val="Heading2"/>
        <w:spacing w:line="480" w:lineRule="auto"/>
      </w:pPr>
      <w:r>
        <w:t xml:space="preserve">What the findings mean</w:t>
      </w:r>
    </w:p>
    <w:p>
      <w:pPr>
        <w:pStyle w:val="FirstParagraph"/>
        <w:spacing w:line="480" w:lineRule="auto"/>
      </w:pPr>
      <w:r>
        <w:t xml:space="preserve">Start with the null. The cross-sectional model found nothing systematic. Signal intensity, the degree to which a record expresses the coordination and data-sharing framing, is not predictable from recency, citation attention, or venue family taken together, and the joint test does not reject its null</w:t>
      </w:r>
      <w:r>
        <w:t xml:space="preserve"> </w:t>
      </w:r>
      <w:hyperlink w:anchor="ref-4">
        <w:r>
          <w:rPr>
            <w:rStyle w:val="Hyperlink"/>
          </w:rPr>
          <w:t xml:space="preserve">[4]</w:t>
        </w:r>
      </w:hyperlink>
      <w:r>
        <w:t xml:space="preserve">. The honest interpretation is not that the coordination problem is unimportant. It is that the problem’s salience is not legible in this particular slice of metadata read as a snapshot. A field can be maturing substantively while its cross-sectional metadata stay flat, because the framing intensity of a document depends more on its authors’ vocabulary and venue conventions than on the calendar or the citation index</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There is a constructive reading of the cross-sectional null that is easy to miss. A field in the early consolidation phase might well show exactly this pattern: intense but scattered attention, not yet organized enough that recency or citations predict which documents carry the framing most strongly. On this reading the flat cross-section is not evidence against consolidation but evidence about its stage, a field that is moving but has not yet sorted its own literature into the citation-concentrated, recency-weighted structure that a mature field displays. The dissertation does not assert this reading, because the data cannot distinguish it from simple absence of structure. But it is a live possibility, and pairing it with the temporal result, which does show motion, makes it more than idle speculation</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one directional lead, the negative venue coefficient, deserves careful handling precisely because it did not reach significance. At -0.7572 with a p value of 0.1570, it points toward the conference literature carrying the stronger coordination signal, which fits the intuition that operational communities articulate coordination problems before archival journals formalize them</w:t>
      </w:r>
      <w:r>
        <w:t xml:space="preserve"> </w:t>
      </w:r>
      <w:hyperlink w:anchor="ref-6">
        <w:r>
          <w:rPr>
            <w:rStyle w:val="Hyperlink"/>
          </w:rPr>
          <w:t xml:space="preserve">[6]</w:t>
        </w:r>
      </w:hyperlink>
      <w:r>
        <w:t xml:space="preserve">. Treating that as an established result would be a mistake. Treating it as a hypothesis worth a targeted follow-up, with a larger sample and a finer venue coding, is the appropriate response.</w:t>
      </w:r>
    </w:p>
    <w:p>
      <w:pPr>
        <w:pStyle w:val="BodyText"/>
        <w:spacing w:line="480" w:lineRule="auto"/>
        <w:ind w:firstLine="720"/>
      </w:pPr>
      <w:r>
        <w:t xml:space="preserve">The temporal model is different. It found real structure. The age elasticity of -0.8778, significant at p = 0.0292, and the associated progress ratio of 0.5442 say that citation attention in this corpus concentrates on newer work rather than accumulating with exposure time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If that pattern is genuine and not an artifact, it is the more coordination-relevant of the two results, because a field whose attention tilts toward its newest framings is a field in motion, which is what a tipping-point process looks like in its documentary shadow. The word</w:t>
      </w:r>
      <w:r>
        <w:t xml:space="preserve"> </w:t>
      </w:r>
      <w:r>
        <w:t xml:space="preserve">“if”</w:t>
      </w:r>
      <w:r>
        <w:t xml:space="preserve"> </w:t>
      </w:r>
      <w:r>
        <w:t xml:space="preserve">is doing real work in that sentence, and the next section explains why.</w:t>
      </w:r>
    </w:p>
    <w:bookmarkEnd w:id="106"/>
    <w:bookmarkStart w:id="107" w:name="the-findings-against-the-mechanism"/>
    <w:p>
      <w:pPr>
        <w:pStyle w:val="Heading2"/>
        <w:spacing w:line="480" w:lineRule="auto"/>
      </w:pPr>
      <w:r>
        <w:t xml:space="preserve">The findings against the mechanism</w:t>
      </w:r>
    </w:p>
    <w:p>
      <w:pPr>
        <w:pStyle w:val="FirstParagraph"/>
        <w:spacing w:line="480" w:lineRule="auto"/>
      </w:pPr>
      <w:r>
        <w:t xml:space="preserve">Set beside the tipping-point mechanism of Chapter 3, the two results paint a coherent if incomplete picture. The mechanism predicted that a field approaching critical mass would show concentrating attention and framing migration. The temporal result delivers the first half: attention is concentrating, tilting toward newer work in a way the significant negative elasticity captures</w:t>
      </w:r>
      <w:r>
        <w:t xml:space="preserve"> </w:t>
      </w:r>
      <w:hyperlink w:anchor="ref-10">
        <w:r>
          <w:rPr>
            <w:rStyle w:val="Hyperlink"/>
          </w:rPr>
          <w:t xml:space="preserve">[10]</w:t>
        </w:r>
      </w:hyperlink>
      <w:r>
        <w:t xml:space="preserve">. The cross-sectional result withholds the second half: framing intensity does not migrate cleanly across recency, citation, and venue in a way the snapshot model can detect. A field genuinely in motion toward coordination would be expected to show both, so finding only one is evidence that, if the field is moving, it is early in the movement, with its attention dynamics already stirring while its cross-sectional structure has not yet sorted itself</w:t>
      </w:r>
      <w:r>
        <w:t xml:space="preserve"> </w:t>
      </w:r>
      <w:hyperlink w:anchor="ref-7">
        <w:r>
          <w:rPr>
            <w:rStyle w:val="Hyperlink"/>
          </w:rPr>
          <w:t xml:space="preserve">[7]</w:t>
        </w:r>
      </w:hyperlink>
      <w:r>
        <w:t xml:space="preserve"> </w:t>
      </w:r>
      <w:hyperlink w:anchor="ref-9">
        <w:r>
          <w:rPr>
            <w:rStyle w:val="Hyperlink"/>
          </w:rPr>
          <w:t xml:space="preserve">[9]</w:t>
        </w:r>
      </w:hyperlink>
      <w:r>
        <w:t xml:space="preserve">. That interpretation is offered as the most parsimonious account consistent with both results, not as a demonstrated fact, and the distinction is exactly the kind the design was built to preserve.</w:t>
      </w:r>
    </w:p>
    <w:p>
      <w:pPr>
        <w:pStyle w:val="BodyText"/>
        <w:spacing w:line="480" w:lineRule="auto"/>
        <w:ind w:firstLine="720"/>
      </w:pPr>
      <w:r>
        <w:t xml:space="preserve">The negative venue lead, though not significant, fits this early-movement account rather than contradicting it. If the coordination framing is currently most intense in the conference proceedings, where operational communities articulate problems before journals formalize them, that is precisely the venue signature of a topic that has not yet completed its migration toward archival acceptance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lead is too imprecise to establish, but it points the same direction as the temporal result, and a follow-up with more records and finer venue coding could turn a suggestive coincidence into a testable claim.</w:t>
      </w:r>
    </w:p>
    <w:bookmarkEnd w:id="107"/>
    <w:bookmarkStart w:id="108" w:name="the-value-of-a-well-specified-null"/>
    <w:p>
      <w:pPr>
        <w:pStyle w:val="Heading2"/>
        <w:spacing w:line="480" w:lineRule="auto"/>
      </w:pPr>
      <w:r>
        <w:t xml:space="preserve">The value of a well-specified null</w:t>
      </w:r>
    </w:p>
    <w:p>
      <w:pPr>
        <w:pStyle w:val="FirstParagraph"/>
        <w:spacing w:line="480" w:lineRule="auto"/>
      </w:pPr>
      <w:r>
        <w:t xml:space="preserve">There is a tendency to read a failure to reject the null as a failure of the study, and correcting that reading is part of interpreting the cross-sectional result honestly. A well-specified null result is a finding, not an absence of one. It tells the field that a plausible source of structure, the joint patterning of signal intensity by recency, citations, and venue, is not present in the theme’s documentary footprint at a size this design could detect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That rules something out, and ruling things out is how a research program narrows its search. The result redirects the next inquiry away from cross-sectional metadata and toward the temporal dimension, where structure does appear. Treated this way, the null is generative: it changes what the next study should measure. The dissertation claims the null as a contribution precisely because it was produced by a specified test with stated power limits, not by a failure to look</w:t>
      </w:r>
      <w:r>
        <w:t xml:space="preserve"> </w:t>
      </w:r>
      <w:hyperlink w:anchor="ref-9">
        <w:r>
          <w:rPr>
            <w:rStyle w:val="Hyperlink"/>
          </w:rPr>
          <w:t xml:space="preserve">[9]</w:t>
        </w:r>
      </w:hyperlink>
      <w:r>
        <w:t xml:space="preserve">.</w:t>
      </w:r>
    </w:p>
    <w:bookmarkEnd w:id="108"/>
    <w:bookmarkStart w:id="109" w:name="threats-to-validity"/>
    <w:p>
      <w:pPr>
        <w:pStyle w:val="Heading2"/>
        <w:spacing w:line="480" w:lineRule="auto"/>
      </w:pPr>
      <w:r>
        <w:t xml:space="preserve">Threats to validity</w:t>
      </w:r>
    </w:p>
    <w:p>
      <w:pPr>
        <w:pStyle w:val="FirstParagraph"/>
        <w:spacing w:line="480" w:lineRule="auto"/>
      </w:pPr>
      <w:r>
        <w:t xml:space="preserve">Several threats bear on the temporal result specifically, and they must be weighed before the negative elasticity is read as evidence of field dynamics rather than of measurement.</w:t>
      </w:r>
    </w:p>
    <w:p>
      <w:pPr>
        <w:pStyle w:val="BodyText"/>
        <w:spacing w:line="480" w:lineRule="auto"/>
        <w:ind w:firstLine="720"/>
      </w:pPr>
      <w:r>
        <w:t xml:space="preserve">The most serious is the confound between citation coverage and venue. In this corpus the archival journal articles carry indexed citations while the conference proceedings mostly show zero, and the journal articles are also, on average, more recent. The negative age elasticity could therefore reflect that recent, indexed journal work simply has recorded citations while older conference work does not, rather than a genuine tilt of community attention toward newer framings. This is not a fatal objection, but it is a live one, and it means the elasticity should be read as an upper bound on any true recency-of-attention effect until a source with uniform citation coverage across venues can be substituted</w:t>
      </w:r>
      <w:r>
        <w:t xml:space="preserve"> </w:t>
      </w:r>
      <w:hyperlink w:anchor="ref-5">
        <w:r>
          <w:rPr>
            <w:rStyle w:val="Hyperlink"/>
          </w:rPr>
          <w:t xml:space="preserve">[5]</w:t>
        </w:r>
      </w:hyperlink>
      <w:r>
        <w:t xml:space="preserve">.</w:t>
      </w:r>
    </w:p>
    <w:p>
      <w:pPr>
        <w:pStyle w:val="BodyText"/>
        <w:spacing w:line="480" w:lineRule="auto"/>
        <w:ind w:firstLine="720"/>
      </w:pPr>
      <w:r>
        <w:t xml:space="preserve">A second threat is exposure asymmetry running the other way. Older documents have had more years to accumulate citations, which by itself would push the elasticity positive, so the observed negative slope is arising despite that headwind. That strengthens rather than weakens the temporal finding, but it also underscores that the age variable is entangled with coverage in a manner the current data cannot fully separate.</w:t>
      </w:r>
    </w:p>
    <w:p>
      <w:pPr>
        <w:pStyle w:val="BodyText"/>
        <w:spacing w:line="480" w:lineRule="auto"/>
        <w:ind w:firstLine="720"/>
      </w:pPr>
      <w:r>
        <w:t xml:space="preserve">A third threat, more subtle, concerns the direction of the age effect relative to what a learning curve conventionally measures. In its industrial origin, a learning curve tracks improvement as cumulative experience grows, and the age variable here is a proxy for elapsed time rather than for accumulated production. Transposing the curve to citation dynamics is defensible, since accumulation processes share the multiplicative form, but the transposition means the elasticity should be read as a description of how recorded attention distributes across document ages, not as a claim that older documents were somehow of lower quality. The dissertation is careful to keep that distinction, because conflating an attention-distribution result with a quality judgment would be a serious overreach that the data cannot support</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For the cross-sectional model the threats are different. The signal-intensity outcome is a deterministic term count, which makes it reproducible but also makes it sensitive to vocabulary. A record that expresses the coordination idea in language the counter does not recognize scores low regardless of its substantive relevance, which would inject measurement noise that flattens every coefficient and could by itself explain the near-zero fit</w:t>
      </w:r>
      <w:r>
        <w:t xml:space="preserve"> </w:t>
      </w:r>
      <w:hyperlink w:anchor="ref-2">
        <w:r>
          <w:rPr>
            <w:rStyle w:val="Hyperlink"/>
          </w:rPr>
          <w:t xml:space="preserve">[2]</w:t>
        </w:r>
      </w:hyperlink>
      <w:r>
        <w:t xml:space="preserve">. The venue variable is ordinal and coarse, so its coefficient captures direction at best and cannot be read as a calibrated effect size. And with only three predictors and thirty observations, the cross-sectional model has limited power; a true but modest association could go undetected in a sample this size, so the failure to reject H0 is evidence of absence-in-this-sample, not proof of absence in general.</w:t>
      </w:r>
    </w:p>
    <w:bookmarkEnd w:id="109"/>
    <w:bookmarkStart w:id="110" w:name="X949423e1c8bf2dbc0aecd56dcc3c0b67b1726cc"/>
    <w:p>
      <w:pPr>
        <w:pStyle w:val="Heading2"/>
        <w:spacing w:line="480" w:lineRule="auto"/>
      </w:pPr>
      <w:r>
        <w:t xml:space="preserve">Why the threats do not dissolve the contribution</w:t>
      </w:r>
    </w:p>
    <w:p>
      <w:pPr>
        <w:pStyle w:val="FirstParagraph"/>
        <w:spacing w:line="480" w:lineRule="auto"/>
      </w:pPr>
      <w:r>
        <w:t xml:space="preserve">A reader who has followed the catalog of threats might reasonably ask what survives. The answer is more than a skeptic would expect, because the threats bear unevenly on the two results. The cross-sectional null is robust to most of them: vocabulary noise, coarse venue coding, and limited power all push toward finding no structure, so a null result is if anything the conservative outcome, and the threats reinforce rather than undermine it. The temporal result is the one exposed to a genuine confound, the entanglement of citation coverage with age, and the dissertation neither hides that exposure nor lets it erase the finding. The elasticity is real within this corpus and this citation source; what remains open is whether it generalizes to a source with uniform coverage. That is a precise, bounded uncertainty, not a wholesale doubt, and it defines exactly one experiment that would resolve it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study that can name the single replication that would confirm or dissolve its main result has done its epistemic job, even when it cannot run that replication itself.</w:t>
      </w:r>
    </w:p>
    <w:p>
      <w:pPr>
        <w:pStyle w:val="BodyText"/>
        <w:spacing w:line="480" w:lineRule="auto"/>
        <w:ind w:firstLine="720"/>
      </w:pPr>
      <w:r>
        <w:t xml:space="preserve">The contribution, then, is not a claim that survives every objection unscathed. It is a pair of results whose robustness is itself mapped: one firm and conservative, one real-but-conditional with its condition specified. Mapping the robustness this explicitly is worth more to a later researcher than a falsely confident headline would be, because it says where to dig and where not to bother</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10"/>
    <w:bookmarkStart w:id="111" w:name="X4283b08842d07b00831864ad090716fd60545e4"/>
    <w:p>
      <w:pPr>
        <w:pStyle w:val="Heading2"/>
        <w:spacing w:line="480" w:lineRule="auto"/>
      </w:pPr>
      <w:r>
        <w:t xml:space="preserve">What a skeptic and a proponent would each conclude</w:t>
      </w:r>
    </w:p>
    <w:p>
      <w:pPr>
        <w:pStyle w:val="FirstParagraph"/>
        <w:spacing w:line="480" w:lineRule="auto"/>
      </w:pPr>
      <w:r>
        <w:t xml:space="preserve">A useful way to bound the interpretation is to ask what two honest readers with opposite priors would take from the same output. A skeptic, doubtful that the coordination field is consolidating, would note that the cross-sectional model found nothing, that the temporal result is exposed to a coverage confound, and that thirty observations cannot carry a strong claim; the skeptic would conclude that the corpus does not establish consolidation, which is true. A proponent, expecting consolidation, would note that the temporal elasticity is significant against an exposure headwind, that the venue lead points the predicted direction, and that the flat cross-section is consistent with an early-motion field; the proponent would conclude that the corpus is consistent with early consolidation, which is also true. The two readings do not contradict each other, because one is a claim about what is established and the other about what is consistent, and the evidence supports the weaker of each. The dissertation sits deliberately between them, asserting neither more than the skeptic must grant nor less than the proponent may hope, which is the only defensible position given what the data are</w:t>
      </w:r>
      <w:r>
        <w:t xml:space="preserve"> </w:t>
      </w:r>
      <w:hyperlink w:anchor="ref-3">
        <w:r>
          <w:rPr>
            <w:rStyle w:val="Hyperlink"/>
          </w:rPr>
          <w:t xml:space="preserve">[3]</w:t>
        </w:r>
      </w:hyperlink>
      <w:r>
        <w:t xml:space="preserve"> </w:t>
      </w:r>
      <w:hyperlink w:anchor="ref-10">
        <w:r>
          <w:rPr>
            <w:rStyle w:val="Hyperlink"/>
          </w:rPr>
          <w:t xml:space="preserve">[10]</w:t>
        </w:r>
      </w:hyperlink>
      <w:r>
        <w:t xml:space="preserve">. Naming both readings explicitly is a guard against a later reader collapsing the finding into whichever prior they arrived with.</w:t>
      </w:r>
    </w:p>
    <w:bookmarkEnd w:id="111"/>
    <w:bookmarkStart w:id="112" w:name="what-the-data-cannot-show"/>
    <w:p>
      <w:pPr>
        <w:pStyle w:val="Heading2"/>
        <w:spacing w:line="480" w:lineRule="auto"/>
      </w:pPr>
      <w:r>
        <w:t xml:space="preserve">What the data cannot show</w:t>
      </w:r>
    </w:p>
    <w:p>
      <w:pPr>
        <w:pStyle w:val="FirstParagraph"/>
        <w:spacing w:line="480" w:lineRule="auto"/>
      </w:pPr>
      <w:r>
        <w:t xml:space="preserve">Three limits are structural, not incidental, and stating them is part of the contribution.</w:t>
      </w:r>
    </w:p>
    <w:p>
      <w:pPr>
        <w:pStyle w:val="BodyText"/>
        <w:spacing w:line="480" w:lineRule="auto"/>
        <w:ind w:firstLine="720"/>
      </w:pPr>
      <w:r>
        <w:t xml:space="preserve">The design reads a corpus, not a population of operators. It can detect whether the coordination topic has documentary structure. It cannot observe a single operator’s decision to share or withhold data, cannot measure the participation level in any real sharing net, and therefore cannot locate the critical mass its title names</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The tipping point remains a theoretical object that the metadata can only shadow.</w:t>
      </w:r>
    </w:p>
    <w:p>
      <w:pPr>
        <w:pStyle w:val="BodyText"/>
        <w:spacing w:line="480" w:lineRule="auto"/>
        <w:ind w:firstLine="720"/>
      </w:pPr>
      <w:r>
        <w:t xml:space="preserve">The citation measure is local index coverage, not universal citation counts. Every conclusion that leans on citations inherits the index’s blind spots, which fall hardest on conference proceedings and non-English or non-indexed venues</w:t>
      </w:r>
      <w:r>
        <w:t xml:space="preserve"> </w:t>
      </w:r>
      <w:hyperlink w:anchor="ref-9">
        <w:r>
          <w:rPr>
            <w:rStyle w:val="Hyperlink"/>
          </w:rPr>
          <w:t xml:space="preserve">[9]</w:t>
        </w:r>
      </w:hyperlink>
      <w:r>
        <w:t xml:space="preserve">. A different bibliometric source could change the temporal result, and the design cannot rule that out.</w:t>
      </w:r>
    </w:p>
    <w:p>
      <w:pPr>
        <w:pStyle w:val="BodyText"/>
        <w:spacing w:line="480" w:lineRule="auto"/>
        <w:ind w:firstLine="720"/>
      </w:pPr>
      <w:r>
        <w:t xml:space="preserve">Nothing here is causal. Both estimators recover associations within a retained sample. Neither supports a claim that recency causes attention, that venue causes salience, or that any observed pattern would persist under stronger identification or a longitudinal design</w:t>
      </w:r>
      <w:r>
        <w:t xml:space="preserve"> </w:t>
      </w:r>
      <w:hyperlink w:anchor="ref-11">
        <w:r>
          <w:rPr>
            <w:rStyle w:val="Hyperlink"/>
          </w:rPr>
          <w:t xml:space="preserve">[11]</w:t>
        </w:r>
      </w:hyperlink>
      <w:r>
        <w:t xml:space="preserve">. A related limit concerns external validity across regimes. The corpus draws on traffic management writing broadly, but the coordination problem it models is sharpest in the cislunar case, where sparse sensing and long delays make voluntary sharing the load-bearing element of any regime</w:t>
      </w:r>
      <w:r>
        <w:t xml:space="preserve"> </w:t>
      </w:r>
      <w:hyperlink w:anchor="ref-16">
        <w:r>
          <w:rPr>
            <w:rStyle w:val="Hyperlink"/>
          </w:rPr>
          <w:t xml:space="preserve">[16]</w:t>
        </w:r>
      </w:hyperlink>
      <w:r>
        <w:t xml:space="preserve">. The estimators do not distinguish cislunar from low Earth orbit sources, so their results describe the theme’s documentary footprint as a whole rather than the cislunar sub-literature specifically. A cislunar-only re-estimation might sharpen or dissolve the patterns found here, and the present design cannot say which. This is a boundary on where the findings apply, not a flaw in how they were obtained, and it points toward a natural refinement in future work</w:t>
      </w:r>
      <w:r>
        <w:t xml:space="preserve"> </w:t>
      </w:r>
      <w:hyperlink w:anchor="ref-5">
        <w:r>
          <w:rPr>
            <w:rStyle w:val="Hyperlink"/>
          </w:rPr>
          <w:t xml:space="preserve">[5]</w:t>
        </w:r>
      </w:hyperlink>
      <w:r>
        <w:t xml:space="preserve"> </w:t>
      </w:r>
      <w:hyperlink w:anchor="ref-15">
        <w:r>
          <w:rPr>
            <w:rStyle w:val="Hyperlink"/>
          </w:rPr>
          <w:t xml:space="preserve">[15]</w:t>
        </w:r>
      </w:hyperlink>
      <w:r>
        <w:t xml:space="preserve">.</w:t>
      </w:r>
    </w:p>
    <w:bookmarkEnd w:id="112"/>
    <w:bookmarkStart w:id="113" w:name="X385b0d1ce22820a87ae892501b956c575346c92"/>
    <w:p>
      <w:pPr>
        <w:pStyle w:val="Heading2"/>
        <w:spacing w:line="480" w:lineRule="auto"/>
      </w:pPr>
      <w:r>
        <w:t xml:space="preserve">Governance value under acknowledged limits</w:t>
      </w:r>
    </w:p>
    <w:p>
      <w:pPr>
        <w:pStyle w:val="FirstParagraph"/>
        <w:spacing w:line="480" w:lineRule="auto"/>
      </w:pPr>
      <w:r>
        <w:t xml:space="preserve">None of these limits empties the study of governance value; they specify the form that value takes. The contribution is not a finding that a coordination regime is imminent, which the data cannot support, but a method for reasoning about coordination readiness under partial information, which is the condition institutions actually face</w:t>
      </w:r>
      <w:r>
        <w:t xml:space="preserve"> </w:t>
      </w:r>
      <w:hyperlink w:anchor="ref-1">
        <w:r>
          <w:rPr>
            <w:rStyle w:val="Hyperlink"/>
          </w:rPr>
          <w:t xml:space="preserve">[1]</w:t>
        </w:r>
      </w:hyperlink>
      <w:r>
        <w:t xml:space="preserve"> </w:t>
      </w:r>
      <w:hyperlink w:anchor="ref-7">
        <w:r>
          <w:rPr>
            <w:rStyle w:val="Hyperlink"/>
          </w:rPr>
          <w:t xml:space="preserve">[7]</w:t>
        </w:r>
      </w:hyperlink>
      <w:r>
        <w:t xml:space="preserve">. A program office weighing whether to invest in shared-data infrastructure does not get to wait for a complete operator census. It must decide with the evidence available, and the alternative to disciplined documentary measurement is undisciplined intuition. This dissertation offers the disciplined version, along with an honest account of how far it reaches. A claim that survives source tracing, variable construction, and estimator review carries more weight than an impression, and a claim that fails those tests, as the cross-sectional hypothesis did, usefully prevents premature confidence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temporal result carries the more actionable implication, subject to its coverage caveat. If attention in the coordination literature is genuinely concentrating on newer framings, the field is in a phase where its conceptual foundations are still being reworked, which is when institutional design has the most influence over the standard that eventually hardens</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That is a reason for institutions to engage now rather than later, framed not as a prediction but as a reading of where the field sits on its maturation path. Offered that way, with the caveat attached, the finding informs a decision without pretending to settle it. That is the appropriate register for governance evidence drawn from a bounded corpus, and it is the register the dissertation maintains.</w:t>
      </w:r>
    </w:p>
    <w:p>
      <w:pPr>
        <w:pStyle w:val="BodyText"/>
        <w:spacing w:line="480" w:lineRule="auto"/>
        <w:ind w:firstLine="720"/>
      </w:pPr>
      <w:r>
        <w:t xml:space="preserve">The study establishes what is measurable and reproducible in this corpus, and it stops there on purpose. That restraint is the point. A dissertation that names its ceiling as clearly as it reports its results gives the next project a firm place to stand, and Chapter 8 sets out what that next project should build.</w:t>
      </w:r>
    </w:p>
    <w:bookmarkEnd w:id="113"/>
    <w:bookmarkEnd w:id="114"/>
    <w:bookmarkStart w:id="148" w:name="chapter-8.-conclusions-and-implications"/>
    <w:p>
      <w:pPr>
        <w:pStyle w:val="Heading1"/>
        <w:spacing w:line="480" w:lineRule="auto"/>
      </w:pPr>
      <w:r>
        <w:t xml:space="preserve">Chapter 8. Conclusions and Implications</w:t>
      </w:r>
    </w:p>
    <w:p>
      <w:pPr>
        <w:pStyle w:val="FirstParagraph"/>
        <w:spacing w:line="480" w:lineRule="auto"/>
      </w:pPr>
      <w:r>
        <w:t xml:space="preserve">The aim was narrow. This dissertation set out to do one small, firm thing: convert a widely asserted claim about voluntary data sharing in space traffic management into a document-level test that anyone holding the same corpus could reproduce. It did that. The coordination tipping point, the participation threshold above which sharing becomes self-sustaining, is a theoretical object the metadata can only shadow, and this study measured that shadow rather than pretending to observe the object directly</w:t>
      </w:r>
      <w:r>
        <w:t xml:space="preserve"> </w:t>
      </w:r>
      <w:hyperlink w:anchor="ref-1">
        <w:r>
          <w:rPr>
            <w:rStyle w:val="Hyperlink"/>
          </w:rPr>
          <w:t xml:space="preserve">[1]</w:t>
        </w:r>
      </w:hyperlink>
      <w:r>
        <w:t xml:space="preserve"> </w:t>
      </w:r>
      <w:hyperlink w:anchor="ref-4">
        <w:r>
          <w:rPr>
            <w:rStyle w:val="Hyperlink"/>
          </w:rPr>
          <w:t xml:space="preserve">[4]</w:t>
        </w:r>
      </w:hyperlink>
      <w:r>
        <w:t xml:space="preserve">. What follows summarizes the contribution, draws out its relevance for traffic management program and governance design, and specifies the next empirical step.</w:t>
      </w:r>
    </w:p>
    <w:bookmarkStart w:id="115" w:name="the-contribution-stated-precisely"/>
    <w:p>
      <w:pPr>
        <w:pStyle w:val="Heading2"/>
        <w:spacing w:line="480" w:lineRule="auto"/>
      </w:pPr>
      <w:r>
        <w:t xml:space="preserve">The contribution, stated precisely</w:t>
      </w:r>
    </w:p>
    <w:p>
      <w:pPr>
        <w:pStyle w:val="FirstParagraph"/>
        <w:spacing w:line="480" w:lineRule="auto"/>
      </w:pPr>
      <w:r>
        <w:t xml:space="preserve">The falsifiable contribution was a pair of hypotheses about whether the coordination topic’s salience is legible in the documentary record. The evidence returned a split verdict, and the split is the result.</w:t>
      </w:r>
    </w:p>
    <w:p>
      <w:pPr>
        <w:pStyle w:val="BodyText"/>
        <w:spacing w:line="480" w:lineRule="auto"/>
        <w:ind w:firstLine="720"/>
      </w:pPr>
      <w:r>
        <w:t xml:space="preserve">The cross-sectional test could not reject its null. Topic-signal intensity, measured across thirty retrieved records, is not systematically structured by publication recency, citation attention, or venue family, with a joint fit of R2 = 0.0598 and F_p = 0.5575</w:t>
      </w:r>
      <w:r>
        <w:t xml:space="preserve"> </w:t>
      </w:r>
      <w:hyperlink w:anchor="ref-3">
        <w:r>
          <w:rPr>
            <w:rStyle w:val="Hyperlink"/>
          </w:rPr>
          <w:t xml:space="preserve">[3]</w:t>
        </w:r>
      </w:hyperlink>
      <w:r>
        <w:t xml:space="preserve">. The lone directional lead, a negative venue coefficient of -0.7572 at p = 0.1570, points toward the conference literature carrying the stronger coordination signal, but it is a lead for future work rather than an established effect.</w:t>
      </w:r>
    </w:p>
    <w:p>
      <w:pPr>
        <w:pStyle w:val="BodyText"/>
        <w:spacing w:line="480" w:lineRule="auto"/>
        <w:ind w:firstLine="720"/>
      </w:pPr>
      <w:r>
        <w:t xml:space="preserve">The temporal test rejected its null. Citation accumulation follows a measurable age-based curve, with an elasticity of -0.8778 significant at p = 0.0292 and a progress ratio of 0.5442, indicating that attention in this corpus concentrates on newer work rather than accumulating with exposure time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Subject to the coverage caveats of Chapter 7, this is the more coordination-relevant of the two results, because a field whose attention tilts toward its newest framings is a field in motion.</w:t>
      </w:r>
    </w:p>
    <w:p>
      <w:pPr>
        <w:pStyle w:val="BodyText"/>
        <w:spacing w:line="480" w:lineRule="auto"/>
        <w:ind w:firstLine="720"/>
      </w:pPr>
      <w:r>
        <w:t xml:space="preserve">Neither result proves that a data-sharing regime will consolidate. Together they establish something more modest and more durable: which signals in this corpus are real, which are noise, and where the evidentiary chain is strong enough to bear weight. That is the auditable measurement the coordination debate has lacked.</w:t>
      </w:r>
    </w:p>
    <w:p>
      <w:pPr>
        <w:pStyle w:val="BodyText"/>
        <w:spacing w:line="480" w:lineRule="auto"/>
        <w:ind w:firstLine="720"/>
      </w:pPr>
      <w:r>
        <w:t xml:space="preserve">The methodological contribution is separable from the substantive one and may prove more transferable. The dissertation demonstrates a reproducible way to convert a diffuse claim about field maturity into two lean, falsifiable tests whose every number is a deterministic function of an inspectable corpus. That procedure is not specific to voluntary data sharing. Any space-governance topic that is asserted to be maturing, on-orbit servicing norms, debris-removal liability regimes, cislunar coordination writ large, could be subjected to the same cross-sectional and temporal screens, and the same split-verdict discipline would apply</w:t>
      </w:r>
      <w:r>
        <w:t xml:space="preserve"> </w:t>
      </w:r>
      <w:hyperlink w:anchor="ref-6">
        <w:r>
          <w:rPr>
            <w:rStyle w:val="Hyperlink"/>
          </w:rPr>
          <w:t xml:space="preserve">[6]</w:t>
        </w:r>
      </w:hyperlink>
      <w:r>
        <w:t xml:space="preserve"> </w:t>
      </w:r>
      <w:hyperlink w:anchor="ref-9">
        <w:r>
          <w:rPr>
            <w:rStyle w:val="Hyperlink"/>
          </w:rPr>
          <w:t xml:space="preserve">[9]</w:t>
        </w:r>
      </w:hyperlink>
      <w:r>
        <w:t xml:space="preserve"> </w:t>
      </w:r>
      <w:hyperlink w:anchor="ref-15">
        <w:r>
          <w:rPr>
            <w:rStyle w:val="Hyperlink"/>
          </w:rPr>
          <w:t xml:space="preserve">[15]</w:t>
        </w:r>
      </w:hyperlink>
      <w:r>
        <w:t xml:space="preserve">. The value of building the instrument on this topic is that it produces a worked example other candidates and analysts can adapt rather than a one-off result. A method that travels is a larger contribution than a single finding that does not.</w:t>
      </w:r>
    </w:p>
    <w:bookmarkEnd w:id="115"/>
    <w:bookmarkStart w:id="116" w:name="the-contribution-restated-for-the-record"/>
    <w:p>
      <w:pPr>
        <w:pStyle w:val="Heading2"/>
        <w:spacing w:line="480" w:lineRule="auto"/>
      </w:pPr>
      <w:r>
        <w:t xml:space="preserve">The contribution restated for the record</w:t>
      </w:r>
    </w:p>
    <w:p>
      <w:pPr>
        <w:pStyle w:val="FirstParagraph"/>
        <w:spacing w:line="480" w:lineRule="auto"/>
      </w:pPr>
      <w:r>
        <w:t xml:space="preserve">Claims should shrink to fit their evidence. Doctoral contributions are often described in inflated terms, so it is worth restating this one in deflated ones and letting it stand on that. The dissertation did not discover a coordination regime, forecast a tipping point, or measure operator behavior. It built a reproducible way to ask whether a specific coordination claim is legible in an inspectable corpus, ran two lean estimators against thirty traceable records, and reported a split verdict with its robustness mapped. The instrument is small. Stated that plainly, the contribution is small too. Stated honestly, it is also real, because the coordination debate previously had no such instrument and no such measured trajectory, only assertion</w:t>
      </w:r>
      <w:r>
        <w:t xml:space="preserve"> </w:t>
      </w:r>
      <w:hyperlink w:anchor="ref-1">
        <w:r>
          <w:rPr>
            <w:rStyle w:val="Hyperlink"/>
          </w:rPr>
          <w:t xml:space="preserve">[1]</w:t>
        </w:r>
      </w:hyperlink>
      <w:r>
        <w:t xml:space="preserve"> </w:t>
      </w:r>
      <w:hyperlink w:anchor="ref-9">
        <w:r>
          <w:rPr>
            <w:rStyle w:val="Hyperlink"/>
          </w:rPr>
          <w:t xml:space="preserve">[9]</w:t>
        </w:r>
      </w:hyperlink>
      <w:r>
        <w:t xml:space="preserve">. A modest true thing added to a field that had been trading in confident untestable ones is a legitimate advance, and the dissertation claims exactly that much and no more.</w:t>
      </w:r>
    </w:p>
    <w:p>
      <w:pPr>
        <w:pStyle w:val="BodyText"/>
        <w:spacing w:line="480" w:lineRule="auto"/>
        <w:ind w:firstLine="720"/>
      </w:pPr>
      <w:r>
        <w:t xml:space="preserve">The split verdict itself is part of the contribution rather than a disappointment to explain away. A design that could only confirm its hypotheses would be less credible than one that rejects one null and fails to reject another, because the mixed outcome is evidence that the estimators are reading the data rather than the analyst’s hopes</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cross-sectional flatness and the temporal concentration are both facts about the corpus, and holding them together, without collapsing them into a single triumphant or dismissive sentence, is the interpretive posture the whole document has practiced. That posture is transferable to any candidate facing a field that asserts its own maturity faster than it measures it.</w:t>
      </w:r>
    </w:p>
    <w:bookmarkEnd w:id="116"/>
    <w:bookmarkStart w:id="117" w:name="Xe559cef2030b3ff2504a13f420aaa1614c4100f"/>
    <w:p>
      <w:pPr>
        <w:pStyle w:val="Heading2"/>
        <w:spacing w:line="480" w:lineRule="auto"/>
      </w:pPr>
      <w:r>
        <w:t xml:space="preserve">Relevance for governance and program design</w:t>
      </w:r>
    </w:p>
    <w:p>
      <w:pPr>
        <w:pStyle w:val="FirstParagraph"/>
        <w:spacing w:line="480" w:lineRule="auto"/>
      </w:pPr>
      <w:r>
        <w:t xml:space="preserve">The findings speak to how traffic management institutions should reason under partial information, which is the condition they actually face. Agencies, operators, and standards bodies rarely have complete data when they must decide whether to invest in coordination infrastructure</w:t>
      </w:r>
      <w:r>
        <w:t xml:space="preserve"> </w:t>
      </w:r>
      <w:hyperlink w:anchor="ref-5">
        <w:r>
          <w:rPr>
            <w:rStyle w:val="Hyperlink"/>
          </w:rPr>
          <w:t xml:space="preserve">[5]</w:t>
        </w:r>
      </w:hyperlink>
      <w:r>
        <w:t xml:space="preserve"> </w:t>
      </w:r>
      <w:hyperlink w:anchor="ref-7">
        <w:r>
          <w:rPr>
            <w:rStyle w:val="Hyperlink"/>
          </w:rPr>
          <w:t xml:space="preserve">[7]</w:t>
        </w:r>
      </w:hyperlink>
      <w:r>
        <w:t xml:space="preserve">. A method that marks the boundary between what the record shows and what remains unknown is directly useful to that decision, because it prevents both premature confidence and paralytic caution.</w:t>
      </w:r>
    </w:p>
    <w:p>
      <w:pPr>
        <w:pStyle w:val="BodyText"/>
        <w:spacing w:line="480" w:lineRule="auto"/>
        <w:ind w:firstLine="720"/>
      </w:pPr>
      <w:r>
        <w:t xml:space="preserve">Two governance implications follow from the specific results. First, the flat cross-section is a warning against reading field maturity off metadata snapshots. If a program office judged the coordination topic’s readiness by counting recent, well-cited, high-venue papers, this corpus would mislead it, because those signals carry no structure here. Second, the temporal tilt toward recent work suggests that the coordination framing is being actively reworked rather than settled, which is precisely the moment when institutional design has the most leverage over the eventual regime. Architectural choices made while a field’s attention is still concentrating on new framings shape the standard that later hardens, and work on guiding lunar growth and on cislunar and cismartian frameworks argues that this window closes as the environment densifies</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 practical counsel is to treat the present as a design window, not a wait-and-see interval.</w:t>
      </w:r>
    </w:p>
    <w:p>
      <w:pPr>
        <w:pStyle w:val="BodyText"/>
        <w:spacing w:line="480" w:lineRule="auto"/>
        <w:ind w:firstLine="720"/>
      </w:pPr>
      <w:r>
        <w:t xml:space="preserve">For the cislunar regime the stakes are sharpest. Sparse sensing and long delays make voluntary information exchange the load-bearing element of any workable arrangement, and coordinated servicing and maneuver operations depend on a shared behavioral baseline that does not yet formally exist</w:t>
      </w:r>
      <w:r>
        <w:t xml:space="preserve"> </w:t>
      </w:r>
      <w:hyperlink w:anchor="ref-6">
        <w:r>
          <w:rPr>
            <w:rStyle w:val="Hyperlink"/>
          </w:rPr>
          <w:t xml:space="preserve">[6]</w:t>
        </w:r>
      </w:hyperlink>
      <w:r>
        <w:t xml:space="preserve"> </w:t>
      </w:r>
      <w:hyperlink w:anchor="ref-15">
        <w:r>
          <w:rPr>
            <w:rStyle w:val="Hyperlink"/>
          </w:rPr>
          <w:t xml:space="preserve">[15]</w:t>
        </w:r>
      </w:hyperlink>
      <w:r>
        <w:t xml:space="preserve">. A measurement discipline that can track whether the field is approaching coordination, even imperfectly through its documentary shadow, is a modest but real input to building that baseline before it is needed rather than after.</w:t>
      </w:r>
    </w:p>
    <w:p>
      <w:pPr>
        <w:pStyle w:val="BodyText"/>
        <w:spacing w:line="480" w:lineRule="auto"/>
        <w:ind w:firstLine="720"/>
      </w:pPr>
      <w:r>
        <w:t xml:space="preserve">There is a specific caution for decision makers embedded in the split verdict, and it is worth stating as guidance rather than leaving implicit. A program office tempted to gauge the readiness of a coordination regime by scanning for recent, highly cited, high-venue papers would be misled by this corpus, because those cross-sectional signals carry no structure in it. The more reliable readiness indicator, on the evidence here, is temporal: whether attention is concentrating on the field’s newest framings, which is what the significant age elasticity captures. Substituting a temporal reading of the literature for a snapshot reading is a small but concrete improvement in how institutions might triage where to invest coordination effort, and it follows directly from the contrast between the two papers</w:t>
      </w:r>
      <w:r>
        <w:t xml:space="preserve"> </w:t>
      </w:r>
      <w:hyperlink w:anchor="ref-7">
        <w:r>
          <w:rPr>
            <w:rStyle w:val="Hyperlink"/>
          </w:rPr>
          <w:t xml:space="preserve">[7]</w:t>
        </w:r>
      </w:hyperlink>
      <w:r>
        <w:t xml:space="preserve"> </w:t>
      </w:r>
      <w:hyperlink w:anchor="ref-9">
        <w:r>
          <w:rPr>
            <w:rStyle w:val="Hyperlink"/>
          </w:rPr>
          <w:t xml:space="preserve">[9]</w:t>
        </w:r>
      </w:hyperlink>
      <w:r>
        <w:t xml:space="preserve">. The counsel is not to trust any single metadata cut but to prefer the dynamic view over the static one when they disagree.</w:t>
      </w:r>
    </w:p>
    <w:p>
      <w:pPr>
        <w:pStyle w:val="BodyText"/>
        <w:spacing w:line="480" w:lineRule="auto"/>
        <w:ind w:firstLine="720"/>
      </w:pPr>
      <w:r>
        <w:t xml:space="preserve">The two results also carry a lesson for how the coordination question should be posed in future. Because the cross-sectional and temporal tests diverged, the naive framing, whether the field is mature, is the wrong question, since it presumes a single answer that the evidence refuses. The better framing is dimensional: whether the field is structured at a moment, and whether it is structured through time, treated as separate questions with potentially different answers. On this corpus the answers are no and yes respectively, and that pairing is more informative than any single maturity verdict could be</w:t>
      </w:r>
      <w:r>
        <w:t xml:space="preserve"> </w:t>
      </w:r>
      <w:hyperlink w:anchor="ref-7">
        <w:r>
          <w:rPr>
            <w:rStyle w:val="Hyperlink"/>
          </w:rPr>
          <w:t xml:space="preserve">[7]</w:t>
        </w:r>
      </w:hyperlink>
      <w:r>
        <w:t xml:space="preserve"> </w:t>
      </w:r>
      <w:hyperlink w:anchor="ref-9">
        <w:r>
          <w:rPr>
            <w:rStyle w:val="Hyperlink"/>
          </w:rPr>
          <w:t xml:space="preserve">[9]</w:t>
        </w:r>
      </w:hyperlink>
      <w:r>
        <w:t xml:space="preserve">. A field can be dynamically active while statically unsorted, and the instrument the dissertation builds is precisely what distinguishes those conditions. Reframing the question dimensionally is a modest conceptual contribution that follows directly from taking the split verdict seriously rather than forcing it into a scalar.</w:t>
      </w:r>
    </w:p>
    <w:bookmarkEnd w:id="117"/>
    <w:bookmarkStart w:id="118" w:name="X016e63bb355da120528bf93146437e7a7ed6475"/>
    <w:p>
      <w:pPr>
        <w:pStyle w:val="Heading2"/>
        <w:spacing w:line="480" w:lineRule="auto"/>
      </w:pPr>
      <w:r>
        <w:t xml:space="preserve">What the split verdict adds to the coordination literature</w:t>
      </w:r>
    </w:p>
    <w:p>
      <w:pPr>
        <w:pStyle w:val="FirstParagraph"/>
        <w:spacing w:line="480" w:lineRule="auto"/>
      </w:pPr>
      <w:r>
        <w:t xml:space="preserve">The literature reviewed in Chapter 2 described coordination as necessary, assumed it to be coming, and rarely measured its trajectory. This dissertation adds a measured trajectory, partial and coarse but real. Its specific addition is the finding that, in the theme’s documentary footprint, the signs of consolidation are temporal rather than cross-sectional: attention is moving toward newer framings while the snapshot structure remains flat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That is a more precise statement than the literature previously supported, and it reframes the coordination question in a useful way. The right question is no longer whether the field looks mature by static measures, since by those measures it does not, but whether its attention dynamics are organizing, which on this evidence they are. A field can be dynamically alive while statically unsorted, and distinguishing those two conditions is exactly what a program office or standards body needs when it decides whether to invest in coordination infrastructure now or wait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This reframing also sharpens the earlier work on treating a field’s communicative activity as evidence</w:t>
      </w:r>
      <w:r>
        <w:t xml:space="preserve"> </w:t>
      </w:r>
      <w:hyperlink w:anchor="ref-9">
        <w:r>
          <w:rPr>
            <w:rStyle w:val="Hyperlink"/>
          </w:rPr>
          <w:t xml:space="preserve">[9]</w:t>
        </w:r>
      </w:hyperlink>
      <w:r>
        <w:t xml:space="preserve">. That work established the idea; this dissertation supplies the estimator that turns the idea into a number with a standard error. The increment is small but concrete, and it is the kind of increment that lets a research program advance by verifiable steps rather than by successive restatements of the same intuition.</w:t>
      </w:r>
    </w:p>
    <w:bookmarkEnd w:id="118"/>
    <w:bookmarkStart w:id="119" w:name="X7935ddc96a1dc0cc1db538522018b8917f16b42"/>
    <w:p>
      <w:pPr>
        <w:pStyle w:val="Heading2"/>
        <w:spacing w:line="480" w:lineRule="auto"/>
      </w:pPr>
      <w:r>
        <w:t xml:space="preserve">Relevance to the pipeline that produced it</w:t>
      </w:r>
    </w:p>
    <w:p>
      <w:pPr>
        <w:pStyle w:val="FirstParagraph"/>
        <w:spacing w:line="480" w:lineRule="auto"/>
      </w:pPr>
      <w:r>
        <w:t xml:space="preserve">This dissertation was produced inside a structured research pipeline, and part of its contribution is to that pipeline rather than only to the coordination literature. A pipeline that manufactures doctoral work at scale faces a standing risk: that its outputs will look finished without being sound, confident prose resting on unexamined inference. The design practiced here is a direct answer to that risk. By binding every claim to an inspectable row, specifying each estimator in a configuration a reviewer can rerun, and reporting split verdicts rather than manufactured confirmations, the dissertation models the discipline that keeps scaled research honest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value to the pipeline is a worked template: a candidate topic, a bounded corpus, two lean estimators, and an interpretation that never outruns the numbers. Other candidates facing other topics can adopt the same skeleton, and the pipeline as a whole is stronger for having an example of restraint to point to rather than only examples of ambition.</w:t>
      </w:r>
    </w:p>
    <w:p>
      <w:pPr>
        <w:pStyle w:val="BodyText"/>
        <w:spacing w:line="480" w:lineRule="auto"/>
        <w:ind w:firstLine="720"/>
      </w:pPr>
      <w:r>
        <w:t xml:space="preserve">The restraint is also what makes the work defensible under scrutiny. A reviewer can rerun the estimators, inspect the rows, and confirm that the reported numbers follow from the specified data, which is a stronger guarantee than a reader’s trust in an author’s care. The template also travels because its restraint is not topic-specific. Any assertion that a space-governance field is maturing, on-orbit servicing norms, debris-removal regimes, spectrum coordination, can be subjected to the same cross-sectional and temporal screens against an inspectable corpus</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instrument is general; only the corpus changes. That generality is what turns a single dissertation into a reusable method, and it is the contribution most likely to outlast the specific finding about voluntary data sharing.</w:t>
      </w:r>
    </w:p>
    <w:bookmarkEnd w:id="119"/>
    <w:bookmarkStart w:id="120" w:name="future-work"/>
    <w:p>
      <w:pPr>
        <w:pStyle w:val="Heading2"/>
        <w:spacing w:line="480" w:lineRule="auto"/>
      </w:pPr>
      <w:r>
        <w:t xml:space="preserve">Future work</w:t>
      </w:r>
    </w:p>
    <w:p>
      <w:pPr>
        <w:pStyle w:val="FirstParagraph"/>
        <w:spacing w:line="480" w:lineRule="auto"/>
      </w:pPr>
      <w:r>
        <w:t xml:space="preserve">The next project is specified by the limits this one named. Three moves would strengthen the design directly.</w:t>
      </w:r>
    </w:p>
    <w:p>
      <w:pPr>
        <w:pStyle w:val="BodyText"/>
        <w:spacing w:line="480" w:lineRule="auto"/>
        <w:ind w:firstLine="720"/>
      </w:pPr>
      <w:r>
        <w:t xml:space="preserve">Replace the local citation index with a source of uniform citation coverage across venues, so the temporal elasticity can be re-estimated free of the coverage-venue confound that Chapter 7 flagged as the leading threat</w:t>
      </w:r>
      <w:r>
        <w:t xml:space="preserve"> </w:t>
      </w:r>
      <w:hyperlink w:anchor="ref-9">
        <w:r>
          <w:rPr>
            <w:rStyle w:val="Hyperlink"/>
          </w:rPr>
          <w:t xml:space="preserve">[9]</w:t>
        </w:r>
      </w:hyperlink>
      <w:r>
        <w:t xml:space="preserve">. If the negative age elasticity survives uniform coverage, the recency-of-attention result graduates from suggestive to established.</w:t>
      </w:r>
    </w:p>
    <w:p>
      <w:pPr>
        <w:pStyle w:val="BodyText"/>
        <w:spacing w:line="480" w:lineRule="auto"/>
        <w:ind w:firstLine="720"/>
      </w:pPr>
      <w:r>
        <w:t xml:space="preserve">Expand the corpus well beyond thirty records and refine the venue coding from a three-level ordinal into a finer classification, which would give the cross-sectional model the statistical power it presently lacks and let the venue lead be tested properly rather than left at p = 0.1570</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p>
      <w:pPr>
        <w:pStyle w:val="BodyText"/>
        <w:spacing w:line="480" w:lineRule="auto"/>
        <w:ind w:firstLine="720"/>
      </w:pPr>
      <w:r>
        <w:t xml:space="preserve">Add operator-level or participation-level data, however partial, to begin bridging from the documentary shadow toward the coordination behavior itself. Only such data can move the study from measuring salience toward locating the critical mass its title names, and only a longitudinal design can test whether the observed patterns persist under stronger identification</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Beyond those three moves, a fourth would extend the design’s reach rather than only harden its existing tests. Partitioning the corpus by regime, separating the cislunar sources from the broader traffic management literature, would let the estimators ask whether the coordination signals are stronger where the coordination problem is sharpest</w:t>
      </w:r>
      <w:r>
        <w:t xml:space="preserve"> </w:t>
      </w:r>
      <w:hyperlink w:anchor="ref-16">
        <w:r>
          <w:rPr>
            <w:rStyle w:val="Hyperlink"/>
          </w:rPr>
          <w:t xml:space="preserve">[16]</w:t>
        </w:r>
      </w:hyperlink>
      <w:r>
        <w:t xml:space="preserve">. The mechanism predicts they should be, since the cislunar case concentrates every element of the coordination good, and a regime-partitioned re-estimation would put that prediction to a direct test</w:t>
      </w:r>
      <w:r>
        <w:t xml:space="preserve"> </w:t>
      </w:r>
      <w:hyperlink w:anchor="ref-5">
        <w:r>
          <w:rPr>
            <w:rStyle w:val="Hyperlink"/>
          </w:rPr>
          <w:t xml:space="preserve">[5]</w:t>
        </w:r>
      </w:hyperlink>
      <w:r>
        <w:t xml:space="preserve"> </w:t>
      </w:r>
      <w:hyperlink w:anchor="ref-15">
        <w:r>
          <w:rPr>
            <w:rStyle w:val="Hyperlink"/>
          </w:rPr>
          <w:t xml:space="preserve">[15]</w:t>
        </w:r>
      </w:hyperlink>
      <w:r>
        <w:t xml:space="preserve">. A fifth move would add a second outcome to the cross-sectional model, replacing the vocabulary-sensitive term count with a coded measure of whether each record actually advances a coordination proposal, which would address the measurement noise that most plausibly attenuated the flat cross-sectional fit</w:t>
      </w:r>
      <w:r>
        <w:t xml:space="preserve"> </w:t>
      </w:r>
      <w:hyperlink w:anchor="ref-2">
        <w:r>
          <w:rPr>
            <w:rStyle w:val="Hyperlink"/>
          </w:rPr>
          <w:t xml:space="preserve">[2]</w:t>
        </w:r>
      </w:hyperlink>
      <w:r>
        <w:t xml:space="preserve">. Each of these extensions is scoped by a limitation the present study named, which is the mark of a design that has mapped its own frontier rather than merely reached it.</w:t>
      </w:r>
    </w:p>
    <w:p>
      <w:pPr>
        <w:pStyle w:val="BodyText"/>
        <w:spacing w:line="480" w:lineRule="auto"/>
        <w:ind w:firstLine="720"/>
      </w:pPr>
      <w:r>
        <w:t xml:space="preserve">The through-line of all this future work is a single commitment: to keep the evidentiary chain inspectable as the data improve. A richer citation source, a larger corpus, a regime partition, and a coded outcome would each strengthen one link, and none would require abandoning the deterministic, auditable structure that makes the present results trustworthy in the first place. That continuity is what makes this a first increment of a program rather than an isolated exercise</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dissertation replaces an intuition with an auditable pathway. It shows that the coordination claim can be tested, that part of it survives testing and part does not, and that the failures are as informative as the successes because they tell the next researcher exactly where a better dataset would earn its keep. ## A closing accounting of what was and was not shown</w:t>
      </w:r>
    </w:p>
    <w:p>
      <w:pPr>
        <w:pStyle w:val="BodyText"/>
        <w:spacing w:line="480" w:lineRule="auto"/>
        <w:ind w:firstLine="720"/>
      </w:pPr>
      <w:r>
        <w:t xml:space="preserve">It is worth ending with a plain ledger, because a bounded study earns trust by being exact about its own results. The study showed that a widely asserted coordination claim can be reduced to two document-level tests and estimated from an inspectable corpus of thirty records. It showed that cross-sectional signal intensity is not structured by recency, citation attention, or venue family, with a joint fit that does not reject its null. It showed that citation accumulation is age-structured, concentrating on newer work, with a significant negative elasticity, subject to a citation-coverage caveat that a single specified replication would resolve. It did not show that a data-sharing regime will form, did not observe any operator’s behavior, and did not locate the critical mass its title names</w:t>
      </w:r>
      <w:r>
        <w:t xml:space="preserve"> </w:t>
      </w:r>
      <w:hyperlink w:anchor="ref-1">
        <w:r>
          <w:rPr>
            <w:rStyle w:val="Hyperlink"/>
          </w:rPr>
          <w:t xml:space="preserve">[1]</w:t>
        </w:r>
      </w:hyperlink>
      <w:r>
        <w:t xml:space="preserve"> </w:t>
      </w:r>
      <w:hyperlink w:anchor="ref-16">
        <w:r>
          <w:rPr>
            <w:rStyle w:val="Hyperlink"/>
          </w:rPr>
          <w:t xml:space="preserve">[16]</w:t>
        </w:r>
      </w:hyperlink>
      <w:r>
        <w:t xml:space="preserve">. Setting the shown and the unshown side by side is not a hedge. It is the final act of the traceability the whole design was built to provide.</w:t>
      </w:r>
    </w:p>
    <w:p>
      <w:pPr>
        <w:pStyle w:val="BodyText"/>
        <w:spacing w:line="480" w:lineRule="auto"/>
        <w:ind w:firstLine="720"/>
      </w:pPr>
      <w:r>
        <w:t xml:space="preserve">The ledger is short. Its value extends past this one topic. Every entry on the shown side is a result another researcher can build on, and every entry on the unshown side is a task another researcher can take up, with the exact data improvement that would make it tractable already named. A dissertation that hands its successor both a firm foundation and a labeled set of next steps has done more than answer a question. It has organized a small region of inquiry so that the next answer can be reached</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For Bruno Wren the project establishes a durable line of inquiry with a clear next increment. For the traffic management community it offers a small, honest instrument for reasoning about coordination before the evidence is complete, which is the only time the reasoning ever actually matters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20"/>
    <w:bookmarkStart w:id="147" w:name="references"/>
    <w:p>
      <w:pPr>
        <w:pStyle w:val="Heading2"/>
        <w:spacing w:line="480" w:lineRule="auto"/>
      </w:pPr>
      <w:r>
        <w:t xml:space="preserve">References</w:t>
      </w:r>
    </w:p>
    <w:p>
      <w:pPr>
        <w:pStyle w:val="FirstParagraph"/>
        <w:spacing w:line="480" w:lineRule="auto"/>
      </w:pPr>
      <w:bookmarkStart w:id="121" w:name="ref-1"/>
      <w:bookmarkEnd w:id="121"/>
      <w:r>
        <w:t xml:space="preserve">1.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 [AMOS]</w:t>
      </w:r>
    </w:p>
    <w:p>
      <w:pPr>
        <w:pStyle w:val="BodyText"/>
        <w:spacing w:line="480" w:lineRule="auto"/>
        <w:ind w:firstLine="720"/>
      </w:pPr>
      <w:bookmarkStart w:id="122" w:name="ref-2"/>
      <w:bookmarkEnd w:id="122"/>
      <w:r>
        <w:t xml:space="preserve">2. W. Thomas Vestrand, Los Alamos National Laboratory; Przemek Wozniak, Los Alamos National Laboratory; Sean Brennan, Los Alamos National Laboratory; Troy McVay, Los Alamos National Laboratory; Lucas Parker, Los Alamos National Laboratory; Rebecca Holmes Sandoval, Los Alamos National Laboratory; Yancey Sechrest, Los Alamos National Laboratory. Artificial Intelligence Enabled Dynamic Coalition Architecture for Space Traffic Management (2021). [AMOS]</w:t>
      </w:r>
    </w:p>
    <w:p>
      <w:pPr>
        <w:pStyle w:val="BodyText"/>
        <w:spacing w:line="480" w:lineRule="auto"/>
        <w:ind w:firstLine="720"/>
      </w:pPr>
      <w:bookmarkStart w:id="123" w:name="ref-3"/>
      <w:bookmarkEnd w:id="123"/>
      <w:r>
        <w:t xml:space="preserve">3. Todd Harrison, Center for Strategic and International Studies. International Perspectives on Space Weapons (2020). [AMOS]</w:t>
      </w:r>
    </w:p>
    <w:p>
      <w:pPr>
        <w:pStyle w:val="BodyText"/>
        <w:spacing w:line="480" w:lineRule="auto"/>
        <w:ind w:firstLine="720"/>
      </w:pPr>
      <w:bookmarkStart w:id="124" w:name="ref-4"/>
      <w:bookmarkEnd w:id="124"/>
      <w:r>
        <w:t xml:space="preserve">4. Harvey Reed, MITRE; Nathaniel Dailey, The MITRE Corporation &amp; JHU School of Advanced International Studies; Bob Carden, MITRE; Dave Bryson, The MITRE Corporation. Blockchain Enabled Space Traffic Awareness (BESTA): Automated Comparison of SSA to Agreed Behavior for Discovery of Anomalous Behavior (2020). [AMOS]</w:t>
      </w:r>
    </w:p>
    <w:p>
      <w:pPr>
        <w:pStyle w:val="BodyText"/>
        <w:spacing w:line="480" w:lineRule="auto"/>
        <w:ind w:firstLine="720"/>
      </w:pPr>
      <w:bookmarkStart w:id="125" w:name="ref-5"/>
      <w:bookmarkEnd w:id="125"/>
      <w:r>
        <w:t xml:space="preserve">5. Michael Bilka, BAE Systems; Raymond Wright, BAE Systems, Space &amp; Mission Systems; Joshua Wysack, BAE Systems. Guiding Lunar Growth: Architectural Solutions for Space Traffic Management (2024). doi:</w:t>
      </w:r>
      <w:r>
        <w:t xml:space="preserve"> </w:t>
      </w:r>
      <w:hyperlink r:id="rId126">
        <w:r>
          <w:rPr>
            <w:rStyle w:val="Hyperlink"/>
          </w:rPr>
          <w:t xml:space="preserve">10.64861/RBTM5104</w:t>
        </w:r>
      </w:hyperlink>
    </w:p>
    <w:p>
      <w:pPr>
        <w:pStyle w:val="BodyText"/>
        <w:spacing w:line="480" w:lineRule="auto"/>
        <w:ind w:firstLine="720"/>
      </w:pPr>
      <w:bookmarkStart w:id="127" w:name="ref-6"/>
      <w:bookmarkEnd w:id="127"/>
      <w:r>
        <w:t xml:space="preserve">6. Andre Antunes de Sa, Kayhan Space; Matthew Shouppe, Kayhan Space; Shota Takahashi, Kayhan Space; Felix Portillo, Kayhan Space; Masafumi Isaji, Kayhan Space; Siamak Hesar, Kayhan Space Corp; Sita Sonty, Boston Consulting Group. Characterizing A Novel Coordinated Optimal Avoidance Maneuver Framework for Space Traffic Management (STM) (2023). doi:</w:t>
      </w:r>
      <w:r>
        <w:t xml:space="preserve"> </w:t>
      </w:r>
      <w:hyperlink r:id="rId128">
        <w:r>
          <w:rPr>
            <w:rStyle w:val="Hyperlink"/>
          </w:rPr>
          <w:t xml:space="preserve">10.64861/OHST9432</w:t>
        </w:r>
      </w:hyperlink>
    </w:p>
    <w:p>
      <w:pPr>
        <w:pStyle w:val="BodyText"/>
        <w:spacing w:line="480" w:lineRule="auto"/>
        <w:ind w:firstLine="720"/>
      </w:pPr>
      <w:bookmarkStart w:id="129" w:name="ref-7"/>
      <w:bookmarkEnd w:id="129"/>
      <w:r>
        <w:t xml:space="preserve">7. Ralph “Dinz” Dinsley, Northern Space and Security, Reflecting Space; Christopher Newman, Northumbria University and Reflecting Space. The Governance of Space Situational Awareness – Revolution not Evolution (2018). [AMOS]</w:t>
      </w:r>
    </w:p>
    <w:p>
      <w:pPr>
        <w:pStyle w:val="BodyText"/>
        <w:spacing w:line="480" w:lineRule="auto"/>
        <w:ind w:firstLine="720"/>
      </w:pPr>
      <w:bookmarkStart w:id="130" w:name="ref-8"/>
      <w:bookmarkEnd w:id="130"/>
      <w:r>
        <w:t xml:space="preserve">8. Dylan R. Penn, Virginia Polytechnic Institute and State University; Cameron Harris, Virginia Polytechnic Institute and State University; Kevin Schroeder, Virginia Polytechnic Institute and State University; Jonathan Black, Virginia Polytechnic Institute and State University. Geometry Sensitivity Study of a Recently-Maneuvered Satellite (2022). [AMOS]</w:t>
      </w:r>
    </w:p>
    <w:p>
      <w:pPr>
        <w:pStyle w:val="BodyText"/>
        <w:spacing w:line="480" w:lineRule="auto"/>
        <w:ind w:firstLine="720"/>
      </w:pPr>
      <w:bookmarkStart w:id="131" w:name="ref-9"/>
      <w:bookmarkEnd w:id="131"/>
      <w:r>
        <w:t xml:space="preserve">9. Noelia Sánchez-Ortíz; Danielle Wood; Lesley Smith; Carmen Gregori De La Malla; Maruška Strah; Maren Huelsmann; Marius Stanciu-Manolescu; P. Ubertini; Balbir Singh. Outreach on Space Traffic Management (2025). doi:</w:t>
      </w:r>
      <w:r>
        <w:t xml:space="preserve"> </w:t>
      </w:r>
      <w:hyperlink r:id="rId132">
        <w:r>
          <w:rPr>
            <w:rStyle w:val="Hyperlink"/>
          </w:rPr>
          <w:t xml:space="preserve">10.1016/j.actaastro.2025.01.031</w:t>
        </w:r>
      </w:hyperlink>
    </w:p>
    <w:p>
      <w:pPr>
        <w:pStyle w:val="BodyText"/>
        <w:spacing w:line="480" w:lineRule="auto"/>
        <w:ind w:firstLine="720"/>
      </w:pPr>
      <w:bookmarkStart w:id="133" w:name="ref-10"/>
      <w:bookmarkEnd w:id="133"/>
      <w:r>
        <w:t xml:space="preserve">10. G. Sánchez‐Arriaga; Enrico Lorenzini; Sven G. Bilén. A review of electrodynamic tether missions: Historical trend, dimensionless parameters, and opportunities opening space markets (2024). doi:</w:t>
      </w:r>
      <w:r>
        <w:t xml:space="preserve"> </w:t>
      </w:r>
      <w:hyperlink r:id="rId134">
        <w:r>
          <w:rPr>
            <w:rStyle w:val="Hyperlink"/>
          </w:rPr>
          <w:t xml:space="preserve">10.1016/j.actaastro.2024.09.002</w:t>
        </w:r>
      </w:hyperlink>
    </w:p>
    <w:p>
      <w:pPr>
        <w:pStyle w:val="BodyText"/>
        <w:spacing w:line="480" w:lineRule="auto"/>
        <w:ind w:firstLine="720"/>
      </w:pPr>
      <w:bookmarkStart w:id="135" w:name="ref-11"/>
      <w:bookmarkEnd w:id="135"/>
      <w:r>
        <w:t xml:space="preserve">11. E. Dalla Ricca; D. Bortoluzzi; D. Vignotto; M. Tomasi; A. Gelan. A comprehensive ground–flight testing approach for the dynamic performance of a critical space mechanism (2026). doi:</w:t>
      </w:r>
      <w:r>
        <w:t xml:space="preserve"> </w:t>
      </w:r>
      <w:hyperlink r:id="rId136">
        <w:r>
          <w:rPr>
            <w:rStyle w:val="Hyperlink"/>
          </w:rPr>
          <w:t xml:space="preserve">10.1016/j.actaastro.2026.03.025</w:t>
        </w:r>
      </w:hyperlink>
    </w:p>
    <w:p>
      <w:pPr>
        <w:pStyle w:val="BodyText"/>
        <w:spacing w:line="480" w:lineRule="auto"/>
        <w:ind w:firstLine="720"/>
      </w:pPr>
      <w:bookmarkStart w:id="137" w:name="ref-12"/>
      <w:bookmarkEnd w:id="137"/>
      <w:r>
        <w:t xml:space="preserve">12. Sreeja Nag; David D. Murakami; N. Marker; Miles Lifson; Parimal Kopardekar. Prototyping operational autonomy for Space Traffic Management (2020). doi:</w:t>
      </w:r>
      <w:r>
        <w:t xml:space="preserve"> </w:t>
      </w:r>
      <w:hyperlink r:id="rId138">
        <w:r>
          <w:rPr>
            <w:rStyle w:val="Hyperlink"/>
          </w:rPr>
          <w:t xml:space="preserve">10.1016/j.actaastro.2020.11.056</w:t>
        </w:r>
      </w:hyperlink>
    </w:p>
    <w:p>
      <w:pPr>
        <w:pStyle w:val="BodyText"/>
        <w:spacing w:line="480" w:lineRule="auto"/>
        <w:ind w:firstLine="720"/>
      </w:pPr>
      <w:bookmarkStart w:id="139" w:name="ref-13"/>
      <w:bookmarkEnd w:id="139"/>
      <w:r>
        <w:t xml:space="preserve">13. Pablo F. Miaja; Fermín Navarro-Medina; Daniel G. Aller; Germán León; Alejandro Camanzo Mariño; Carlos Suárez; Francisco G. Alonso; Diego Nodar; Francesco Sauro; Massimo Bandecchi; Loredana Bessone; Fernando Aguado Agelet; Manuel Arias. RoboCrane: A system for providing a power and a communication link between lunar surface and lunar caves for exploring robots (2021). doi:</w:t>
      </w:r>
      <w:r>
        <w:t xml:space="preserve"> </w:t>
      </w:r>
      <w:hyperlink r:id="rId140">
        <w:r>
          <w:rPr>
            <w:rStyle w:val="Hyperlink"/>
          </w:rPr>
          <w:t xml:space="preserve">10.1016/j.actaastro.2021.11.023</w:t>
        </w:r>
      </w:hyperlink>
    </w:p>
    <w:p>
      <w:pPr>
        <w:pStyle w:val="BodyText"/>
        <w:spacing w:line="480" w:lineRule="auto"/>
        <w:ind w:firstLine="720"/>
      </w:pPr>
      <w:bookmarkStart w:id="141" w:name="ref-14"/>
      <w:bookmarkEnd w:id="141"/>
      <w:r>
        <w:t xml:space="preserve">14. Enrico Lagona; Samuel Hilton; Michael Afful; Alessandro Gardi; Roberto Sabatini. Autonomous Trajectory Optimisation for Intelligent Satellite Systems and Space Traffic Management (2022). doi:</w:t>
      </w:r>
      <w:r>
        <w:t xml:space="preserve"> </w:t>
      </w:r>
      <w:hyperlink r:id="rId142">
        <w:r>
          <w:rPr>
            <w:rStyle w:val="Hyperlink"/>
          </w:rPr>
          <w:t xml:space="preserve">10.1016/j.actaastro.2022.01.027</w:t>
        </w:r>
      </w:hyperlink>
    </w:p>
    <w:p>
      <w:pPr>
        <w:pStyle w:val="BodyText"/>
        <w:spacing w:line="480" w:lineRule="auto"/>
        <w:ind w:firstLine="720"/>
      </w:pPr>
      <w:bookmarkStart w:id="143" w:name="ref-15"/>
      <w:bookmarkEnd w:id="143"/>
      <w:r>
        <w:t xml:space="preserve">15. Roberto Opromolla; Д. А. Гришко; John Auburn; Riccardo Bevilacqua; Luisa Buinhas; Joseph Cassady; Markus Jäger; Marko Janković; Javier Rodríguez; Maria Antonietta Perino; Benjamin Bastida-Virgili. Future in-orbit servicing operations in the space traffic management context (2024). doi:</w:t>
      </w:r>
      <w:r>
        <w:t xml:space="preserve"> </w:t>
      </w:r>
      <w:hyperlink r:id="rId144">
        <w:r>
          <w:rPr>
            <w:rStyle w:val="Hyperlink"/>
          </w:rPr>
          <w:t xml:space="preserve">10.1016/j.actaastro.2024.05.007</w:t>
        </w:r>
      </w:hyperlink>
    </w:p>
    <w:p>
      <w:pPr>
        <w:pStyle w:val="BodyText"/>
        <w:spacing w:line="480" w:lineRule="auto"/>
        <w:ind w:firstLine="720"/>
      </w:pPr>
      <w:bookmarkStart w:id="145" w:name="ref-16"/>
      <w:bookmarkEnd w:id="145"/>
      <w:r>
        <w:t xml:space="preserve">16.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46">
        <w:r>
          <w:rPr>
            <w:rStyle w:val="Hyperlink"/>
          </w:rPr>
          <w:t xml:space="preserve">10.1016/j.actaastro.2024.12.056</w:t>
        </w:r>
      </w:hyperlink>
    </w:p>
    <w:bookmarkEnd w:id="147"/>
    <w:bookmarkEnd w:id="148"/>
    <w:bookmarkStart w:id="16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56" w:name="Xb5a4cf22b1c0f3c60aa8281114f9d66b4aca6eb"/>
    <w:p>
      <w:pPr>
        <w:pStyle w:val="Heading2"/>
        <w:spacing w:line="480" w:lineRule="auto"/>
      </w:pPr>
      <w:r>
        <w:t xml:space="preserve">A.1 Signal Intensity in The Coordination Tipping Point Critical Mass for Voluntary STM Data-Sharing Net: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4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4.405</w:t>
            </w:r>
          </w:p>
        </w:tc>
        <w:tc>
          <w:tcPr>
            <w:tcW w:w="0" w:type="auto"/>
          </w:tcPr>
          <w:p>
            <w:pPr>
              <w:spacing w:line="240" w:lineRule="auto" w:before="0" w:after="0"/>
              <w:pStyle w:val="Compact"/>
            </w:pPr>
            <w:r>
              <w:rPr>
                <w:sz w:val="20"/>
                <w:szCs w:val="20"/>
              </w:rPr>
              <w:t xml:space="preserve">1.3894</w:t>
            </w:r>
          </w:p>
        </w:tc>
        <w:tc>
          <w:tcPr>
            <w:tcW w:w="0" w:type="auto"/>
          </w:tcPr>
          <w:p>
            <w:pPr>
              <w:spacing w:line="240" w:lineRule="auto" w:before="0" w:after="0"/>
              <w:pStyle w:val="Compact"/>
            </w:pPr>
            <w:r>
              <w:rPr>
                <w:sz w:val="20"/>
                <w:szCs w:val="20"/>
              </w:rPr>
              <w:t xml:space="preserve">3.1705</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[1.6819, 7.1282]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0.1463</w:t>
            </w:r>
          </w:p>
        </w:tc>
        <w:tc>
          <w:tcPr>
            <w:tcW w:w="0" w:type="auto"/>
          </w:tcPr>
          <w:p>
            <w:pPr>
              <w:spacing w:line="240" w:lineRule="auto" w:before="0" w:after="0"/>
              <w:pStyle w:val="Compact"/>
            </w:pPr>
            <w:r>
              <w:rPr>
                <w:sz w:val="20"/>
                <w:szCs w:val="20"/>
              </w:rPr>
              <w:t xml:space="preserve">0.1275</w:t>
            </w:r>
          </w:p>
        </w:tc>
        <w:tc>
          <w:tcPr>
            <w:tcW w:w="0" w:type="auto"/>
          </w:tcPr>
          <w:p>
            <w:pPr>
              <w:spacing w:line="240" w:lineRule="auto" w:before="0" w:after="0"/>
              <w:pStyle w:val="Compact"/>
            </w:pPr>
            <w:r>
              <w:rPr>
                <w:sz w:val="20"/>
                <w:szCs w:val="20"/>
              </w:rPr>
              <w:t xml:space="preserve">0.8985</w:t>
            </w:r>
          </w:p>
        </w:tc>
        <w:tc>
          <w:tcPr>
            <w:tcW w:w="0" w:type="auto"/>
          </w:tcPr>
          <w:p>
            <w:pPr>
              <w:spacing w:line="240" w:lineRule="auto" w:before="0" w:after="0"/>
              <w:pStyle w:val="Compact"/>
            </w:pPr>
            <w:r>
              <w:rPr>
                <w:sz w:val="20"/>
                <w:szCs w:val="20"/>
              </w:rPr>
              <w:t xml:space="preserve">[-0.2682, 0.3055]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0.9714</w:t>
            </w:r>
          </w:p>
        </w:tc>
        <w:tc>
          <w:tcPr>
            <w:tcW w:w="0" w:type="auto"/>
          </w:tcPr>
          <w:p>
            <w:pPr>
              <w:spacing w:line="240" w:lineRule="auto" w:before="0" w:after="0"/>
              <w:pStyle w:val="Compact"/>
            </w:pPr>
            <w:r>
              <w:rPr>
                <w:sz w:val="20"/>
                <w:szCs w:val="20"/>
              </w:rPr>
              <w:t xml:space="preserve">[-0.0805, 0.0776]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-0.7572</w:t>
            </w:r>
          </w:p>
        </w:tc>
        <w:tc>
          <w:tcPr>
            <w:tcW w:w="0" w:type="auto"/>
          </w:tcPr>
          <w:p>
            <w:pPr>
              <w:spacing w:line="240" w:lineRule="auto" w:before="0" w:after="0"/>
              <w:pStyle w:val="Compact"/>
            </w:pPr>
            <w:r>
              <w:rPr>
                <w:sz w:val="20"/>
                <w:szCs w:val="20"/>
              </w:rPr>
              <w:t xml:space="preserve">0.535</w:t>
            </w:r>
          </w:p>
        </w:tc>
        <w:tc>
          <w:tcPr>
            <w:tcW w:w="0" w:type="auto"/>
          </w:tcPr>
          <w:p>
            <w:pPr>
              <w:spacing w:line="240" w:lineRule="auto" w:before="0" w:after="0"/>
              <w:pStyle w:val="Compact"/>
            </w:pPr>
            <w:r>
              <w:rPr>
                <w:sz w:val="20"/>
                <w:szCs w:val="20"/>
              </w:rPr>
              <w:t xml:space="preserve">-1.4153</w:t>
            </w:r>
          </w:p>
        </w:tc>
        <w:tc>
          <w:tcPr>
            <w:tcW w:w="0" w:type="auto"/>
          </w:tcPr>
          <w:p>
            <w:pPr>
              <w:spacing w:line="240" w:lineRule="auto" w:before="0" w:after="0"/>
              <w:pStyle w:val="Compact"/>
            </w:pPr>
            <w:r>
              <w:rPr>
                <w:sz w:val="20"/>
                <w:szCs w:val="20"/>
              </w:rPr>
              <w:t xml:space="preserve">0.157</w:t>
            </w:r>
          </w:p>
        </w:tc>
        <w:tc>
          <w:tcPr>
            <w:tcW w:w="0" w:type="auto"/>
          </w:tcPr>
          <w:p>
            <w:pPr>
              <w:spacing w:line="240" w:lineRule="auto" w:before="0" w:after="0"/>
              <w:pStyle w:val="Compact"/>
            </w:pPr>
            <w:r>
              <w:rPr>
                <w:sz w:val="20"/>
                <w:szCs w:val="20"/>
              </w:rPr>
              <w:t xml:space="preserve">[-1.8059, 0.2914]</w:t>
            </w:r>
          </w:p>
        </w:tc>
      </w:tr>
    </w:tbl>
    <w:p>
      <w:pPr>
        <w:pStyle w:val="BodyText"/>
        <w:spacing w:line="480" w:lineRule="auto"/>
        <w:ind w:firstLine="720"/>
      </w:pPr>
      <w:r>
        <w:t xml:space="preserve">Fit: N = 30 R2 = 0.0598 R2_adj = -0.0487 F = 0.7052 F_p = 0.5575</w:t>
      </w:r>
    </w:p>
    <w:bookmarkEnd w:id="149"/>
    <w:bookmarkStart w:id="15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51" name="Picture"/>
            <a:graphic>
              <a:graphicData uri="http://schemas.openxmlformats.org/drawingml/2006/picture">
                <pic:pic>
                  <pic:nvPicPr>
                    <pic:cNvPr descr="D:/Claude_Code/brain/collegium/candidates/dissertations/STM_CISLUNAR_11/research_papers/p1/paper_fig1.png" id="152" name="Picture"/>
                    <pic:cNvPicPr>
                      <a:picLocks noChangeArrowheads="1" noChangeAspect="1"/>
                    </pic:cNvPicPr>
                  </pic:nvPicPr>
                  <pic:blipFill>
                    <a:blip r:embed="rId15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53"/>
    <w:bookmarkStart w:id="15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https://amostech.space/year/2012/data-handling-and-protection-of-need-to-know-data-in-a-need-to-share-net-centric-enterprise/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10.1016/j.actaastro.2025.07.053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10.1016/j.actaastro.2024.12.017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10.1016/j.actaastro.2026.03.025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10.1016/j.actaastro.2021.11.023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Sharing Operational Risk Information for Norms Development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Sharing Operational Risk Information in the Space Domain to Facilitate Norms Development and Compliance Monitoring</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154"/>
    <w:bookmarkStart w:id="15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55"/>
    <w:bookmarkEnd w:id="156"/>
    <w:bookmarkStart w:id="164" w:name="Xa79415bc74ab523aca58dd12008beed980b73c0"/>
    <w:p>
      <w:pPr>
        <w:pStyle w:val="Heading2"/>
        <w:spacing w:line="480" w:lineRule="auto"/>
      </w:pPr>
      <w:r>
        <w:t xml:space="preserve">A.2 Attention Accumulation in The Coordination Tipping Point Critical Mass for Voluntary STM Data-Sharing Net: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5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2.2694</w:t>
            </w:r>
          </w:p>
        </w:tc>
        <w:tc>
          <w:tcPr>
            <w:tcW w:w="0" w:type="auto"/>
          </w:tcPr>
          <w:p>
            <w:pPr>
              <w:spacing w:line="240" w:lineRule="auto" w:before="0" w:after="0"/>
              <w:pStyle w:val="Compact"/>
            </w:pPr>
            <w:r>
              <w:rPr>
                <w:sz w:val="20"/>
                <w:szCs w:val="20"/>
              </w:rPr>
              <w:t xml:space="preserve">0.7092</w:t>
            </w:r>
          </w:p>
        </w:tc>
        <w:tc>
          <w:tcPr>
            <w:tcW w:w="0" w:type="auto"/>
          </w:tcPr>
          <w:p>
            <w:pPr>
              <w:spacing w:line="240" w:lineRule="auto" w:before="0" w:after="0"/>
              <w:pStyle w:val="Compact"/>
            </w:pPr>
            <w:r>
              <w:rPr>
                <w:sz w:val="20"/>
                <w:szCs w:val="20"/>
              </w:rPr>
              <w:t xml:space="preserve">3.1997</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[0.8793, 3.6595]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-0.8778</w:t>
            </w:r>
          </w:p>
        </w:tc>
        <w:tc>
          <w:tcPr>
            <w:tcW w:w="0" w:type="auto"/>
          </w:tcPr>
          <w:p>
            <w:pPr>
              <w:spacing w:line="240" w:lineRule="auto" w:before="0" w:after="0"/>
              <w:pStyle w:val="Compact"/>
            </w:pPr>
            <w:r>
              <w:rPr>
                <w:sz w:val="20"/>
                <w:szCs w:val="20"/>
              </w:rPr>
              <w:t xml:space="preserve">0.4025</w:t>
            </w:r>
          </w:p>
        </w:tc>
        <w:tc>
          <w:tcPr>
            <w:tcW w:w="0" w:type="auto"/>
          </w:tcPr>
          <w:p>
            <w:pPr>
              <w:spacing w:line="240" w:lineRule="auto" w:before="0" w:after="0"/>
              <w:pStyle w:val="Compact"/>
            </w:pPr>
            <w:r>
              <w:rPr>
                <w:sz w:val="20"/>
                <w:szCs w:val="20"/>
              </w:rPr>
              <w:t xml:space="preserve">-2.1809</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[-1.6666, -0.0889]</w:t>
            </w:r>
          </w:p>
        </w:tc>
      </w:tr>
    </w:tbl>
    <w:p>
      <w:pPr>
        <w:pStyle w:val="BodyText"/>
        <w:spacing w:line="480" w:lineRule="auto"/>
        <w:ind w:firstLine="720"/>
      </w:pPr>
      <w:r>
        <w:t xml:space="preserve">Fit: N = 30 R2 = 0.1556 elasticity_b = -0.8778 progress_ratio_2^b = 0.5442</w:t>
      </w:r>
    </w:p>
    <w:bookmarkEnd w:id="157"/>
    <w:bookmarkStart w:id="16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59" name="Picture"/>
            <a:graphic>
              <a:graphicData uri="http://schemas.openxmlformats.org/drawingml/2006/picture">
                <pic:pic>
                  <pic:nvPicPr>
                    <pic:cNvPr descr="D:/Claude_Code/brain/collegium/candidates/dissertations/STM_CISLUNAR_11/research_papers/p2/paper_fig1.png" id="160" name="Picture"/>
                    <pic:cNvPicPr>
                      <a:picLocks noChangeArrowheads="1" noChangeAspect="1"/>
                    </pic:cNvPicPr>
                  </pic:nvPicPr>
                  <pic:blipFill>
                    <a:blip r:embed="rId15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61"/>
    <w:bookmarkStart w:id="16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https://amostech.space/year/2012/data-handling-and-protection-of-need-to-know-data-in-a-need-to-share-net-centric-enterprise/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10.1016/j.actaastro.2025.07.053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10.1016/j.actaastro.2024.12.017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10.1016/j.actaastro.2026.03.025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10.1016/j.actaastro.2021.11.023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Sharing Operational Risk Information for Norms Development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Sharing Operational Risk Information in the Space Domain to Facilitate Norms Development and Compliance Monitoring</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162"/>
    <w:bookmarkStart w:id="16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63"/>
    <w:bookmarkEnd w:id="164"/>
    <w:bookmarkEnd w:id="16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50" Type="http://schemas.openxmlformats.org/officeDocument/2006/relationships/image" Target="media/rId150.png"/><Relationship Id="rId158" Type="http://schemas.openxmlformats.org/officeDocument/2006/relationships/image" Target="media/rId158.png"/><Relationship Id="rId138" Type="http://schemas.openxmlformats.org/officeDocument/2006/relationships/hyperlink" Target="https://doi.org/10.1016/j.actaastro.2020.11.056" TargetMode="External"/><Relationship Id="rId140" Type="http://schemas.openxmlformats.org/officeDocument/2006/relationships/hyperlink" Target="https://doi.org/10.1016/j.actaastro.2021.11.023" TargetMode="External"/><Relationship Id="rId142" Type="http://schemas.openxmlformats.org/officeDocument/2006/relationships/hyperlink" Target="https://doi.org/10.1016/j.actaastro.2022.01.027" TargetMode="External"/><Relationship Id="rId144" Type="http://schemas.openxmlformats.org/officeDocument/2006/relationships/hyperlink" Target="https://doi.org/10.1016/j.actaastro.2024.05.007" TargetMode="External"/><Relationship Id="rId134" Type="http://schemas.openxmlformats.org/officeDocument/2006/relationships/hyperlink" Target="https://doi.org/10.1016/j.actaastro.2024.09.002" TargetMode="External"/><Relationship Id="rId146" Type="http://schemas.openxmlformats.org/officeDocument/2006/relationships/hyperlink" Target="https://doi.org/10.1016/j.actaastro.2024.12.056" TargetMode="External"/><Relationship Id="rId132" Type="http://schemas.openxmlformats.org/officeDocument/2006/relationships/hyperlink" Target="https://doi.org/10.1016/j.actaastro.2025.01.031" TargetMode="External"/><Relationship Id="rId136" Type="http://schemas.openxmlformats.org/officeDocument/2006/relationships/hyperlink" Target="https://doi.org/10.1016/j.actaastro.2026.03.025" TargetMode="External"/><Relationship Id="rId128" Type="http://schemas.openxmlformats.org/officeDocument/2006/relationships/hyperlink" Target="https://doi.org/10.64861/OHST9432" TargetMode="External"/><Relationship Id="rId126" Type="http://schemas.openxmlformats.org/officeDocument/2006/relationships/hyperlink" Target="https://doi.org/10.64861/RBTM5104" TargetMode="External"/></Relationships>
</file>

<file path=word/_rels/footnotes.xml.rels><?xml version='1.0' encoding='UTF-8' standalone='yes'?>
<Relationships xmlns="http://schemas.openxmlformats.org/package/2006/relationships"><Relationship Id="rId138" Type="http://schemas.openxmlformats.org/officeDocument/2006/relationships/hyperlink" Target="https://doi.org/10.1016/j.actaastro.2020.11.056" TargetMode="External"/><Relationship Id="rId140" Type="http://schemas.openxmlformats.org/officeDocument/2006/relationships/hyperlink" Target="https://doi.org/10.1016/j.actaastro.2021.11.023" TargetMode="External"/><Relationship Id="rId142" Type="http://schemas.openxmlformats.org/officeDocument/2006/relationships/hyperlink" Target="https://doi.org/10.1016/j.actaastro.2022.01.027" TargetMode="External"/><Relationship Id="rId144" Type="http://schemas.openxmlformats.org/officeDocument/2006/relationships/hyperlink" Target="https://doi.org/10.1016/j.actaastro.2024.05.007" TargetMode="External"/><Relationship Id="rId134" Type="http://schemas.openxmlformats.org/officeDocument/2006/relationships/hyperlink" Target="https://doi.org/10.1016/j.actaastro.2024.09.002" TargetMode="External"/><Relationship Id="rId146" Type="http://schemas.openxmlformats.org/officeDocument/2006/relationships/hyperlink" Target="https://doi.org/10.1016/j.actaastro.2024.12.056" TargetMode="External"/><Relationship Id="rId132" Type="http://schemas.openxmlformats.org/officeDocument/2006/relationships/hyperlink" Target="https://doi.org/10.1016/j.actaastro.2025.01.031" TargetMode="External"/><Relationship Id="rId136" Type="http://schemas.openxmlformats.org/officeDocument/2006/relationships/hyperlink" Target="https://doi.org/10.1016/j.actaastro.2026.03.025" TargetMode="External"/><Relationship Id="rId128" Type="http://schemas.openxmlformats.org/officeDocument/2006/relationships/hyperlink" Target="https://doi.org/10.64861/OHST9432" TargetMode="External"/><Relationship Id="rId126" Type="http://schemas.openxmlformats.org/officeDocument/2006/relationships/hyperlink" Target="https://doi.org/10.64861/RBTM5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Coordination Tipping Point: Critical Mass for Voluntary STM Data-Sharing Net</dc:title>
  <dc:creator>Bruno Wren (1B-SDA-174)</dc:creator>
  <cp:keywords/>
  <dcterms:created xsi:type="dcterms:W3CDTF">2026-07-03T00:31:00Z</dcterms:created>
  <dcterms:modified xsi:type="dcterms:W3CDTF">2026-07-03T00:31:00Z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