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ed1355ee827317e5a98e2a65563b9e994700e86"/>
    <w:p>
      <w:pPr>
        <w:pStyle w:val="Heading1"/>
      </w:pPr>
      <w:r>
        <w:t xml:space="preserve">Attention Accumulation in Enforcement Without Sovereignty Reputational Sanction as the Binding STM Compli: A Learning-Curve Analysis of Citation Growth by Article Age</w:t>
      </w:r>
    </w:p>
    <w:bookmarkStart w:id="61" w:name="introduction"/>
    <w:p>
      <w:pPr>
        <w:pStyle w:val="Heading2"/>
      </w:pPr>
      <w:r>
        <w:t xml:space="preserve">1. Introduction</w:t>
      </w:r>
    </w:p>
    <w:p>
      <w:pPr>
        <w:pStyle w:val="FirstParagraph"/>
      </w:pPr>
      <w:r>
        <w:t xml:space="preserve">This empirical paper supports Dario Okafor (1B-SDA-190) and the dissertation project</w:t>
      </w:r>
      <w:r>
        <w:t xml:space="preserve"> </w:t>
      </w:r>
      <w:r>
        <w:rPr>
          <w:i/>
          <w:iCs/>
        </w:rPr>
        <w:t xml:space="preserve">Enforcement Without Sovereignty: Reputational Sanction as the Binding STM Compli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R2=0.06281975435124065, elasticity_b=-0.4477863677655528, progress_ratio_2^b=0.733166936876465. The exact term summary is: const coef=1.1058689721300763 p=0.003263120574530312; _ln_x coef=-0.4477863677655528 p=0.028110478621299347.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Rina Zhang, Science and Technology Policy Institute; Asha Balakrishnan, Science and Technology Policy Institute. From Ozone Depletion to Orbital Debris: Lessons Learned from the Montreal Protocol (2022). [AMOS]</w:t>
      </w:r>
      <w:r>
        <w:t xml:space="preserve"> </w:t>
      </w:r>
      <w:bookmarkStart w:id="68" w:name="ref-2"/>
      <w:bookmarkEnd w:id="68"/>
      <w:r>
        <w:t xml:space="preserve">2. Todd Harrison, Center for Strategic and International Studies. International Perspectives on Space Weapons (2020). [AMOS]</w:t>
      </w:r>
      <w:r>
        <w:t xml:space="preserve"> </w:t>
      </w:r>
      <w:bookmarkStart w:id="69" w:name="ref-3"/>
      <w:bookmarkEnd w:id="69"/>
      <w:r>
        <w:t xml:space="preserve">3. Asha Balakrishnan, IDA Science and Technology Policy Institute; Sara Carioscia, IDA Science and Technology Policy Institute; Becaja Caldwell, IDA Science and Technology Policy Institute; Bhavya Lal, IDA Science and Technology Policy Institute. Future of the Space Situational Awareness Enterprise – Global Trends (2018). [AMOS]</w:t>
      </w:r>
      <w:r>
        <w:t xml:space="preserve"> </w:t>
      </w:r>
      <w:bookmarkStart w:id="70" w:name="ref-4"/>
      <w:bookmarkEnd w:id="70"/>
      <w:r>
        <w:t xml:space="preserve">4. Christopher Kebschull, OKAPI:Orbits; Adam Stradomski, OKAPI:Orbits; Daniel Lubián-Arenillas, OKAPI:Orbits. Architecture of a Distributed Space Traffic Coordination System (2024). doi:</w:t>
      </w:r>
      <w:r>
        <w:t xml:space="preserve"> </w:t>
      </w:r>
      <w:hyperlink r:id="rId71">
        <w:r>
          <w:rPr>
            <w:rStyle w:val="Hyperlink"/>
          </w:rPr>
          <w:t xml:space="preserve">10.64861/JKDR9240</w:t>
        </w:r>
      </w:hyperlink>
      <w:r>
        <w:t xml:space="preserve"> </w:t>
      </w:r>
      <w:bookmarkStart w:id="72" w:name="ref-5"/>
      <w:bookmarkEnd w:id="72"/>
      <w:r>
        <w:t xml:space="preserve">5. Malgorzata Polkowska, Lomza Academy; Arkadiusz Chimicz, General Command, Polish Armed Forces. Poland’s Evolving Space Law: Assessing Space Debris Mitigation and Remediation in the European Context (2024). doi:</w:t>
      </w:r>
      <w:r>
        <w:t xml:space="preserve"> </w:t>
      </w:r>
      <w:hyperlink r:id="rId73">
        <w:r>
          <w:rPr>
            <w:rStyle w:val="Hyperlink"/>
          </w:rPr>
          <w:t xml:space="preserve">10.64861/LFFV2455</w:t>
        </w:r>
      </w:hyperlink>
      <w:r>
        <w:t xml:space="preserve"> </w:t>
      </w:r>
      <w:bookmarkStart w:id="74" w:name="ref-6"/>
      <w:bookmarkEnd w:id="74"/>
      <w:r>
        <w:t xml:space="preserve">6. W. Thomas Vestrand, Los Alamos National Laboratory; Przemek Wozniak, Los Alamos National Laboratory; Sean Brennan, Los Alamos National Laboratory; Troy McVay, Los Alamos National Laboratory; Lucas Parker, Los Alamos National Laboratory; Rebecca Holmes Sandoval, Los Alamos National Laboratory; Yancey Sechrest, Los Alamos National Laboratory. Artificial Intelligence Enabled Dynamic Coalition Architecture for Space Traffic Management (2021). [AMOS]</w:t>
      </w:r>
      <w:r>
        <w:t xml:space="preserve"> </w:t>
      </w:r>
      <w:bookmarkStart w:id="75" w:name="ref-7"/>
      <w:bookmarkEnd w:id="75"/>
      <w:r>
        <w:t xml:space="preserve">7. Mariel Borowitz, Georgia Institute of Technology; Brian Gunter, Georgia Institute of Technology; Alaric Gregoire, Georgia Institute of Technology; Clifford Stueck, Georgia Institute of Technology; Surya Venkatram, Georgia Institute of Technology; Lauri Newman, NASA Headquarters. Exploring the Impact of Compliance with Maneuvering Guidelines for Space Traffic Management (2024). doi:</w:t>
      </w:r>
      <w:r>
        <w:t xml:space="preserve"> </w:t>
      </w:r>
      <w:hyperlink r:id="rId76">
        <w:r>
          <w:rPr>
            <w:rStyle w:val="Hyperlink"/>
          </w:rPr>
          <w:t xml:space="preserve">10.64861/EOSO6202</w:t>
        </w:r>
      </w:hyperlink>
      <w:r>
        <w:t xml:space="preserve"> </w:t>
      </w:r>
      <w:bookmarkStart w:id="77" w:name="ref-8"/>
      <w:bookmarkEnd w:id="77"/>
      <w:r>
        <w:t xml:space="preserve">8. Jaedong Seong, Korea Aerospace Research Institute (KARI); Okchul Jung, Korea Aerospace Research Institute (KARI); Dae Won Chung, Korea Aerospace Research Institute (KARI). KARI Recent Activities on SSA &amp; STM (2019).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1.1059</w:t>
            </w:r>
          </w:p>
        </w:tc>
        <w:tc>
          <w:tcPr>
            <w:tcW w:w="0" w:type="auto"/>
          </w:tcPr>
          <w:p>
            <w:pPr>
              <w:spacing w:line="240" w:lineRule="auto" w:before="0" w:after="0"/>
              <w:pStyle w:val="Compact"/>
            </w:pPr>
            <w:r>
              <w:rPr>
                <w:sz w:val="20"/>
                <w:szCs w:val="20"/>
              </w:rPr>
              <w:t xml:space="preserve">0.3759</w:t>
            </w:r>
          </w:p>
        </w:tc>
        <w:tc>
          <w:tcPr>
            <w:tcW w:w="0" w:type="auto"/>
          </w:tcPr>
          <w:p>
            <w:pPr>
              <w:spacing w:line="240" w:lineRule="auto" w:before="0" w:after="0"/>
              <w:pStyle w:val="Compact"/>
            </w:pPr>
            <w:r>
              <w:rPr>
                <w:sz w:val="20"/>
                <w:szCs w:val="20"/>
              </w:rPr>
              <w:t xml:space="preserve">2.9418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[0.3691, 1.8427]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-0.4478</w:t>
            </w:r>
          </w:p>
        </w:tc>
        <w:tc>
          <w:tcPr>
            <w:tcW w:w="0" w:type="auto"/>
          </w:tcPr>
          <w:p>
            <w:pPr>
              <w:spacing w:line="240" w:lineRule="auto" w:before="0" w:after="0"/>
              <w:pStyle w:val="Compact"/>
            </w:pPr>
            <w:r>
              <w:rPr>
                <w:sz w:val="20"/>
                <w:szCs w:val="20"/>
              </w:rPr>
              <w:t xml:space="preserve">0.2039</w:t>
            </w:r>
          </w:p>
        </w:tc>
        <w:tc>
          <w:tcPr>
            <w:tcW w:w="0" w:type="auto"/>
          </w:tcPr>
          <w:p>
            <w:pPr>
              <w:spacing w:line="240" w:lineRule="auto" w:before="0" w:after="0"/>
              <w:pStyle w:val="Compact"/>
            </w:pPr>
            <w:r>
              <w:rPr>
                <w:sz w:val="20"/>
                <w:szCs w:val="20"/>
              </w:rPr>
              <w:t xml:space="preserve">-2.1957</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[-0.8475, -0.0481]</w:t>
            </w:r>
          </w:p>
        </w:tc>
      </w:tr>
    </w:tbl>
    <w:p>
      <w:pPr>
        <w:pStyle w:val="BodyText"/>
      </w:pPr>
      <w:r>
        <w:t xml:space="preserve">Fit: N = 30 R2 = 0.0628 elasticity_b = -0.4478 progress_ratio_2^b = 0.7332</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TM_CISLUNAR_10\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10.64861/JKDR9240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10.64861/EOSO6202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https://amostech.space/year/2022/maneuver-estimation-from-optical-observations-of-a-spiraling-orbit-the-case-of-mev-2/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10.52202/078380-0035</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1.1059</w:t>
            </w:r>
          </w:p>
        </w:tc>
        <w:tc>
          <w:tcPr>
            <w:tcW w:w="0" w:type="auto"/>
          </w:tcPr>
          <w:p>
            <w:pPr>
              <w:spacing w:line="240" w:lineRule="auto" w:before="0" w:after="0"/>
              <w:pStyle w:val="Compact"/>
            </w:pPr>
            <w:r>
              <w:rPr>
                <w:sz w:val="20"/>
                <w:szCs w:val="20"/>
              </w:rPr>
              <w:t xml:space="preserve">0.3759</w:t>
            </w:r>
          </w:p>
        </w:tc>
        <w:tc>
          <w:tcPr>
            <w:tcW w:w="0" w:type="auto"/>
          </w:tcPr>
          <w:p>
            <w:pPr>
              <w:spacing w:line="240" w:lineRule="auto" w:before="0" w:after="0"/>
              <w:pStyle w:val="Compact"/>
            </w:pPr>
            <w:r>
              <w:rPr>
                <w:sz w:val="20"/>
                <w:szCs w:val="20"/>
              </w:rPr>
              <w:t xml:space="preserve">2.9418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[0.3691, 1.8427]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-0.4478</w:t>
            </w:r>
          </w:p>
        </w:tc>
        <w:tc>
          <w:tcPr>
            <w:tcW w:w="0" w:type="auto"/>
          </w:tcPr>
          <w:p>
            <w:pPr>
              <w:spacing w:line="240" w:lineRule="auto" w:before="0" w:after="0"/>
              <w:pStyle w:val="Compact"/>
            </w:pPr>
            <w:r>
              <w:rPr>
                <w:sz w:val="20"/>
                <w:szCs w:val="20"/>
              </w:rPr>
              <w:t xml:space="preserve">0.2039</w:t>
            </w:r>
          </w:p>
        </w:tc>
        <w:tc>
          <w:tcPr>
            <w:tcW w:w="0" w:type="auto"/>
          </w:tcPr>
          <w:p>
            <w:pPr>
              <w:spacing w:line="240" w:lineRule="auto" w:before="0" w:after="0"/>
              <w:pStyle w:val="Compact"/>
            </w:pPr>
            <w:r>
              <w:rPr>
                <w:sz w:val="20"/>
                <w:szCs w:val="20"/>
              </w:rPr>
              <w:t xml:space="preserve">-2.1957</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[-0.8475, -0.0481]</w:t>
            </w:r>
          </w:p>
        </w:tc>
      </w:tr>
    </w:tbl>
    <w:p>
      <w:pPr>
        <w:pStyle w:val="BodyText"/>
      </w:pPr>
      <w:r>
        <w:t xml:space="preserve">Fit: N = 30 R2 = 0.0628 elasticity_b = -0.4478 progress_ratio_2^b = 0.7332</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64861/EOSO6202" TargetMode="External" /><Relationship Type="http://schemas.openxmlformats.org/officeDocument/2006/relationships/hyperlink" Id="rId71" Target="https://doi.org/10.64861/JKDR9240" TargetMode="External" /><Relationship Type="http://schemas.openxmlformats.org/officeDocument/2006/relationships/hyperlink" Id="rId73" Target="https://doi.org/10.64861/LFFV2455"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EOSO6202" TargetMode="External" /><Relationship Type="http://schemas.openxmlformats.org/officeDocument/2006/relationships/hyperlink" Id="rId71" Target="https://doi.org/10.64861/JKDR9240" TargetMode="External" /><Relationship Type="http://schemas.openxmlformats.org/officeDocument/2006/relationships/hyperlink" Id="rId73" Target="https://doi.org/10.64861/LFFV24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2026-06-29T09:35:42Z</dcterms:created>
  <dcterms:modified xsi:type="dcterms:W3CDTF">2026-06-29T09:35:42Z</dcterms:modified>
</cp:coreProperties>
</file>

<file path=docProps/custom.xml><?xml version="1.0" encoding="utf-8"?>
<Properties xmlns="http://schemas.openxmlformats.org/officeDocument/2006/custom-properties" xmlns:vt="http://schemas.openxmlformats.org/officeDocument/2006/docPropsVTypes"/>
</file>