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ENFORCEMENT WITHOUT SOVEREIGNTY: REPUTATIONAL SANCTION AS THE BINDING STM COMPLI</w:t>
      </w:r>
    </w:p>
    <w:p>
      <w:pPr>
        <w:jc w:val="center"/>
      </w:pPr>
    </w:p>
    <w:p>
      <w:pPr>
        <w:jc w:val="center"/>
      </w:pPr>
      <w:r>
        <w:rPr>
          <w:rFonts w:ascii="Times New Roman" w:hAnsi="Times New Roman"/>
          <w:sz w:val="24"/>
        </w:rPr>
        <w:t>by</w:t>
      </w:r>
    </w:p>
    <w:p>
      <w:pPr>
        <w:jc w:val="center"/>
      </w:pPr>
      <w:r>
        <w:rPr>
          <w:rFonts w:ascii="Times New Roman" w:hAnsi="Times New Roman"/>
          <w:b/>
          <w:sz w:val="28"/>
        </w:rPr>
        <w:t>Dario Okafor</w:t>
      </w:r>
    </w:p>
    <w:p>
      <w:pPr>
        <w:jc w:val="center"/>
      </w:pPr>
      <w:r>
        <w:rPr>
          <w:rFonts w:ascii="Times New Roman" w:hAnsi="Times New Roman"/>
          <w:sz w:val="24"/>
        </w:rPr>
        <w:t>1B-SDA-190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chapter-1.-introduction"/>
    <w:p>
      <w:pPr>
        <w:pStyle w:val="Heading1"/>
        <w:spacing w:line="480" w:lineRule="auto"/>
      </w:pPr>
      <w:r>
        <w:t xml:space="preserve">Chapter 1. Introduction</w:t>
      </w:r>
    </w:p>
    <w:p>
      <w:pPr>
        <w:pStyle w:val="FirstParagraph"/>
        <w:spacing w:line="480" w:lineRule="auto"/>
      </w:pPr>
      <w:r>
        <w:t xml:space="preserve">Space traffic management has a sovereignty problem. No state owns the orbital commons, no treaty body can suspend an operator’s license across borders, and no cislunar police force stands ready to enforce a maneuver guideline. Yet operators do coordinate. They publish conjunction data, they screen against shared catalogs, and they occasionally maneuver at real propellant cost to avoid a collision they were under no binding legal duty to avoid. Something is doing the enforcement work that sovereignty cannot. This dissertation names a candidate for that something. Reputation. The argument, in its bluntest form, is that the binding compliance instrument in a governance regime without a sovereign is the threat of reputational sanction, and that this threat leaves measurable traces in the documentary record that scholars and operators build around the topic</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That is a large claim. The contribution of this dissertation is deliberately smaller than the claim, and the gap between the two is the point. A doctoral project can either gesture at a grand mechanism and hope the reader shares the intuition, or it can isolate one falsifiable proposition, test it against evidence that another analyst could reproduce, and report exactly what the test returns. This project takes the second path. It converts a broad governance intuition into a document-level empirical test, runs that test on a candidate-specific corpus of retrieved source records, and reports only the deterministic estimator output those records support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Start w:id="61" w:name="problem-and-stakes"/>
    <w:p>
      <w:pPr>
        <w:pStyle w:val="Heading2"/>
        <w:spacing w:line="480" w:lineRule="auto"/>
      </w:pPr>
      <w:r>
        <w:t xml:space="preserve">Problem and stakes</w:t>
      </w:r>
    </w:p>
    <w:p>
      <w:pPr>
        <w:pStyle w:val="FirstParagraph"/>
        <w:spacing w:line="480" w:lineRule="auto"/>
      </w:pPr>
      <w:r>
        <w:t xml:space="preserve">The stakes are not abstract. Cislunar space is filling. The catalog of tracked objects grows, the number of operators grows faster, and the institutional machinery that would ordinarily discipline a crowded commons remains thin. Prior work on orbital debris has drawn the analogy to other commons problems where formal enforcement lagged behind the physical risk, and where softer instruments carried the load in the interim</w:t>
      </w:r>
      <w:r>
        <w:t xml:space="preserve"> </w:t>
      </w:r>
      <w:hyperlink w:anchor="ref-1">
        <w:r>
          <w:rPr>
            <w:rStyle w:val="Hyperlink"/>
          </w:rPr>
          <w:t xml:space="preserve">[1]</w:t>
        </w:r>
      </w:hyperlink>
      <w:r>
        <w:t xml:space="preserve">. The Montreal Protocol experience, studied precisely for its lessons on how a regime hardened over time, shows that binding compliance can emerge without a world government, but only when the actors face costs for defection that they cannot fully externalize</w:t>
      </w:r>
      <w:r>
        <w:t xml:space="preserve"> </w:t>
      </w:r>
      <w:hyperlink w:anchor="ref-1">
        <w:r>
          <w:rPr>
            <w:rStyle w:val="Hyperlink"/>
          </w:rPr>
          <w:t xml:space="preserve">[1]</w:t>
        </w:r>
      </w:hyperlink>
      <w:r>
        <w:t xml:space="preserve">.</w:t>
      </w:r>
    </w:p>
    <w:p>
      <w:pPr>
        <w:pStyle w:val="BodyText"/>
        <w:spacing w:line="480" w:lineRule="auto"/>
        <w:ind w:firstLine="720"/>
      </w:pPr>
      <w:r>
        <w:t xml:space="preserve">In orbit those costs are rarely legal. An operator that ignores a maneuver guideline is not usually fined, suspended, or sued across jurisdictions, because the jurisdictional machinery to do so barely exists</w:t>
      </w:r>
      <w:r>
        <w:t xml:space="preserve"> </w:t>
      </w:r>
      <w:hyperlink w:anchor="ref-5">
        <w:r>
          <w:rPr>
            <w:rStyle w:val="Hyperlink"/>
          </w:rPr>
          <w:t xml:space="preserve">[5]</w:t>
        </w:r>
      </w:hyperlink>
      <w:r>
        <w:t xml:space="preserve">. What the operator can lose is standing. Standing with insurers, standing with launch providers, standing with the constellation partners whose data-sharing agreements are informal and revocable, and standing with the national regulators who license the next mission</w:t>
      </w:r>
      <w:r>
        <w:t xml:space="preserve"> </w:t>
      </w:r>
      <w:hyperlink w:anchor="ref-7">
        <w:r>
          <w:rPr>
            <w:rStyle w:val="Hyperlink"/>
          </w:rPr>
          <w:t xml:space="preserve">[7]</w:t>
        </w:r>
      </w:hyperlink>
      <w:r>
        <w:t xml:space="preserve">. The claim that reputation binds is a claim that these informal costs are large enough, and credible enough, to substitute for a sovereign’s coercive power. If that claim is right, then the design of future cislunar governance should invest in the transparency and attribution infrastructure that makes reputational cost legible, rather than waiting for a treaty that may never arrive</w:t>
      </w:r>
      <w:r>
        <w:t xml:space="preserve"> </w:t>
      </w:r>
      <w:hyperlink w:anchor="ref-16">
        <w:r>
          <w:rPr>
            <w:rStyle w:val="Hyperlink"/>
          </w:rPr>
          <w:t xml:space="preserve">[16]</w:t>
        </w:r>
      </w:hyperlink>
      <w:r>
        <w:t xml:space="preserve">.</w:t>
      </w:r>
    </w:p>
    <w:p>
      <w:pPr>
        <w:pStyle w:val="BodyText"/>
        <w:spacing w:line="480" w:lineRule="auto"/>
        <w:ind w:firstLine="720"/>
      </w:pPr>
      <w:r>
        <w:t xml:space="preserve">This matters for program planning as much as for policy. A space situational awareness architecture that publishes attributable maneuver histories does something more than improve safety margins. It builds the observability that lets a reputational sanction bite. An architecture that keeps such histories private preserves operator discretion but strips the commons of its only working enforcement channel</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choice between those architectures is being made now, in procurement decisions and standards bodies, and it is being made largely on intuition. This dissertation asks whether the intuition can be disciplined by evidence.</w:t>
      </w:r>
    </w:p>
    <w:p>
      <w:pPr>
        <w:pStyle w:val="BodyText"/>
        <w:spacing w:line="480" w:lineRule="auto"/>
        <w:ind w:firstLine="720"/>
      </w:pPr>
      <w:r>
        <w:t xml:space="preserve">The window is open now. It will not stay open.</w:t>
      </w:r>
    </w:p>
    <w:bookmarkEnd w:id="61"/>
    <w:bookmarkStart w:id="62" w:name="the-single-falsifiable-contribution"/>
    <w:p>
      <w:pPr>
        <w:pStyle w:val="Heading2"/>
        <w:spacing w:line="480" w:lineRule="auto"/>
      </w:pPr>
      <w:r>
        <w:t xml:space="preserve">The single falsifiable contribution</w:t>
      </w:r>
    </w:p>
    <w:p>
      <w:pPr>
        <w:pStyle w:val="FirstParagraph"/>
        <w:spacing w:line="480" w:lineRule="auto"/>
      </w:pPr>
      <w:r>
        <w:t xml:space="preserve">The dissertation does not attempt to prove that reputation enforces compliance in orbit. That proposition, stated at full strength, would require behavioral data on operator decisions that no public corpus currently holds. The design instead isolates a necessary observable consequence of the argument and tests that. If reputational sanction is becoming the binding instrument in this governance domain, then the scholarly and institutional literature that theorizes the domain should itself be structured: the topic should be visible in the timing of publications, in the citation attention that accrues to key works, and in the venue families that host the debate</w:t>
      </w:r>
      <w:r>
        <w:t xml:space="preserve"> </w:t>
      </w:r>
      <w:hyperlink w:anchor="ref-2">
        <w:r>
          <w:rPr>
            <w:rStyle w:val="Hyperlink"/>
          </w:rPr>
          <w:t xml:space="preserve">[2]</w:t>
        </w:r>
      </w:hyperlink>
      <w:r>
        <w:t xml:space="preserve"> </w:t>
      </w:r>
      <w:hyperlink w:anchor="ref-4">
        <w:r>
          <w:rPr>
            <w:rStyle w:val="Hyperlink"/>
          </w:rPr>
          <w:t xml:space="preserve">[4]</w:t>
        </w:r>
      </w:hyperlink>
      <w:r>
        <w:t xml:space="preserve">. A domain where reputation is doing no organizing work would produce a flat, unstructured documentary record. A domain where it is doing real work would leave a signal.</w:t>
      </w:r>
    </w:p>
    <w:p>
      <w:pPr>
        <w:pStyle w:val="BodyText"/>
        <w:spacing w:line="480" w:lineRule="auto"/>
        <w:ind w:firstLine="720"/>
      </w:pPr>
      <w:r>
        <w:t xml:space="preserve">The falsifiable proposition is therefore stated at the level of the corpus. The null hypothesis holds that the candidate topic signal is unrelated to publication recency, to citation attention, and to venue family across the retrieved source corpus. The alternative holds that the signal is systematically related to at least one of those dimensions. This is a modest test. It cannot, on its own, confirm the reputational mechanism. What it can do is falsify a precondition. If the documentary record shows no structure whatsoever, the strong version of the reputational argument loses its empirical footing and the burden shifts back to theory</w:t>
      </w:r>
      <w:r>
        <w:t xml:space="preserve"> </w:t>
      </w:r>
      <w:hyperlink w:anchor="ref-3">
        <w:r>
          <w:rPr>
            <w:rStyle w:val="Hyperlink"/>
          </w:rPr>
          <w:t xml:space="preserve">[3]</w:t>
        </w:r>
      </w:hyperlink>
      <w:r>
        <w:t xml:space="preserve">.</w:t>
      </w:r>
    </w:p>
    <w:p>
      <w:pPr>
        <w:pStyle w:val="BodyText"/>
        <w:spacing w:line="480" w:lineRule="auto"/>
        <w:ind w:firstLine="720"/>
      </w:pPr>
      <w:r>
        <w:t xml:space="preserve">Two empirical papers implement the test. The first estimates an ordinary least squares model of topic-signal intensity as a function of publication recency, reported citation count, and an ordinal venue-family score. The second estimates a log-log learning-curve model of citation accumulation against article age, asking whether attention in this literature grows, decays, or accumulates along a measurable path. Neither paper settles the governance question. Together they discipline the evidence and expose exactly where the documentary record supports inference and where it does not.</w:t>
      </w:r>
    </w:p>
    <w:bookmarkEnd w:id="62"/>
    <w:bookmarkStart w:id="63" w:name="what-the-evidence-shows-in-brief"/>
    <w:p>
      <w:pPr>
        <w:pStyle w:val="Heading2"/>
        <w:spacing w:line="480" w:lineRule="auto"/>
      </w:pPr>
      <w:r>
        <w:t xml:space="preserve">What the evidence shows, in brief</w:t>
      </w:r>
    </w:p>
    <w:p>
      <w:pPr>
        <w:pStyle w:val="FirstParagraph"/>
        <w:spacing w:line="480" w:lineRule="auto"/>
      </w:pPr>
      <w:r>
        <w:t xml:space="preserve">The results, reported in full in Chapter 6, are mixed in an informative way. The cross-sectional model returns a jointly significant fit and one sharply estimated coefficient, on citation count, whose sign runs opposite to the naive expectation. The recency and venue terms are not individually distinguishable from zero at conventional levels. The learning-curve model returns a negative and statistically significant age elasticity, consistent with a corpus in which the freshest work draws attention fastest and older work does not compound indefinitely. A dissertation that reported only the significant terms would overstate its case. This one reports the imprecise terms with equal prominence, because an honest corpus screen is as much about what the data cannot carry as about what it can</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63"/>
    <w:bookmarkStart w:id="64" w:name="roadmap"/>
    <w:p>
      <w:pPr>
        <w:pStyle w:val="Heading2"/>
        <w:spacing w:line="480" w:lineRule="auto"/>
      </w:pPr>
      <w:r>
        <w:t xml:space="preserve">Roadmap</w:t>
      </w:r>
    </w:p>
    <w:p>
      <w:pPr>
        <w:pStyle w:val="FirstParagraph"/>
        <w:spacing w:line="480" w:lineRule="auto"/>
      </w:pPr>
      <w:r>
        <w:t xml:space="preserve">Eight chapters follow this introduction. Chapter 2 situates the project against the governance, situational-awareness, and measurement literatures, drawing the reputational-enforcement argument out of prior work on debris, sustainability, and coordination architectures</w:t>
      </w:r>
      <w:r>
        <w:t xml:space="preserve"> </w:t>
      </w:r>
      <w:hyperlink w:anchor="ref-1">
        <w:r>
          <w:rPr>
            <w:rStyle w:val="Hyperlink"/>
          </w:rPr>
          <w:t xml:space="preserve">[1]</w:t>
        </w:r>
      </w:hyperlink>
      <w:r>
        <w:t xml:space="preserve"> </w:t>
      </w:r>
      <w:hyperlink w:anchor="ref-10">
        <w:r>
          <w:rPr>
            <w:rStyle w:val="Hyperlink"/>
          </w:rPr>
          <w:t xml:space="preserve">[10]</w:t>
        </w:r>
      </w:hyperlink>
      <w:r>
        <w:t xml:space="preserve"> </w:t>
      </w:r>
      <w:hyperlink w:anchor="ref-16">
        <w:r>
          <w:rPr>
            <w:rStyle w:val="Hyperlink"/>
          </w:rPr>
          <w:t xml:space="preserve">[16]</w:t>
        </w:r>
      </w:hyperlink>
      <w:r>
        <w:t xml:space="preserve">. Chapter 3 states the mechanism formally and derives the testable predictions that the two papers evaluate. Chapter 4 sets out the estimators and the identification logic, explaining what an ordinary least squares screen and a learning-curve elasticity can and cannot license. Chapter 5 describes the dataset: how the thirty source records were retrieved, how each variable was constructed from local metadata, and where the measurement decisions introduce risk. Chapter 6 reports the estimator output exactly and interprets the signs and magnitudes. Chapter 7 draws the threats to validity together and states plainly what the corpus cannot show. Chapter 8 closes with the contribution, the governance and program implications, and the next data-collection step that would move the project from a corpus screen toward a direct behavioral test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through-line is a commitment to inspectable inference. Every number in this dissertation is a workbook result that a second analyst could regenerate from the retained files. Every substantive claim is conditional on the sources the candidate retrieved. The reputational argument is ambitious; the empirical posture is cautious; and the distance between them is where the doctoral discipline lives.</w:t>
      </w:r>
    </w:p>
    <w:bookmarkEnd w:id="64"/>
    <w:bookmarkStart w:id="65" w:name="Xff52be95c52d0ad6224cd69b3fc62ac4d3768c6"/>
    <w:p>
      <w:pPr>
        <w:pStyle w:val="Heading2"/>
        <w:spacing w:line="480" w:lineRule="auto"/>
      </w:pPr>
      <w:r>
        <w:t xml:space="preserve">Why the sovereignty framing changes the question</w:t>
      </w:r>
    </w:p>
    <w:p>
      <w:pPr>
        <w:pStyle w:val="FirstParagraph"/>
        <w:spacing w:line="480" w:lineRule="auto"/>
      </w:pPr>
      <w:r>
        <w:t xml:space="preserve">It is worth pausing on why the absence of a sovereign is not a marginal detail but the organizing fact of the whole inquiry. In most compliance settings the analyst can take enforcement as given and ask only whether actors obey. A tax authority audits, a securities regulator sanctions, a court compels. The interesting variation is in the rate of compliance, and the enforcement apparatus itself is a fixed background. Orbit inverts this. Here the enforcement apparatus is the variable, and the compliance it produces is what needs explaining. There is no orbital tax authority, no cislunar court with cross-border reach, no licensing body whose writ runs beyond its own national operators</w:t>
      </w:r>
      <w:r>
        <w:t xml:space="preserve"> </w:t>
      </w:r>
      <w:hyperlink w:anchor="ref-5">
        <w:r>
          <w:rPr>
            <w:rStyle w:val="Hyperlink"/>
          </w:rPr>
          <w:t xml:space="preserve">[5]</w:t>
        </w:r>
      </w:hyperlink>
      <w:r>
        <w:t xml:space="preserve">. The question is therefore not how much operators obey a known enforcer, but what plays the enforcer’s role when no enforcer exists.</w:t>
      </w:r>
    </w:p>
    <w:p>
      <w:pPr>
        <w:pStyle w:val="BodyText"/>
        <w:spacing w:line="480" w:lineRule="auto"/>
        <w:ind w:firstLine="720"/>
      </w:pPr>
      <w:r>
        <w:t xml:space="preserve">That inversion is what makes reputation a serious candidate rather than a soft afterthought. In a setting with a working sovereign, reputation is a supplement, one more reason to comply on top of the fine and the injunction. In a setting without one, reputation is not a supplement but potentially the entire load-bearing structure. If it does no work, the commons should degrade toward the tragedy that classical theory predicts for unenforced shared resources. If it does the work, then the whole apparatus of orbital coordination, the data-sharing agreements, the maneuver guidelines, the sustainability metrics, stands on a foundation of standing and reciprocal expectation rather than law</w:t>
      </w:r>
      <w:r>
        <w:t xml:space="preserve"> </w:t>
      </w:r>
      <w:hyperlink w:anchor="ref-1">
        <w:r>
          <w:rPr>
            <w:rStyle w:val="Hyperlink"/>
          </w:rPr>
          <w:t xml:space="preserve">[1]</w:t>
        </w:r>
      </w:hyperlink>
      <w:r>
        <w:t xml:space="preserve"> </w:t>
      </w:r>
      <w:hyperlink w:anchor="ref-16">
        <w:r>
          <w:rPr>
            <w:rStyle w:val="Hyperlink"/>
          </w:rPr>
          <w:t xml:space="preserve">[16]</w:t>
        </w:r>
      </w:hyperlink>
      <w:r>
        <w:t xml:space="preserve">. Distinguishing those two worlds is the practical payoff of the inquiry, and neither can be told apart by intuition alone.</w:t>
      </w:r>
    </w:p>
    <w:bookmarkEnd w:id="65"/>
    <w:bookmarkStart w:id="66" w:name="the-commons-at-cislunar-scale"/>
    <w:p>
      <w:pPr>
        <w:pStyle w:val="Heading2"/>
        <w:spacing w:line="480" w:lineRule="auto"/>
      </w:pPr>
      <w:r>
        <w:t xml:space="preserve">The commons at cislunar scale</w:t>
      </w:r>
    </w:p>
    <w:p>
      <w:pPr>
        <w:pStyle w:val="FirstParagraph"/>
        <w:spacing w:line="480" w:lineRule="auto"/>
      </w:pPr>
      <w:r>
        <w:t xml:space="preserve">The physical setting deserves a moment because it determines which governance instruments are even available. Cislunar space is not low Earth orbit scaled up. It is a larger, sparser, and less observed volume in which the sensing infrastructure that makes conduct legible is thinner and the number of actors with independent tracking capacity is smaller</w:t>
      </w:r>
      <w:r>
        <w:t xml:space="preserve"> </w:t>
      </w:r>
      <w:hyperlink w:anchor="ref-3">
        <w:r>
          <w:rPr>
            <w:rStyle w:val="Hyperlink"/>
          </w:rPr>
          <w:t xml:space="preserve">[3]</w:t>
        </w:r>
      </w:hyperlink>
      <w:r>
        <w:t xml:space="preserve">. Attribution, hard enough in the crowded and well-instrumented low orbits, is harder still where fewer sensors watch a larger volume. This matters directly for the reputational mechanism, because reputation depends on conduct being seen and named. A commons that cannot observe its own members cannot sanction them reputationally, and the cislunar volume is precisely the regime where observability is most in question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governance conversation has begun to register this. Work on distributed coordination architectures and coalition sensing is, read one way, an effort to manufacture the observability that cislunar scale withholds</w:t>
      </w:r>
      <w:r>
        <w:t xml:space="preserve"> </w:t>
      </w:r>
      <w:hyperlink w:anchor="ref-4">
        <w:r>
          <w:rPr>
            <w:rStyle w:val="Hyperlink"/>
          </w:rPr>
          <w:t xml:space="preserve">[4]</w:t>
        </w:r>
      </w:hyperlink>
      <w:r>
        <w:t xml:space="preserve"> </w:t>
      </w:r>
      <w:hyperlink w:anchor="ref-6">
        <w:r>
          <w:rPr>
            <w:rStyle w:val="Hyperlink"/>
          </w:rPr>
          <w:t xml:space="preserve">[6]</w:t>
        </w:r>
      </w:hyperlink>
      <w:r>
        <w:t xml:space="preserve">. Work on sustainability metrics is an effort to convert whatever conduct can be observed into a comparable, public score that bites reputationally</w:t>
      </w:r>
      <w:r>
        <w:t xml:space="preserve"> </w:t>
      </w:r>
      <w:hyperlink w:anchor="ref-16">
        <w:r>
          <w:rPr>
            <w:rStyle w:val="Hyperlink"/>
          </w:rPr>
          <w:t xml:space="preserve">[16]</w:t>
        </w:r>
      </w:hyperlink>
      <w:r>
        <w:t xml:space="preserve">. Both efforts are recent, both are unsettled, and both presuppose the mechanism this dissertation tests. The prospectus positions the project at exactly this juncture: before the infrastructure is built out, while the choice of whether to build it remains open, and while the empirical question of whether reputation could bind is still answerable only through the traces the field leaves in its own literature.</w:t>
      </w:r>
    </w:p>
    <w:bookmarkEnd w:id="66"/>
    <w:bookmarkStart w:id="67" w:name="the-shape-of-the-argument-to-come"/>
    <w:p>
      <w:pPr>
        <w:pStyle w:val="Heading2"/>
        <w:spacing w:line="480" w:lineRule="auto"/>
      </w:pPr>
      <w:r>
        <w:t xml:space="preserve">The shape of the argument to come</w:t>
      </w:r>
    </w:p>
    <w:p>
      <w:pPr>
        <w:pStyle w:val="FirstParagraph"/>
        <w:spacing w:line="480" w:lineRule="auto"/>
      </w:pPr>
      <w:r>
        <w:t xml:space="preserve">Because the design retreats from a direct behavioral claim to a documentary precondition, a reader is owed an early and honest map of what that retreat costs and buys. It costs directness: the dissertation will not, at its end, have observed a single operator choosing to comply because of reputational fear. It buys reproducibility and falsifiability: the dissertation will, at its end, have run a test that could have failed, on data another analyst can regenerate, yielding a result that either does or does not clear a stated precondition</w:t>
      </w:r>
      <w:r>
        <w:t xml:space="preserve"> </w:t>
      </w:r>
      <w:hyperlink w:anchor="ref-2">
        <w:r>
          <w:rPr>
            <w:rStyle w:val="Hyperlink"/>
          </w:rPr>
          <w:t xml:space="preserve">[2]</w:t>
        </w:r>
      </w:hyperlink>
      <w:r>
        <w:t xml:space="preserve"> </w:t>
      </w:r>
      <w:hyperlink w:anchor="ref-5">
        <w:r>
          <w:rPr>
            <w:rStyle w:val="Hyperlink"/>
          </w:rPr>
          <w:t xml:space="preserve">[5]</w:t>
        </w:r>
      </w:hyperlink>
      <w:r>
        <w:t xml:space="preserve">. That trade is the right one for a design-stage project whose behavioral dataset does not yet exist. The alternative, asserting the behavioral claim on the strength of anecdote and plausibility, would produce a more exciting dissertation and a less trustworthy one.</w:t>
      </w:r>
    </w:p>
    <w:p>
      <w:pPr>
        <w:pStyle w:val="BodyText"/>
        <w:spacing w:line="480" w:lineRule="auto"/>
        <w:ind w:firstLine="720"/>
      </w:pPr>
      <w:r>
        <w:t xml:space="preserve">The remainder of the argument proceeds in the order a skeptical reader would demand. First the literature, to show that the mechanism is named across four separate traditions yet tested by none of them at the documentary level. Then the theory, to build the full causal chain and mark exactly where it must be cut. Then the two estimators and the identification logic, to establish what a metadata screen can and cannot license. Then the data, thirty auditable rows with every variable construction stated. Then the results, reported to the last decimal and interpreted within their bounds. Then the threats, taken one at a time against the actual coefficients. And finally the contribution and the next dataset, so the project ends by specifying the study that would carry the argument the one step further that its own evidence cannot</w:t>
      </w:r>
      <w:r>
        <w:t xml:space="preserve"> </w:t>
      </w:r>
      <w:hyperlink w:anchor="ref-3">
        <w:r>
          <w:rPr>
            <w:rStyle w:val="Hyperlink"/>
          </w:rPr>
          <w:t xml:space="preserve">[3]</w:t>
        </w:r>
      </w:hyperlink>
      <w:r>
        <w:t xml:space="preserve"> </w:t>
      </w:r>
      <w:hyperlink w:anchor="ref-7">
        <w:r>
          <w:rPr>
            <w:rStyle w:val="Hyperlink"/>
          </w:rPr>
          <w:t xml:space="preserve">[7]</w:t>
        </w:r>
      </w:hyperlink>
      <w:r>
        <w:t xml:space="preserve">. Each chapter is written to be checked, not merely believed.</w:t>
      </w:r>
    </w:p>
    <w:bookmarkEnd w:id="67"/>
    <w:bookmarkStart w:id="68" w:name="X9b1188942ddc15a61ad078ae25ba6f762a4ee8c"/>
    <w:p>
      <w:pPr>
        <w:pStyle w:val="Heading2"/>
        <w:spacing w:line="480" w:lineRule="auto"/>
      </w:pPr>
      <w:r>
        <w:t xml:space="preserve">The reader this dissertation is written for</w:t>
      </w:r>
    </w:p>
    <w:p>
      <w:pPr>
        <w:pStyle w:val="FirstParagraph"/>
        <w:spacing w:line="480" w:lineRule="auto"/>
      </w:pPr>
      <w:r>
        <w:t xml:space="preserve">A design-stage dissertation serves two readers at once, and naming them clarifies the writing choices throughout. The first reader is the methodological examiner who wants to know whether the inference is sound: whether the estimators fit the questions, whether the identification claims are honest, whether the nulls are reported with the same care as the findings. For this reader the dissertation front-loads its caveats, states its counterfactuals explicitly, and refuses to let a significant coefficient stand in for a mechanism it never observed</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second reader is the governance practitioner who wants to know whether the reputational argument is worth taking seriously in program and policy design. For this reader the dissertation keeps the substantive stakes visible, translates the abstract coefficients into concrete statements about the field’s youth and structure, and returns at the end to what the finding implies for building observability infrastructure now</w:t>
      </w:r>
      <w:r>
        <w:t xml:space="preserve"> </w:t>
      </w:r>
      <w:hyperlink w:anchor="ref-16">
        <w:r>
          <w:rPr>
            <w:rStyle w:val="Hyperlink"/>
          </w:rPr>
          <w:t xml:space="preserve">[16]</w:t>
        </w:r>
      </w:hyperlink>
      <w:r>
        <w:t xml:space="preserve">.</w:t>
      </w:r>
    </w:p>
    <w:p>
      <w:pPr>
        <w:pStyle w:val="BodyText"/>
        <w:spacing w:line="480" w:lineRule="auto"/>
        <w:ind w:firstLine="720"/>
      </w:pPr>
      <w:r>
        <w:t xml:space="preserve">Serving both readers imposes a particular discipline. The methodological reader is ill-served by rhetorical confidence, and the practitioner is ill-served by a wall of qualification that never reaches a usable claim. The resolution adopted here is to state the usable claim plainly and then bound it plainly, in that order, so that a practitioner can extract the takeaway and an examiner can verify the limits without either having to trust the other’s tolerance. This is why the chapters repeatedly pair a finding with its boundary in adjacent sentences rather than segregating findings and caveats into separate sections. The pairing is a writing choice in service of the dual audience, and it reflects the project’s core conviction that in orbital governance a claim is only as useful as its stated limits</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bookmarkEnd w:id="68"/>
    <w:bookmarkStart w:id="69" w:name="X5f5e0d4fd1c5cc477368c90117a68b98b279d6e"/>
    <w:p>
      <w:pPr>
        <w:pStyle w:val="Heading2"/>
        <w:spacing w:line="480" w:lineRule="auto"/>
      </w:pPr>
      <w:r>
        <w:t xml:space="preserve">What success and failure would each have looked like</w:t>
      </w:r>
    </w:p>
    <w:p>
      <w:pPr>
        <w:pStyle w:val="FirstParagraph"/>
        <w:spacing w:line="480" w:lineRule="auto"/>
      </w:pPr>
      <w:r>
        <w:t xml:space="preserve">To orient the reader before the evidence arrives, it helps to state in advance what a successful and an unsuccessful version of this project would each have produced, because the distinction is not the one intuition suggests. A naive reading would call the project successful if it confirmed the reputational mechanism and unsuccessful if it did not. That reading is wrong for a design-stage screen. The project succeeds if it converts the question into a falsifiable form and reports honestly whatever the test returns, and it fails only if it inflates a metadata result into a behavioral claim or buries its nulls to manufacture a cleaner story</w:t>
      </w:r>
      <w:r>
        <w:t xml:space="preserve"> </w:t>
      </w:r>
      <w:hyperlink w:anchor="ref-5">
        <w:r>
          <w:rPr>
            <w:rStyle w:val="Hyperlink"/>
          </w:rPr>
          <w:t xml:space="preserve">[5]</w:t>
        </w:r>
      </w:hyperlink>
      <w:r>
        <w:t xml:space="preserve">.</w:t>
      </w:r>
    </w:p>
    <w:p>
      <w:pPr>
        <w:pStyle w:val="BodyText"/>
        <w:spacing w:line="480" w:lineRule="auto"/>
        <w:ind w:firstLine="720"/>
      </w:pPr>
      <w:r>
        <w:t xml:space="preserve">By that correct standard, a corpus that had shown no structure at all would have been a successful outcome, not a failure: it would have falsified the documentary precondition and returned the burden to theory, which is genuine and reportable knowledge. The corpus did show structure, jointly and temporally, which is a different successful outcome: it clears the precondition and licenses a behavioral study</w:t>
      </w:r>
      <w:r>
        <w:t xml:space="preserve"> </w:t>
      </w:r>
      <w:hyperlink w:anchor="ref-2">
        <w:r>
          <w:rPr>
            <w:rStyle w:val="Hyperlink"/>
          </w:rPr>
          <w:t xml:space="preserve">[2]</w:t>
        </w:r>
      </w:hyperlink>
      <w:r>
        <w:t xml:space="preserve"> </w:t>
      </w:r>
      <w:hyperlink w:anchor="ref-4">
        <w:r>
          <w:rPr>
            <w:rStyle w:val="Hyperlink"/>
          </w:rPr>
          <w:t xml:space="preserve">[4]</w:t>
        </w:r>
      </w:hyperlink>
      <w:r>
        <w:t xml:space="preserve">. Either way the project’s success turns on the integrity of the test rather than the direction of the result, and holding that standard visibly is part of what the introduction owes the reader before the first coefficient appears. The chapters that follow are built to be judged by it.</w:t>
      </w:r>
    </w:p>
    <w:bookmarkEnd w:id="69"/>
    <w:bookmarkStart w:id="70" w:name="a-note-on-scope-and-terminology"/>
    <w:p>
      <w:pPr>
        <w:pStyle w:val="Heading2"/>
        <w:spacing w:line="480" w:lineRule="auto"/>
      </w:pPr>
      <w:r>
        <w:t xml:space="preserve">A note on scope and terminology</w:t>
      </w:r>
    </w:p>
    <w:p>
      <w:pPr>
        <w:pStyle w:val="FirstParagraph"/>
        <w:spacing w:line="480" w:lineRule="auto"/>
      </w:pPr>
      <w:r>
        <w:t xml:space="preserve">One clarification forestalls a predictable objection. The dissertation speaks of a topic-signal fingerprint in the literature, and a reader might worry that measuring a literature is a substitute for measuring the world. It is not offered as a substitute. It is offered as the one measurement the available data supports, chosen after the direct behavioral measurement was found to require data no public corpus holds</w:t>
      </w:r>
      <w:r>
        <w:t xml:space="preserve"> </w:t>
      </w:r>
      <w:hyperlink w:anchor="ref-3">
        <w:r>
          <w:rPr>
            <w:rStyle w:val="Hyperlink"/>
          </w:rPr>
          <w:t xml:space="preserve">[3]</w:t>
        </w:r>
      </w:hyperlink>
      <w:r>
        <w:t xml:space="preserve">. The literature is not the phenomenon; it is a legible shadow the phenomenon casts, and reading the shadow is a first step precisely because the object casting it cannot yet be measured directly</w:t>
      </w:r>
      <w:r>
        <w:t xml:space="preserve"> </w:t>
      </w:r>
      <w:hyperlink w:anchor="ref-5">
        <w:r>
          <w:rPr>
            <w:rStyle w:val="Hyperlink"/>
          </w:rPr>
          <w:t xml:space="preserve">[5]</w:t>
        </w:r>
      </w:hyperlink>
      <w:r>
        <w:t xml:space="preserve">. Every use of the corpus in the chapters ahead carries this understanding, and the prose is written to keep the shadow and the object distinct so that no sentence quietly promotes a fact about scholarship into a fact about orbit. With that scope fixed, the argument proceeds to the literature that both supplies the mechanism and leaves its documentary precondition untested.</w:t>
      </w:r>
    </w:p>
    <w:bookmarkEnd w:id="70"/>
    <w:bookmarkEnd w:id="71"/>
    <w:bookmarkStart w:id="82" w:name="chapter-2.-literature"/>
    <w:p>
      <w:pPr>
        <w:pStyle w:val="Heading1"/>
        <w:spacing w:line="480" w:lineRule="auto"/>
      </w:pPr>
      <w:r>
        <w:t xml:space="preserve">Chapter 2. Literature</w:t>
      </w:r>
    </w:p>
    <w:p>
      <w:pPr>
        <w:pStyle w:val="FirstParagraph"/>
        <w:spacing w:line="480" w:lineRule="auto"/>
      </w:pPr>
      <w:r>
        <w:t xml:space="preserve">The reputational-enforcement argument does not arrive in a vacuum. It sits at the intersection of three literatures that rarely speak to one another: the commons-governance tradition that studies how shared resources are managed without a sovereign, the space situational awareness tradition that studies how orbital behavior is observed and attributed, and the measurement tradition that treats a scholarly corpus as data in its own right. This chapter reads across all three, and the reading is organized to expose the gap that the dissertation fills.</w:t>
      </w:r>
    </w:p>
    <w:bookmarkStart w:id="72" w:name="governance-without-a-sovereign"/>
    <w:p>
      <w:pPr>
        <w:pStyle w:val="Heading2"/>
        <w:spacing w:line="480" w:lineRule="auto"/>
      </w:pPr>
      <w:r>
        <w:t xml:space="preserve">Governance without a sovereign</w:t>
      </w:r>
    </w:p>
    <w:p>
      <w:pPr>
        <w:pStyle w:val="FirstParagraph"/>
        <w:spacing w:line="480" w:lineRule="auto"/>
      </w:pPr>
      <w:r>
        <w:t xml:space="preserve">The starting point is the recognition that orbital space is a commons, and that commons can be governed without a world government. The clearest empirical warrant for this is comparative. Work that reads the orbital debris problem against the history of ozone regulation finds that a binding compliance regime emerged for stratospheric ozone not because a sovereign imposed it but because the actors faced escalating, credible, and partly reputational costs for defection</w:t>
      </w:r>
      <w:r>
        <w:t xml:space="preserve"> </w:t>
      </w:r>
      <w:hyperlink w:anchor="ref-1">
        <w:r>
          <w:rPr>
            <w:rStyle w:val="Hyperlink"/>
          </w:rPr>
          <w:t xml:space="preserve">[1]</w:t>
        </w:r>
      </w:hyperlink>
      <w:r>
        <w:t xml:space="preserve">. The Montreal Protocol hardened in stages, and each stage tightened the coupling between an actor’s conduct and its standing among peers and regulators. Read forward into orbit, the lesson is that the absence of a sovereign is not the absence of enforcement. It is the relocation of enforcement into softer instruments.</w:t>
      </w:r>
    </w:p>
    <w:p>
      <w:pPr>
        <w:pStyle w:val="BodyText"/>
        <w:spacing w:line="480" w:lineRule="auto"/>
        <w:ind w:firstLine="720"/>
      </w:pPr>
      <w:r>
        <w:t xml:space="preserve">A polycentric-governance strand sharpens this. Rather than a single hierarchical authority, a polycentric system distributes rule-making and monitoring across many overlapping centers, and its stability depends on each center’s capacity to observe and sanction within its own sphere. Analyses of what a polycentric governance system for orbital debris would actually require identify the missing ingredients: shared observability, credible attribution, and a mechanism by which conduct translates into consequence. Each of those ingredients is, at root, an infrastructure for reputation. You cannot sanction what you cannot see. You cannot damage a reputation you cannot attribute. The polycentric literature thus points directly at the observability question that this dissertation makes central, even though it does not itself test whether reputation binds</w:t>
      </w:r>
      <w:r>
        <w:t xml:space="preserve"> </w:t>
      </w:r>
      <w:hyperlink w:anchor="ref-16">
        <w:r>
          <w:rPr>
            <w:rStyle w:val="Hyperlink"/>
          </w:rPr>
          <w:t xml:space="preserve">[16]</w:t>
        </w:r>
      </w:hyperlink>
      <w:r>
        <w:t xml:space="preserve">.</w:t>
      </w:r>
    </w:p>
    <w:p>
      <w:pPr>
        <w:pStyle w:val="BodyText"/>
        <w:spacing w:line="480" w:lineRule="auto"/>
        <w:ind w:firstLine="720"/>
      </w:pPr>
      <w:r>
        <w:t xml:space="preserve">A parallel body of work reframes governance as coordination rather than command. The NewSpace-era analysis of governance by acknowledgment argues that in a domain crowded with new entrants, the operative rule is often not a statute but a shared expectation, ratified by mutual acknowledgment among operators and reinforced by the reputational cost of visibly breaking ranks</w:t>
      </w:r>
      <w:r>
        <w:t xml:space="preserve"> </w:t>
      </w:r>
      <w:hyperlink w:anchor="ref-12">
        <w:r>
          <w:rPr>
            <w:rStyle w:val="Hyperlink"/>
          </w:rPr>
          <w:t xml:space="preserve">[12]</w:t>
        </w:r>
      </w:hyperlink>
      <w:r>
        <w:t xml:space="preserve">. This is the reputational mechanism named directly, though at the level of institutional description rather than measured effect. The gap between that description and a falsifiable test is precisely the space this dissertation occupies. Adjacent work on the wider intersection of space activity and sustainability argues that such coordination has to be embedded in a transdisciplinary fabric if it is to hold, which raises the stakes on getting the enforcement channel right</w:t>
      </w:r>
      <w:r>
        <w:t xml:space="preserve"> </w:t>
      </w:r>
      <w:hyperlink w:anchor="ref-10">
        <w:r>
          <w:rPr>
            <w:rStyle w:val="Hyperlink"/>
          </w:rPr>
          <w:t xml:space="preserve">[10]</w:t>
        </w:r>
      </w:hyperlink>
      <w:r>
        <w:t xml:space="preserve">.</w:t>
      </w:r>
    </w:p>
    <w:bookmarkEnd w:id="72"/>
    <w:bookmarkStart w:id="73" w:name="behavioral-foundations"/>
    <w:p>
      <w:pPr>
        <w:pStyle w:val="Heading2"/>
        <w:spacing w:line="480" w:lineRule="auto"/>
      </w:pPr>
      <w:r>
        <w:t xml:space="preserve">Behavioral foundations</w:t>
      </w:r>
    </w:p>
    <w:p>
      <w:pPr>
        <w:pStyle w:val="FirstParagraph"/>
        <w:spacing w:line="480" w:lineRule="auto"/>
      </w:pPr>
      <w:r>
        <w:t xml:space="preserve">If reputation is to bind, operators must respond to reputational cost the way the mechanism assumes. Here the literature turns to the behavioral. The compliance-behavior literature gives this a concrete anchor. A study of what actually happens when operators are asked to comply with maneuvering guidelines finds that compliance is neither automatic nor absent, and that the pattern of adherence tracks the visibility and attribution of conduct rather than any binding legal duty</w:t>
      </w:r>
      <w:r>
        <w:t xml:space="preserve"> </w:t>
      </w:r>
      <w:hyperlink w:anchor="ref-7">
        <w:r>
          <w:rPr>
            <w:rStyle w:val="Hyperlink"/>
          </w:rPr>
          <w:t xml:space="preserve">[7]</w:t>
        </w:r>
      </w:hyperlink>
      <w:r>
        <w:t xml:space="preserve">. That finding is the empirical hinge of the whole argument. It establishes that guideline compliance in orbit is a behavioral variable, responsive to observability, in a domain where formal enforcement is weak.</w:t>
      </w:r>
    </w:p>
    <w:p>
      <w:pPr>
        <w:pStyle w:val="BodyText"/>
        <w:spacing w:line="480" w:lineRule="auto"/>
        <w:ind w:firstLine="720"/>
      </w:pPr>
      <w:r>
        <w:t xml:space="preserve">What that study does not establish, and what remains open, is whether the documentary and attention structure of the field reflects the same behavioral reality. An operator who would ignore a distant legal risk may still maneuver to avoid the visible censure of the peers and regulators on whom its next license depends. If reputation is doing that work in practice, the scholarship that theorizes the domain should carry the fingerprint of a field organizing itself around visibility and standing. This dissertation tests that reflection rather than assuming it.</w:t>
      </w:r>
    </w:p>
    <w:bookmarkEnd w:id="73"/>
    <w:bookmarkStart w:id="74" w:name="X2209683791e5ad35c48a5f6e5a2e937143dfe82"/>
    <w:p>
      <w:pPr>
        <w:pStyle w:val="Heading2"/>
        <w:spacing w:line="480" w:lineRule="auto"/>
      </w:pPr>
      <w:r>
        <w:t xml:space="preserve">Observation, attribution, and the awareness stack</w:t>
      </w:r>
    </w:p>
    <w:p>
      <w:pPr>
        <w:pStyle w:val="FirstParagraph"/>
        <w:spacing w:line="480" w:lineRule="auto"/>
      </w:pPr>
      <w:r>
        <w:t xml:space="preserve">Reputation requires observability, and observability in orbit is a technical achievement. The situational-awareness literature describes the sensing, cataloging, and coordination architecture that makes orbital conduct legible. Surveys of the global situational-awareness enterprise map its trends and its gaps, and they consistently identify attribution, the ability to say which operator did which maneuver, as the hard problem</w:t>
      </w:r>
      <w:r>
        <w:t xml:space="preserve"> </w:t>
      </w:r>
      <w:hyperlink w:anchor="ref-3">
        <w:r>
          <w:rPr>
            <w:rStyle w:val="Hyperlink"/>
          </w:rPr>
          <w:t xml:space="preserve">[3]</w:t>
        </w:r>
      </w:hyperlink>
      <w:r>
        <w:t xml:space="preserve">. Without attribution, a maneuver is an anonymous event and cannot damage anyone’s reputation. With it, the same maneuver becomes a reputational fact.</w:t>
      </w:r>
    </w:p>
    <w:p>
      <w:pPr>
        <w:pStyle w:val="BodyText"/>
        <w:spacing w:line="480" w:lineRule="auto"/>
        <w:ind w:firstLine="720"/>
      </w:pPr>
      <w:r>
        <w:t xml:space="preserve">Architectural proposals push toward that attribution capacity. Designs for distributed traffic-coordination systems envision a shared layer in which maneuver intentions and histories are exchanged among operators, converting private conduct into common knowledge</w:t>
      </w:r>
      <w:r>
        <w:t xml:space="preserve"> </w:t>
      </w:r>
      <w:hyperlink w:anchor="ref-4">
        <w:r>
          <w:rPr>
            <w:rStyle w:val="Hyperlink"/>
          </w:rPr>
          <w:t xml:space="preserve">[4]</w:t>
        </w:r>
      </w:hyperlink>
      <w:r>
        <w:t xml:space="preserve">. Coalition architectures that use artificial intelligence to fuse observations across partners aim at the same target from the sensing side, building a picture no single operator could assemble alone</w:t>
      </w:r>
      <w:r>
        <w:t xml:space="preserve"> </w:t>
      </w:r>
      <w:hyperlink w:anchor="ref-6">
        <w:r>
          <w:rPr>
            <w:rStyle w:val="Hyperlink"/>
          </w:rPr>
          <w:t xml:space="preserve">[6]</w:t>
        </w:r>
      </w:hyperlink>
      <w:r>
        <w:t xml:space="preserve">. National programs contribute their own pieces; surveys of one national space agency’s situational-awareness and traffic-management activities document the incremental construction of exactly this observability stack</w:t>
      </w:r>
      <w:r>
        <w:t xml:space="preserve"> </w:t>
      </w:r>
      <w:hyperlink w:anchor="ref-8">
        <w:r>
          <w:rPr>
            <w:rStyle w:val="Hyperlink"/>
          </w:rPr>
          <w:t xml:space="preserve">[8]</w:t>
        </w:r>
      </w:hyperlink>
      <w:r>
        <w:t xml:space="preserve">. Read together, this literature is building, brick by brick, the infrastructure a reputational-enforcement regime would need. It is not, however, asking whether reputation is in fact the binding instrument. It assumes safety as the objective and treats coordination as a means to it.</w:t>
      </w:r>
    </w:p>
    <w:p>
      <w:pPr>
        <w:pStyle w:val="BodyText"/>
        <w:spacing w:line="480" w:lineRule="auto"/>
        <w:ind w:firstLine="720"/>
      </w:pPr>
      <w:r>
        <w:t xml:space="preserve">International perspective sharpens the point. Comparative work on how states treat space weapons and dual-use behavior shows that in the absence of enforceable prohibition, restraint is sustained, when it is sustained at all, by the reputational and diplomatic cost of visible transgression</w:t>
      </w:r>
      <w:r>
        <w:t xml:space="preserve"> </w:t>
      </w:r>
      <w:hyperlink w:anchor="ref-2">
        <w:r>
          <w:rPr>
            <w:rStyle w:val="Hyperlink"/>
          </w:rPr>
          <w:t xml:space="preserve">[2]</w:t>
        </w:r>
      </w:hyperlink>
      <w:r>
        <w:t xml:space="preserve">. That is the same instrument this dissertation studies, operating one tier up, among states rather than commercial operators. The parallel matters because it suggests the mechanism is not an artifact of the commercial layer but a general feature of governance where sovereignty is absent.</w:t>
      </w:r>
    </w:p>
    <w:bookmarkEnd w:id="74"/>
    <w:bookmarkStart w:id="75" w:name="X8941e858d1566efbad000ea25bcddf3e511eae6"/>
    <w:p>
      <w:pPr>
        <w:pStyle w:val="Heading2"/>
        <w:spacing w:line="480" w:lineRule="auto"/>
      </w:pPr>
      <w:r>
        <w:t xml:space="preserve">Sustainability metrics and the price of standing</w:t>
      </w:r>
    </w:p>
    <w:p>
      <w:pPr>
        <w:pStyle w:val="FirstParagraph"/>
        <w:spacing w:line="480" w:lineRule="auto"/>
      </w:pPr>
      <w:r>
        <w:t xml:space="preserve">A fourth strand makes reputation almost literally a currency. The space sustainability rating effort designs a composite indicator that scores operators on the sustainability of their behavior, explicitly to incentivize long-term stewardship by attaching a visible, comparable reputational number to conduct</w:t>
      </w:r>
      <w:r>
        <w:t xml:space="preserve"> </w:t>
      </w:r>
      <w:hyperlink w:anchor="ref-16">
        <w:r>
          <w:rPr>
            <w:rStyle w:val="Hyperlink"/>
          </w:rPr>
          <w:t xml:space="preserve">[16]</w:t>
        </w:r>
      </w:hyperlink>
      <w:r>
        <w:t xml:space="preserve">. This is reputational enforcement engineered on purpose. An operator with a poor rating carries a public mark that can affect financing, partnership, and regulatory posture. The sustainability-rating literature is thus the clearest institutional confirmation that practitioners believe reputation binds, because they are building the machinery to make it bind harder</w:t>
      </w:r>
      <w:r>
        <w:t xml:space="preserve"> </w:t>
      </w:r>
      <w:hyperlink w:anchor="ref-16">
        <w:r>
          <w:rPr>
            <w:rStyle w:val="Hyperlink"/>
          </w:rPr>
          <w:t xml:space="preserve">[16]</w:t>
        </w:r>
      </w:hyperlink>
      <w:r>
        <w:t xml:space="preserve">.</w:t>
      </w:r>
    </w:p>
    <w:p>
      <w:pPr>
        <w:pStyle w:val="BodyText"/>
        <w:spacing w:line="480" w:lineRule="auto"/>
        <w:ind w:firstLine="720"/>
      </w:pPr>
      <w:r>
        <w:t xml:space="preserve">Adjacent legal scholarship supplies the counterweight. Studies of evolving national space law show that formal regulation is developing, unevenly, alongside these softer instruments, marking the zones where sovereignty is beginning to arrive</w:t>
      </w:r>
      <w:r>
        <w:t xml:space="preserve"> </w:t>
      </w:r>
      <w:hyperlink w:anchor="ref-5">
        <w:r>
          <w:rPr>
            <w:rStyle w:val="Hyperlink"/>
          </w:rPr>
          <w:t xml:space="preserve">[5]</w:t>
        </w:r>
      </w:hyperlink>
      <w:r>
        <w:t xml:space="preserve">. Work on liability for autonomous systems in orbit probes where formal legal responsibility will attach when an artificial agent, not a human operator, takes the consequential action, which complicates any attribution-based reputational scheme</w:t>
      </w:r>
      <w:r>
        <w:t xml:space="preserve"> </w:t>
      </w:r>
      <w:hyperlink w:anchor="ref-9">
        <w:r>
          <w:rPr>
            <w:rStyle w:val="Hyperlink"/>
          </w:rPr>
          <w:t xml:space="preserve">[9]</w:t>
        </w:r>
      </w:hyperlink>
      <w:r>
        <w:t xml:space="preserve">. Analyses of data-driven and gamified governance approaches explore still other channels through which conduct might be shaped without classical enforcement, and they show how fragile such channels can be when the underlying data is contested</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 The legal literature functions here as a boundary condition. It marks the small and growing zone where sovereignty is arriving, and by contrast the larger zone where it has not, which is exactly where reputation must carry the load.</w:t>
      </w:r>
    </w:p>
    <w:bookmarkEnd w:id="75"/>
    <w:bookmarkStart w:id="76" w:name="the-gap-this-dissertation-fills"/>
    <w:p>
      <w:pPr>
        <w:pStyle w:val="Heading2"/>
        <w:spacing w:line="480" w:lineRule="auto"/>
      </w:pPr>
      <w:r>
        <w:t xml:space="preserve">The gap this dissertation fills</w:t>
      </w:r>
    </w:p>
    <w:p>
      <w:pPr>
        <w:pStyle w:val="FirstParagraph"/>
        <w:spacing w:line="480" w:lineRule="auto"/>
      </w:pPr>
      <w:r>
        <w:t xml:space="preserve">Across all four strands the reputational mechanism is named, assumed, or engineered, but nowhere is it subjected to a reproducible empirical screen at the level of the field’s own documentary output. The governance literature describes the mechanism</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The behavioral literature shows compliance is responsive to visibility</w:t>
      </w:r>
      <w:r>
        <w:t xml:space="preserve"> </w:t>
      </w:r>
      <w:hyperlink w:anchor="ref-7">
        <w:r>
          <w:rPr>
            <w:rStyle w:val="Hyperlink"/>
          </w:rPr>
          <w:t xml:space="preserve">[7]</w:t>
        </w:r>
      </w:hyperlink>
      <w:r>
        <w:t xml:space="preserve">. The situational-awareness literature builds the observability the mechanism needs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metrics literature manufactures reputational currency deliberately</w:t>
      </w:r>
      <w:r>
        <w:t xml:space="preserve"> </w:t>
      </w:r>
      <w:hyperlink w:anchor="ref-16">
        <w:r>
          <w:rPr>
            <w:rStyle w:val="Hyperlink"/>
          </w:rPr>
          <w:t xml:space="preserve">[16]</w:t>
        </w:r>
      </w:hyperlink>
      <w:r>
        <w:t xml:space="preserve">. What none of them does is ask whether the scholarly corpus that theorizes cislunar traffic management shows the structural fingerprint one would expect if reputation were organizing the domain. That is a narrow question, and answering it will not resolve the governance debate. But it is a necessary and currently unanswered question, and its answer disciplines every larger claim that rests on it</w:t>
      </w:r>
      <w:r>
        <w:t xml:space="preserve"> </w:t>
      </w:r>
      <w:hyperlink w:anchor="ref-2">
        <w:r>
          <w:rPr>
            <w:rStyle w:val="Hyperlink"/>
          </w:rPr>
          <w:t xml:space="preserve">[2]</w:t>
        </w:r>
      </w:hyperlink>
      <w:r>
        <w:t xml:space="preserve">. The chapters that follow state the mechanism precisely, then test that fingerprint against thirty retrieved source records.</w:t>
      </w:r>
    </w:p>
    <w:bookmarkEnd w:id="76"/>
    <w:bookmarkStart w:id="77" w:name="X4f4f85867588c5aa75f69eaa5e4e5561a9fd0fb"/>
    <w:p>
      <w:pPr>
        <w:pStyle w:val="Heading2"/>
        <w:spacing w:line="480" w:lineRule="auto"/>
      </w:pPr>
      <w:r>
        <w:t xml:space="preserve">The measurement tradition and the corpus as data</w:t>
      </w:r>
    </w:p>
    <w:p>
      <w:pPr>
        <w:pStyle w:val="FirstParagraph"/>
        <w:spacing w:line="480" w:lineRule="auto"/>
      </w:pPr>
      <w:r>
        <w:t xml:space="preserve">The four domain strands above establish what the field believes. A fifth tradition, less often joined to them, establishes how a belief about a field can be tested against the field’s own output. This is the tradition that treats a body of scholarship as data: publication timing, citation attention, and venue distribution become variables, and the shape of a literature becomes evidence about the domain the literature studies. The move is old in the sociology of science and newer in space governance, where most corpus-level claims are still made impressionistically, by counting how often a theme is mentioned rather than by modeling how the theme is distributed.</w:t>
      </w:r>
    </w:p>
    <w:p>
      <w:pPr>
        <w:pStyle w:val="BodyText"/>
        <w:spacing w:line="480" w:lineRule="auto"/>
        <w:ind w:firstLine="720"/>
      </w:pPr>
      <w:r>
        <w:t xml:space="preserve">The reasoning behind the move is straightforward and it underwrites the whole empirical design. A field organized around a live, consequential mechanism does not scatter its attention evenly. It concentrates, and the concentration is measurable. Recent developments pull citation and publication toward the frontier; certain works accumulate disproportionate attention because they name the mechanism or supply its infrastructure; the debate migrates toward the venues where the governance conversation actually happens</w:t>
      </w:r>
      <w:r>
        <w:t xml:space="preserve"> </w:t>
      </w:r>
      <w:hyperlink w:anchor="ref-12">
        <w:r>
          <w:rPr>
            <w:rStyle w:val="Hyperlink"/>
          </w:rPr>
          <w:t xml:space="preserve">[12]</w:t>
        </w:r>
      </w:hyperlink>
      <w:r>
        <w:t xml:space="preserve">. A field with no organizing mechanism produces a flatter, more diffuse record. So the distribution of signal across time, attention, and venue is a testable trace, and the measurement tradition supplies the tools to test it without pretending the trace is the mechanism itself.</w:t>
      </w:r>
    </w:p>
    <w:p>
      <w:pPr>
        <w:pStyle w:val="BodyText"/>
        <w:spacing w:line="480" w:lineRule="auto"/>
        <w:ind w:firstLine="720"/>
      </w:pPr>
      <w:r>
        <w:t xml:space="preserve">This dissertation borrows those tools deliberately and applies them narrowly. It does not attempt a full bibliometric mapping of cislunar governance, which would require a systematic census the design does not claim to have. It applies two specific estimators to a specific purposive corpus and asks a specific necessary-condition question. The measurement tradition thus enters not as an ambition to describe the whole field but as a discipline for reading thirty records honestly, which is exactly what a design-stage screen requires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77"/>
    <w:bookmarkStart w:id="78" w:name="X34421fe626368090755d92581054af1be300324"/>
    <w:p>
      <w:pPr>
        <w:pStyle w:val="Heading2"/>
        <w:spacing w:line="480" w:lineRule="auto"/>
      </w:pPr>
      <w:r>
        <w:t xml:space="preserve">Where the strands converge and where they part</w:t>
      </w:r>
    </w:p>
    <w:p>
      <w:pPr>
        <w:pStyle w:val="FirstParagraph"/>
        <w:spacing w:line="480" w:lineRule="auto"/>
      </w:pPr>
      <w:r>
        <w:t xml:space="preserve">Stepping back, the five traditions converge on a single empirical object from five directions. The governance strand supplies the mechanism, reputation substituting for a missing sovereign</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The behavioral strand supplies the micro-foundation, operators responding to visibility rather than to legal duty</w:t>
      </w:r>
      <w:r>
        <w:t xml:space="preserve"> </w:t>
      </w:r>
      <w:hyperlink w:anchor="ref-7">
        <w:r>
          <w:rPr>
            <w:rStyle w:val="Hyperlink"/>
          </w:rPr>
          <w:t xml:space="preserve">[7]</w:t>
        </w:r>
      </w:hyperlink>
      <w:r>
        <w:t xml:space="preserve">. The situational-awareness strand supplies the observability the mechanism physically requires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metrics strand supplies the deliberate engineering of reputational currency</w:t>
      </w:r>
      <w:r>
        <w:t xml:space="preserve"> </w:t>
      </w:r>
      <w:hyperlink w:anchor="ref-16">
        <w:r>
          <w:rPr>
            <w:rStyle w:val="Hyperlink"/>
          </w:rPr>
          <w:t xml:space="preserve">[16]</w:t>
        </w:r>
      </w:hyperlink>
      <w:r>
        <w:t xml:space="preserve">. The measurement strand supplies the method for testing whether the field’s own output reflects any of this. The convergence is real, and it is why the reputational-enforcement question is worth a dissertation.</w:t>
      </w:r>
    </w:p>
    <w:p>
      <w:pPr>
        <w:pStyle w:val="BodyText"/>
        <w:spacing w:line="480" w:lineRule="auto"/>
        <w:ind w:firstLine="720"/>
      </w:pPr>
      <w:r>
        <w:t xml:space="preserve">The parting is equally real and it is where the contribution sits. The four domain strands assume, name, or build the mechanism; none tests whether the field’s documentary structure is consistent with it. The measurement strand supplies a test but has not been pointed at this question. The dissertation’s move is to point it, joining the domain traditions’ substantive question to the measurement tradition’s method, and to report the join with every imprecise coefficient shown</w:t>
      </w:r>
      <w:r>
        <w:t xml:space="preserve"> </w:t>
      </w:r>
      <w:hyperlink w:anchor="ref-6">
        <w:r>
          <w:rPr>
            <w:rStyle w:val="Hyperlink"/>
          </w:rPr>
          <w:t xml:space="preserve">[6]</w:t>
        </w:r>
      </w:hyperlink>
      <w:r>
        <w:t xml:space="preserve">. A skeptical reader might object that a corpus screen is a thin test of a thick mechanism, and the objection is correct. The reply is that a thin test that can fail is worth more than a thick assertion that cannot, and that the design’s honesty about its own thinness is what earns the next, thicker study the right to be built</w:t>
      </w:r>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remaining chapters honor that framing. Chapter 3 states the mechanism as a full causal chain and marks the single link the corpus can bear weight on. Chapter 4 specifies the two estimators the measurement tradition supplies and the identification each licenses. Chapters 5 and 6 build and run the test. Chapters 7 and 8 return the result to the domain traditions from which the question came, careful at every step to distinguish what the corpus showed from what the mechanism claims.</w:t>
      </w:r>
    </w:p>
    <w:bookmarkEnd w:id="78"/>
    <w:bookmarkStart w:id="79" w:name="X03b577047cd4801936e8d076242d2559f50323f"/>
    <w:p>
      <w:pPr>
        <w:pStyle w:val="Heading2"/>
        <w:spacing w:line="480" w:lineRule="auto"/>
      </w:pPr>
      <w:r>
        <w:t xml:space="preserve">Reputation versus its rivals in the enforcement literature</w:t>
      </w:r>
    </w:p>
    <w:p>
      <w:pPr>
        <w:pStyle w:val="FirstParagraph"/>
        <w:spacing w:line="480" w:lineRule="auto"/>
      </w:pPr>
      <w:r>
        <w:t xml:space="preserve">Reputation is not the only instrument the literature offers for governing a sovereign-less commons, and the review would be incomplete without situating it against its rivals. Three alternatives recur. The first is formal legal development: the gradual extension of national and international law into orbit, which would replace soft enforcement with hard</w:t>
      </w:r>
      <w:r>
        <w:t xml:space="preserve"> </w:t>
      </w:r>
      <w:hyperlink w:anchor="ref-5">
        <w:r>
          <w:rPr>
            <w:rStyle w:val="Hyperlink"/>
          </w:rPr>
          <w:t xml:space="preserve">[5]</w:t>
        </w:r>
      </w:hyperlink>
      <w:r>
        <w:t xml:space="preserve">. The second is technical foreclosure: architectures that make defection physically difficult or self-defeating, such as coordination systems that withhold service from non-compliant operators</w:t>
      </w:r>
      <w:r>
        <w:t xml:space="preserve"> </w:t>
      </w:r>
      <w:hyperlink w:anchor="ref-4">
        <w:r>
          <w:rPr>
            <w:rStyle w:val="Hyperlink"/>
          </w:rPr>
          <w:t xml:space="preserve">[4]</w:t>
        </w:r>
      </w:hyperlink>
      <w:r>
        <w:t xml:space="preserve">. The third is market discipline through pricing: insurance and financing terms that internalize risk without any explicit governance mechanism at all</w:t>
      </w:r>
      <w:r>
        <w:t xml:space="preserve"> </w:t>
      </w:r>
      <w:hyperlink w:anchor="ref-16">
        <w:r>
          <w:rPr>
            <w:rStyle w:val="Hyperlink"/>
          </w:rPr>
          <w:t xml:space="preserve">[16]</w:t>
        </w:r>
      </w:hyperlink>
      <w:r>
        <w:t xml:space="preserve">.</w:t>
      </w:r>
    </w:p>
    <w:p>
      <w:pPr>
        <w:pStyle w:val="BodyText"/>
        <w:spacing w:line="480" w:lineRule="auto"/>
        <w:ind w:firstLine="720"/>
      </w:pPr>
      <w:r>
        <w:t xml:space="preserve">Reputation does not stand alone against these rivals. It subsumes several and competes with one.</w:t>
      </w:r>
    </w:p>
    <w:p>
      <w:pPr>
        <w:pStyle w:val="BodyText"/>
        <w:spacing w:line="480" w:lineRule="auto"/>
        <w:ind w:firstLine="720"/>
      </w:pPr>
      <w:r>
        <w:t xml:space="preserve">The reputational argument does not deny these rivals; it subsumes several of them and competes with one. Market discipline through insurance and financing is, on close reading, a channel through which reputational cost is transmitted rather than an alternative to it, because the terms an operator faces depend on how its conduct is read</w:t>
      </w:r>
      <w:r>
        <w:t xml:space="preserve"> </w:t>
      </w:r>
      <w:hyperlink w:anchor="ref-16">
        <w:r>
          <w:rPr>
            <w:rStyle w:val="Hyperlink"/>
          </w:rPr>
          <w:t xml:space="preserve">[16]</w:t>
        </w:r>
      </w:hyperlink>
      <w:r>
        <w:t xml:space="preserve">. Technical foreclosure presupposes the same observability and attribution that reputation requires, so the two are complements rather than substitutes</w:t>
      </w:r>
      <w:r>
        <w:t xml:space="preserve"> </w:t>
      </w:r>
      <w:hyperlink w:anchor="ref-4">
        <w:r>
          <w:rPr>
            <w:rStyle w:val="Hyperlink"/>
          </w:rPr>
          <w:t xml:space="preserve">[4]</w:t>
        </w:r>
      </w:hyperlink>
      <w:r>
        <w:t xml:space="preserve">. Only formal legal development is a genuine rival, a different mechanism that would make reputation less necessary as it matured</w:t>
      </w:r>
      <w:r>
        <w:t xml:space="preserve"> </w:t>
      </w:r>
      <w:hyperlink w:anchor="ref-5">
        <w:r>
          <w:rPr>
            <w:rStyle w:val="Hyperlink"/>
          </w:rPr>
          <w:t xml:space="preserve">[5]</w:t>
        </w:r>
      </w:hyperlink>
      <w:r>
        <w:t xml:space="preserve">. The state of that rival is therefore diagnostic: where formal law is thin, reputation must carry more, and the legal literature’s own account of how thin orbital law remains is indirect evidence for the reputational argument’s relevance</w:t>
      </w:r>
      <w:r>
        <w:t xml:space="preserve"> </w:t>
      </w:r>
      <w:hyperlink w:anchor="ref-9">
        <w:r>
          <w:rPr>
            <w:rStyle w:val="Hyperlink"/>
          </w:rPr>
          <w:t xml:space="preserve">[9]</w:t>
        </w:r>
      </w:hyperlink>
      <w:r>
        <w:t xml:space="preserve">. The review reads the rivals this way not to dismiss them but to locate reputation precisely among them, as the instrument that dominates where law is absent and that transmits through the very market and technical channels the rivals name.</w:t>
      </w:r>
    </w:p>
    <w:bookmarkEnd w:id="79"/>
    <w:bookmarkStart w:id="80" w:name="the-comparative-record-beyond-ozone"/>
    <w:p>
      <w:pPr>
        <w:pStyle w:val="Heading2"/>
        <w:spacing w:line="480" w:lineRule="auto"/>
      </w:pPr>
      <w:r>
        <w:t xml:space="preserve">The comparative record beyond ozone</w:t>
      </w:r>
    </w:p>
    <w:p>
      <w:pPr>
        <w:pStyle w:val="FirstParagraph"/>
        <w:spacing w:line="480" w:lineRule="auto"/>
      </w:pPr>
      <w:r>
        <w:t xml:space="preserve">The ozone comparison anchors the governance strand, but it is not the only historical case the literature brings to bear, and a fuller reading strengthens the analogy while exposing its limits. The value of the Montreal Protocol case is that it documents a regime hardening from soft to binding as the coupling between conduct and consequence tightened, without a world government imposing the outcome</w:t>
      </w:r>
      <w:r>
        <w:t xml:space="preserve"> </w:t>
      </w:r>
      <w:hyperlink w:anchor="ref-1">
        <w:r>
          <w:rPr>
            <w:rStyle w:val="Hyperlink"/>
          </w:rPr>
          <w:t xml:space="preserve">[1]</w:t>
        </w:r>
      </w:hyperlink>
      <w:r>
        <w:t xml:space="preserve">. Its limit as an analogy is that ozone had a small number of industrial actors and a clear scientific consensus, conditions only partly present in orbit, where the actor set is large and growing and the technical picture is contested</w:t>
      </w:r>
      <w:r>
        <w:t xml:space="preserve"> </w:t>
      </w:r>
      <w:hyperlink w:anchor="ref-10">
        <w:r>
          <w:rPr>
            <w:rStyle w:val="Hyperlink"/>
          </w:rPr>
          <w:t xml:space="preserve">[10]</w:t>
        </w:r>
      </w:hyperlink>
      <w:r>
        <w:t xml:space="preserve">. The comparative literature on space weapons supplies a case closer to orbit’s actual structure: many actors, no enforceable prohibition, restraint sustained by reputational and diplomatic cost rather than law</w:t>
      </w:r>
      <w:r>
        <w:t xml:space="preserve"> </w:t>
      </w:r>
      <w:hyperlink w:anchor="ref-2">
        <w:r>
          <w:rPr>
            <w:rStyle w:val="Hyperlink"/>
          </w:rPr>
          <w:t xml:space="preserve">[2]</w:t>
        </w:r>
      </w:hyperlink>
      <w:r>
        <w:t xml:space="preserve">. That case is less encouraging than ozone, because the restraint it documents is fragile and periodically breaks, which is a realistic caution about how much weight reputation can bear when the stakes and the actor set both grow.</w:t>
      </w:r>
    </w:p>
    <w:p>
      <w:pPr>
        <w:pStyle w:val="BodyText"/>
        <w:spacing w:line="480" w:lineRule="auto"/>
        <w:ind w:firstLine="720"/>
      </w:pPr>
      <w:r>
        <w:t xml:space="preserve">Reading the two comparative cases together yields a calibrated expectation rather than an optimistic or a pessimistic one. Reputation can harden into binding governance under favorable conditions, as ozone shows, and it can also remain a thin and breakable restraint under less favorable ones, as the weapons case shows</w:t>
      </w:r>
      <w:r>
        <w:t xml:space="preserve"> </w:t>
      </w:r>
      <w:hyperlink w:anchor="ref-1">
        <w:r>
          <w:rPr>
            <w:rStyle w:val="Hyperlink"/>
          </w:rPr>
          <w:t xml:space="preserve">[1]</w:t>
        </w:r>
      </w:hyperlink>
      <w:r>
        <w:t xml:space="preserve"> </w:t>
      </w:r>
      <w:hyperlink w:anchor="ref-2">
        <w:r>
          <w:rPr>
            <w:rStyle w:val="Hyperlink"/>
          </w:rPr>
          <w:t xml:space="preserve">[2]</w:t>
        </w:r>
      </w:hyperlink>
      <w:r>
        <w:t xml:space="preserve">. Which pattern cislunar traffic management follows depends on whether the observability and attribution infrastructure is built, which returns the review to the situational-awareness strand and to the central role that infrastructure plays in the whole argument</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comparative record thus does not settle whether reputation will bind in orbit; it establishes that the outcome is contingent on precisely the infrastructure choices being made now, which is what makes the documentary timing of the field, tested in the chapters ahead, worth measuring.</w:t>
      </w:r>
    </w:p>
    <w:bookmarkEnd w:id="80"/>
    <w:bookmarkStart w:id="81" w:name="what-the-review-leaves-unsettled"/>
    <w:p>
      <w:pPr>
        <w:pStyle w:val="Heading2"/>
        <w:spacing w:line="480" w:lineRule="auto"/>
      </w:pPr>
      <w:r>
        <w:t xml:space="preserve">What the review leaves unsettled</w:t>
      </w:r>
    </w:p>
    <w:p>
      <w:pPr>
        <w:pStyle w:val="FirstParagraph"/>
        <w:spacing w:line="480" w:lineRule="auto"/>
      </w:pPr>
      <w:r>
        <w:t xml:space="preserve">The review closes on the questions it could not answer, because those questions define the dissertation’s target. It leaves unsettled whether operators in fact weight reputational cost heavily enough to comply, a behavioral question no reviewed source resolves at scale</w:t>
      </w:r>
      <w:r>
        <w:t xml:space="preserve"> </w:t>
      </w:r>
      <w:hyperlink w:anchor="ref-7">
        <w:r>
          <w:rPr>
            <w:rStyle w:val="Hyperlink"/>
          </w:rPr>
          <w:t xml:space="preserve">[7]</w:t>
        </w:r>
      </w:hyperlink>
      <w:r>
        <w:t xml:space="preserve">. It leaves unsettled whether the observability infrastructure will be built to the level the mechanism requires, an engineering and procurement question still open</w:t>
      </w:r>
      <w:r>
        <w:t xml:space="preserve"> </w:t>
      </w:r>
      <w:hyperlink w:anchor="ref-4">
        <w:r>
          <w:rPr>
            <w:rStyle w:val="Hyperlink"/>
          </w:rPr>
          <w:t xml:space="preserve">[4]</w:t>
        </w:r>
      </w:hyperlink>
      <w:r>
        <w:t xml:space="preserve">. And it leaves unsettled whether the scholarly field theorizing all of this carries the structural signature of a domain organized by a live mechanism, which is the one unsettled question the dissertation’s data can address</w:t>
      </w:r>
      <w:r>
        <w:t xml:space="preserve"> </w:t>
      </w:r>
      <w:hyperlink w:anchor="ref-2">
        <w:r>
          <w:rPr>
            <w:rStyle w:val="Hyperlink"/>
          </w:rPr>
          <w:t xml:space="preserve">[2]</w:t>
        </w:r>
      </w:hyperlink>
      <w:r>
        <w:t xml:space="preserve">. The review’s function is to show that this third question sits unanswered at the junction of five traditions, none of which has pointed a reproducible test at it. The chapters that follow build and run that test, and they return its result to the traditions surveyed here.</w:t>
      </w:r>
    </w:p>
    <w:bookmarkEnd w:id="81"/>
    <w:bookmarkEnd w:id="82"/>
    <w:bookmarkStart w:id="93" w:name="chapter-3.-theory-and-hypotheses"/>
    <w:p>
      <w:pPr>
        <w:pStyle w:val="Heading1"/>
        <w:spacing w:line="480" w:lineRule="auto"/>
      </w:pPr>
      <w:r>
        <w:t xml:space="preserve">Chapter 3. Theory and Hypotheses</w:t>
      </w:r>
    </w:p>
    <w:p>
      <w:pPr>
        <w:pStyle w:val="FirstParagraph"/>
        <w:spacing w:line="480" w:lineRule="auto"/>
      </w:pPr>
      <w:r>
        <w:t xml:space="preserve">The argument of this dissertation can be stated as a causal chain and then, deliberately, cut down to the one link that the available evidence can bear weight on. This chapter builds the full chain, identifies where each link would be tested if the data allowed, and then specifies the two hypotheses that the retrieved corpus actually supports. The discipline is in the cut. A theory that promises more than its evidence can test is not a stronger theory. It is a weaker one, because it hides the join where inference becomes assertion.</w:t>
      </w:r>
    </w:p>
    <w:bookmarkStart w:id="83" w:name="the-mechanism-in-full"/>
    <w:p>
      <w:pPr>
        <w:pStyle w:val="Heading2"/>
        <w:spacing w:line="480" w:lineRule="auto"/>
      </w:pPr>
      <w:r>
        <w:t xml:space="preserve">The mechanism in full</w:t>
      </w:r>
    </w:p>
    <w:p>
      <w:pPr>
        <w:pStyle w:val="FirstParagraph"/>
        <w:spacing w:line="480" w:lineRule="auto"/>
      </w:pPr>
      <w:r>
        <w:t xml:space="preserve">Begin with the physical fact. Cislunar space is a commons without a sovereign. There is no authority that can compel a maneuver, revoke a license across borders, or impose a fine that an operator cannot escape by changing flag. In classical enforcement theory this should produce a tragedy: rational operators externalize collision risk, decline to maneuver at their own propellant cost, and the commons degrades. Yet the observed pattern is not full tragedy. Operators do share conjunction data, do screen, and do sometimes maneuver against a risk they were under no binding duty to avoid</w:t>
      </w:r>
      <w:r>
        <w:t xml:space="preserve"> </w:t>
      </w:r>
      <w:hyperlink w:anchor="ref-7">
        <w:r>
          <w:rPr>
            <w:rStyle w:val="Hyperlink"/>
          </w:rPr>
          <w:t xml:space="preserve">[7]</w:t>
        </w:r>
      </w:hyperlink>
      <w:r>
        <w:t xml:space="preserve">.</w:t>
      </w:r>
    </w:p>
    <w:p>
      <w:pPr>
        <w:pStyle w:val="BodyText"/>
        <w:spacing w:line="480" w:lineRule="auto"/>
        <w:ind w:firstLine="720"/>
      </w:pPr>
      <w:r>
        <w:t xml:space="preserve">The reputational mechanism explains the gap. An operator’s conduct in orbit, if it is observable and attributable, becomes a fact known to the actors who control the operator’s future: insurers who price its risk, launch providers who schedule its payloads, constellation partners who share ephemeris under revocable informal agreements, and national regulators who license its next mission</w:t>
      </w:r>
      <w:r>
        <w:t xml:space="preserve"> </w:t>
      </w:r>
      <w:hyperlink w:anchor="ref-16">
        <w:r>
          <w:rPr>
            <w:rStyle w:val="Hyperlink"/>
          </w:rPr>
          <w:t xml:space="preserve">[16]</w:t>
        </w:r>
      </w:hyperlink>
      <w:r>
        <w:t xml:space="preserve">. A visible defection, a maneuver guideline ignored where everyone can see it, imposes a reputational cost through those channels. That cost need not be legal to be real. It has to be credible and it has to be attributable. Where both conditions hold, the reputational sanction can substitute for the sovereign’s coercion, and compliance emerges without a compliance authority</w:t>
      </w:r>
      <w:r>
        <w:t xml:space="preserve"> </w:t>
      </w:r>
      <w:hyperlink w:anchor="ref-1">
        <w:r>
          <w:rPr>
            <w:rStyle w:val="Hyperlink"/>
          </w:rPr>
          <w:t xml:space="preserve">[1]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Three conditions make the mechanism work, and each is a variable a fuller study would measure. The first is observability: conduct must be seen, which requires the sensing and cataloging stack that the situational-awareness literature is still building</w:t>
      </w:r>
      <w:r>
        <w:t xml:space="preserve"> </w:t>
      </w:r>
      <w:hyperlink w:anchor="ref-3">
        <w:r>
          <w:rPr>
            <w:rStyle w:val="Hyperlink"/>
          </w:rPr>
          <w:t xml:space="preserve">[3]</w:t>
        </w:r>
      </w:hyperlink>
      <w:r>
        <w:t xml:space="preserve">. The second is attribution: the conduct must be tied to a named actor, which is the hard technical problem that distributed-coordination and coalition architectures attack</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third is consequence: standing must translate into material cost, which is what the sustainability-rating machinery is engineered to guarantee by making conduct comparable and public</w:t>
      </w:r>
      <w:r>
        <w:t xml:space="preserve"> </w:t>
      </w:r>
      <w:hyperlink w:anchor="ref-16">
        <w:r>
          <w:rPr>
            <w:rStyle w:val="Hyperlink"/>
          </w:rPr>
          <w:t xml:space="preserve">[16]</w:t>
        </w:r>
      </w:hyperlink>
      <w:r>
        <w:t xml:space="preserve">. When all three hold, reputation binds. When any fails, the mechanism leaks, and the theory predicts a return toward the tragedy baseline.</w:t>
      </w:r>
    </w:p>
    <w:bookmarkEnd w:id="83"/>
    <w:bookmarkStart w:id="84" w:name="where-the-chain-must-be-cut"/>
    <w:p>
      <w:pPr>
        <w:pStyle w:val="Heading2"/>
        <w:spacing w:line="480" w:lineRule="auto"/>
      </w:pPr>
      <w:r>
        <w:t xml:space="preserve">Where the chain must be cut</w:t>
      </w:r>
    </w:p>
    <w:p>
      <w:pPr>
        <w:pStyle w:val="FirstParagraph"/>
        <w:spacing w:line="480" w:lineRule="auto"/>
      </w:pPr>
      <w:r>
        <w:t xml:space="preserve">The full chain terminates in an operator’s maneuver decision. To test it directly, one would need attributed maneuver histories paired with the reputational exposure of each operator and the observed compliance outcome. No public corpus holds that joint data at the scale a dissertation requires. Rather than manufacture a behavioral claim the data cannot support, the design retreats to a consequence of the mechanism that the documentary record can carry.</w:t>
      </w:r>
    </w:p>
    <w:p>
      <w:pPr>
        <w:pStyle w:val="BodyText"/>
        <w:spacing w:line="480" w:lineRule="auto"/>
        <w:ind w:firstLine="720"/>
      </w:pPr>
      <w:r>
        <w:t xml:space="preserve">The consequence is this. If reputation is organizing the cislunar traffic-management domain, then the scholarly and institutional literature that theorizes the domain is not a random scatter. A field where a real enforcement mechanism is at work concentrates. It concentrates in time, as recent developments pull attention toward the live edge of the problem. It concentrates in attention, as certain works accumulate citation weight because they name the mechanism or supply its infrastructure. And it concentrates in venue, as the debate migrates toward the outlets where the governance conversation actually happens</w:t>
      </w:r>
      <w:r>
        <w:t xml:space="preserve"> </w:t>
      </w:r>
      <w:hyperlink w:anchor="ref-2">
        <w:r>
          <w:rPr>
            <w:rStyle w:val="Hyperlink"/>
          </w:rPr>
          <w:t xml:space="preserve">[2]</w:t>
        </w:r>
      </w:hyperlink>
      <w:r>
        <w:t xml:space="preserve"> </w:t>
      </w:r>
      <w:hyperlink w:anchor="ref-10">
        <w:r>
          <w:rPr>
            <w:rStyle w:val="Hyperlink"/>
          </w:rPr>
          <w:t xml:space="preserve">[10]</w:t>
        </w:r>
      </w:hyperlink>
      <w:r>
        <w:t xml:space="preserve">. A domain where reputation does no organizing work would produce a flat, structureless record. So the presence or absence of structure in the corpus is an observable, testable trace of the mechanism, even though it is downstream of the behavior itself.</w:t>
      </w:r>
    </w:p>
    <w:p>
      <w:pPr>
        <w:pStyle w:val="BodyText"/>
        <w:spacing w:line="480" w:lineRule="auto"/>
        <w:ind w:firstLine="720"/>
      </w:pPr>
      <w:r>
        <w:t xml:space="preserve">This is a necessary-condition test, and its logic must be stated honestly. Finding structure in the corpus does not prove that reputation binds operator behavior; many mechanisms could structure a literature. But finding no structure at all would falsify a precondition of the strong reputational claim, because a mechanism actively organizing a domain should leave some fingerprint in the field that studies it. The test can therefore falsify but not confirm, which is exactly the posture a design-stage dissertation should adopt</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84"/>
    <w:bookmarkStart w:id="85" w:name="the-two-testable-predictions"/>
    <w:p>
      <w:pPr>
        <w:pStyle w:val="Heading2"/>
        <w:spacing w:line="480" w:lineRule="auto"/>
      </w:pPr>
      <w:r>
        <w:t xml:space="preserve">The two testable predictions</w:t>
      </w:r>
    </w:p>
    <w:p>
      <w:pPr>
        <w:pStyle w:val="FirstParagraph"/>
        <w:spacing w:line="480" w:lineRule="auto"/>
      </w:pPr>
      <w:r>
        <w:t xml:space="preserve">The dissertation operationalizes the fingerprint through two complementary predictions, each implemented by one empirical paper.</w:t>
      </w:r>
    </w:p>
    <w:p>
      <w:pPr>
        <w:pStyle w:val="BodyText"/>
        <w:spacing w:line="480" w:lineRule="auto"/>
        <w:ind w:firstLine="720"/>
      </w:pPr>
      <w:r>
        <w:t xml:space="preserve">The first prediction concerns cross-sectional structure. If the domain is organized, then a composite topic-signal score, built deterministically from how strongly each source record engages the candidate theme, should vary systematically with the observable features of that record: its publication recency, the citation attention it has drawn, and the venue family that hosts it. The first hypothesis pair states this directly. The null holds that the topic-signal score is unrelated to publication recency, citation attention, and venue family. The alternative holds that the topic-signal score is systematically related to those dimensions, with the theory’s directional expectation being that signal rises with recency and with attention. The venue term is included as a structural control rather than a directional prediction, since the ordinal coding across three venue families carries less theoretical weight than the temporal and attention dimensions.</w:t>
      </w:r>
    </w:p>
    <w:p>
      <w:pPr>
        <w:pStyle w:val="BodyText"/>
        <w:spacing w:line="480" w:lineRule="auto"/>
        <w:ind w:firstLine="720"/>
      </w:pPr>
      <w:r>
        <w:t xml:space="preserve">The second prediction concerns accumulation over time. A domain organized by a live mechanism should show a measurable relationship between how old a work is and how much attention it has gathered. Citation counts do not accumulate linearly or forever; they follow a curve. The learning-curve framing captures this by asking whether citation accumulation scales with article age along a constant elasticity. The second hypothesis pair states this. The null holds that citation accumulation is unrelated to article age in the retrieved topic literature. The alternative holds that citation accumulation follows a measurable age-based attention curve, with a nonzero elasticity of citations on age. The sign of that elasticity is itself informative. A negative elasticity would indicate a field where the newest work draws attention fastest and older work does not compound, consistent with a domain whose live edge keeps moving</w:t>
      </w:r>
      <w:r>
        <w:t xml:space="preserve"> </w:t>
      </w:r>
      <w:hyperlink w:anchor="ref-12">
        <w:r>
          <w:rPr>
            <w:rStyle w:val="Hyperlink"/>
          </w:rPr>
          <w:t xml:space="preserve">[12]</w:t>
        </w:r>
      </w:hyperlink>
      <w:r>
        <w:t xml:space="preserve">.</w:t>
      </w:r>
    </w:p>
    <w:bookmarkEnd w:id="85"/>
    <w:bookmarkStart w:id="86" w:name="rival-explanations-stated-in-advance"/>
    <w:p>
      <w:pPr>
        <w:pStyle w:val="Heading2"/>
        <w:spacing w:line="480" w:lineRule="auto"/>
      </w:pPr>
      <w:r>
        <w:t xml:space="preserve">Rival explanations, stated in advance</w:t>
      </w:r>
    </w:p>
    <w:p>
      <w:pPr>
        <w:pStyle w:val="FirstParagraph"/>
        <w:spacing w:line="480" w:lineRule="auto"/>
      </w:pPr>
      <w:r>
        <w:t xml:space="preserve">The theory would be dishonest if it did not name what else could produce the same fingerprint. Structure in the corpus could reflect venue coverage rather than substantive organization, if certain outlets simply index more of the field. It could reflect citation-age artifacts, since older works have had more calendar time to accumulate citations regardless of any mechanism. It could reflect the accessibility of metadata, since works with richer indexed fields will score higher on any term-hit measure. And it could reflect the candidate’s own retrieval choices, since a retrieved corpus is a sample, not a census</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These rivals are not dismissed here. They are logged, and Chapter 7 returns to each one to assess whether the observed results survive it. Naming them in advance is what keeps the necessary-condition test from quietly inflating into a sufficiency claim.</w:t>
      </w:r>
    </w:p>
    <w:p>
      <w:pPr>
        <w:pStyle w:val="BodyText"/>
        <w:spacing w:line="480" w:lineRule="auto"/>
        <w:ind w:firstLine="720"/>
      </w:pPr>
      <w:r>
        <w:t xml:space="preserve">The framework thus yields an evidence ladder rather than a verdict. A precisely estimated coefficient establishes association inside the retained corpus. A jointly significant fit licenses using the corpus as a measurement base for the next study. And an imprecise coefficient, far from being a failure, marks the boundary where the present evidence stops and where a richer dataset would have to begin</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two papers are built to place each result on that ladder, and Chapter 6 reports where each one lands.</w:t>
      </w:r>
    </w:p>
    <w:bookmarkEnd w:id="86"/>
    <w:bookmarkStart w:id="87" w:name="Xea3d2496c01799a9ecda31884367d86ce75d86d"/>
    <w:p>
      <w:pPr>
        <w:pStyle w:val="Heading2"/>
        <w:spacing w:line="480" w:lineRule="auto"/>
      </w:pPr>
      <w:r>
        <w:t xml:space="preserve">Microfoundations: why an operator would fear standing</w:t>
      </w:r>
    </w:p>
    <w:p>
      <w:pPr>
        <w:pStyle w:val="FirstParagraph"/>
        <w:spacing w:line="480" w:lineRule="auto"/>
      </w:pPr>
      <w:r>
        <w:t xml:space="preserve">The mechanism sketched above treats reputational cost as real, but a theory owes an account of why a profit-seeking operator would respond to it. The account runs through the operator’s dependency structure. No orbital operator is self-sufficient. It buys launch, it buys insurance, it shares ephemeris with the constellations it flies among, and it depends on a national regulator for the license that lets it operate at all</w:t>
      </w:r>
      <w:r>
        <w:t xml:space="preserve"> </w:t>
      </w:r>
      <w:hyperlink w:anchor="ref-7">
        <w:r>
          <w:rPr>
            <w:rStyle w:val="Hyperlink"/>
          </w:rPr>
          <w:t xml:space="preserve">[7]</w:t>
        </w:r>
      </w:hyperlink>
      <w:r>
        <w:t xml:space="preserve">. Each of those relationships is a channel through which a reputational fact can impose material cost. An insurer that reads an operator as reckless prices its premiums higher or declines the risk. A launch provider wary of association reschedules or defers. A constellation partner revokes an informal data-sharing arrangement it was never contractually bound to maintain. A regulator, reading a pattern of visible defiance, slows the next license.</w:t>
      </w:r>
    </w:p>
    <w:p>
      <w:pPr>
        <w:pStyle w:val="BodyText"/>
        <w:spacing w:line="480" w:lineRule="auto"/>
        <w:ind w:firstLine="720"/>
      </w:pPr>
      <w:r>
        <w:t xml:space="preserve">Each of these responses is individually small and legally uncompelled, and that is precisely why they are analytically interesting. None of them is a sanction in the formal sense. Together they constitute a diffuse but real cost that scales with the visibility and attribution of the operator’s conduct</w:t>
      </w:r>
      <w:r>
        <w:t xml:space="preserve"> </w:t>
      </w:r>
      <w:hyperlink w:anchor="ref-16">
        <w:r>
          <w:rPr>
            <w:rStyle w:val="Hyperlink"/>
          </w:rPr>
          <w:t xml:space="preserve">[16]</w:t>
        </w:r>
      </w:hyperlink>
      <w:r>
        <w:t xml:space="preserve">. The operator that maneuvers to avoid a conjunction it had no legal duty to avoid is, on this account, not behaving irrationally or altruistically. It is protecting the web of relationships on which its future depends. The behavioral literature supports exactly this reading, finding that guideline compliance tracks the observability of conduct rather than the presence of any binding rule</w:t>
      </w:r>
      <w:r>
        <w:t xml:space="preserve"> </w:t>
      </w:r>
      <w:hyperlink w:anchor="ref-7">
        <w:r>
          <w:rPr>
            <w:rStyle w:val="Hyperlink"/>
          </w:rPr>
          <w:t xml:space="preserve">[7]</w:t>
        </w:r>
      </w:hyperlink>
      <w:r>
        <w:t xml:space="preserve">. The microfoundation is thus not a philosophical assumption but an empirically anchored one, which is what lets the mechanism claim to be testable rather than merely plausible.</w:t>
      </w:r>
    </w:p>
    <w:bookmarkEnd w:id="87"/>
    <w:bookmarkStart w:id="88" w:name="the-credibility-condition"/>
    <w:p>
      <w:pPr>
        <w:pStyle w:val="Heading2"/>
        <w:spacing w:line="480" w:lineRule="auto"/>
      </w:pPr>
      <w:r>
        <w:t xml:space="preserve">The credibility condition</w:t>
      </w:r>
    </w:p>
    <w:p>
      <w:pPr>
        <w:pStyle w:val="FirstParagraph"/>
        <w:spacing w:line="480" w:lineRule="auto"/>
      </w:pPr>
      <w:r>
        <w:t xml:space="preserve">A reputational sanction that no one expects to be applied imposes no cost, so the mechanism carries a credibility condition that the theory must state. The threat of reputational damage binds only if operators expect that defection will in fact be seen, named, and remembered by the actors who control their future. This condition is what links the mechanism to the situational-awareness infrastructure so tightly. An observability stack that reliably attributes conduct makes the threat credible; one that leaves conduct anonymous makes it empty</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sustainability-rating machinery is, in this light, an effort to guarantee credibility by making conduct not just observable but comparable and public, so that a poor record cannot be quietly forgotten</w:t>
      </w:r>
      <w:r>
        <w:t xml:space="preserve"> </w:t>
      </w:r>
      <w:hyperlink w:anchor="ref-16">
        <w:r>
          <w:rPr>
            <w:rStyle w:val="Hyperlink"/>
          </w:rPr>
          <w:t xml:space="preserve">[16]</w:t>
        </w:r>
      </w:hyperlink>
      <w:r>
        <w:t xml:space="preserve">.</w:t>
      </w:r>
    </w:p>
    <w:p>
      <w:pPr>
        <w:pStyle w:val="BodyText"/>
        <w:spacing w:line="480" w:lineRule="auto"/>
        <w:ind w:firstLine="720"/>
      </w:pPr>
      <w:r>
        <w:t xml:space="preserve">The credibility condition also explains why the mechanism is fragile at cislunar scale, where observability is thinnest, and why the governance conversation about building out that observability is so consequential. A field theorizing a fragile, infrastructure-dependent mechanism that is being actively engineered should show a particular documentary signature: recent, concentrated, and unsettled, because the mechanism is not yet locked in and the intellectual work of building its preconditions is happening now</w:t>
      </w:r>
      <w:r>
        <w:t xml:space="preserve"> </w:t>
      </w:r>
      <w:hyperlink w:anchor="ref-12">
        <w:r>
          <w:rPr>
            <w:rStyle w:val="Hyperlink"/>
          </w:rPr>
          <w:t xml:space="preserve">[12]</w:t>
        </w:r>
      </w:hyperlink>
      <w:r>
        <w:t xml:space="preserve">. That expected signature is what the two papers test, and the credibility condition is the theoretical reason to expect it.</w:t>
      </w:r>
    </w:p>
    <w:bookmarkEnd w:id="88"/>
    <w:bookmarkStart w:id="89" w:name="Xfef928dbf1a769fd471b741cbc2d01b3cc54d5f"/>
    <w:p>
      <w:pPr>
        <w:pStyle w:val="Heading2"/>
        <w:spacing w:line="480" w:lineRule="auto"/>
      </w:pPr>
      <w:r>
        <w:t xml:space="preserve">From mechanism to measurable prediction, restated</w:t>
      </w:r>
    </w:p>
    <w:p>
      <w:pPr>
        <w:pStyle w:val="FirstParagraph"/>
        <w:spacing w:line="480" w:lineRule="auto"/>
      </w:pPr>
      <w:r>
        <w:t xml:space="preserve">The chain descends in ambition as it rises in testability. That inverse relation is the whole design.</w:t>
      </w:r>
    </w:p>
    <w:p>
      <w:pPr>
        <w:pStyle w:val="BodyText"/>
        <w:spacing w:line="480" w:lineRule="auto"/>
        <w:ind w:firstLine="720"/>
      </w:pPr>
      <w:r>
        <w:t xml:space="preserve">Pulling the pieces together, the theory makes a chain of claims of decreasing ambition and increasing testability. At the top: reputation binds compliance in a sovereign-less commons. Below that: it does so only when conduct is observable and attributable and standing carries material cost. Below that: a field where such a mechanism is live and being engineered should organize its attention around its recent frontier rather than scattering it evenly. At the bottom, and this is the rung the corpus can bear: that organization should be visible as systematic structure in the signal-recency-attention-venue relationship and as a measurable age elasticity in citation accumulation. The dissertation tests the bottom rung. It does so knowing that clearing it confirms only a precondition, and that failing it would falsify the precondition and send the top of the chain back to theory</w:t>
      </w:r>
      <w:r>
        <w:t xml:space="preserve"> </w:t>
      </w:r>
      <w:hyperlink w:anchor="ref-2">
        <w:r>
          <w:rPr>
            <w:rStyle w:val="Hyperlink"/>
          </w:rPr>
          <w:t xml:space="preserve">[2]</w:t>
        </w:r>
      </w:hyperlink>
      <w:r>
        <w:t xml:space="preserve"> </w:t>
      </w:r>
      <w:hyperlink w:anchor="ref-5">
        <w:r>
          <w:rPr>
            <w:rStyle w:val="Hyperlink"/>
          </w:rPr>
          <w:t xml:space="preserve">[5]</w:t>
        </w:r>
      </w:hyperlink>
      <w:r>
        <w:t xml:space="preserve">. This is the disciplined posture the whole design exists to enforce, and the two hypotheses stated above are its operational form.</w:t>
      </w:r>
    </w:p>
    <w:bookmarkEnd w:id="89"/>
    <w:bookmarkStart w:id="90" w:name="X81dd830a778a27774d4feeb8a1ebba76f242713"/>
    <w:p>
      <w:pPr>
        <w:pStyle w:val="Heading2"/>
        <w:spacing w:line="480" w:lineRule="auto"/>
      </w:pPr>
      <w:r>
        <w:t xml:space="preserve">The equilibrium logic of reputational compliance</w:t>
      </w:r>
    </w:p>
    <w:p>
      <w:pPr>
        <w:pStyle w:val="FirstParagraph"/>
        <w:spacing w:line="480" w:lineRule="auto"/>
      </w:pPr>
      <w:r>
        <w:t xml:space="preserve">To see why the mechanism is more than a list of costs, it helps to state it as an equilibrium rather than a one-shot calculation. Orbital operators interact repeatedly, over years and across missions, with a stable set of insurers, partners, and regulators. In a repeated interaction, a reputation is an asset that accrues value through consistent compliance and loses it through visible defection, and a rational operator maximizing over the whole relationship, not just the single maneuver, will protect the asset even at short-run propellant cost</w:t>
      </w:r>
      <w:r>
        <w:t xml:space="preserve"> </w:t>
      </w:r>
      <w:hyperlink w:anchor="ref-7">
        <w:r>
          <w:rPr>
            <w:rStyle w:val="Hyperlink"/>
          </w:rPr>
          <w:t xml:space="preserve">[7]</w:t>
        </w:r>
      </w:hyperlink>
      <w:r>
        <w:t xml:space="preserve">. This is the standard logic by which cooperation is sustained among self-interested actors without an external enforcer, and it is what gives the reputational mechanism its theoretical spine. Compliance is not altruism and it is not legal obedience; it is asset protection under repeated interaction.</w:t>
      </w:r>
    </w:p>
    <w:p>
      <w:pPr>
        <w:pStyle w:val="BodyText"/>
        <w:spacing w:line="480" w:lineRule="auto"/>
        <w:ind w:firstLine="720"/>
      </w:pPr>
      <w:r>
        <w:t xml:space="preserve">The equilibrium framing also predicts where the mechanism breaks, and the prediction is testable in principle. Cooperation sustained by reputation is fragile at the edges of the actor set: new entrants with no reputation to protect, operators nearing exit with no future relationship to preserve, and actors who believe their conduct will not be attributed all face weaker incentives to comply</w:t>
      </w:r>
      <w:r>
        <w:t xml:space="preserve"> </w:t>
      </w:r>
      <w:hyperlink w:anchor="ref-12">
        <w:r>
          <w:rPr>
            <w:rStyle w:val="Hyperlink"/>
          </w:rPr>
          <w:t xml:space="preserve">[12]</w:t>
        </w:r>
      </w:hyperlink>
      <w:r>
        <w:t xml:space="preserve">. A crowded and rapidly growing commons, which is exactly what cislunar space is becoming, continually adds new entrants and thereby continually tests the equilibrium’s stability. This is why the governance conversation treats the growth of the actor set as a threat, and why the field’s attention should concentrate on the frontier where the equilibrium is most stressed. That expected concentration is, again, the documentary fingerprint the two papers screen for</w:t>
      </w:r>
      <w:r>
        <w:t xml:space="preserve"> </w:t>
      </w:r>
      <w:hyperlink w:anchor="ref-3">
        <w:r>
          <w:rPr>
            <w:rStyle w:val="Hyperlink"/>
          </w:rPr>
          <w:t xml:space="preserve">[3]</w:t>
        </w:r>
      </w:hyperlink>
      <w:r>
        <w:t xml:space="preserve">.</w:t>
      </w:r>
    </w:p>
    <w:bookmarkEnd w:id="90"/>
    <w:bookmarkStart w:id="91" w:name="X891df98afacad31c206397dd8eb03f022736043"/>
    <w:p>
      <w:pPr>
        <w:pStyle w:val="Heading2"/>
        <w:spacing w:line="480" w:lineRule="auto"/>
      </w:pPr>
      <w:r>
        <w:t xml:space="preserve">Auxiliary predictions the corpus can and cannot test</w:t>
      </w:r>
    </w:p>
    <w:p>
      <w:pPr>
        <w:pStyle w:val="FirstParagraph"/>
        <w:spacing w:line="480" w:lineRule="auto"/>
      </w:pPr>
      <w:r>
        <w:t xml:space="preserve">A well-specified mechanism generates more predictions than any single study can test, and stating the full set clarifies which ones the corpus reaches. The mechanism predicts, first, that compliance tracks observability at the operator level, which is a behavioral claim the corpus cannot test and the behavioral literature partly supports</w:t>
      </w:r>
      <w:r>
        <w:t xml:space="preserve"> </w:t>
      </w:r>
      <w:hyperlink w:anchor="ref-7">
        <w:r>
          <w:rPr>
            <w:rStyle w:val="Hyperlink"/>
          </w:rPr>
          <w:t xml:space="preserve">[7]</w:t>
        </w:r>
      </w:hyperlink>
      <w:r>
        <w:t xml:space="preserve">. It predicts, second, that governance effort concentrates on building observability and attribution infrastructure, which is an institutional claim visible in the situational-awareness and metrics literatures</w:t>
      </w:r>
      <w:r>
        <w:t xml:space="preserve"> </w:t>
      </w:r>
      <w:hyperlink w:anchor="ref-4">
        <w:r>
          <w:rPr>
            <w:rStyle w:val="Hyperlink"/>
          </w:rPr>
          <w:t xml:space="preserve">[4]</w:t>
        </w:r>
      </w:hyperlink>
      <w:r>
        <w:t xml:space="preserve"> </w:t>
      </w:r>
      <w:hyperlink w:anchor="ref-16">
        <w:r>
          <w:rPr>
            <w:rStyle w:val="Hyperlink"/>
          </w:rPr>
          <w:t xml:space="preserve">[16]</w:t>
        </w:r>
      </w:hyperlink>
      <w:r>
        <w:t xml:space="preserve">. It predicts, third, that the scholarly field theorizing the domain organizes its attention around the recent frontier where the mechanism is being worked out, which is the corpus-level claim this dissertation tests directly.</w:t>
      </w:r>
    </w:p>
    <w:p>
      <w:pPr>
        <w:pStyle w:val="BodyText"/>
        <w:spacing w:line="480" w:lineRule="auto"/>
        <w:ind w:firstLine="720"/>
      </w:pPr>
      <w:r>
        <w:t xml:space="preserve">Only the third prediction is within the corpus’s reach, and the design is honest that testing it confirms the mechanism only as a necessary condition. The first prediction awaits a behavioral dataset. The second is supported by the existence of the infrastructure literature but not quantified here. The third is what the two estimators evaluate, and its logic is precise: a field organized around a live, infrastructure-dependent, equilibrium-stressed mechanism should show cross-sectional structure in its signal distribution and a measurable age gradient in its citation accumulation</w:t>
      </w:r>
      <w:r>
        <w:t xml:space="preserve"> </w:t>
      </w:r>
      <w:hyperlink w:anchor="ref-2">
        <w:r>
          <w:rPr>
            <w:rStyle w:val="Hyperlink"/>
          </w:rPr>
          <w:t xml:space="preserve">[2]</w:t>
        </w:r>
      </w:hyperlink>
      <w:r>
        <w:t xml:space="preserve"> </w:t>
      </w:r>
      <w:hyperlink w:anchor="ref-5">
        <w:r>
          <w:rPr>
            <w:rStyle w:val="Hyperlink"/>
          </w:rPr>
          <w:t xml:space="preserve">[5]</w:t>
        </w:r>
      </w:hyperlink>
      <w:r>
        <w:t xml:space="preserve">. Laying out all three predictions and marking which one the corpus tests is what keeps the theory chapter from over-promising, and it sets up the identification argument of Chapter 4, which specifies exactly how the two estimators evaluate the third prediction and what their evaluation can license.</w:t>
      </w:r>
    </w:p>
    <w:bookmarkEnd w:id="91"/>
    <w:bookmarkStart w:id="92" w:name="Xc3d45c5868448e7fb0451c0df98eb74d1c7957f"/>
    <w:p>
      <w:pPr>
        <w:pStyle w:val="Heading2"/>
        <w:spacing w:line="480" w:lineRule="auto"/>
      </w:pPr>
      <w:r>
        <w:t xml:space="preserve">The theory’s stance toward its own uncertainty</w:t>
      </w:r>
    </w:p>
    <w:p>
      <w:pPr>
        <w:pStyle w:val="FirstParagraph"/>
        <w:spacing w:line="480" w:lineRule="auto"/>
      </w:pPr>
      <w:r>
        <w:t xml:space="preserve">A final word on posture. The theory advanced here is not held as a conviction awaiting confirmation but as a hypothesis structured to be vulnerable. Each link in the chain, from reputation binding compliance down to the corpus showing structure, is stated so that its failure would be visible rather than absorbed</w:t>
      </w:r>
      <w:r>
        <w:t xml:space="preserve"> </w:t>
      </w:r>
      <w:hyperlink w:anchor="ref-5">
        <w:r>
          <w:rPr>
            <w:rStyle w:val="Hyperlink"/>
          </w:rPr>
          <w:t xml:space="preserve">[5]</w:t>
        </w:r>
      </w:hyperlink>
      <w:r>
        <w:t xml:space="preserve">. This vulnerability is deliberate and it is the difference between a theory that explains and one that merely reassures. A theory that could accommodate any documentary pattern, structured or flat, young or mature, would explain nothing, because it would forbid nothing. The reputational theory forbids a flat, unstructured corpus: if the field theorizing a live enforcement mechanism showed no organization whatsoever, the theory’s bottom rung would break and the higher rungs would lose their support</w:t>
      </w:r>
      <w:r>
        <w:t xml:space="preserve"> </w:t>
      </w:r>
      <w:hyperlink w:anchor="ref-2">
        <w:r>
          <w:rPr>
            <w:rStyle w:val="Hyperlink"/>
          </w:rPr>
          <w:t xml:space="preserve">[2]</w:t>
        </w:r>
      </w:hyperlink>
      <w:r>
        <w:t xml:space="preserve"> </w:t>
      </w:r>
      <w:hyperlink w:anchor="ref-3">
        <w:r>
          <w:rPr>
            <w:rStyle w:val="Hyperlink"/>
          </w:rPr>
          <w:t xml:space="preserve">[3]</w:t>
        </w:r>
      </w:hyperlink>
      <w:r>
        <w:t xml:space="preserve">. That the theory can be broken by an observable pattern is what qualifies it as an object of test rather than an article of faith, and it is the standard the two hypotheses are written to meet. Chapter 4 now specifies the instruments that put the bottom rung at risk.</w:t>
      </w:r>
    </w:p>
    <w:bookmarkEnd w:id="92"/>
    <w:bookmarkEnd w:id="93"/>
    <w:bookmarkStart w:id="105"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estimators carry the empirical weight of this dissertation. The first is an ordinary least squares regression that asks whether the cross-sectional structure of the corpus matches the reputational fingerprint. The second is a log-log learning-curve regression that asks whether attention in the corpus accumulates along a measurable path against article age. This chapter specifies both, explains why each is the right tool for its question, and states with precision what each one can and cannot identify. Identification is the crux. A metadata regression does not license a causal claim about operator behavior, and the value of the design lies in refusing to pretend otherwise.</w:t>
      </w:r>
    </w:p>
    <w:bookmarkStart w:id="94" w:name="the-cross-sectional-estimator"/>
    <w:p>
      <w:pPr>
        <w:pStyle w:val="Heading2"/>
        <w:spacing w:line="480" w:lineRule="auto"/>
      </w:pPr>
      <w:r>
        <w:t xml:space="preserve">The cross-sectional estimator</w:t>
      </w:r>
    </w:p>
    <w:p>
      <w:pPr>
        <w:pStyle w:val="FirstParagraph"/>
        <w:spacing w:line="480" w:lineRule="auto"/>
      </w:pPr>
      <w:r>
        <w:t xml:space="preserve">The first paper estimates the model</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p>
      <w:pPr>
        <w:pStyle w:val="FirstParagraph"/>
        <w:spacing w:line="480" w:lineRule="auto"/>
      </w:pPr>
      <w:r>
        <w:t xml:space="preserve">over the thirty retrieved source records. The dependent variable is the composite topic-signal score for record</w:t>
      </w:r>
      <w:r>
        <w:t xml:space="preserve"> </w:t>
      </w:r>
      <m:oMath>
        <m:r>
          <m:t>i</m:t>
        </m:r>
      </m:oMath>
      <w:r>
        <w:t xml:space="preserve">. The three regressors are the publication recency index, the reported citation count, and the ordinal venue-family score. Estimation is by ordinary least squares with heteroskedasticity-consistent HC1 standard errors, a choice that matters because a corpus of thirty records with count-based and ordinal regressors has no reason to exhibit homoskedastic errors, and the robust covariance estimator guards the inference against that without imposing a variance model the data cannot justify.</w:t>
      </w:r>
    </w:p>
    <w:p>
      <w:pPr>
        <w:pStyle w:val="BodyText"/>
        <w:spacing w:line="480" w:lineRule="auto"/>
        <w:ind w:firstLine="720"/>
      </w:pPr>
      <w:r>
        <w:t xml:space="preserve">Why ordinary least squares rather than a count model, given that the signal score is built from term hits? The answer is deliberate transparency. The signal score, though constructed from counts, is treated as a continuous composite index, and a linear specification keeps the coefficients directly interpretable as the marginal change in signal per unit of recency, per additional citation, and per venue-family step. A more elaborate generalized model would buy little on thirty observations and would obscure the plain reading that a screening design wants. The purpose here is not to squeeze maximal efficiency from a small sample. It is to expose structure, or its absence, in a form any reader can audit against the data rows.</w:t>
      </w:r>
    </w:p>
    <w:p>
      <w:pPr>
        <w:pStyle w:val="BodyText"/>
        <w:spacing w:line="480" w:lineRule="auto"/>
        <w:ind w:firstLine="720"/>
      </w:pPr>
      <w:r>
        <w:t xml:space="preserve">Joint testing matters as much as the individual coefficients. The F statistic on the full model asks whether the three regressors together explain more of the signal-score variation than chance, and it is this joint verdict, more than any single term, that speaks to the necessary-condition hypothesis. A field with no structure at all would fail the joint test. A field with real organization should pass it even if individual channels are hard to separate on a small sample, since recency, attention, and venue are correlated in any maturing literature and will compete for the same explained variance</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94"/>
    <w:bookmarkStart w:id="95" w:name="what-the-first-estimator-identifies"/>
    <w:p>
      <w:pPr>
        <w:pStyle w:val="Heading2"/>
        <w:spacing w:line="480" w:lineRule="auto"/>
      </w:pPr>
      <w:r>
        <w:t xml:space="preserve">What the first estimator identifies</w:t>
      </w:r>
    </w:p>
    <w:p>
      <w:pPr>
        <w:pStyle w:val="FirstParagraph"/>
        <w:spacing w:line="480" w:lineRule="auto"/>
      </w:pPr>
      <w:r>
        <w:t xml:space="preserve">The regression identifies conditional association inside the retained corpus, and nothing beyond it. A precisely estimated</w:t>
      </w:r>
      <w:r>
        <w:t xml:space="preserve"> </w:t>
      </w:r>
      <m:oMath>
        <m:r>
          <m:t>β</m:t>
        </m:r>
      </m:oMath>
      <w:r>
        <w:t xml:space="preserve"> </w:t>
      </w:r>
      <w:r>
        <w:t xml:space="preserve">means that, holding the other two regressors fixed, records that differ on that dimension differ systematically in signal score across the thirty observations the candidate retrieved. That is a real and reproducible fact about the corpus. It is not a fact about the population of all cislunar traffic-management scholarship, because the corpus is a purposive sample rather than a random draw, and it is emphatically not a fact about operator behavior, which the model never observes</w:t>
      </w:r>
      <w:r>
        <w:t xml:space="preserve"> </w:t>
      </w:r>
      <w:hyperlink w:anchor="ref-3">
        <w:r>
          <w:rPr>
            <w:rStyle w:val="Hyperlink"/>
          </w:rPr>
          <w:t xml:space="preserve">[3]</w:t>
        </w:r>
      </w:hyperlink>
      <w:r>
        <w:t xml:space="preserve">.</w:t>
      </w:r>
    </w:p>
    <w:p>
      <w:pPr>
        <w:pStyle w:val="BodyText"/>
        <w:spacing w:line="480" w:lineRule="auto"/>
        <w:ind w:firstLine="720"/>
      </w:pPr>
      <w:r>
        <w:t xml:space="preserve">The identification threats are therefore specific and must be carried openly into the results. Selection into the corpus is the first: because the candidate chose the records, any structure could reflect retrieval habits rather than the field. Proxy slippage is the second: citation count is a noisy stand-in for attention, venue score is an ordinal compression of a richer publication landscape, and the signal score is a term-hit construct rather than a direct read of substantive engagement. Omitted structure is the third: a metadata model cannot include the technical, institutional, and market forces that actually drive a literature’s shape. The design does not solve these threats. It names them, reports the coefficients that survive them, and defers to Chapter 7 for the full accounting</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95"/>
    <w:bookmarkStart w:id="96" w:name="the-learning-curve-estimator"/>
    <w:p>
      <w:pPr>
        <w:pStyle w:val="Heading2"/>
        <w:spacing w:line="480" w:lineRule="auto"/>
      </w:pPr>
      <w:r>
        <w:t xml:space="preserve">The learning-curve estimator</w:t>
      </w:r>
    </w:p>
    <w:p>
      <w:pPr>
        <w:pStyle w:val="FirstParagraph"/>
        <w:spacing w:line="480" w:lineRule="auto"/>
      </w:pPr>
      <w:r>
        <w:t xml:space="preserve">The second paper estimates the model</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p>
      <w:pPr>
        <w:pStyle w:val="FirstParagraph"/>
        <w:spacing w:line="480" w:lineRule="auto"/>
      </w:pPr>
      <w:r>
        <w:t xml:space="preserve">again over thirty records with HC1 robust standard errors. The dependent variable is the natural log of citation count plus one, the plus-one added so that the many uncited records, whose raw count is zero, remain in the sample rather than being dropped by the undefined log of zero. The single regressor is the log of the article age index, computed as 2026 minus publication year plus one. The slope coefficient</w:t>
      </w:r>
      <w:r>
        <w:t xml:space="preserve"> </w:t>
      </w:r>
      <m:oMath>
        <m:sSub>
          <m:e>
            <m:r>
              <m:t>β</m:t>
            </m:r>
          </m:e>
          <m:sub>
            <m:r>
              <m:t>1</m:t>
            </m:r>
          </m:sub>
        </m:sSub>
      </m:oMath>
      <w:r>
        <w:t xml:space="preserve"> </w:t>
      </w:r>
      <w:r>
        <w:t xml:space="preserve">is an elasticity: the percentage change in citations-plus-one associated with a one percent change in article age.</w:t>
      </w:r>
    </w:p>
    <w:p>
      <w:pPr>
        <w:pStyle w:val="BodyText"/>
        <w:spacing w:line="480" w:lineRule="auto"/>
        <w:ind w:firstLine="720"/>
      </w:pPr>
      <w:r>
        <w:t xml:space="preserve">The log-log form is not decoration. It encodes a specific theoretical claim, that attention scales with age along a constant elasticity rather than a constant increment, which is the standard shape for accumulation processes where each additional unit of time yields a proportional rather than an absolute change. Estimating the elasticity directly lets the sign and magnitude of</w:t>
      </w:r>
      <w:r>
        <w:t xml:space="preserve"> </w:t>
      </w:r>
      <m:oMath>
        <m:sSub>
          <m:e>
            <m:r>
              <m:t>β</m:t>
            </m:r>
          </m:e>
          <m:sub>
            <m:r>
              <m:t>1</m:t>
            </m:r>
          </m:sub>
        </m:sSub>
      </m:oMath>
      <w:r>
        <w:t xml:space="preserve"> </w:t>
      </w:r>
      <w:r>
        <w:t xml:space="preserve">speak to the accumulation hypothesis in one interpretable number. A positive elasticity would say older work accumulates more citations, the ordinary aging pattern. A negative elasticity would say the opposite, that the newest work draws citations fastest and older work does not compound, which is the pattern one expects in a field whose live edge keeps moving and whose older contributions are quickly superseded</w:t>
      </w:r>
      <w:r>
        <w:t xml:space="preserve"> </w:t>
      </w:r>
      <w:hyperlink w:anchor="ref-12">
        <w:r>
          <w:rPr>
            <w:rStyle w:val="Hyperlink"/>
          </w:rPr>
          <w:t xml:space="preserve">[12]</w:t>
        </w:r>
      </w:hyperlink>
      <w:r>
        <w:t xml:space="preserve">.</w:t>
      </w:r>
    </w:p>
    <w:p>
      <w:pPr>
        <w:pStyle w:val="BodyText"/>
        <w:spacing w:line="480" w:lineRule="auto"/>
        <w:ind w:firstLine="720"/>
      </w:pPr>
      <w:r>
        <w:t xml:space="preserve">The learning-curve tradition also supplies a second reading of the same coefficient. The progress ratio, computed as two raised to the power of the elasticity, expresses how citations-plus-one change as age doubles. This translation is useful because it converts an abstract elasticity into a concrete doubling statement that a non-specialist can weigh. Chapter 6 reports both the raw elasticity and its progress-ratio translation so that the magnitude is legible from two directions.</w:t>
      </w:r>
    </w:p>
    <w:bookmarkEnd w:id="96"/>
    <w:bookmarkStart w:id="97" w:name="what-the-second-estimator-identifies"/>
    <w:p>
      <w:pPr>
        <w:pStyle w:val="Heading2"/>
        <w:spacing w:line="480" w:lineRule="auto"/>
      </w:pPr>
      <w:r>
        <w:t xml:space="preserve">What the second estimator identifies</w:t>
      </w:r>
    </w:p>
    <w:p>
      <w:pPr>
        <w:pStyle w:val="FirstParagraph"/>
        <w:spacing w:line="480" w:lineRule="auto"/>
      </w:pPr>
      <w:r>
        <w:t xml:space="preserve">The learning-curve regression identifies the shape of the age-attention relationship within the corpus. It does not identify why that shape holds. A negative elasticity is consistent with a fast-moving field, but it is equally consistent with a pure citation-age artifact in which any young literature shows the same pattern because citation counts are mechanically low for the newest works and the sample happens to be young. The design cannot separate those two stories on thirty observations, and the honest report says so. What the regression does deliver is a precise, reproducible description of the accumulation pattern, which is the input the next study would need before attempting to explain it</w:t>
      </w:r>
      <w:r>
        <w:t xml:space="preserve"> </w:t>
      </w:r>
      <w:hyperlink w:anchor="ref-5">
        <w:r>
          <w:rPr>
            <w:rStyle w:val="Hyperlink"/>
          </w:rPr>
          <w:t xml:space="preserve">[5]</w:t>
        </w:r>
      </w:hyperlink>
      <w:r>
        <w:t xml:space="preserve">.</w:t>
      </w:r>
    </w:p>
    <w:bookmarkEnd w:id="97"/>
    <w:bookmarkStart w:id="98" w:name="why-the-two-estimators-are-complementary"/>
    <w:p>
      <w:pPr>
        <w:pStyle w:val="Heading2"/>
        <w:spacing w:line="480" w:lineRule="auto"/>
      </w:pPr>
      <w:r>
        <w:t xml:space="preserve">Why the two estimators are complementary</w:t>
      </w:r>
    </w:p>
    <w:p>
      <w:pPr>
        <w:pStyle w:val="FirstParagraph"/>
        <w:spacing w:line="480" w:lineRule="auto"/>
      </w:pPr>
      <w:r>
        <w:t xml:space="preserve">Together the two models answer questions that neither can answer alone. The first is cross-sectional: it holds time roughly constant and asks how signal varies across records that differ in recency, attention, and venue. The second is temporal: it collapses the other dimensions and asks how attention accumulates as records age. A field could show cross-sectional structure without temporal structure, if it is organized but young, or temporal structure without cross-sectional structure, if it ages predictably but is otherwise flat. Running both places the corpus on both axes and yields a two-dimensional read of the fingerprint rather than a single ambiguous number</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identification logic across both is the same and worth restating plainly. These are screening estimators. They discipline the evidence, they establish what structure the retained corpus contains, and they mark the boundary past which a behavioral dataset would have to take over. That boundary is the methodological contribution, and Chapter 5 describes the data that both estimators run on.</w:t>
      </w:r>
    </w:p>
    <w:bookmarkEnd w:id="98"/>
    <w:bookmarkStart w:id="99" w:name="X80a23546eb1fe45b7d8d7016b983d93f275a2cd"/>
    <w:p>
      <w:pPr>
        <w:pStyle w:val="Heading2"/>
        <w:spacing w:line="480" w:lineRule="auto"/>
      </w:pPr>
      <w:r>
        <w:t xml:space="preserve">Why robust standard errors, and why not more</w:t>
      </w:r>
    </w:p>
    <w:p>
      <w:pPr>
        <w:pStyle w:val="FirstParagraph"/>
        <w:spacing w:line="480" w:lineRule="auto"/>
      </w:pPr>
      <w:r>
        <w:t xml:space="preserve">Both models use HC1 heteroskedasticity-consistent standard errors, and the choice is deliberate rather than reflexive. Classical ordinary least squares inference assumes the error variance is constant across observations. On a corpus of thirty records with count-based and ordinal regressors, that assumption is implausible on its face: records with high citation counts and records with zero citations have no reason to share an error variance, and the term-hit construction of the signal score makes larger residuals likely for the most engaged records. The robust covariance estimator relaxes the constant-variance assumption without requiring the analyst to specify the true variance structure, which on thirty observations could not be estimated reliably anyway. HC1 in particular applies a finite-sample correction that is appropriate for a sample this small.</w:t>
      </w:r>
    </w:p>
    <w:p>
      <w:pPr>
        <w:pStyle w:val="BodyText"/>
        <w:spacing w:line="480" w:lineRule="auto"/>
        <w:ind w:firstLine="720"/>
      </w:pPr>
      <w:r>
        <w:t xml:space="preserve">A reader might ask why the design stops there rather than clustering the standard errors by venue family or year. The answer is sample size. With only three venue families and eight distinct years, clustering would leave too few groups for the cluster-robust variance estimator to behave well, and the cure would be worse than the disease. The design accepts the limitation that within-venue or within-year correlation is not explicitly modeled, and it compensates by reading the venue term as a control rather than a finding and by running the separate temporal model in the second paper. This is the honest trade a small corpus forces, and stating it is part of the identification argument</w:t>
      </w:r>
      <w:r>
        <w:t xml:space="preserve"> </w:t>
      </w:r>
      <w:hyperlink w:anchor="ref-5">
        <w:r>
          <w:rPr>
            <w:rStyle w:val="Hyperlink"/>
          </w:rPr>
          <w:t xml:space="preserve">[5]</w:t>
        </w:r>
      </w:hyperlink>
      <w:r>
        <w:t xml:space="preserve">.</w:t>
      </w:r>
    </w:p>
    <w:bookmarkEnd w:id="99"/>
    <w:bookmarkStart w:id="100" w:name="X6ccb12c84f58b83b59c9a0d25cf663901c40d50"/>
    <w:p>
      <w:pPr>
        <w:pStyle w:val="Heading2"/>
        <w:spacing w:line="480" w:lineRule="auto"/>
      </w:pPr>
      <w:r>
        <w:t xml:space="preserve">The counterfactual each estimator implies</w:t>
      </w:r>
    </w:p>
    <w:p>
      <w:pPr>
        <w:pStyle w:val="FirstParagraph"/>
        <w:spacing w:line="480" w:lineRule="auto"/>
      </w:pPr>
      <w:r>
        <w:t xml:space="preserve">Every regression coefficient answers a counterfactual, and naming the counterfactual keeps the interpretation disciplined. For the first model, the recency coefficient answers: holding citation attention and venue fixed, how does signal score differ between a record one step more recent and one step less? The citation coefficient answers: holding recency and venue fixed, how does signal differ between a record with one more citation and one with fewer? The venue coefficient answers the analogous question across venue steps. These are within-corpus contrasts among the thirty records, not predictions about records outside the sample, and the language of Chapter 6 is kept faithful to that scope</w:t>
      </w:r>
      <w:r>
        <w:t xml:space="preserve"> </w:t>
      </w:r>
      <w:hyperlink w:anchor="ref-2">
        <w:r>
          <w:rPr>
            <w:rStyle w:val="Hyperlink"/>
          </w:rPr>
          <w:t xml:space="preserve">[2]</w:t>
        </w:r>
      </w:hyperlink>
      <w:r>
        <w:t xml:space="preserve">.</w:t>
      </w:r>
    </w:p>
    <w:p>
      <w:pPr>
        <w:pStyle w:val="BodyText"/>
        <w:spacing w:line="480" w:lineRule="auto"/>
        <w:ind w:firstLine="720"/>
      </w:pPr>
      <w:r>
        <w:t xml:space="preserve">For the second model the counterfactual is temporal. The elasticity answers: within the corpus, how does the log of citations-plus-one differ between a record one log-unit older and one younger? It is a description of the age-attention gradient across the retained records, not a claim about how any individual record’s citations will grow over calendar time, which would require a panel the design does not have. Confusing the cross-sectional age gradient with a longitudinal growth path is the single most common error in reading a learning-curve estimate on cross-sectional data, and the design guards against it by stating the counterfactual explicitly and by flagging the citation-age confound as a first-order threat in Chapter 7</w:t>
      </w:r>
      <w:r>
        <w:t xml:space="preserve"> </w:t>
      </w:r>
      <w:hyperlink w:anchor="ref-12">
        <w:r>
          <w:rPr>
            <w:rStyle w:val="Hyperlink"/>
          </w:rPr>
          <w:t xml:space="preserve">[12]</w:t>
        </w:r>
      </w:hyperlink>
      <w:r>
        <w:t xml:space="preserve">.</w:t>
      </w:r>
    </w:p>
    <w:bookmarkEnd w:id="100"/>
    <w:bookmarkStart w:id="101" w:name="X80c4b33ac60b6dc50ef809ffc2be8a62d3fa066"/>
    <w:p>
      <w:pPr>
        <w:pStyle w:val="Heading2"/>
        <w:spacing w:line="480" w:lineRule="auto"/>
      </w:pPr>
      <w:r>
        <w:t xml:space="preserve">What would have falsified each hypothesis</w:t>
      </w:r>
    </w:p>
    <w:p>
      <w:pPr>
        <w:pStyle w:val="FirstParagraph"/>
        <w:spacing w:line="480" w:lineRule="auto"/>
      </w:pPr>
      <w:r>
        <w:t xml:space="preserve">A test is only as good as its capacity to fail, so it is worth stating in advance what result would have rejected each alternative in favor of the null. For the first paper, an F-test failing to reach significance, together with three individually insignificant coefficients, would have said the corpus carries no joint cross-sectional structure, which would falsify the necessary condition and weaken the reputational precondition. For the second paper, an age elasticity indistinguishable from zero would have said citation attention bears no measurable relationship to article age, which would say the field shows no temporal organization of the kind a live mechanism should produce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These failure conditions were specified before the results were read, and the design was genuinely capable of producing them. A corpus assembled around a theme does not guarantee joint significance; three noisy metadata regressors on thirty rows can easily fail an F-test, and a young literature’s citation counts can easily show no clean age gradient once the log transformation and the plus-one adjustment are applied. That the tests could have failed is what makes their outcome, reported in Chapter 6, evidence rather than confirmation. The methodology chapter closes on that point because it is the point on which the whole design’s credibility rests: two screening estimators, robustly estimated, each capable of falsifying its hypothesis, each interpreted strictly within the within-corpus counterfactual it implies.</w:t>
      </w:r>
    </w:p>
    <w:bookmarkEnd w:id="101"/>
    <w:bookmarkStart w:id="102" w:name="X7e09541ee1791a65947032f39cb4096c1b7ed1b"/>
    <w:p>
      <w:pPr>
        <w:pStyle w:val="Heading2"/>
        <w:spacing w:line="480" w:lineRule="auto"/>
      </w:pPr>
      <w:r>
        <w:t xml:space="preserve">The functional-form decision and its consequences</w:t>
      </w:r>
    </w:p>
    <w:p>
      <w:pPr>
        <w:pStyle w:val="FirstParagraph"/>
        <w:spacing w:line="480" w:lineRule="auto"/>
      </w:pPr>
      <w:r>
        <w:t xml:space="preserve">The choice between a linear model for the first paper and a log-log model for the second is not arbitrary, and it is worth defending because functional form silently encodes a theory. The linear specification for signal score says that the marginal effect of one more citation, or one more step of recency, is constant across the range of the regressor. On a bounded composite index running from one to six this is a reasonable local approximation, and it keeps the coefficients readable as plain marginal effects. A nonlinear specification would buy flexibility the thirty-observation sample cannot reliably estimate and would cost the transparency a screening design values above flexibility</w:t>
      </w:r>
      <w:r>
        <w:t xml:space="preserve"> </w:t>
      </w:r>
      <w:hyperlink w:anchor="ref-5">
        <w:r>
          <w:rPr>
            <w:rStyle w:val="Hyperlink"/>
          </w:rPr>
          <w:t xml:space="preserve">[5]</w:t>
        </w:r>
      </w:hyperlink>
      <w:r>
        <w:t xml:space="preserve">.</w:t>
      </w:r>
    </w:p>
    <w:p>
      <w:pPr>
        <w:pStyle w:val="BodyText"/>
        <w:spacing w:line="480" w:lineRule="auto"/>
        <w:ind w:firstLine="720"/>
      </w:pPr>
      <w:r>
        <w:t xml:space="preserve">The log-log specification for the second paper encodes a different and more specific theory: that citation accumulation scales proportionally with age rather than additively. This is the correct form when the process is multiplicative, when each proportional increase in age is associated with a proportional change in attention, which is the standard structure of accumulation and learning processes. Choosing it commits the analysis to reading the slope as an elasticity, and it is what makes the progress-ratio translation available. The cost is that the log transformation compresses the influence of the largest citation counts and, combined with the plus-one adjustment for uncited records, shapes the fit in ways the analyst must keep in view. The plus-one is not innocent: it sets the floor of the dependent variable and thereby anchors where the curve begins, which is why the significant constant of the second model is interpreted with reference to that floor rather than as a free parameter</w:t>
      </w:r>
      <w:r>
        <w:t xml:space="preserve"> </w:t>
      </w:r>
      <w:hyperlink w:anchor="ref-2">
        <w:r>
          <w:rPr>
            <w:rStyle w:val="Hyperlink"/>
          </w:rPr>
          <w:t xml:space="preserve">[2]</w:t>
        </w:r>
      </w:hyperlink>
      <w:r>
        <w:t xml:space="preserve">.</w:t>
      </w:r>
    </w:p>
    <w:bookmarkEnd w:id="102"/>
    <w:bookmarkStart w:id="103" w:name="X3884dbb715fb8e38b25af2b23220f76f6e54e1b"/>
    <w:p>
      <w:pPr>
        <w:pStyle w:val="Heading2"/>
        <w:spacing w:line="480" w:lineRule="auto"/>
      </w:pPr>
      <w:r>
        <w:t xml:space="preserve">Degrees of freedom, power, and honest expectations</w:t>
      </w:r>
    </w:p>
    <w:p>
      <w:pPr>
        <w:pStyle w:val="FirstParagraph"/>
        <w:spacing w:line="480" w:lineRule="auto"/>
      </w:pPr>
      <w:r>
        <w:t xml:space="preserve">An identification chapter should state its power honestly before the results arrive, so that neither a significant nor an insignificant coefficient is over-read. The first model spends four parameters, a constant and three slopes, leaving twenty-six residual degrees of freedom on thirty observations. The second spends two, leaving twenty-eight. These are adequate for estimating the coefficients and their robust standard errors, and they are thin for detecting small effects or for separating regressors that move together. Recency, citation attention, and venue are correlated in any maturing literature, and on thirty rows they compete for overlapping explained variance, which mechanically inflates the standard errors on the individual terms even when the joint fit is significant</w:t>
      </w:r>
      <w:r>
        <w:t xml:space="preserve"> </w:t>
      </w:r>
      <w:hyperlink w:anchor="ref-4">
        <w:r>
          <w:rPr>
            <w:rStyle w:val="Hyperlink"/>
          </w:rPr>
          <w:t xml:space="preserve">[4]</w:t>
        </w:r>
      </w:hyperlink>
      <w:r>
        <w:t xml:space="preserve">.</w:t>
      </w:r>
    </w:p>
    <w:p>
      <w:pPr>
        <w:pStyle w:val="BodyText"/>
        <w:spacing w:line="480" w:lineRule="auto"/>
        <w:ind w:firstLine="720"/>
      </w:pPr>
      <w:r>
        <w:t xml:space="preserve">This power profile generates a specific and honest expectation: the design is more likely to detect gross joint structure than to cleanly attribute that structure to any single channel. A jointly significant F-test with one or two sharp individual coefficients and one or two imprecise ones is exactly the pattern an underpowered but real signal produces, and it is the pattern Chapter 6 in fact reports. Naming this expectation in advance is what prevents the imprecise coefficients from being read as evidence of no effect and the sharp ones from being read as clean causal attributions</w:t>
      </w:r>
      <w:r>
        <w:t xml:space="preserve"> </w:t>
      </w:r>
      <w:hyperlink w:anchor="ref-6">
        <w:r>
          <w:rPr>
            <w:rStyle w:val="Hyperlink"/>
          </w:rPr>
          <w:t xml:space="preserve">[6]</w:t>
        </w:r>
      </w:hyperlink>
      <w:r>
        <w:t xml:space="preserve">. The identification argument thus ends where honest power analysis must: with a clear statement that the design can see structure but cannot finely decompose it, that its nulls are ambiguous rather than negative, and that both facts are built into how the results chapter reads every coefficient. Chapter 5 now describes the thirty rows on which this whole apparatus runs.</w:t>
      </w:r>
    </w:p>
    <w:bookmarkEnd w:id="103"/>
    <w:bookmarkStart w:id="104" w:name="X614ec5bb9dc5d99be5ffd96fd3d7e83ff92dddb"/>
    <w:p>
      <w:pPr>
        <w:pStyle w:val="Heading2"/>
        <w:spacing w:line="480" w:lineRule="auto"/>
      </w:pPr>
      <w:r>
        <w:t xml:space="preserve">Why two papers rather than one combined model</w:t>
      </w:r>
    </w:p>
    <w:p>
      <w:pPr>
        <w:pStyle w:val="FirstParagraph"/>
        <w:spacing w:line="480" w:lineRule="auto"/>
      </w:pPr>
      <w:r>
        <w:t xml:space="preserve">A reader might ask why the design runs two separate estimators rather than folding age into the first model as a fourth regressor. The short answer is separation of questions.</w:t>
      </w:r>
    </w:p>
    <w:p>
      <w:pPr>
        <w:pStyle w:val="BodyText"/>
        <w:spacing w:line="480" w:lineRule="auto"/>
        <w:ind w:firstLine="720"/>
      </w:pPr>
      <w:r>
        <w:t xml:space="preserve">The longer answer follows. The two questions are structurally different, and combining them would obscure both. The first model asks how signal score, a substantive engagement measure, varies across the observable features of a record, and it treats citation count as a regressor. The second model asks how citation attention itself accumulates against age, and it treats citation count, transformed, as the outcome. A variable cannot be a clean regressor in one relationship and the outcome in another within a single specification without inviting the confusion the design exists to avoid</w:t>
      </w:r>
      <w:r>
        <w:t xml:space="preserve"> </w:t>
      </w:r>
      <w:hyperlink w:anchor="ref-2">
        <w:r>
          <w:rPr>
            <w:rStyle w:val="Hyperlink"/>
          </w:rPr>
          <w:t xml:space="preserve">[2]</w:t>
        </w:r>
      </w:hyperlink>
      <w:r>
        <w:t xml:space="preserve">. Separating the two keeps each estimator’s counterfactual clean: the first holds citation attention fixed and varies the record’s other features; the second makes citation attention the thing to be explained. Running them apart and reading them together, as Chapter 6 does, yields a two-dimensional picture that a single combined model would have blurred into an uninterpretable middle</w:t>
      </w:r>
      <w:r>
        <w:t xml:space="preserve"> </w:t>
      </w:r>
      <w:hyperlink w:anchor="ref-5">
        <w:r>
          <w:rPr>
            <w:rStyle w:val="Hyperlink"/>
          </w:rPr>
          <w:t xml:space="preserve">[5]</w:t>
        </w:r>
      </w:hyperlink>
      <w:r>
        <w:t xml:space="preserve">. The separation is a design choice in service of interpretability, and it is the last piece of the identification argument before the data itself.</w:t>
      </w:r>
    </w:p>
    <w:bookmarkEnd w:id="104"/>
    <w:bookmarkEnd w:id="105"/>
    <w:bookmarkStart w:id="116" w:name="chapter-5.-data-and-measurement"/>
    <w:p>
      <w:pPr>
        <w:pStyle w:val="Heading1"/>
        <w:spacing w:line="480" w:lineRule="auto"/>
      </w:pPr>
      <w:r>
        <w:t xml:space="preserve">Chapter 5. Data and Measurement</w:t>
      </w:r>
    </w:p>
    <w:p>
      <w:pPr>
        <w:pStyle w:val="FirstParagraph"/>
        <w:spacing w:line="480" w:lineRule="auto"/>
      </w:pPr>
      <w:r>
        <w:t xml:space="preserve">The empirical claims of this dissertation rest on thirty rows. Each row is a retrieved source record, each carries a source identifier that ties it back to a specific document, and each supplies the constructed variables that the two estimators consume. This chapter describes where the thirty records came from, how every variable was built, what the resulting distribution looks like, and where the measurement decisions inject risk that later chapters must carry. The commitment throughout is auditability. A second analyst holding the same files should be able to regenerate every number without a private judgment call.</w:t>
      </w:r>
    </w:p>
    <w:bookmarkStart w:id="106" w:name="the-universe-and-the-sample"/>
    <w:p>
      <w:pPr>
        <w:pStyle w:val="Heading2"/>
        <w:spacing w:line="480" w:lineRule="auto"/>
      </w:pPr>
      <w:r>
        <w:t xml:space="preserve">The universe and the sample</w:t>
      </w:r>
    </w:p>
    <w:p>
      <w:pPr>
        <w:pStyle w:val="FirstParagraph"/>
        <w:spacing w:line="480" w:lineRule="auto"/>
      </w:pPr>
      <w:r>
        <w:t xml:space="preserve">The universe is the scholarly and institutional literature on cislunar and orbital traffic management, governance, and situational awareness. The sample is a purposive retrieval of thirty records drawn from that universe across three venue families. The first family is the situational-awareness and technical-conference literature, indexed here through records carrying conference identifiers and dated between 2018 and 2024</w:t>
      </w:r>
      <w:r>
        <w:t xml:space="preserve"> </w:t>
      </w:r>
      <w:hyperlink w:anchor="ref-3">
        <w:r>
          <w:rPr>
            <w:rStyle w:val="Hyperlink"/>
          </w:rPr>
          <w:t xml:space="preserve">[3]</w:t>
        </w:r>
      </w:hyperlink>
      <w:r>
        <w:t xml:space="preserve"> </w:t>
      </w:r>
      <w:hyperlink w:anchor="ref-8">
        <w:r>
          <w:rPr>
            <w:rStyle w:val="Hyperlink"/>
          </w:rPr>
          <w:t xml:space="preserve">[8]</w:t>
        </w:r>
      </w:hyperlink>
      <w:r>
        <w:t xml:space="preserve">. The second family is the peer-reviewed journal literature, represented by records carrying digital object identifiers in the Acta Astronautica series and spanning 2021 through 2025</w:t>
      </w:r>
      <w:r>
        <w:t xml:space="preserve"> </w:t>
      </w:r>
      <w:hyperlink w:anchor="ref-7">
        <w:r>
          <w:rPr>
            <w:rStyle w:val="Hyperlink"/>
          </w:rPr>
          <w:t xml:space="preserve">[7]</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third family is the governance and space-economy literature, including policy-institute reports and governance-journal articles</w:t>
      </w:r>
      <w:r>
        <w:t xml:space="preserve"> </w:t>
      </w:r>
      <w:hyperlink w:anchor="ref-1">
        <w:r>
          <w:rPr>
            <w:rStyle w:val="Hyperlink"/>
          </w:rPr>
          <w:t xml:space="preserve">[1]</w:t>
        </w:r>
      </w:hyperlink>
      <w:r>
        <w:t xml:space="preserve"> </w:t>
      </w:r>
      <w:hyperlink w:anchor="ref-12">
        <w:r>
          <w:rPr>
            <w:rStyle w:val="Hyperlink"/>
          </w:rPr>
          <w:t xml:space="preserve">[12]</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sample is not a random draw and the design never treats it as one. It is the candidate’s retrieval, assembled to bring the reputational-enforcement question into empirical view, and its structure reflects both the field and the retrieval. That dual origin is the first and most important measurement caveat, and it conditions every inference in Chapter 6. What the sample offers in exchange for its non-randomness is provenance: every one of the thirty rows names its source, so the corpus is inspectable end to end rather than being an anonymous aggregate.</w:t>
      </w:r>
    </w:p>
    <w:bookmarkEnd w:id="106"/>
    <w:bookmarkStart w:id="107" w:name="constructing-the-first-papers-variables"/>
    <w:p>
      <w:pPr>
        <w:pStyle w:val="Heading2"/>
        <w:spacing w:line="480" w:lineRule="auto"/>
      </w:pPr>
      <w:r>
        <w:t xml:space="preserve">Constructing the first paper’s variables</w:t>
      </w:r>
    </w:p>
    <w:p>
      <w:pPr>
        <w:pStyle w:val="FirstParagraph"/>
        <w:spacing w:line="480" w:lineRule="auto"/>
      </w:pPr>
      <w:r>
        <w:t xml:space="preserve">The first paper’s dependent variable is the composite topic-signal score. It is built deterministically. For each record, the construction counts candidate-theme term hits across four metadata fields, the source title, the retrieved snippet, the keyword field, and the author metadata, and combines those counts into a single composite. Because the rule is fixed and applied identically to every record, two analysts running it on the same metadata will produce identical scores, which is the property that makes the outcome reproducible. Across the thirty records the signal score ranges from one to six, with most records clustered at the low end and a handful of records, those that engage the candidate theme most directly, reaching the higher values.</w:t>
      </w:r>
    </w:p>
    <w:p>
      <w:pPr>
        <w:pStyle w:val="BodyText"/>
        <w:spacing w:line="480" w:lineRule="auto"/>
        <w:ind w:firstLine="720"/>
      </w:pPr>
      <w:r>
        <w:t xml:space="preserve">All three regressors are constructed with the same fixed rules. The recency index is publication year minus the minimum publication year in the sample plus one, so the oldest record, dated 2018, takes the value one, and the newest records, dated 2025, take the value eight. This transformation keeps the regressor positive and interpretable as years since the field’s retrieved beginning. The citation count is parsed directly from the local index field, and it takes the value zero wherever the index reported no count. Most of the thirty records are uncited in the local index; the citation mass concentrates in a small number of journal records, with the two most-cited works carrying seventeen and twenty-five citations respectively, a concentration that Chapter 6 shows to be consequential. The venue score is an ordinal code: situational-awareness conference records take one, Acta Astronautica journal records take two, and space-economy and governance records take three.</w:t>
      </w:r>
    </w:p>
    <w:p>
      <w:pPr>
        <w:pStyle w:val="BodyText"/>
        <w:spacing w:line="480" w:lineRule="auto"/>
        <w:ind w:firstLine="720"/>
      </w:pPr>
      <w:r>
        <w:t xml:space="preserve">The venue coding deserves a candid note. An ordinal score treats the three families as ordered, but the ordering encodes venue type rather than any claim about quality or importance, and the gaps between the three levels are not assumed equal. This is a real limitation of the measure, and it is why the venue coefficient is read in Chapter 6 as a structural control rather than a substantive finding</w:t>
      </w:r>
      <w:r>
        <w:t xml:space="preserve"> </w:t>
      </w:r>
      <w:hyperlink w:anchor="ref-5">
        <w:r>
          <w:rPr>
            <w:rStyle w:val="Hyperlink"/>
          </w:rPr>
          <w:t xml:space="preserve">[5]</w:t>
        </w:r>
      </w:hyperlink>
      <w:r>
        <w:t xml:space="preserve">.</w:t>
      </w:r>
    </w:p>
    <w:bookmarkEnd w:id="107"/>
    <w:bookmarkStart w:id="108" w:name="constructing-the-second-papers-variables"/>
    <w:p>
      <w:pPr>
        <w:pStyle w:val="Heading2"/>
        <w:spacing w:line="480" w:lineRule="auto"/>
      </w:pPr>
      <w:r>
        <w:t xml:space="preserve">Constructing the second paper’s variables</w:t>
      </w:r>
    </w:p>
    <w:p>
      <w:pPr>
        <w:pStyle w:val="FirstParagraph"/>
        <w:spacing w:line="480" w:lineRule="auto"/>
      </w:pPr>
      <w:r>
        <w:t xml:space="preserve">The second paper reuses the same thirty records but reshapes them for the accumulation question. Its dependent variable is citation count plus one. The plus-one is not cosmetic. Because most records are uncited and carry a raw count of zero, and because the log of zero is undefined, adding one keeps every record in the sample and lets the log transformation proceed. The alternative, dropping the uncited records, would discard the majority of the corpus and bias the sample toward the few heavily cited works, which would defeat the purpose of screening the whole field.</w:t>
      </w:r>
    </w:p>
    <w:p>
      <w:pPr>
        <w:pStyle w:val="BodyText"/>
        <w:spacing w:line="480" w:lineRule="auto"/>
        <w:ind w:firstLine="720"/>
      </w:pPr>
      <w:r>
        <w:t xml:space="preserve">The single regressor is the age index, computed as 2026 minus publication year plus one, so a 2025 record takes the value two and a 2018 record takes the value nine. This is a monotone transformation of the recency index used in the first paper, running in the opposite direction, and the two papers thus view the same temporal spread from complementary ends. The learning-curve model then works in logs of both variables, so the estimated slope is the elasticity of citations-plus-one with respect to age. The distribution of the age index is right-skewed toward the young: the corpus is dominated by records from 2024 and 2025, reflecting a field whose retrieved literature is recent, which is itself a substantive fact about how new the cislunar governance conversation is</w:t>
      </w:r>
      <w:r>
        <w:t xml:space="preserve"> </w:t>
      </w:r>
      <w:hyperlink w:anchor="ref-12">
        <w:r>
          <w:rPr>
            <w:rStyle w:val="Hyperlink"/>
          </w:rPr>
          <w:t xml:space="preserve">[12]</w:t>
        </w:r>
      </w:hyperlink>
      <w:r>
        <w:t xml:space="preserve">.</w:t>
      </w:r>
    </w:p>
    <w:bookmarkEnd w:id="108"/>
    <w:bookmarkStart w:id="109" w:name="X328df8030f768c3c87567dd85f561dea9d013ff"/>
    <w:p>
      <w:pPr>
        <w:pStyle w:val="Heading2"/>
        <w:spacing w:line="480" w:lineRule="auto"/>
      </w:pPr>
      <w:r>
        <w:t xml:space="preserve">Sample size, power, and what the data cannot show</w:t>
      </w:r>
    </w:p>
    <w:p>
      <w:pPr>
        <w:pStyle w:val="FirstParagraph"/>
        <w:spacing w:line="480" w:lineRule="auto"/>
      </w:pPr>
      <w:r>
        <w:t xml:space="preserve">Thirty observations is a small sample, and the design does not hide behind it. With thirty rows and three regressors the first model has twenty-six residual degrees of freedom, enough to estimate the coefficients and their robust standard errors but not enough to detect small effects with confidence. The second model, with one regressor, has twenty-eight residual degrees of freedom. Both are adequate for a screening exercise whose purpose is to detect gross structure, and both are underpowered for fine discrimination among competing small effects. Reporting the coefficients that fail to reach significance alongside those that succeed is not a weakness of the write-up. It is the correct treatment of a small sample, because a null result on thirty observations is genuinely ambiguous between a true zero and an effect the sample was too small to see</w:t>
      </w:r>
      <w:r>
        <w:t xml:space="preserve"> </w:t>
      </w:r>
      <w:hyperlink w:anchor="ref-2">
        <w:r>
          <w:rPr>
            <w:rStyle w:val="Hyperlink"/>
          </w:rPr>
          <w:t xml:space="preserve">[2]</w:t>
        </w:r>
      </w:hyperlink>
      <w:r>
        <w:t xml:space="preserve">.</w:t>
      </w:r>
    </w:p>
    <w:p>
      <w:pPr>
        <w:pStyle w:val="BodyText"/>
        <w:spacing w:line="480" w:lineRule="auto"/>
        <w:ind w:firstLine="720"/>
      </w:pPr>
      <w:r>
        <w:t xml:space="preserve">Three things the data structurally cannot show follow directly from its construction. It cannot show operator behavior, because no row contains a maneuver, a compliance decision, or an operational outcome; the corpus is about the literature, not the orbit. It cannot show population-level distributions, because the sample is purposive rather than random. And it cannot show causation in any direction, because the design is a cross-sectional and age-structured screen with no exogenous variation to exploit</w:t>
      </w:r>
      <w:r>
        <w:t xml:space="preserve"> </w:t>
      </w:r>
      <w:hyperlink w:anchor="ref-4">
        <w:r>
          <w:rPr>
            <w:rStyle w:val="Hyperlink"/>
          </w:rPr>
          <w:t xml:space="preserve">[4]</w:t>
        </w:r>
      </w:hyperlink>
      <w:r>
        <w:t xml:space="preserve"> </w:t>
      </w:r>
      <w:hyperlink w:anchor="ref-6">
        <w:r>
          <w:rPr>
            <w:rStyle w:val="Hyperlink"/>
          </w:rPr>
          <w:t xml:space="preserve">[6]</w:t>
        </w:r>
      </w:hyperlink>
      <w:r>
        <w:t xml:space="preserve">. What it can show is whether the retained corpus carries the structural fingerprint the theory predicts, reported exactly and interpreted narrowly. The measurement chapter thus closes where the results chapter opens: with thirty auditable rows, four deterministic constructions, and a clear statement of the inferential ceiling that the estimator output in Chapter 6 must never exceed.</w:t>
      </w:r>
    </w:p>
    <w:bookmarkEnd w:id="109"/>
    <w:bookmarkStart w:id="110" w:name="the-venue-distribution-in-detail"/>
    <w:p>
      <w:pPr>
        <w:pStyle w:val="Heading2"/>
        <w:spacing w:line="480" w:lineRule="auto"/>
      </w:pPr>
      <w:r>
        <w:t xml:space="preserve">The venue distribution in detail</w:t>
      </w:r>
    </w:p>
    <w:p>
      <w:pPr>
        <w:pStyle w:val="FirstParagraph"/>
        <w:spacing w:line="480" w:lineRule="auto"/>
      </w:pPr>
      <w:r>
        <w:t xml:space="preserve">Because venue family is one of three regressors in the first model, its distribution across the thirty records deserves a closer look. The corpus divides unevenly among the three families. The situational-awareness and conference records, coded one, and the space-economy and governance records, coded three, bracket a large middle block of Acta Astronautica journal records coded two. That middle block carries most of the citation mass, because journal records in an indexed series accumulate formal citations that conference proceedings and policy-institute reports often do not</w:t>
      </w:r>
      <w:r>
        <w:t xml:space="preserve"> </w:t>
      </w:r>
      <w:hyperlink w:anchor="ref-7">
        <w:r>
          <w:rPr>
            <w:rStyle w:val="Hyperlink"/>
          </w:rPr>
          <w:t xml:space="preserve">[7]</w:t>
        </w:r>
      </w:hyperlink>
      <w:r>
        <w:t xml:space="preserve"> </w:t>
      </w:r>
      <w:hyperlink w:anchor="ref-9">
        <w:r>
          <w:rPr>
            <w:rStyle w:val="Hyperlink"/>
          </w:rPr>
          <w:t xml:space="preserve">[9]</w:t>
        </w:r>
      </w:hyperlink>
      <w:r>
        <w:t xml:space="preserve">. The consequence is a structural correlation between venue and citation count that the reader must hold in mind when interpreting Chapter 6: the venue variable and the citation variable are not independent in this corpus, and part of what the citation coefficient captures is inevitably entangled with venue type.</w:t>
      </w:r>
    </w:p>
    <w:p>
      <w:pPr>
        <w:pStyle w:val="BodyText"/>
        <w:spacing w:line="480" w:lineRule="auto"/>
        <w:ind w:firstLine="720"/>
      </w:pPr>
      <w:r>
        <w:t xml:space="preserve">This entanglement is not a defect to be hidden but a feature to be reported, and it is a further reason the venue coefficient is read as a control rather than a finding. By including venue in the model, the design partials out the gross venue-type differences in citation behavior, so that the citation coefficient is estimated within venue families rather than across them. Whether that partialling fully succeeds on thirty records is doubtful, and Chapter 7 treats the residual entanglement as a live threat. Naming it here, at the point of measurement, is what lets the later interpretation stay honest</w:t>
      </w:r>
      <w:r>
        <w:t xml:space="preserve"> </w:t>
      </w:r>
      <w:hyperlink w:anchor="ref-5">
        <w:r>
          <w:rPr>
            <w:rStyle w:val="Hyperlink"/>
          </w:rPr>
          <w:t xml:space="preserve">[5]</w:t>
        </w:r>
      </w:hyperlink>
      <w:r>
        <w:t xml:space="preserve">.</w:t>
      </w:r>
    </w:p>
    <w:bookmarkEnd w:id="110"/>
    <w:bookmarkStart w:id="111" w:name="Xd84d4a639d8d30c54e0cbca4cba1fd3d784ecc5"/>
    <w:p>
      <w:pPr>
        <w:pStyle w:val="Heading2"/>
        <w:spacing w:line="480" w:lineRule="auto"/>
      </w:pPr>
      <w:r>
        <w:t xml:space="preserve">The temporal distribution and the field’s youth</w:t>
      </w:r>
    </w:p>
    <w:p>
      <w:pPr>
        <w:pStyle w:val="FirstParagraph"/>
        <w:spacing w:line="480" w:lineRule="auto"/>
      </w:pPr>
      <w:r>
        <w:t xml:space="preserve">The single most consequential fact about the corpus is its youth, and the age index makes it quantitative. The distribution is heavily weighted toward recent years: a large share of the thirty records date from 2024 and 2025, a smaller cluster from 2021 through 2023, and a thin tail reaching back to 2018</w:t>
      </w:r>
      <w:r>
        <w:t xml:space="preserve"> </w:t>
      </w:r>
      <w:hyperlink w:anchor="ref-3">
        <w:r>
          <w:rPr>
            <w:rStyle w:val="Hyperlink"/>
          </w:rPr>
          <w:t xml:space="preserve">[3]</w:t>
        </w:r>
      </w:hyperlink>
      <w:r>
        <w:t xml:space="preserve">. This is not an artifact of the retrieval so much as a fact about the field. The cislunar traffic-management governance conversation is recent, and a corpus that samples it honestly will be young. The right-skew toward the present is therefore substantive evidence in its own right, before any regression is run: a field this young has not had calendar time to accumulate citations on its newest and most on-theme works, which is the structural fact that shapes both papers’ results</w:t>
      </w:r>
      <w:r>
        <w:t xml:space="preserve"> </w:t>
      </w:r>
      <w:hyperlink w:anchor="ref-12">
        <w:r>
          <w:rPr>
            <w:rStyle w:val="Hyperlink"/>
          </w:rPr>
          <w:t xml:space="preserve">[12]</w:t>
        </w:r>
      </w:hyperlink>
      <w:r>
        <w:t xml:space="preserve">.</w:t>
      </w:r>
    </w:p>
    <w:p>
      <w:pPr>
        <w:pStyle w:val="BodyText"/>
        <w:spacing w:line="480" w:lineRule="auto"/>
        <w:ind w:firstLine="720"/>
      </w:pPr>
      <w:r>
        <w:t xml:space="preserve">The youth also bounds what the citation counts can mean. Most records carry a raw count of zero, and the nonzero counts concentrate in a handful of older journal records. Citation counts on a two-year-old article and a nine-year-old article are not comparable measures of substantive importance, because the older article has had years longer to be cited. The second paper’s entire design is built around this incomparability, treating age as the explanatory variable precisely because age drives raw citation counts mechanically in a young corpus. The first paper cannot fully escape the same problem, and the measurement chapter flags it here so that the significant negative citation coefficient of Chapter 6 is read with appropriate caution about how much of it is age wearing a citation label</w:t>
      </w:r>
      <w:r>
        <w:t xml:space="preserve"> </w:t>
      </w:r>
      <w:hyperlink w:anchor="ref-2">
        <w:r>
          <w:rPr>
            <w:rStyle w:val="Hyperlink"/>
          </w:rPr>
          <w:t xml:space="preserve">[2]</w:t>
        </w:r>
      </w:hyperlink>
      <w:r>
        <w:t xml:space="preserve">.</w:t>
      </w:r>
    </w:p>
    <w:bookmarkEnd w:id="111"/>
    <w:bookmarkStart w:id="112" w:name="reproducibility-and-the-audit-trail"/>
    <w:p>
      <w:pPr>
        <w:pStyle w:val="Heading2"/>
        <w:spacing w:line="480" w:lineRule="auto"/>
      </w:pPr>
      <w:r>
        <w:t xml:space="preserve">Reproducibility and the audit trail</w:t>
      </w:r>
    </w:p>
    <w:p>
      <w:pPr>
        <w:pStyle w:val="FirstParagraph"/>
        <w:spacing w:line="480" w:lineRule="auto"/>
      </w:pPr>
      <w:r>
        <w:t xml:space="preserve">The design’s central methodological promise is that a second analyst can regenerate every number, and the data construction is where that promise is kept or broken. Four properties secure it. First, every one of the thirty rows carries a source identifier, a title, a conference locator, or a digital object identifier, so each observation is traceable to a specific document. Second, every variable is built by a fixed deterministic rule stated in the paper configuration, with no discretionary coding, so two analysts applying the rule to the same metadata produce identical values. Third, the transformations, the recency baseline, the plus-one citation adjustment, the age computation from a fixed 2026 reference year, are simple arithmetic on recorded fields rather than model-dependent constructions. Fourth, the two paper datasets are separate files, so the cross-sectional and temporal analyses can be reproduced independently</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cost of this reproducibility is expressive power. Deterministic term-hit scoring cannot capture the substantive depth of a record’s engagement with the reputational theme the way a careful human coding could, and the ordinal venue score compresses a rich publication landscape into three levels. The design accepts that cost knowingly, because a screening study’s first obligation is to be checkable and its second is to be rich, in that order. A richer human-coded outcome is named in Chapter 8 as the natural next improvement. The present dataset is built to be audited, and that is the property on which every claim in Chapter 6 depends</w:t>
      </w:r>
      <w:r>
        <w:t xml:space="preserve"> </w:t>
      </w:r>
      <w:hyperlink w:anchor="ref-5">
        <w:r>
          <w:rPr>
            <w:rStyle w:val="Hyperlink"/>
          </w:rPr>
          <w:t xml:space="preserve">[5]</w:t>
        </w:r>
      </w:hyperlink>
      <w:r>
        <w:t xml:space="preserve">.</w:t>
      </w:r>
    </w:p>
    <w:bookmarkEnd w:id="112"/>
    <w:bookmarkStart w:id="113" w:name="the-signal-score-construction-examined"/>
    <w:p>
      <w:pPr>
        <w:pStyle w:val="Heading2"/>
        <w:spacing w:line="480" w:lineRule="auto"/>
      </w:pPr>
      <w:r>
        <w:t xml:space="preserve">The signal-score construction examined</w:t>
      </w:r>
    </w:p>
    <w:p>
      <w:pPr>
        <w:pStyle w:val="FirstParagraph"/>
        <w:spacing w:line="480" w:lineRule="auto"/>
      </w:pPr>
      <w:r>
        <w:t xml:space="preserve">Because the signal score is the first paper’s entire dependent variable, its construction deserves scrutiny rather than a one-line definition. The score counts candidate-theme term hits across four metadata fields and combines them into a composite. Two properties of this construction shape everything downstream. First, the score is bounded below by zero and, in practice, ranges from one to six across the corpus, which means it behaves more like a bounded ordinal index than an unbounded continuous measure, a fact the linear model treats as a local approximation. Second, the score depends on the richness of the available metadata: a record with a sparse snippet or an empty keyword field has fewer opportunities to register term hits, regardless of how deeply the underlying document engages the theme</w:t>
      </w:r>
      <w:r>
        <w:t xml:space="preserve"> </w:t>
      </w:r>
      <w:hyperlink w:anchor="ref-3">
        <w:r>
          <w:rPr>
            <w:rStyle w:val="Hyperlink"/>
          </w:rPr>
          <w:t xml:space="preserve">[3]</w:t>
        </w:r>
      </w:hyperlink>
      <w:r>
        <w:t xml:space="preserve">.</w:t>
      </w:r>
    </w:p>
    <w:p>
      <w:pPr>
        <w:pStyle w:val="BodyText"/>
        <w:spacing w:line="480" w:lineRule="auto"/>
        <w:ind w:firstLine="720"/>
      </w:pPr>
      <w:r>
        <w:t xml:space="preserve">This second property is the signal score’s most important vulnerability, and the dataset makes it visible. Several records in the corpus carry empty or truncated snippet and keyword fields, which mechanically caps their possible signal score below what a fuller metadata record would allow. The construction therefore partly measures metadata completeness rather than substantive engagement, and any structure the first model finds could reflect that measurement gradient. The design does not correct for this, because a correction would require the human content coding the screening stage deliberately defers, but it flags the gradient here so that the significant coefficients of Chapter 6 are read as relationships among proxies whose completeness varies</w:t>
      </w:r>
      <w:r>
        <w:t xml:space="preserve"> </w:t>
      </w:r>
      <w:hyperlink w:anchor="ref-5">
        <w:r>
          <w:rPr>
            <w:rStyle w:val="Hyperlink"/>
          </w:rPr>
          <w:t xml:space="preserve">[5]</w:t>
        </w:r>
      </w:hyperlink>
      <w:r>
        <w:t xml:space="preserve">. An honest measurement chapter states the proxy’s weakness at its most load-bearing point, which is exactly here.</w:t>
      </w:r>
    </w:p>
    <w:bookmarkEnd w:id="113"/>
    <w:bookmarkStart w:id="114" w:name="cross-checking-the-two-datasets"/>
    <w:p>
      <w:pPr>
        <w:pStyle w:val="Heading2"/>
        <w:spacing w:line="480" w:lineRule="auto"/>
      </w:pPr>
      <w:r>
        <w:t xml:space="preserve">Cross-checking the two datasets</w:t>
      </w:r>
    </w:p>
    <w:p>
      <w:pPr>
        <w:pStyle w:val="FirstParagraph"/>
        <w:spacing w:line="480" w:lineRule="auto"/>
      </w:pPr>
      <w:r>
        <w:t xml:space="preserve">A subtle reproducibility question is whether the two paper datasets, which share the same thirty source records, are mutually consistent. They are constructed to be. Both draw the same publication years, the same citation counts, and the same source identifiers from the same underlying records, and the recency index of the first paper and the age index of the second are exact monotone transformations of the same year field, running in opposite directions. A record dated 2025 carries a recency index of eight in the first dataset and an age index of two in the second, and both derive from the single fact of its publication year and the fixed reference points, the sample minimum year for recency and the year 2026 for age</w:t>
      </w:r>
      <w:r>
        <w:t xml:space="preserve"> </w:t>
      </w:r>
      <w:hyperlink w:anchor="ref-12">
        <w:r>
          <w:rPr>
            <w:rStyle w:val="Hyperlink"/>
          </w:rPr>
          <w:t xml:space="preserve">[12]</w:t>
        </w:r>
      </w:hyperlink>
      <w:r>
        <w:t xml:space="preserve">. The signal score appears in both datasets with identical values, serving as the outcome in the first and as a carried covariate in the second.</w:t>
      </w:r>
    </w:p>
    <w:p>
      <w:pPr>
        <w:pStyle w:val="BodyText"/>
        <w:spacing w:line="480" w:lineRule="auto"/>
        <w:ind w:firstLine="720"/>
      </w:pPr>
      <w:r>
        <w:t xml:space="preserve">This mutual consistency is what licenses reading the two papers together in Chapter 6. Because both analyses rest on the same thirty records with variables derived from the same fields by fixed rules, a substantive fact detected by both, such as the field’s youth, is not an artifact of two incompatible datasets telling different stories. It is one dataset viewed through two estimators. The cross-check matters because the convergent reading in Chapter 6, where the cross-sectional citation reversal and the temporal age elasticity point at the same underlying youth, would be undermined if the two datasets disagreed on the basic facts. They do not, by construction, and the audit trail lets any reader confirm it by tracing a single record through both files</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14"/>
    <w:bookmarkStart w:id="115" w:name="what-a-richer-dataset-would-add"/>
    <w:p>
      <w:pPr>
        <w:pStyle w:val="Heading2"/>
        <w:spacing w:line="480" w:lineRule="auto"/>
      </w:pPr>
      <w:r>
        <w:t xml:space="preserve">What a richer dataset would add</w:t>
      </w:r>
    </w:p>
    <w:p>
      <w:pPr>
        <w:pStyle w:val="FirstParagraph"/>
        <w:spacing w:line="480" w:lineRule="auto"/>
      </w:pPr>
      <w:r>
        <w:t xml:space="preserve">What the dataset lacks defines the next study. Three additions would matter most.</w:t>
      </w:r>
    </w:p>
    <w:p>
      <w:pPr>
        <w:pStyle w:val="BodyText"/>
        <w:spacing w:line="480" w:lineRule="auto"/>
        <w:ind w:firstLine="720"/>
      </w:pPr>
      <w:r>
        <w:t xml:space="preserve">The measurement chapter should close by naming what the present dataset lacks, because the next study’s design begins there. Three additions would most improve the measure. Human content coding of each record’s substantive engagement with the reputational theme would replace the metadata-dependent term-hit proxy with a direct measure, removing the completeness gradient that presently threatens the signal score</w:t>
      </w:r>
      <w:r>
        <w:t xml:space="preserve"> </w:t>
      </w:r>
      <w:hyperlink w:anchor="ref-5">
        <w:r>
          <w:rPr>
            <w:rStyle w:val="Hyperlink"/>
          </w:rPr>
          <w:t xml:space="preserve">[5]</w:t>
        </w:r>
      </w:hyperlink>
      <w:r>
        <w:t xml:space="preserve">. A systematic rather than purposive retrieval, drawing the corpus from a defined search protocol over a named index, would attack the selection threat and expand the sample beyond thirty, raising the power of both estimators. And forward citation windows, tracking how each record’s citations grow over the next several years, would let the second paper distinguish a genuine fast-frontier pattern from a mechanical accumulation lag</w:t>
      </w:r>
      <w:r>
        <w:t xml:space="preserve"> </w:t>
      </w:r>
      <w:hyperlink w:anchor="ref-12">
        <w:r>
          <w:rPr>
            <w:rStyle w:val="Hyperlink"/>
          </w:rPr>
          <w:t xml:space="preserve">[12]</w:t>
        </w:r>
      </w:hyperlink>
      <w:r>
        <w:t xml:space="preserve">. None of these is available in the present design, and the present design does not pretend otherwise. It is a screening dataset, built to be checked and to reveal gross structure, and its limitations are the specification for the study that should follow. Chapter 6 now reports what this dataset, with all its stated bounds, actually shows.</w:t>
      </w:r>
    </w:p>
    <w:bookmarkEnd w:id="115"/>
    <w:bookmarkEnd w:id="116"/>
    <w:bookmarkStart w:id="126" w:name="chapter-6.-results"/>
    <w:p>
      <w:pPr>
        <w:pStyle w:val="Heading1"/>
        <w:spacing w:line="480" w:lineRule="auto"/>
      </w:pPr>
      <w:r>
        <w:t xml:space="preserve">Chapter 6. Results</w:t>
      </w:r>
    </w:p>
    <w:p>
      <w:pPr>
        <w:pStyle w:val="FirstParagraph"/>
        <w:spacing w:line="480" w:lineRule="auto"/>
      </w:pPr>
      <w:r>
        <w:t xml:space="preserve">This chapter reports the estimator output exactly as the two workbooks produced it and interprets the signs, magnitudes, and precision of each coefficient. Nothing here is rounded away, and nothing imprecise is quietly dropped. The results are mixed, and the mix is more informative than a clean confirmation would have been, because it tells the reader precisely which parts of the reputational fingerprint the corpus carries and which parts it cannot.</w:t>
      </w:r>
    </w:p>
    <w:bookmarkStart w:id="117" w:name="paper-1-cross-sectional-structure"/>
    <w:p>
      <w:pPr>
        <w:pStyle w:val="Heading2"/>
        <w:spacing w:line="480" w:lineRule="auto"/>
      </w:pPr>
      <w:r>
        <w:t xml:space="preserve">Paper 1: cross-sectional structure</w:t>
      </w:r>
    </w:p>
    <w:p>
      <w:pPr>
        <w:pStyle w:val="FirstParagraph"/>
        <w:spacing w:line="480" w:lineRule="auto"/>
      </w:pPr>
      <w:r>
        <w:t xml:space="preserve">The ordinary least squares model of topic-signal score on recency, citation count, and venue score was estimated over all thirty records with HC1 robust standard errors. The overall fit is as follows. The sample size is N = 30. The coefficient of determination is R2 = 0.1717, and the adjusted coefficient of determination is R2_adj = 0.0761. The joint F statistic is F = 4.0713 with a p-value of F_p = 0.0170.</w:t>
      </w:r>
    </w:p>
    <w:p>
      <w:pPr>
        <w:pStyle w:val="BodyText"/>
        <w:spacing w:line="480" w:lineRule="auto"/>
        <w:ind w:firstLine="720"/>
      </w:pPr>
      <w:r>
        <w:t xml:space="preserve">The joint verdict comes first because it speaks most directly to the necessary-condition hypothesis. With an F-test p-value of 0.0170, the three regressors together explain significantly more of the signal-score variation than chance at the five percent level. The corpus is not a structureless scatter. The model accounts for roughly seventeen percent of the variation in signal score, which for a three-regressor screen on thirty metadata rows is a real and non-trivial share, even though the adjusted figure of about eight percent makes clear that most of the variation remains unexplained by these three channels. The necessary condition survives its first test: a field organized by a working mechanism should show joint structure, and this one does</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individual terms tell a more nuanced story.</w:t>
      </w:r>
    </w:p>
    <w:p>
      <w:pPr>
        <w:pStyle w:val="BodyText"/>
        <w:spacing w:line="480" w:lineRule="auto"/>
        <w:ind w:firstLine="720"/>
      </w:pPr>
      <w:r>
        <w:t xml:space="preserve">An intercept term anchors the fit. The constant is estimated at const coef = 1.6298, with a standard error of 0.8838 and a p-value of 0.0652. It sits just outside conventional significance and represents the baseline signal score for a hypothetical record at zero on all three regressors, which lies outside the observed range and so carries no substantive reading beyond anchoring the fit.</w:t>
      </w:r>
    </w:p>
    <w:p>
      <w:pPr>
        <w:pStyle w:val="BodyText"/>
        <w:spacing w:line="480" w:lineRule="auto"/>
        <w:ind w:firstLine="720"/>
      </w:pPr>
      <w:r>
        <w:t xml:space="preserve">Recency comes next. The recency term is estimated at recency_index coef = 0.1791, with a standard error of 0.1228 and a p-value of 0.1447. The sign is positive, matching the theory’s prediction that more recent records carry stronger topic signal, but the coefficient is not statistically distinguishable from zero at conventional levels. On thirty observations this is a genuinely ambiguous result. The point estimate leans the way the mechanism predicts, that a one-unit step toward the present adds roughly 0.18 to the signal score, but the imprecision means the corpus cannot separate that lean from noise. The honest reading is that recency is suggestive and unconfirmed</w:t>
      </w:r>
      <w:r>
        <w:t xml:space="preserve"> </w:t>
      </w:r>
      <w:hyperlink w:anchor="ref-12">
        <w:r>
          <w:rPr>
            <w:rStyle w:val="Hyperlink"/>
          </w:rPr>
          <w:t xml:space="preserve">[12]</w:t>
        </w:r>
      </w:hyperlink>
      <w:r>
        <w:t xml:space="preserve">.</w:t>
      </w:r>
    </w:p>
    <w:p>
      <w:pPr>
        <w:pStyle w:val="BodyText"/>
        <w:spacing w:line="480" w:lineRule="auto"/>
        <w:ind w:firstLine="720"/>
      </w:pPr>
      <w:r>
        <w:t xml:space="preserve">The citation term is the sharp result. It is estimated at cites_num coef = -0.0962, with a standard error of 0.0281 and a p-value of 0.000607. This coefficient is precisely estimated and highly significant, and its sign runs opposite to the naive expectation. More citations are associated with a lower topic-signal score, by about 0.10 of a signal point per additional citation, holding recency and venue fixed. A superficial read would have expected the most-cited works to be the most on-theme. The data say the reverse, and the reversal is one of the most interesting facts the analysis produces</w:t>
      </w:r>
      <w:r>
        <w:t xml:space="preserve"> </w:t>
      </w:r>
      <w:hyperlink w:anchor="ref-2">
        <w:r>
          <w:rPr>
            <w:rStyle w:val="Hyperlink"/>
          </w:rPr>
          <w:t xml:space="preserve">[2]</w:t>
        </w:r>
      </w:hyperlink>
      <w:r>
        <w:t xml:space="preserve">.</w:t>
      </w:r>
    </w:p>
    <w:p>
      <w:pPr>
        <w:pStyle w:val="BodyText"/>
        <w:spacing w:line="480" w:lineRule="auto"/>
        <w:ind w:firstLine="720"/>
      </w:pPr>
      <w:r>
        <w:t xml:space="preserve">Venue closes the set. The venue term is estimated at venue_score coef = 0.0253, with a standard error of 0.3241 and a p-value of 0.9377. It is effectively zero and wholly imprecise. Venue family, as coded, carries no independent association with signal score once recency and citation attention are held fixed. This is consistent with treating the venue score as a structural control rather than a substantive channel, exactly as Chapter 5 flagged in advance</w:t>
      </w:r>
      <w:r>
        <w:t xml:space="preserve"> </w:t>
      </w:r>
      <w:hyperlink w:anchor="ref-5">
        <w:r>
          <w:rPr>
            <w:rStyle w:val="Hyperlink"/>
          </w:rPr>
          <w:t xml:space="preserve">[5]</w:t>
        </w:r>
      </w:hyperlink>
      <w:r>
        <w:t xml:space="preserve">.</w:t>
      </w:r>
    </w:p>
    <w:bookmarkEnd w:id="117"/>
    <w:bookmarkStart w:id="118" w:name="interpreting-the-citation-reversal"/>
    <w:p>
      <w:pPr>
        <w:pStyle w:val="Heading2"/>
        <w:spacing w:line="480" w:lineRule="auto"/>
      </w:pPr>
      <w:r>
        <w:t xml:space="preserve">Interpreting the citation reversal</w:t>
      </w:r>
    </w:p>
    <w:p>
      <w:pPr>
        <w:pStyle w:val="FirstParagraph"/>
        <w:spacing w:line="480" w:lineRule="auto"/>
      </w:pPr>
      <w:r>
        <w:t xml:space="preserve">The negative citation coefficient deserves its own reading because it is the paper’s most consequential and least obvious finding. Why would the most-cited records in a governance corpus be the least on-theme?</w:t>
      </w:r>
    </w:p>
    <w:p>
      <w:pPr>
        <w:pStyle w:val="BodyText"/>
        <w:spacing w:line="480" w:lineRule="auto"/>
        <w:ind w:firstLine="720"/>
      </w:pPr>
      <w:r>
        <w:t xml:space="preserve">Corpus structure explains it. The citation mass in the sample is concentrated in a small number of Acta Astronautica journal records, and the two most-cited works, carrying seventeen and twenty-five citations, are technical and legal contributions whose topic-signal scores are low. The records that engage the reputational-enforcement theme most directly, the governance and space-economy pieces and the newest journal articles, tend to be recent and lightly cited precisely because they are recent</w:t>
      </w:r>
      <w:r>
        <w:t xml:space="preserve"> </w:t>
      </w:r>
      <w:hyperlink w:anchor="ref-16">
        <w:r>
          <w:rPr>
            <w:rStyle w:val="Hyperlink"/>
          </w:rPr>
          <w:t xml:space="preserve">[16]</w:t>
        </w:r>
      </w:hyperlink>
      <w:r>
        <w:t xml:space="preserve">. The negative coefficient is thus a temporal artifact wearing a cross-sectional disguise: the heavily cited works are older and technical, the on-theme works are newer and uncited, and with recency only weakly separated on this sample the citation variable partly absorbs the age gradient. This reading matters because it warns against celebrating the significant coefficient as a direct confirmation of the mechanism. It is significant, it is real in the corpus, and its most likely source is the field’s youth rather than any substantive tension between citation and theme. The second paper takes up that youth directly</w:t>
      </w:r>
      <w:r>
        <w:t xml:space="preserve"> </w:t>
      </w:r>
      <w:hyperlink w:anchor="ref-12">
        <w:r>
          <w:rPr>
            <w:rStyle w:val="Hyperlink"/>
          </w:rPr>
          <w:t xml:space="preserve">[12]</w:t>
        </w:r>
      </w:hyperlink>
      <w:r>
        <w:t xml:space="preserve">.</w:t>
      </w:r>
    </w:p>
    <w:bookmarkEnd w:id="118"/>
    <w:bookmarkStart w:id="119" w:name="paper-2-attention-accumulation"/>
    <w:p>
      <w:pPr>
        <w:pStyle w:val="Heading2"/>
        <w:spacing w:line="480" w:lineRule="auto"/>
      </w:pPr>
      <w:r>
        <w:t xml:space="preserve">Paper 2: attention accumulation</w:t>
      </w:r>
    </w:p>
    <w:p>
      <w:pPr>
        <w:pStyle w:val="FirstParagraph"/>
        <w:spacing w:line="480" w:lineRule="auto"/>
      </w:pPr>
      <w:r>
        <w:t xml:space="preserve">The log-log learning-curve model of citations-plus-one on the age index was estimated over the same thirty records with HC1 robust standard errors. The fit is as follows. The sample size is N = 30. The coefficient of determination is R2 = 0.0628. The estimated age elasticity is elasticity_b = -0.4478, which translates into a progress ratio of 2^b = 0.7332.</w:t>
      </w:r>
    </w:p>
    <w:p>
      <w:pPr>
        <w:pStyle w:val="BodyText"/>
        <w:spacing w:line="480" w:lineRule="auto"/>
        <w:ind w:firstLine="720"/>
      </w:pPr>
      <w:r>
        <w:t xml:space="preserve">The term estimates are these. The constant is estimated at const coef = 1.1059, with a standard error of 0.3759 and a p-value of 0.003263, and it is significant at the one percent level. The age slope is estimated at _ln_x coef = -0.4478, with a standard error of 0.2039 and a p-value of 0.028110, significant at the five percent level.</w:t>
      </w:r>
    </w:p>
    <w:p>
      <w:pPr>
        <w:pStyle w:val="BodyText"/>
        <w:spacing w:line="480" w:lineRule="auto"/>
        <w:ind w:firstLine="720"/>
      </w:pPr>
      <w:r>
        <w:t xml:space="preserve">The age elasticity is negative and statistically distinguishable from zero. Read as an elasticity, a one percent increase in article age is associated with roughly a 0.45 percent decrease in citations-plus-one. Read through the progress ratio, when article age doubles, citations-plus-one fall to about 73 percent of their prior level. Both readings say the same thing in different units. In this corpus, older is not more cited. The newest works carry the attention, and citation counts do not compound as records age; they decline against age</w:t>
      </w:r>
      <w:r>
        <w:t xml:space="preserve"> </w:t>
      </w:r>
      <w:hyperlink w:anchor="ref-2">
        <w:r>
          <w:rPr>
            <w:rStyle w:val="Hyperlink"/>
          </w:rPr>
          <w:t xml:space="preserve">[2]</w:t>
        </w:r>
      </w:hyperlink>
      <w:r>
        <w:t xml:space="preserve">.</w:t>
      </w:r>
    </w:p>
    <w:p>
      <w:pPr>
        <w:pStyle w:val="BodyText"/>
        <w:spacing w:line="480" w:lineRule="auto"/>
        <w:ind w:firstLine="720"/>
      </w:pPr>
      <w:r>
        <w:t xml:space="preserve">The coefficient of determination of 0.0628 is low, and it must be reported plainly as a low figure. Article age alone explains only about six percent of the variation in log citations-plus-one, so the age relationship, while significant in sign, is a thin thread rather than a dominant pattern. The significance of the slope establishes that the negative relationship is unlikely to be noise; the low R2 establishes that age is far from the whole story of what drives attention in this literature. Both facts are part of the finding</w:t>
      </w:r>
      <w:r>
        <w:t xml:space="preserve"> </w:t>
      </w:r>
      <w:hyperlink w:anchor="ref-5">
        <w:r>
          <w:rPr>
            <w:rStyle w:val="Hyperlink"/>
          </w:rPr>
          <w:t xml:space="preserve">[5]</w:t>
        </w:r>
      </w:hyperlink>
      <w:r>
        <w:t xml:space="preserve">.</w:t>
      </w:r>
    </w:p>
    <w:bookmarkEnd w:id="119"/>
    <w:bookmarkStart w:id="120" w:name="reading-the-two-papers-together"/>
    <w:p>
      <w:pPr>
        <w:pStyle w:val="Heading2"/>
        <w:spacing w:line="480" w:lineRule="auto"/>
      </w:pPr>
      <w:r>
        <w:t xml:space="preserve">Reading the two papers together</w:t>
      </w:r>
    </w:p>
    <w:p>
      <w:pPr>
        <w:pStyle w:val="FirstParagraph"/>
        <w:spacing w:line="480" w:lineRule="auto"/>
      </w:pPr>
      <w:r>
        <w:t xml:space="preserve">Placed side by side, the two models locate the corpus on both axes of the fingerprint. The first paper finds joint cross-sectional structure that is genuine but modest, driven by a citation coefficient whose most plausible source is the field’s youth. The second paper finds a significant negative age elasticity, which confirms that youth directly: this is a literature whose attention runs to its newest edge and whose older contributions do not accumulate citations the way a mature field’s would. The two results reinforce each other. The cross-sectional citation reversal and the temporal age decline are two views of a single underlying fact, that the cislunar traffic-management governance literature is young, fast-moving, and concentrated at its recent frontier</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What the results do not do is confirm the reputational mechanism at the level of operator behavior. Nothing in either regression observes a maneuver or a compliance decision. The necessary condition, that a field organized by a live mechanism should show documentary structure, is met: the corpus is structured, jointly and temporally, rather than flat. That clears the precondition and licenses the next study; it does not settle the governance question</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20"/>
    <w:bookmarkStart w:id="121" w:name="Xb351dfff101b26895c5eea5009b47c63a033243"/>
    <w:p>
      <w:pPr>
        <w:pStyle w:val="Heading2"/>
        <w:spacing w:line="480" w:lineRule="auto"/>
      </w:pPr>
      <w:r>
        <w:t xml:space="preserve">The magnitude of the citation coefficient in context</w:t>
      </w:r>
    </w:p>
    <w:p>
      <w:pPr>
        <w:pStyle w:val="FirstParagraph"/>
        <w:spacing w:line="480" w:lineRule="auto"/>
      </w:pPr>
      <w:r>
        <w:t xml:space="preserve">Statistical significance and substantive magnitude are different things, and a careful results chapter reports both. The citation coefficient of -0.0962 is highly significant, but how large is it? The signal score ranges from one to six across the corpus, so a coefficient of about -0.10 per citation means that moving from an uncited record to one with ten citations, holding recency and venue fixed, is associated with a drop of roughly one full signal point, a sixth of the observed range. The two most-cited records carry seventeen and twenty-five citations, which on this coefficient implies predicted signal reductions of roughly 1.6 and 2.4 points relative to an otherwise identical uncited record. That is a large within-corpus effect, and it is what makes the reversal substantively as well as statistically notable</w:t>
      </w:r>
      <w:r>
        <w:t xml:space="preserve"> </w:t>
      </w:r>
      <w:hyperlink w:anchor="ref-2">
        <w:r>
          <w:rPr>
            <w:rStyle w:val="Hyperlink"/>
          </w:rPr>
          <w:t xml:space="preserve">[2]</w:t>
        </w:r>
      </w:hyperlink>
      <w:r>
        <w:t xml:space="preserve">.</w:t>
      </w:r>
    </w:p>
    <w:p>
      <w:pPr>
        <w:pStyle w:val="BodyText"/>
        <w:spacing w:line="480" w:lineRule="auto"/>
        <w:ind w:firstLine="720"/>
      </w:pPr>
      <w:r>
        <w:t xml:space="preserve">The recency coefficient of 0.1791, by contrast, is modest as well as imprecise. Across the eight-step range of the recency index, the point estimate implies a total signal difference of about 1.4 points between the oldest and newest records, which would be meaningful if it were precisely estimated. At a p-value of 0.1447 it is not, and the width of its implied range includes both a substantial positive effect and essentially none. The correct reading is that recency may matter and the corpus is too small to say, which is a genuinely different statement from recency does not matter</w:t>
      </w:r>
      <w:r>
        <w:t xml:space="preserve"> </w:t>
      </w:r>
      <w:hyperlink w:anchor="ref-12">
        <w:r>
          <w:rPr>
            <w:rStyle w:val="Hyperlink"/>
          </w:rPr>
          <w:t xml:space="preserve">[12]</w:t>
        </w:r>
      </w:hyperlink>
      <w:r>
        <w:t xml:space="preserve">.</w:t>
      </w:r>
    </w:p>
    <w:bookmarkEnd w:id="121"/>
    <w:bookmarkStart w:id="122" w:name="X80e23013e5fdb440bca4f0b8e53a665fde861fe"/>
    <w:p>
      <w:pPr>
        <w:pStyle w:val="Heading2"/>
        <w:spacing w:line="480" w:lineRule="auto"/>
      </w:pPr>
      <w:r>
        <w:t xml:space="preserve">The progress ratio and what doubling age means</w:t>
      </w:r>
    </w:p>
    <w:p>
      <w:pPr>
        <w:pStyle w:val="FirstParagraph"/>
        <w:spacing w:line="480" w:lineRule="auto"/>
      </w:pPr>
      <w:r>
        <w:t xml:space="preserve">The second paper’s elasticity of -0.4478 is most legible through its progress-ratio translation of 0.7332. The progress-ratio framing asks a concrete question: as article age doubles, what happens to citations-plus-one? The answer, 0.7332, says citations-plus-one fall to about 73 percent of their prior level with each doubling of age. Concretely, comparing records whose age index differs by a factor of two, the older cohort carries roughly three-quarters the citations-plus-one of the younger. This is the arithmetic signature of a field whose attention runs young. In a mature literature the progress ratio on age would exceed one, older works having accumulated more citations. Here it sits well below one, and the significance of the underlying elasticity at a p-value of 0.028110 says the sub-unity ratio is unlikely to be an accident of sampling</w:t>
      </w:r>
      <w:r>
        <w:t xml:space="preserve"> </w:t>
      </w:r>
      <w:hyperlink w:anchor="ref-2">
        <w:r>
          <w:rPr>
            <w:rStyle w:val="Hyperlink"/>
          </w:rPr>
          <w:t xml:space="preserve">[2]</w:t>
        </w:r>
      </w:hyperlink>
      <w:r>
        <w:t xml:space="preserve">.</w:t>
      </w:r>
    </w:p>
    <w:p>
      <w:pPr>
        <w:pStyle w:val="BodyText"/>
        <w:spacing w:line="480" w:lineRule="auto"/>
        <w:ind w:firstLine="720"/>
      </w:pPr>
      <w:r>
        <w:t xml:space="preserve">The constant of the second model, 1.1059 at a p-value of 0.003263, is precisely estimated and anchors the curve. In the log scale it represents the fitted log citations-plus-one at an age index of one, and its significance confirms that the fitted intercept is well identified even as the low R2 of 0.0628 confirms that age explains only a thin slice of the total citation variation. Both facts belong in the report together: the age relationship is real in sign and precisely negative, and it is far from the dominant driver of attention in this corpus.</w:t>
      </w:r>
    </w:p>
    <w:bookmarkEnd w:id="122"/>
    <w:bookmarkStart w:id="123" w:name="X753d4dfe4e9422e4575431fd0cfcddef02fb693"/>
    <w:p>
      <w:pPr>
        <w:pStyle w:val="Heading2"/>
        <w:spacing w:line="480" w:lineRule="auto"/>
      </w:pPr>
      <w:r>
        <w:t xml:space="preserve">Convergent reading and the limits of convergence</w:t>
      </w:r>
    </w:p>
    <w:p>
      <w:pPr>
        <w:pStyle w:val="FirstParagraph"/>
        <w:spacing w:line="480" w:lineRule="auto"/>
      </w:pPr>
      <w:r>
        <w:t xml:space="preserve">Placed side by side, the two papers converge on a single substantive picture, and the convergence is worth stating as a finding rather than an aside. The first paper’s most striking result, the negative and significant citation coefficient, is best explained by the field’s youth, older technical works carrying the citation mass while newer on-theme works carry the signal. The second paper measures that youth directly and confirms it: a significant negative age elasticity, attention running to the recent frontier. The cross-sectional anomaly and the temporal gradient are two projections of one underlying structure, a young field concentrated at its live edge</w:t>
      </w:r>
      <w:r>
        <w:t xml:space="preserve"> </w:t>
      </w:r>
      <w:hyperlink w:anchor="ref-12">
        <w:r>
          <w:rPr>
            <w:rStyle w:val="Hyperlink"/>
          </w:rPr>
          <w:t xml:space="preserve">[12]</w:t>
        </w:r>
      </w:hyperlink>
      <w:r>
        <w:t xml:space="preserve"> </w:t>
      </w:r>
      <w:hyperlink w:anchor="ref-16">
        <w:r>
          <w:rPr>
            <w:rStyle w:val="Hyperlink"/>
          </w:rPr>
          <w:t xml:space="preserve">[16]</w:t>
        </w:r>
      </w:hyperlink>
      <w:r>
        <w:t xml:space="preserve">. When two independently specified estimators point at the same substantive fact from different directions, the fact is more credible than either estimate alone would make it.</w:t>
      </w:r>
    </w:p>
    <w:p>
      <w:pPr>
        <w:pStyle w:val="BodyText"/>
        <w:spacing w:line="480" w:lineRule="auto"/>
        <w:ind w:firstLine="720"/>
      </w:pPr>
      <w:r>
        <w:t xml:space="preserve">The limit of that convergence must be stated with equal clarity. Both estimators observe the literature, not the orbit. Their agreement establishes that the corpus is young and frontier-concentrated; it does not establish why, and it says nothing about operator behavior. The citation-age confound, which Chapter 7 develops, means the very youth the two papers agree on could be a mechanical accumulation lag rather than a substantive fast frontier, and the design cannot separate those on thirty rows</w:t>
      </w:r>
      <w:r>
        <w:t xml:space="preserve"> </w:t>
      </w:r>
      <w:hyperlink w:anchor="ref-5">
        <w:r>
          <w:rPr>
            <w:rStyle w:val="Hyperlink"/>
          </w:rPr>
          <w:t xml:space="preserve">[5]</w:t>
        </w:r>
      </w:hyperlink>
      <w:r>
        <w:t xml:space="preserve">. The results are therefore reported here as a precise, convergent description of a documentary structure, and no further.</w:t>
      </w:r>
    </w:p>
    <w:bookmarkEnd w:id="123"/>
    <w:bookmarkStart w:id="124" w:name="the-fit-statistics-read-carefully"/>
    <w:p>
      <w:pPr>
        <w:pStyle w:val="Heading2"/>
        <w:spacing w:line="480" w:lineRule="auto"/>
      </w:pPr>
      <w:r>
        <w:t xml:space="preserve">The fit statistics read carefully</w:t>
      </w:r>
    </w:p>
    <w:p>
      <w:pPr>
        <w:pStyle w:val="FirstParagraph"/>
        <w:spacing w:line="480" w:lineRule="auto"/>
      </w:pPr>
      <w:r>
        <w:t xml:space="preserve">The two models’ fit statistics deserve a reading of their own, because the gap between them is itself informative. The first model’s R2 of 0.1717 against an adjusted R2 of 0.0761 shows the cost of spending three regressors on thirty observations: the raw fit of about seventeen percent shrinks to about eight percent once the adjustment penalizes the added parameters. That shrinkage is a signal, not a defect. It says that some of the raw explanatory power is the mechanical consequence of fitting three regressors to a small sample, and that the honest estimate of explained variation is the lower adjusted figure. Reporting both, rather than the flattering raw number alone, is part of the discipline the design imposes</w:t>
      </w:r>
      <w:r>
        <w:t xml:space="preserve"> </w:t>
      </w:r>
      <w:hyperlink w:anchor="ref-5">
        <w:r>
          <w:rPr>
            <w:rStyle w:val="Hyperlink"/>
          </w:rPr>
          <w:t xml:space="preserve">[5]</w:t>
        </w:r>
      </w:hyperlink>
      <w:r>
        <w:t xml:space="preserve">.</w:t>
      </w:r>
    </w:p>
    <w:p>
      <w:pPr>
        <w:pStyle w:val="BodyText"/>
        <w:spacing w:line="480" w:lineRule="auto"/>
        <w:ind w:firstLine="720"/>
      </w:pPr>
      <w:r>
        <w:t xml:space="preserve">The second model’s R2 of 0.0628 is lower still, and the comparison teaches something. A single regressor, age, explains about six percent of the variation in log citations-plus-one, which is less than the three-regressor first model explains of signal score. Yet the age coefficient is significant while two of the three first-model coefficients are not. This is the standard lesson that explained variance and coefficient significance are different questions: a regressor can capture a small but precisely estimated slice of the outcome, which is exactly what age does here. The low R2 bounds the substantive importance of the age relationship without undermining the significance of its sign</w:t>
      </w:r>
      <w:r>
        <w:t xml:space="preserve"> </w:t>
      </w:r>
      <w:hyperlink w:anchor="ref-2">
        <w:r>
          <w:rPr>
            <w:rStyle w:val="Hyperlink"/>
          </w:rPr>
          <w:t xml:space="preserve">[2]</w:t>
        </w:r>
      </w:hyperlink>
      <w:r>
        <w:t xml:space="preserve">. Both facts stand together in the report.</w:t>
      </w:r>
    </w:p>
    <w:bookmarkEnd w:id="124"/>
    <w:bookmarkStart w:id="125" w:name="Xd71898aba5e1cf0443f31018f674d98d14ca0e2"/>
    <w:p>
      <w:pPr>
        <w:pStyle w:val="Heading2"/>
        <w:spacing w:line="480" w:lineRule="auto"/>
      </w:pPr>
      <w:r>
        <w:t xml:space="preserve">Sensitivity of the headline results to single records</w:t>
      </w:r>
    </w:p>
    <w:p>
      <w:pPr>
        <w:pStyle w:val="FirstParagraph"/>
        <w:spacing w:line="480" w:lineRule="auto"/>
      </w:pPr>
      <w:r>
        <w:t xml:space="preserve">A responsible results chapter asks how much the two significant coefficients depend on individual influential records, and the corpus structure makes the answer visible even without a formal leverage analysis. The citation coefficient of the first model is estimated over a corpus where citation mass concentrates in a few journal records, the two most-cited carrying seventeen and twenty-five citations against a corpus median of zero</w:t>
      </w:r>
      <w:r>
        <w:t xml:space="preserve"> </w:t>
      </w:r>
      <w:hyperlink w:anchor="ref-7">
        <w:r>
          <w:rPr>
            <w:rStyle w:val="Hyperlink"/>
          </w:rPr>
          <w:t xml:space="preserve">[7]</w:t>
        </w:r>
      </w:hyperlink>
      <w:r>
        <w:t xml:space="preserve">. Those two records exert substantial influence on any coefficient involving citation count, and the negative sign of the citation coefficient is partly a statement about where those two high-citation records sit on the signal-score scale, which is low. The significance of the coefficient is real, but its dependence on a small number of high-leverage points means the design cannot claim the relationship would survive their removal, and Chapter 7 develops this as a robustness limit.</w:t>
      </w:r>
    </w:p>
    <w:p>
      <w:pPr>
        <w:pStyle w:val="BodyText"/>
        <w:spacing w:line="480" w:lineRule="auto"/>
        <w:ind w:firstLine="720"/>
      </w:pPr>
      <w:r>
        <w:t xml:space="preserve">A mirror-image dependence shapes the second paper. The age elasticity faces it. Estimated over a corpus weighted toward 2024 and 2025 records with a thin older tail, the log-log slope is shaped by the handful of older, more-cited records that anchor the high-age end of the range</w:t>
      </w:r>
      <w:r>
        <w:t xml:space="preserve"> </w:t>
      </w:r>
      <w:hyperlink w:anchor="ref-12">
        <w:r>
          <w:rPr>
            <w:rStyle w:val="Hyperlink"/>
          </w:rPr>
          <w:t xml:space="preserve">[12]</w:t>
        </w:r>
      </w:hyperlink>
      <w:r>
        <w:t xml:space="preserve">. Those records are few, and they carry the leverage that produces the negative elasticity. The significance at a p-value of 0.028110 says the negative slope is unlikely to be sampling noise; the leverage structure says the magnitude of minus 0.4478 is provisional and could shift materially in a corpus with a fuller age distribution. Reporting this dependence here, rather than presenting the coefficients as if they rested evenly on all thirty records, is what lets the reader weight the headline results correctly</w:t>
      </w:r>
      <w:r>
        <w:t xml:space="preserve"> </w:t>
      </w:r>
      <w:hyperlink w:anchor="ref-5">
        <w:r>
          <w:rPr>
            <w:rStyle w:val="Hyperlink"/>
          </w:rPr>
          <w:t xml:space="preserve">[5]</w:t>
        </w:r>
      </w:hyperlink>
      <w:r>
        <w:t xml:space="preserve">. Both significant coefficients are genuine features of this corpus and uncertain guides beyond it, and the results chapter states that plainly so that Chapter 7 can develop each threat without having to first undo an inflated impression. Chapter 7 takes each threat to that reading in turn and states, threat by threat, exactly how far the two significant coefficients can be pushed and where they must stop.</w:t>
      </w:r>
    </w:p>
    <w:bookmarkEnd w:id="125"/>
    <w:bookmarkEnd w:id="126"/>
    <w:bookmarkStart w:id="136" w:name="chapter-7.-discussion-and-limitations"/>
    <w:p>
      <w:pPr>
        <w:pStyle w:val="Heading1"/>
        <w:spacing w:line="480" w:lineRule="auto"/>
      </w:pPr>
      <w:r>
        <w:t xml:space="preserve">Chapter 7. Discussion and Limitations</w:t>
      </w:r>
    </w:p>
    <w:p>
      <w:pPr>
        <w:pStyle w:val="FirstParagraph"/>
        <w:spacing w:line="480" w:lineRule="auto"/>
      </w:pPr>
      <w:r>
        <w:t xml:space="preserve">The results of Chapter 6 support a bounded conclusion: the retrieved corpus carries a real but modest structural fingerprint, jointly significant in cross-section and significantly negative in its age elasticity, consistent with a young field organized around its recent frontier. This chapter does two things with that conclusion. It draws out what the finding means for how one should think about reputational enforcement in cislunar space, and it subjects the finding to each threat to validity in turn, refusing to let the two significant coefficients carry more weight than their construction allows.</w:t>
      </w:r>
    </w:p>
    <w:bookmarkStart w:id="127" w:name="what-the-findings-mean"/>
    <w:p>
      <w:pPr>
        <w:pStyle w:val="Heading2"/>
        <w:spacing w:line="480" w:lineRule="auto"/>
      </w:pPr>
      <w:r>
        <w:t xml:space="preserve">What the findings mean</w:t>
      </w:r>
    </w:p>
    <w:p>
      <w:pPr>
        <w:pStyle w:val="FirstParagraph"/>
        <w:spacing w:line="480" w:lineRule="auto"/>
      </w:pPr>
      <w:r>
        <w:t xml:space="preserve">Read at the level the design licenses, the findings say that the scholarly conversation about cislunar traffic-management governance is not diffuse noise. It has shape. The joint significance of the first model and the significant age elasticity of the second together indicate a field that concentrates its attention, moves its live edge forward in time, and does not let older contributions accumulate citation weight indefinitely</w:t>
      </w:r>
      <w:r>
        <w:t xml:space="preserve"> </w:t>
      </w:r>
      <w:hyperlink w:anchor="ref-2">
        <w:r>
          <w:rPr>
            <w:rStyle w:val="Hyperlink"/>
          </w:rPr>
          <w:t xml:space="preserve">[2]</w:t>
        </w:r>
      </w:hyperlink>
      <w:r>
        <w:t xml:space="preserve"> </w:t>
      </w:r>
      <w:hyperlink w:anchor="ref-12">
        <w:r>
          <w:rPr>
            <w:rStyle w:val="Hyperlink"/>
          </w:rPr>
          <w:t xml:space="preserve">[12]</w:t>
        </w:r>
      </w:hyperlink>
      <w:r>
        <w:t xml:space="preserve">. That pattern is what one would expect from a domain where a live governance mechanism is actively being worked out, where each year’s developments pull attention toward the newest formulation of the problem and away from last year’s.</w:t>
      </w:r>
    </w:p>
    <w:p>
      <w:pPr>
        <w:pStyle w:val="BodyText"/>
        <w:spacing w:line="480" w:lineRule="auto"/>
        <w:ind w:firstLine="720"/>
      </w:pPr>
      <w:r>
        <w:t xml:space="preserve">This is consistent with the reputational-enforcement argument, and it is important to be exact about the word consistent. The corpus structure does not prove that reputation binds operator compliance. It clears a precondition. Had the corpus been flat, showing no joint structure and no temporal pattern, the strong reputational claim would have lost its footing, because a mechanism actively organizing a domain should leave some trace in the field that studies it. The corpus is not flat, so the precondition holds and the argument survives to be tested behaviorally. The finding is a green light for the next study, not a verdict on the mechanism</w:t>
      </w:r>
      <w:r>
        <w:t xml:space="preserve"> </w:t>
      </w:r>
      <w:hyperlink w:anchor="ref-3">
        <w:r>
          <w:rPr>
            <w:rStyle w:val="Hyperlink"/>
          </w:rPr>
          <w:t xml:space="preserve">[3]</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There is a substantive lesson embedded in the citation reversal from Chapter 6 that is worth drawing out for governance readers. The works that engage the reputational-enforcement theme most directly are recent and lightly cited, while the heavily cited works are older and more technical</w:t>
      </w:r>
      <w:r>
        <w:t xml:space="preserve"> </w:t>
      </w:r>
      <w:hyperlink w:anchor="ref-16">
        <w:r>
          <w:rPr>
            <w:rStyle w:val="Hyperlink"/>
          </w:rPr>
          <w:t xml:space="preserve">[16]</w:t>
        </w:r>
      </w:hyperlink>
      <w:r>
        <w:t xml:space="preserve">. A field whose most on-theme contributions have not yet accumulated citation weight is a field whose governance conversation is still forming. For program planners, that is a signal that the intellectual infrastructure for reputation-based governance, the transparency and attribution designs the situational-awareness literature is building, is being theorized in real time rather than settled</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window in which architectural choices will shape whether reputation can bind is open now.</w:t>
      </w:r>
    </w:p>
    <w:bookmarkEnd w:id="127"/>
    <w:bookmarkStart w:id="128" w:name="threats-to-validity-taken-one-at-a-time"/>
    <w:p>
      <w:pPr>
        <w:pStyle w:val="Heading2"/>
        <w:spacing w:line="480" w:lineRule="auto"/>
      </w:pPr>
      <w:r>
        <w:t xml:space="preserve">Threats to validity, taken one at a time</w:t>
      </w:r>
    </w:p>
    <w:p>
      <w:pPr>
        <w:pStyle w:val="FirstParagraph"/>
        <w:spacing w:line="480" w:lineRule="auto"/>
      </w:pPr>
      <w:r>
        <w:t xml:space="preserve">The design named its threats in advance. Each is revisited here against the actual results.</w:t>
      </w:r>
    </w:p>
    <w:p>
      <w:pPr>
        <w:pStyle w:val="BodyText"/>
        <w:spacing w:line="480" w:lineRule="auto"/>
        <w:ind w:firstLine="720"/>
      </w:pPr>
      <w:r>
        <w:t xml:space="preserve">Selection into the corpus is the first and gravest. The thirty records are a purposive retrieval, not a random sample, so any structure could reflect the candidate’s retrieval habits rather than the field. This threat cannot be eliminated within the present design, and it bounds every inference. What can be said is that the structure the model found is not the structure a naive retrieval bias would predict. A retrieval biased toward on-theme, prominent works would have produced a positive citation coefficient, the most-cited works being the most on-theme. The data produced the opposite, which is harder to explain as an artifact of wanting to find the theme and easier to explain as a real feature of a young field</w:t>
      </w:r>
      <w:r>
        <w:t xml:space="preserve"> </w:t>
      </w:r>
      <w:hyperlink w:anchor="ref-2">
        <w:r>
          <w:rPr>
            <w:rStyle w:val="Hyperlink"/>
          </w:rPr>
          <w:t xml:space="preserve">[2]</w:t>
        </w:r>
      </w:hyperlink>
      <w:r>
        <w:t xml:space="preserve">. The selection threat weakens the external reach of the finding without obviously manufacturing the specific pattern observed.</w:t>
      </w:r>
    </w:p>
    <w:p>
      <w:pPr>
        <w:pStyle w:val="BodyText"/>
        <w:spacing w:line="480" w:lineRule="auto"/>
        <w:ind w:firstLine="720"/>
      </w:pPr>
      <w:r>
        <w:t xml:space="preserve">Proxy slippage is the second. The signal score is a term-hit construct, citation count is a noisy attention proxy, and venue score is an ordinal compression. Each proxy stands at a distance from the concept it represents. The venue result absorbs this threat almost completely: with a coefficient of 0.0253 and a p-value of 0.9377, the venue proxy carries no weight and no conclusion rests on it, so its crudeness costs nothing. The citation and signal proxies are more load-bearing, and the honest position is that the significant citation coefficient describes a relationship between two proxies, not between two concepts. The relationship is reproducible, but its translation into substantive meaning depends on how well term hits track engagement and how well local citation counts track attention, and both linkages are imperfect</w:t>
      </w:r>
      <w:r>
        <w:t xml:space="preserve"> </w:t>
      </w:r>
      <w:hyperlink w:anchor="ref-5">
        <w:r>
          <w:rPr>
            <w:rStyle w:val="Hyperlink"/>
          </w:rPr>
          <w:t xml:space="preserve">[5]</w:t>
        </w:r>
      </w:hyperlink>
      <w:r>
        <w:t xml:space="preserve">.</w:t>
      </w:r>
    </w:p>
    <w:p>
      <w:pPr>
        <w:pStyle w:val="BodyText"/>
        <w:spacing w:line="480" w:lineRule="auto"/>
        <w:ind w:firstLine="720"/>
      </w:pPr>
      <w:r>
        <w:t xml:space="preserve">Citation-age confounding is the third and it bites hardest on the second paper. The negative age elasticity is consistent with a fast-moving field, but it is equally consistent with a mechanical artifact: any young literature will show low citation counts for its newest works simply because citations take calendar time to accumulate, regardless of any mechanism. On thirty observations, with the corpus heavily weighted toward 2024 and 2025 records, the design cannot separate a substantive fast-frontier story from a mechanical accumulation-lag story. This is the single most important limit on the second paper, and it means the significant age elasticity should be read as a precise description of the pattern, not as evidence for any particular cause of it</w:t>
      </w:r>
      <w:r>
        <w:t xml:space="preserve"> </w:t>
      </w:r>
      <w:hyperlink w:anchor="ref-12">
        <w:r>
          <w:rPr>
            <w:rStyle w:val="Hyperlink"/>
          </w:rPr>
          <w:t xml:space="preserve">[12]</w:t>
        </w:r>
      </w:hyperlink>
      <w:r>
        <w:t xml:space="preserve">.</w:t>
      </w:r>
    </w:p>
    <w:p>
      <w:pPr>
        <w:pStyle w:val="BodyText"/>
        <w:spacing w:line="480" w:lineRule="auto"/>
        <w:ind w:firstLine="720"/>
      </w:pPr>
      <w:r>
        <w:t xml:space="preserve">Omitted structure is the fourth. A metadata model excludes the technical, institutional, and market forces that actually drive a literature’s shape. The low adjusted R2 of the first model, about eight percent, and the low R2 of the second, about six percent, are the direct fingerprints of this omission. Most of the variation in both models is unexplained, which is exactly what a screening design on metadata should expect and should report plainly. The significant coefficients survive the omission in the sense that they are estimated conditional on what is included; they do not survive it in the sense of explaining most of the outcome, and they never claimed to</w:t>
      </w:r>
      <w:r>
        <w:t xml:space="preserve"> </w:t>
      </w:r>
      <w:hyperlink w:anchor="ref-4">
        <w:r>
          <w:rPr>
            <w:rStyle w:val="Hyperlink"/>
          </w:rPr>
          <w:t xml:space="preserve">[4]</w:t>
        </w:r>
      </w:hyperlink>
      <w:r>
        <w:t xml:space="preserve">.</w:t>
      </w:r>
    </w:p>
    <w:p>
      <w:pPr>
        <w:pStyle w:val="BodyText"/>
        <w:spacing w:line="480" w:lineRule="auto"/>
        <w:ind w:firstLine="720"/>
      </w:pPr>
      <w:r>
        <w:t xml:space="preserve">Overinterpretation is the fifth and it is a threat in the prose rather than the data. The temptation is to let a significant citation coefficient and a significant age elasticity harden into a claim that reputation governs orbit. The design forbids that step. Two significant coefficients on thirty metadata rows establish that the corpus is structured; they establish nothing about operator behavior, which no row observes. Guarding against this threat is a matter of discipline in every sentence that reports the result, and it is why Chapter 6 reported the imprecise recency and venue terms with the same prominence as the significant ones</w:t>
      </w:r>
      <w:r>
        <w:t xml:space="preserve"> </w:t>
      </w:r>
      <w:hyperlink w:anchor="ref-6">
        <w:r>
          <w:rPr>
            <w:rStyle w:val="Hyperlink"/>
          </w:rPr>
          <w:t xml:space="preserve">[6]</w:t>
        </w:r>
      </w:hyperlink>
      <w:r>
        <w:t xml:space="preserve">.</w:t>
      </w:r>
    </w:p>
    <w:bookmarkEnd w:id="128"/>
    <w:bookmarkStart w:id="129" w:name="what-the-data-cannot-show-restated"/>
    <w:p>
      <w:pPr>
        <w:pStyle w:val="Heading2"/>
        <w:spacing w:line="480" w:lineRule="auto"/>
      </w:pPr>
      <w:r>
        <w:t xml:space="preserve">What the data cannot show, restated</w:t>
      </w:r>
    </w:p>
    <w:p>
      <w:pPr>
        <w:pStyle w:val="FirstParagraph"/>
        <w:spacing w:line="480" w:lineRule="auto"/>
      </w:pPr>
      <w:r>
        <w:t xml:space="preserve">Three boundaries are worth restating because they define the edge of legitimate inference. The data cannot show operator behavior, because the corpus is about the literature and not the orbit. It cannot show population distributions, because the sample is purposive. And it cannot show causation, because there is no exogenous variation and no identification strategy beyond conditional association and age structure</w:t>
      </w:r>
      <w:r>
        <w:t xml:space="preserve"> </w:t>
      </w:r>
      <w:hyperlink w:anchor="ref-3">
        <w:r>
          <w:rPr>
            <w:rStyle w:val="Hyperlink"/>
          </w:rPr>
          <w:t xml:space="preserve">[3]</w:t>
        </w:r>
      </w:hyperlink>
      <w:r>
        <w:t xml:space="preserve"> </w:t>
      </w:r>
      <w:hyperlink w:anchor="ref-5">
        <w:r>
          <w:rPr>
            <w:rStyle w:val="Hyperlink"/>
          </w:rPr>
          <w:t xml:space="preserve">[5]</w:t>
        </w:r>
      </w:hyperlink>
      <w:r>
        <w:t xml:space="preserve">. Within those boundaries the dissertation has a genuine and reproducible finding. Outside them it makes no claim. The value of stating the boundaries so sharply is that it tells the next researcher exactly where to build: a behavioral dataset of attributed maneuvers and reputational exposure, which would let the full mechanism of Chapter 3 be tested rather than merely its documentary precondition.</w:t>
      </w:r>
    </w:p>
    <w:bookmarkEnd w:id="129"/>
    <w:bookmarkStart w:id="130" w:name="X882d0bfda5a3a5592a95bfab05344b4db563ea5"/>
    <w:p>
      <w:pPr>
        <w:pStyle w:val="Heading2"/>
        <w:spacing w:line="480" w:lineRule="auto"/>
      </w:pPr>
      <w:r>
        <w:t xml:space="preserve">A robustness reading of the two significant coefficients</w:t>
      </w:r>
    </w:p>
    <w:p>
      <w:pPr>
        <w:pStyle w:val="FirstParagraph"/>
        <w:spacing w:line="480" w:lineRule="auto"/>
      </w:pPr>
      <w:r>
        <w:t xml:space="preserve">It is one thing to name threats in the abstract and another to ask how the specific significant coefficients would move if each threat were addressed. Take the citation coefficient first. Its most plausible non-mechanistic source, developed in Chapter 6, is the entanglement of citation count with venue type and article age. If the corpus were expanded to break that entanglement, adding recent conference records with high engagement and older journal records with low engagement, the coefficient could attenuate substantially, because part of what it currently measures is the age and venue gradient rather than a pure citation effect</w:t>
      </w:r>
      <w:r>
        <w:t xml:space="preserve"> </w:t>
      </w:r>
      <w:hyperlink w:anchor="ref-2">
        <w:r>
          <w:rPr>
            <w:rStyle w:val="Hyperlink"/>
          </w:rPr>
          <w:t xml:space="preserve">[2]</w:t>
        </w:r>
      </w:hyperlink>
      <w:r>
        <w:t xml:space="preserve"> </w:t>
      </w:r>
      <w:hyperlink w:anchor="ref-7">
        <w:r>
          <w:rPr>
            <w:rStyle w:val="Hyperlink"/>
          </w:rPr>
          <w:t xml:space="preserve">[7]</w:t>
        </w:r>
      </w:hyperlink>
      <w:r>
        <w:t xml:space="preserve">. The honest forecast is that the coefficient’s significance is robust to sampling noise but not obviously robust to the confounds, and a study that resolved the confounds might find a smaller or differently signed effect. That is a strong reason to treat the reversal as a description of this corpus rather than a general law.</w:t>
      </w:r>
    </w:p>
    <w:p>
      <w:pPr>
        <w:pStyle w:val="BodyText"/>
        <w:spacing w:line="480" w:lineRule="auto"/>
        <w:ind w:firstLine="720"/>
      </w:pPr>
      <w:r>
        <w:t xml:space="preserve">The age elasticity is more fragile still, for a reason specific to its construction. Because the corpus is heavily weighted toward 2024 and 2025 records, the elasticity is estimated over a short and dense age range with a thin older tail. A handful of older, more-cited records exert leverage on the log-log slope out of proportion to their number. The negative elasticity is significant, but its magnitude depends on those few high-leverage points, and a corpus with a fuller age distribution could return a materially different value</w:t>
      </w:r>
      <w:r>
        <w:t xml:space="preserve"> </w:t>
      </w:r>
      <w:hyperlink w:anchor="ref-12">
        <w:r>
          <w:rPr>
            <w:rStyle w:val="Hyperlink"/>
          </w:rPr>
          <w:t xml:space="preserve">[12]</w:t>
        </w:r>
      </w:hyperlink>
      <w:r>
        <w:t xml:space="preserve">. The significance survives the small sample; the point estimate should be read as provisional. Both robustness readings point the same way: the coefficients are real features of the retained corpus and uncertain guides to the population, which is exactly what a screening design should conclude.</w:t>
      </w:r>
    </w:p>
    <w:bookmarkEnd w:id="130"/>
    <w:bookmarkStart w:id="131" w:name="Xc2d68ae56fd1327d2d19e8da394a28befc588b6"/>
    <w:p>
      <w:pPr>
        <w:pStyle w:val="Heading2"/>
        <w:spacing w:line="480" w:lineRule="auto"/>
      </w:pPr>
      <w:r>
        <w:t xml:space="preserve">Why the nulls are as informative as the findings</w:t>
      </w:r>
    </w:p>
    <w:p>
      <w:pPr>
        <w:pStyle w:val="FirstParagraph"/>
        <w:spacing w:line="480" w:lineRule="auto"/>
      </w:pPr>
      <w:r>
        <w:t xml:space="preserve">A results section that reported only the two significant coefficients would tell a cleaner and more misleading story than the one this dissertation tells. The recency coefficient at a p-value of 0.1447 and the venue coefficient at a p-value of 0.9377 are not embarrassments to be minimized; they are information</w:t>
      </w:r>
      <w:r>
        <w:t xml:space="preserve"> </w:t>
      </w:r>
      <w:hyperlink w:anchor="ref-5">
        <w:r>
          <w:rPr>
            <w:rStyle w:val="Hyperlink"/>
          </w:rPr>
          <w:t xml:space="preserve">[5]</w:t>
        </w:r>
      </w:hyperlink>
      <w:r>
        <w:t xml:space="preserve">. The venue null says that once recency and citation attention are held fixed, the venue family a work appears in carries no independent association with its topic signal, which is a substantively useful fact: it means the corpus structure is not merely an artifact of certain outlets indexing more of the field. The recency null says that the temporal signal the theory most directly predicted is present in sign but not resolvable on thirty records, which tells the next study exactly where more data would buy the most inferential return.</w:t>
      </w:r>
    </w:p>
    <w:p>
      <w:pPr>
        <w:pStyle w:val="BodyText"/>
        <w:spacing w:line="480" w:lineRule="auto"/>
        <w:ind w:firstLine="720"/>
      </w:pPr>
      <w:r>
        <w:t xml:space="preserve">Reading nulls this way guards against the overinterpretation threat from the inside. A design that treats an insignificant coefficient as evidence of no effect commits the same error as one that treats a significant coefficient as proof of a mechanism; both mistake the sample for the world. The correct posture, held throughout this dissertation, is that a significant coefficient on thirty rows establishes within-corpus association and an insignificant one establishes within-corpus uncertainty, and neither reaches the population or the behavior</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nulls are part of the finding because they mark the boundary of the evidence with the same precision as the significant terms mark its content.</w:t>
      </w:r>
    </w:p>
    <w:bookmarkEnd w:id="131"/>
    <w:bookmarkStart w:id="132" w:name="the-threats-in-aggregate"/>
    <w:p>
      <w:pPr>
        <w:pStyle w:val="Heading2"/>
        <w:spacing w:line="480" w:lineRule="auto"/>
      </w:pPr>
      <w:r>
        <w:t xml:space="preserve">The threats in aggregate</w:t>
      </w:r>
    </w:p>
    <w:p>
      <w:pPr>
        <w:pStyle w:val="FirstParagraph"/>
        <w:spacing w:line="480" w:lineRule="auto"/>
      </w:pPr>
      <w:r>
        <w:t xml:space="preserve">Taken together the five threats do not cancel the findings, but they bound them tightly, and the aggregate picture is worth stating. Selection limits external reach. Proxy slippage limits substantive translation. Citation-age confounding limits the causal reading of the temporal result. Omitted structure limits the share of outcome explained. Overinterpretation is a discipline threat guarded by the prose itself</w:t>
      </w:r>
      <w:r>
        <w:t xml:space="preserve"> </w:t>
      </w:r>
      <w:hyperlink w:anchor="ref-2">
        <w:r>
          <w:rPr>
            <w:rStyle w:val="Hyperlink"/>
          </w:rPr>
          <w:t xml:space="preserve">[2]</w:t>
        </w:r>
      </w:hyperlink>
      <w:r>
        <w:t xml:space="preserve"> </w:t>
      </w:r>
      <w:hyperlink w:anchor="ref-5">
        <w:r>
          <w:rPr>
            <w:rStyle w:val="Hyperlink"/>
          </w:rPr>
          <w:t xml:space="preserve">[5]</w:t>
        </w:r>
      </w:hyperlink>
      <w:r>
        <w:t xml:space="preserve">. What survives all five is narrow and real: the retained corpus of thirty records carries jointly significant cross-sectional structure and a significant negative age elasticity, consistent with a young field organized around its recent frontier, which clears the documentary precondition of the reputational argument without confirming the argument itself. That is the exact statement the evidence supports, no larger and no smaller.</w:t>
      </w:r>
    </w:p>
    <w:bookmarkEnd w:id="132"/>
    <w:bookmarkStart w:id="133" w:name="X55a90e3857438dfecafce51d4e4a4b38620fab0"/>
    <w:p>
      <w:pPr>
        <w:pStyle w:val="Heading2"/>
        <w:spacing w:line="480" w:lineRule="auto"/>
      </w:pPr>
      <w:r>
        <w:t xml:space="preserve">The inference from a necessary condition, examined</w:t>
      </w:r>
    </w:p>
    <w:p>
      <w:pPr>
        <w:pStyle w:val="FirstParagraph"/>
        <w:spacing w:line="480" w:lineRule="auto"/>
      </w:pPr>
      <w:r>
        <w:t xml:space="preserve">The whole design rests on a logical move that deserves direct scrutiny, because a careless version of it would be a fallacy. The move is: if reputation organizes the domain, the corpus should be structured; the corpus is structured; therefore the precondition holds. Stated carelessly this looks like affirming the consequent, inferring the cause from the effect. The design avoids the fallacy by claiming only what the logic supports. Finding structure does not confirm the mechanism, because other mechanisms could structure a literature; the dissertation never claims confirmation</w:t>
      </w:r>
      <w:r>
        <w:t xml:space="preserve"> </w:t>
      </w:r>
      <w:hyperlink w:anchor="ref-2">
        <w:r>
          <w:rPr>
            <w:rStyle w:val="Hyperlink"/>
          </w:rPr>
          <w:t xml:space="preserve">[2]</w:t>
        </w:r>
      </w:hyperlink>
      <w:r>
        <w:t xml:space="preserve">. What the logic does support is the contrapositive: had the corpus been flat, the precondition would have failed, and the strong reputational claim would have lost its footing. The test can falsify but not confirm, and the design claims only the falsification power, which is valid</w:t>
      </w:r>
      <w:r>
        <w:t xml:space="preserve"> </w:t>
      </w:r>
      <w:hyperlink w:anchor="ref-3">
        <w:r>
          <w:rPr>
            <w:rStyle w:val="Hyperlink"/>
          </w:rPr>
          <w:t xml:space="preserve">[3]</w:t>
        </w:r>
      </w:hyperlink>
      <w:r>
        <w:t xml:space="preserve">.</w:t>
      </w:r>
    </w:p>
    <w:p>
      <w:pPr>
        <w:pStyle w:val="BodyText"/>
        <w:spacing w:line="480" w:lineRule="auto"/>
        <w:ind w:firstLine="720"/>
      </w:pPr>
      <w:r>
        <w:t xml:space="preserve">This asymmetry is the single most important interpretive fact in the dissertation, and misreading it would collapse the entire argument into overreach. A reader who takes the cleared F-test as evidence that reputation governs orbit has committed exactly the error the design is built to prevent. The correct reading is narrower and sound: a precondition that could have failed did not, which keeps the reputational argument alive and warrants the expense of a behavioral study, and which would not have been worth stating had the precondition not been genuinely at risk against the data</w:t>
      </w:r>
      <w:r>
        <w:t xml:space="preserve"> </w:t>
      </w:r>
      <w:hyperlink w:anchor="ref-5">
        <w:r>
          <w:rPr>
            <w:rStyle w:val="Hyperlink"/>
          </w:rPr>
          <w:t xml:space="preserve">[5]</w:t>
        </w:r>
      </w:hyperlink>
      <w:r>
        <w:t xml:space="preserve">. Everything in Chapter 6 and everything in the conclusions that follow is bounded by this asymmetry, and stating it explicitly is what separates a disciplined necessary-condition screen from a dressed-up confirmation.</w:t>
      </w:r>
    </w:p>
    <w:bookmarkEnd w:id="133"/>
    <w:bookmarkStart w:id="134" w:name="X6d8b7c363efc1d071aaf3c5c1c6c6d11ad0ef0c"/>
    <w:p>
      <w:pPr>
        <w:pStyle w:val="Heading2"/>
        <w:spacing w:line="480" w:lineRule="auto"/>
      </w:pPr>
      <w:r>
        <w:t xml:space="preserve">Comparison to how the field usually reasons</w:t>
      </w:r>
    </w:p>
    <w:p>
      <w:pPr>
        <w:pStyle w:val="FirstParagraph"/>
        <w:spacing w:line="480" w:lineRule="auto"/>
      </w:pPr>
      <w:r>
        <w:t xml:space="preserve">It is worth situating the dissertation’s caution against the field’s normal practice, because the contrast clarifies the contribution. Much governance writing about orbital commons reasons by assertion and analogy: the mechanism is plausible, the historical parallel is suggestive, therefore the mechanism is at work</w:t>
      </w:r>
      <w:r>
        <w:t xml:space="preserve"> </w:t>
      </w:r>
      <w:hyperlink w:anchor="ref-1">
        <w:r>
          <w:rPr>
            <w:rStyle w:val="Hyperlink"/>
          </w:rPr>
          <w:t xml:space="preserve">[1]</w:t>
        </w:r>
      </w:hyperlink>
      <w:r>
        <w:t xml:space="preserve">. This mode produces readable and often persuasive prose, and it produces no falsifiable claim. A reader who doubts the conclusion has nothing to check except the author’s judgment. The dissertation’s alternative is to state a precondition, build a test that could reject it, and report the rejection or its absence on data anyone can regenerate</w:t>
      </w:r>
      <w:r>
        <w:t xml:space="preserve"> </w:t>
      </w:r>
      <w:hyperlink w:anchor="ref-4">
        <w:r>
          <w:rPr>
            <w:rStyle w:val="Hyperlink"/>
          </w:rPr>
          <w:t xml:space="preserve">[4]</w:t>
        </w:r>
      </w:hyperlink>
      <w:r>
        <w:t xml:space="preserve">.</w:t>
      </w:r>
    </w:p>
    <w:p>
      <w:pPr>
        <w:pStyle w:val="BodyText"/>
        <w:spacing w:line="480" w:lineRule="auto"/>
        <w:ind w:firstLine="720"/>
      </w:pPr>
      <w:r>
        <w:t xml:space="preserve">The cost of the alternative is modesty, and the threats-to-validity accounting is where that cost is paid in full. A dissertation reasoning by assertion never has to confess that its citation coefficient depends on two high-leverage records, or that its age elasticity cannot be separated from a mechanical accumulation lag, because it never estimated a coefficient to begin with</w:t>
      </w:r>
      <w:r>
        <w:t xml:space="preserve"> </w:t>
      </w:r>
      <w:hyperlink w:anchor="ref-12">
        <w:r>
          <w:rPr>
            <w:rStyle w:val="Hyperlink"/>
          </w:rPr>
          <w:t xml:space="preserve">[12]</w:t>
        </w:r>
      </w:hyperlink>
      <w:r>
        <w:t xml:space="preserve">. The screening design incurs those confessions precisely because it produced checkable numbers, and the confessions are the price of the checkability. The trade is worth making because a modest checkable claim advances the field further than a confident uncheckable one: it tells the next researcher exactly what was tested, exactly how far the result reaches, and exactly what data would carry the argument the next step</w:t>
      </w:r>
      <w:r>
        <w:t xml:space="preserve"> </w:t>
      </w:r>
      <w:hyperlink w:anchor="ref-6">
        <w:r>
          <w:rPr>
            <w:rStyle w:val="Hyperlink"/>
          </w:rPr>
          <w:t xml:space="preserve">[6]</w:t>
        </w:r>
      </w:hyperlink>
      <w:r>
        <w:t xml:space="preserve">. The limitations chapter is long not because the design is weak but because the design produced enough to have limitations worth stating.</w:t>
      </w:r>
    </w:p>
    <w:bookmarkEnd w:id="134"/>
    <w:bookmarkStart w:id="135" w:name="Xdf5a5218640f964de8ccdba19ddc43266d63357"/>
    <w:p>
      <w:pPr>
        <w:pStyle w:val="Heading2"/>
        <w:spacing w:line="480" w:lineRule="auto"/>
      </w:pPr>
      <w:r>
        <w:t xml:space="preserve">What a skeptic keeps and what a skeptic must concede</w:t>
      </w:r>
    </w:p>
    <w:p>
      <w:pPr>
        <w:pStyle w:val="FirstParagraph"/>
        <w:spacing w:line="480" w:lineRule="auto"/>
      </w:pPr>
      <w:r>
        <w:t xml:space="preserve">Picture a hostile examiner. Imagine the most skeptical competent reader and ask what survives their scrutiny. The skeptic keeps every external claim: the corpus is purposive, so nothing generalizes to the population; the estimators observe metadata, so nothing reaches operator behavior; the coefficients lean on a few high-leverage records, so their magnitudes are provisional</w:t>
      </w:r>
      <w:r>
        <w:t xml:space="preserve"> </w:t>
      </w:r>
      <w:hyperlink w:anchor="ref-2">
        <w:r>
          <w:rPr>
            <w:rStyle w:val="Hyperlink"/>
          </w:rPr>
          <w:t xml:space="preserve">[2]</w:t>
        </w:r>
      </w:hyperlink>
      <w:r>
        <w:t xml:space="preserve"> </w:t>
      </w:r>
      <w:hyperlink w:anchor="ref-5">
        <w:r>
          <w:rPr>
            <w:rStyle w:val="Hyperlink"/>
          </w:rPr>
          <w:t xml:space="preserve">[5]</w:t>
        </w:r>
      </w:hyperlink>
      <w:r>
        <w:t xml:space="preserve">. All of that the skeptic is right to keep, and the dissertation concedes it in full. What the skeptic must nonetheless concede in return is narrow and real. The F-test at 0.0170 is a fact about these thirty records that did not have to obtain, and it obtained. The age elasticity at 0.028110 is a fact about these thirty records that did not have to be negative or significant, and it was both</w:t>
      </w:r>
      <w:r>
        <w:t xml:space="preserve"> </w:t>
      </w:r>
      <w:hyperlink w:anchor="ref-12">
        <w:r>
          <w:rPr>
            <w:rStyle w:val="Hyperlink"/>
          </w:rPr>
          <w:t xml:space="preserve">[12]</w:t>
        </w:r>
      </w:hyperlink>
      <w:r>
        <w:t xml:space="preserve">. A skeptic can deny that these facts reach the world; a skeptic cannot deny that they are facts about the corpus, because the workbook regenerates them. That residue, small and checkable, is the whole yield of a screening design, and its value is that it is not a matter of opinion. Chapter 8 turns to that next step and to what the present contribution amounts to.</w:t>
      </w:r>
    </w:p>
    <w:bookmarkEnd w:id="135"/>
    <w:bookmarkEnd w:id="136"/>
    <w:bookmarkStart w:id="175"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convert a large governance intuition into a small falsifiable test. The intuition is that in a commons without a sovereign, reputational sanction is the binding compliance instrument, and that cislunar traffic management is such a commons. The test is narrower than the intuition by design, and the distance between them is the discipline the project imposes on itself. This closing chapter states what the project contributed, what its findings imply for governance and program design, and what the next study must do to carry the argument from documentary precondition to behavioral proof.</w:t>
      </w:r>
    </w:p>
    <w:bookmarkStart w:id="137" w:name="the-contribution-stated-plainly"/>
    <w:p>
      <w:pPr>
        <w:pStyle w:val="Heading2"/>
        <w:spacing w:line="480" w:lineRule="auto"/>
      </w:pPr>
      <w:r>
        <w:t xml:space="preserve">The contribution, stated plainly</w:t>
      </w:r>
    </w:p>
    <w:p>
      <w:pPr>
        <w:pStyle w:val="FirstParagraph"/>
        <w:spacing w:line="480" w:lineRule="auto"/>
      </w:pPr>
      <w:r>
        <w:t xml:space="preserve">This contribution has two faces, one substantive and one methodological.</w:t>
      </w:r>
    </w:p>
    <w:p>
      <w:pPr>
        <w:pStyle w:val="BodyText"/>
        <w:spacing w:line="480" w:lineRule="auto"/>
        <w:ind w:firstLine="720"/>
      </w:pPr>
      <w:r>
        <w:t xml:space="preserve">Substantively, the dissertation established that the scholarly corpus theorizing cislunar traffic-management governance is structured rather than flat, and it characterized that structure precisely. The cross-sectional model returned a jointly significant fit, with an F-test p-value of 0.0170 over thirty records, driven by a sharply estimated and negative citation coefficient of -0.0962 with a p-value of 0.000607. The learning-curve model returned a significant negative age elasticity of -0.4478 with a p-value of 0.028110, a progress ratio of 0.7332 that says citations-plus-one fall to about 73 percent of their level as article age doubles. Together these results describe a young field whose attention runs to its recent frontier and whose most on-theme contributions have not yet accumulated citation weight</w:t>
      </w:r>
      <w:r>
        <w:t xml:space="preserve"> </w:t>
      </w:r>
      <w:hyperlink w:anchor="ref-2">
        <w:r>
          <w:rPr>
            <w:rStyle w:val="Hyperlink"/>
          </w:rPr>
          <w:t xml:space="preserve">[2]</w:t>
        </w:r>
      </w:hyperlink>
      <w:r>
        <w:t xml:space="preserve"> </w:t>
      </w:r>
      <w:hyperlink w:anchor="ref-12">
        <w:r>
          <w:rPr>
            <w:rStyle w:val="Hyperlink"/>
          </w:rPr>
          <w:t xml:space="preserve">[12]</w:t>
        </w:r>
      </w:hyperlink>
      <w:r>
        <w:t xml:space="preserve">. That is a real finding about the state of the governance conversation, reproducible from thirty auditable rows.</w:t>
      </w:r>
    </w:p>
    <w:p>
      <w:pPr>
        <w:pStyle w:val="BodyText"/>
        <w:spacing w:line="480" w:lineRule="auto"/>
        <w:ind w:firstLine="720"/>
      </w:pPr>
      <w:r>
        <w:t xml:space="preserve">Methodologically, the dissertation demonstrated a way to discipline a space-governance claim that would otherwise remain rhetorical. It took a mechanism that cannot yet be tested behaviorally, isolated a necessary observable consequence of that mechanism, built two deterministic estimators to test the consequence, and reported the output with every imprecise coefficient shown alongside every significant one. The recency coefficient of 0.1791 at a p-value of 0.1447 and the venue coefficient of 0.0253 at a p-value of 0.9377 are part of the contribution precisely because they are not significant: they mark where the corpus runs out of evidence. A design that reports its nulls with the same prominence as its findings is a design a reader can trust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37"/>
    <w:bookmarkStart w:id="138" w:name="why-the-falsification-posture-matters"/>
    <w:p>
      <w:pPr>
        <w:pStyle w:val="Heading2"/>
        <w:spacing w:line="480" w:lineRule="auto"/>
      </w:pPr>
      <w:r>
        <w:t xml:space="preserve">Why the falsification posture matters</w:t>
      </w:r>
    </w:p>
    <w:p>
      <w:pPr>
        <w:pStyle w:val="FirstParagraph"/>
        <w:spacing w:line="480" w:lineRule="auto"/>
      </w:pPr>
      <w:r>
        <w:t xml:space="preserve">The single falsifiable proposition was stated at the corpus level: the null that the topic signal is unrelated to recency, attention, and venue, against the alternative that it is systematically related. The joint F-test rejected that null. The necessary condition held. This is worth dwelling on because the posture, not the particular result, is the durable lesson. Had the corpus been flat, the project would have reported a falsification of the reputational precondition and shifted the burden back to theory, and that would have been a legitimate and useful doctoral outcome. The design was built to be capable of that failure. A test that cannot fail is not evidence, and the value of this dissertation is that its central proposition was genuinely at risk against the data</w:t>
      </w:r>
      <w:r>
        <w:t xml:space="preserve"> </w:t>
      </w:r>
      <w:hyperlink w:anchor="ref-3">
        <w:r>
          <w:rPr>
            <w:rStyle w:val="Hyperlink"/>
          </w:rPr>
          <w:t xml:space="preserve">[3]</w:t>
        </w:r>
      </w:hyperlink>
      <w:r>
        <w:t xml:space="preserve">.</w:t>
      </w:r>
    </w:p>
    <w:p>
      <w:pPr>
        <w:pStyle w:val="BodyText"/>
        <w:spacing w:line="480" w:lineRule="auto"/>
        <w:ind w:firstLine="720"/>
      </w:pPr>
      <w:r>
        <w:t xml:space="preserve">The result that survived is modest and it should be described modestly. The corpus is structured, the structure is consistent with a young field organized around a live governance problem, and the reputational-enforcement argument therefore retains its empirical footing and earns the right to a behavioral test. No stronger claim is warranted, and the dissertation makes none</w:t>
      </w:r>
      <w:r>
        <w:t xml:space="preserve"> </w:t>
      </w:r>
      <w:hyperlink w:anchor="ref-7">
        <w:r>
          <w:rPr>
            <w:rStyle w:val="Hyperlink"/>
          </w:rPr>
          <w:t xml:space="preserve">[7]</w:t>
        </w:r>
      </w:hyperlink>
      <w:r>
        <w:t xml:space="preserve">.</w:t>
      </w:r>
    </w:p>
    <w:bookmarkEnd w:id="138"/>
    <w:bookmarkStart w:id="139" w:name="governance-and-program-implications"/>
    <w:p>
      <w:pPr>
        <w:pStyle w:val="Heading2"/>
        <w:spacing w:line="480" w:lineRule="auto"/>
      </w:pPr>
      <w:r>
        <w:t xml:space="preserve">Governance and program implications</w:t>
      </w:r>
    </w:p>
    <w:p>
      <w:pPr>
        <w:pStyle w:val="FirstParagraph"/>
        <w:spacing w:line="480" w:lineRule="auto"/>
      </w:pPr>
      <w:r>
        <w:t xml:space="preserve">For governance, the finding sharpens where the reputational mechanism is most likely to be decided. The corpus shows a field theorizing its infrastructure in real time, with the on-theme contributions recent and still lightly cited</w:t>
      </w:r>
      <w:r>
        <w:t xml:space="preserve"> </w:t>
      </w:r>
      <w:hyperlink w:anchor="ref-16">
        <w:r>
          <w:rPr>
            <w:rStyle w:val="Hyperlink"/>
          </w:rPr>
          <w:t xml:space="preserve">[16]</w:t>
        </w:r>
      </w:hyperlink>
      <w:r>
        <w:t xml:space="preserve">. That timing carries a practical implication. The architectural choices that determine whether reputation can bind, whether maneuver histories are published and attributable, whether sustainability conduct is scored and made comparable, whether coordination layers convert private behavior into common knowledge, are being made now, before the intellectual consensus has settled</w:t>
      </w:r>
      <w:r>
        <w:t xml:space="preserve"> </w:t>
      </w:r>
      <w:hyperlink w:anchor="ref-4">
        <w:r>
          <w:rPr>
            <w:rStyle w:val="Hyperlink"/>
          </w:rPr>
          <w:t xml:space="preserve">[4]</w:t>
        </w:r>
      </w:hyperlink>
      <w:r>
        <w:t xml:space="preserve"> </w:t>
      </w:r>
      <w:hyperlink w:anchor="ref-6">
        <w:r>
          <w:rPr>
            <w:rStyle w:val="Hyperlink"/>
          </w:rPr>
          <w:t xml:space="preserve">[6]</w:t>
        </w:r>
      </w:hyperlink>
      <w:r>
        <w:t xml:space="preserve">. A situational-awareness architecture that invests in attribution and transparency builds the observability a reputational sanction requires. One that keeps conduct private forecloses the only enforcement channel a sovereign-less commons has. The dissertation cannot say which architecture is being chosen, but it can say that the choice is live and consequential, and that the field studying it has not yet converged</w:t>
      </w:r>
      <w:r>
        <w:t xml:space="preserve"> </w:t>
      </w:r>
      <w:hyperlink w:anchor="ref-12">
        <w:r>
          <w:rPr>
            <w:rStyle w:val="Hyperlink"/>
          </w:rPr>
          <w:t xml:space="preserve">[12]</w:t>
        </w:r>
      </w:hyperlink>
      <w:r>
        <w:t xml:space="preserve">.</w:t>
      </w:r>
    </w:p>
    <w:p>
      <w:pPr>
        <w:pStyle w:val="BodyText"/>
        <w:spacing w:line="480" w:lineRule="auto"/>
        <w:ind w:firstLine="720"/>
      </w:pPr>
      <w:r>
        <w:t xml:space="preserve">For program planning inside a situational-awareness enterprise, the implication is concrete. Attribution capacity is not merely a safety improvement; it is the precondition for a governance mechanism that could substitute for enforcement the international system cannot supply</w:t>
      </w:r>
      <w:r>
        <w:t xml:space="preserve"> </w:t>
      </w:r>
      <w:hyperlink w:anchor="ref-3">
        <w:r>
          <w:rPr>
            <w:rStyle w:val="Hyperlink"/>
          </w:rPr>
          <w:t xml:space="preserve">[3]</w:t>
        </w:r>
      </w:hyperlink>
      <w:r>
        <w:t xml:space="preserve">. Investments in shared catalogs, tamper-evident maneuver records, and comparable sustainability metrics should be weighed not only on their collision-avoidance return but on their contribution to making reputational cost legible. That reframing is the governance payoff of taking the reputational mechanism seriously enough to test it</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bookmarkEnd w:id="139"/>
    <w:bookmarkStart w:id="140" w:name="future-work"/>
    <w:p>
      <w:pPr>
        <w:pStyle w:val="Heading2"/>
        <w:spacing w:line="480" w:lineRule="auto"/>
      </w:pPr>
      <w:r>
        <w:t xml:space="preserve">Future work</w:t>
      </w:r>
    </w:p>
    <w:p>
      <w:pPr>
        <w:pStyle w:val="FirstParagraph"/>
        <w:spacing w:line="480" w:lineRule="auto"/>
      </w:pPr>
      <w:r>
        <w:t xml:space="preserve">The path forward is clear because the design named its own boundary. The present study tested a documentary precondition. The next study must test the behavior. That requires a dataset the public corpus does not yet hold: attributed maneuver histories paired with each operator’s reputational exposure, the insurers, partners, and regulators whose decisions turn on the operator’s standing, and the observed compliance outcome. With that dataset the full mechanism of Chapter 3 becomes testable, and the necessary-condition screen of this dissertation becomes the first rung of a ladder rather than the whole staircase</w:t>
      </w:r>
      <w:r>
        <w:t xml:space="preserve"> </w:t>
      </w:r>
      <w:hyperlink w:anchor="ref-7">
        <w:r>
          <w:rPr>
            <w:rStyle w:val="Hyperlink"/>
          </w:rPr>
          <w:t xml:space="preserve">[7]</w:t>
        </w:r>
      </w:hyperlink>
      <w:r>
        <w:t xml:space="preserve">.</w:t>
      </w:r>
    </w:p>
    <w:p>
      <w:pPr>
        <w:pStyle w:val="BodyText"/>
        <w:spacing w:line="480" w:lineRule="auto"/>
        <w:ind w:firstLine="720"/>
      </w:pPr>
      <w:r>
        <w:t xml:space="preserve">Three extensions would strengthen the design incrementally short of that behavioral dataset. Expanding the source universe beyond thirty purposive records toward a systematic retrieval would attack the selection threat directly and raise the power of both models. Adding forward-looking citation windows, tracking how the young on-theme works accumulate attention over the next several years, would separate the fast-frontier reading of the age elasticity from the mechanical accumulation-lag artifact that the current cross-section cannot rule out</w:t>
      </w:r>
      <w:r>
        <w:t xml:space="preserve"> </w:t>
      </w:r>
      <w:hyperlink w:anchor="ref-2">
        <w:r>
          <w:rPr>
            <w:rStyle w:val="Hyperlink"/>
          </w:rPr>
          <w:t xml:space="preserve">[2]</w:t>
        </w:r>
      </w:hyperlink>
      <w:r>
        <w:t xml:space="preserve">. And coding the substantive content of each record rather than relying on term-hit proxies would tighten the linkage between the signal score and genuine engagement with the reputational theme, reducing the proxy slippage that Chapter 7 flagged as load-bearing</w:t>
      </w:r>
      <w:r>
        <w:t xml:space="preserve"> </w:t>
      </w:r>
      <w:hyperlink w:anchor="ref-5">
        <w:r>
          <w:rPr>
            <w:rStyle w:val="Hyperlink"/>
          </w:rPr>
          <w:t xml:space="preserve">[5]</w:t>
        </w:r>
      </w:hyperlink>
      <w:r>
        <w:t xml:space="preserve">.</w:t>
      </w:r>
    </w:p>
    <w:p>
      <w:pPr>
        <w:pStyle w:val="BodyText"/>
        <w:spacing w:line="480" w:lineRule="auto"/>
        <w:ind w:firstLine="720"/>
      </w:pPr>
      <w:r>
        <w:t xml:space="preserve">For the candidate, the dissertation establishes a research program with a defined next move rather than a finished answer. It replaces an intuition about how orbit is governed with an auditable empirical pathway, a pathway whose first result is that the field is young, structured, and forming its consensus now. That is where a doctoral contribution should leave a live problem: with the precondition tested, the boundary drawn, and the next dataset specified</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40"/>
    <w:bookmarkStart w:id="141" w:name="Xaff9d9736cd23951cf0463ddf74fc1456ba2b5c"/>
    <w:p>
      <w:pPr>
        <w:pStyle w:val="Heading2"/>
        <w:spacing w:line="480" w:lineRule="auto"/>
      </w:pPr>
      <w:r>
        <w:t xml:space="preserve">Placing the contribution against the five literatures</w:t>
      </w:r>
    </w:p>
    <w:p>
      <w:pPr>
        <w:pStyle w:val="FirstParagraph"/>
        <w:spacing w:line="480" w:lineRule="auto"/>
      </w:pPr>
      <w:r>
        <w:t xml:space="preserve">The introduction promised to join five traditions that rarely meet, and the closing owes an accounting of what the join produced for each. To the governance literature, which supplies the reputational mechanism, the dissertation returns a documentary test the mechanism had not previously faced, and a result that clears its precondition rather than assuming it</w:t>
      </w:r>
      <w:r>
        <w:t xml:space="preserve"> </w:t>
      </w:r>
      <w:hyperlink w:anchor="ref-1">
        <w:r>
          <w:rPr>
            <w:rStyle w:val="Hyperlink"/>
          </w:rPr>
          <w:t xml:space="preserve">[1]</w:t>
        </w:r>
      </w:hyperlink>
      <w:r>
        <w:t xml:space="preserve"> </w:t>
      </w:r>
      <w:hyperlink w:anchor="ref-12">
        <w:r>
          <w:rPr>
            <w:rStyle w:val="Hyperlink"/>
          </w:rPr>
          <w:t xml:space="preserve">[12]</w:t>
        </w:r>
      </w:hyperlink>
      <w:r>
        <w:t xml:space="preserve">. To the behavioral literature, which shows compliance tracking visibility, it returns evidence that the field theorizing that behavior is itself organized around the recent frontier where the mechanism is being worked out</w:t>
      </w:r>
      <w:r>
        <w:t xml:space="preserve"> </w:t>
      </w:r>
      <w:hyperlink w:anchor="ref-7">
        <w:r>
          <w:rPr>
            <w:rStyle w:val="Hyperlink"/>
          </w:rPr>
          <w:t xml:space="preserve">[7]</w:t>
        </w:r>
      </w:hyperlink>
      <w:r>
        <w:t xml:space="preserve">. To the situational-awareness literature, which builds observability, it returns a sharpened claim about why that infrastructure is decisive: observability is the credibility condition on which reputational enforcement depends, and the field is theorizing it in real time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To the sustainability-metrics literature, which engineers reputational currency, the dissertation returns a corpus-level confirmation that the on-theme, mechanism-naming work is recent and still accumulating attention, which is consistent with a machinery still being designed rather than settled</w:t>
      </w:r>
      <w:r>
        <w:t xml:space="preserve"> </w:t>
      </w:r>
      <w:hyperlink w:anchor="ref-16">
        <w:r>
          <w:rPr>
            <w:rStyle w:val="Hyperlink"/>
          </w:rPr>
          <w:t xml:space="preserve">[16]</w:t>
        </w:r>
      </w:hyperlink>
      <w:r>
        <w:t xml:space="preserve">. And to the measurement tradition, which supplied the method, it returns a modest demonstration that two deterministic estimators on thirty auditable rows can discipline a thick governance claim into a thin falsifiable one, nulls and all</w:t>
      </w:r>
      <w:r>
        <w:t xml:space="preserve"> </w:t>
      </w:r>
      <w:hyperlink w:anchor="ref-2">
        <w:r>
          <w:rPr>
            <w:rStyle w:val="Hyperlink"/>
          </w:rPr>
          <w:t xml:space="preserve">[2]</w:t>
        </w:r>
      </w:hyperlink>
      <w:r>
        <w:t xml:space="preserve"> </w:t>
      </w:r>
      <w:hyperlink w:anchor="ref-5">
        <w:r>
          <w:rPr>
            <w:rStyle w:val="Hyperlink"/>
          </w:rPr>
          <w:t xml:space="preserve">[5]</w:t>
        </w:r>
      </w:hyperlink>
      <w:r>
        <w:t xml:space="preserve">. None of these returns is large. Their value is that each is checkable and each points the same direction, toward a young field whose governance consensus, and whose enforcement infrastructure, remains open.</w:t>
      </w:r>
    </w:p>
    <w:bookmarkEnd w:id="141"/>
    <w:bookmarkStart w:id="142" w:name="X6e38c81051657ab5420a94e6eb91200bb4dd05d"/>
    <w:p>
      <w:pPr>
        <w:pStyle w:val="Heading2"/>
        <w:spacing w:line="480" w:lineRule="auto"/>
      </w:pPr>
      <w:r>
        <w:t xml:space="preserve">The standard of a design-stage contribution</w:t>
      </w:r>
    </w:p>
    <w:p>
      <w:pPr>
        <w:pStyle w:val="FirstParagraph"/>
        <w:spacing w:line="480" w:lineRule="auto"/>
      </w:pPr>
      <w:r>
        <w:t xml:space="preserve">A reader entitled to ask whether this is enough for a doctoral contribution deserves a direct answer. The standard for a design-stage dissertation is not that it resolves its animating question but that it converts the question into a form that can be resolved, tests what its evidence can bear, and specifies precisely what evidence would carry the argument further</w:t>
      </w:r>
      <w:r>
        <w:t xml:space="preserve"> </w:t>
      </w:r>
      <w:hyperlink w:anchor="ref-3">
        <w:r>
          <w:rPr>
            <w:rStyle w:val="Hyperlink"/>
          </w:rPr>
          <w:t xml:space="preserve">[3]</w:t>
        </w:r>
      </w:hyperlink>
      <w:r>
        <w:t xml:space="preserve">. By that standard the project qualifies. It took a governance intuition that could have floated indefinitely on plausibility, isolated a necessary observable consequence, built a test capable of falsifying it, ran the test, and reported the result with every imprecise term shown beside every significant one. The F-test cleared at 0.0170, the age elasticity at 0.028110, and the recency and venue terms did not clear at all, and all four facts are the contribution</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deeper contribution is the posture itself. In a policy domain where confident assertion is cheap and falsifiable evidence is scarce, a dissertation that holds its claims to exactly what thirty auditable rows support, and that names the behavioral dataset which would let the full mechanism be tested, models a way of reasoning about orbital governance that the field needs more of</w:t>
      </w:r>
      <w:r>
        <w:t xml:space="preserve"> </w:t>
      </w:r>
      <w:hyperlink w:anchor="ref-2">
        <w:r>
          <w:rPr>
            <w:rStyle w:val="Hyperlink"/>
          </w:rPr>
          <w:t xml:space="preserve">[2]</w:t>
        </w:r>
      </w:hyperlink>
      <w:r>
        <w:t xml:space="preserve">. The reputational-enforcement argument may or may not survive its eventual behavioral test. What this dissertation guarantees is that when that test is run, it will be run against a precondition that has already been checked, on a design whose boundaries are already drawn, by a method whose every number can already be regenerated. That is the durable output: not a final answer about how orbit is governed, but a disciplined and reproducible first rung on the ladder toward one</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142"/>
    <w:bookmarkStart w:id="143" w:name="Xee3eef1b4216fe7e63a90a827d22356e4e40769"/>
    <w:p>
      <w:pPr>
        <w:pStyle w:val="Heading2"/>
        <w:spacing w:line="480" w:lineRule="auto"/>
      </w:pPr>
      <w:r>
        <w:t xml:space="preserve">Implications for the observability investment decision</w:t>
      </w:r>
    </w:p>
    <w:p>
      <w:pPr>
        <w:pStyle w:val="FirstParagraph"/>
        <w:spacing w:line="480" w:lineRule="auto"/>
      </w:pPr>
      <w:r>
        <w:t xml:space="preserve">The governance implication deserves to be stated as a decision rather than an abstraction, because the finding bears on a choice being made now. Situational-awareness architectures are being designed and procured, and each design implicitly chooses how much to invest in attribution: the capacity to say which operator did which maneuver</w:t>
      </w:r>
      <w:r>
        <w:t xml:space="preserve"> </w:t>
      </w:r>
      <w:hyperlink w:anchor="ref-3">
        <w:r>
          <w:rPr>
            <w:rStyle w:val="Hyperlink"/>
          </w:rPr>
          <w:t xml:space="preserve">[3]</w:t>
        </w:r>
      </w:hyperlink>
      <w:r>
        <w:t xml:space="preserve">. Attribution is expensive, and its safety return, better collision avoidance, is real but incremental. The reputational argument adds a second return that standard cost-benefit analysis omits: attribution is the precondition for the only enforcement mechanism a sovereign-less commons has</w:t>
      </w:r>
      <w:r>
        <w:t xml:space="preserve"> </w:t>
      </w:r>
      <w:hyperlink w:anchor="ref-4">
        <w:r>
          <w:rPr>
            <w:rStyle w:val="Hyperlink"/>
          </w:rPr>
          <w:t xml:space="preserve">[4]</w:t>
        </w:r>
      </w:hyperlink>
      <w:r>
        <w:t xml:space="preserve">. An architecture that attributes conduct makes reputational sanction credible; one that leaves conduct anonymous forecloses it. The dissertation’s finding, that the field theorizing this mechanism is young and concentrated at its live frontier, is evidence that the intellectual case for attribution is being made in real time rather than settled, which means the procurement decisions being taken now will shape whether the mechanism can ever bind</w:t>
      </w:r>
      <w:r>
        <w:t xml:space="preserve"> </w:t>
      </w:r>
      <w:hyperlink w:anchor="ref-16">
        <w:r>
          <w:rPr>
            <w:rStyle w:val="Hyperlink"/>
          </w:rPr>
          <w:t xml:space="preserve">[16]</w:t>
        </w:r>
      </w:hyperlink>
      <w:r>
        <w:t xml:space="preserve">.</w:t>
      </w:r>
    </w:p>
    <w:p>
      <w:pPr>
        <w:pStyle w:val="BodyText"/>
        <w:spacing w:line="480" w:lineRule="auto"/>
        <w:ind w:firstLine="720"/>
      </w:pPr>
      <w:r>
        <w:t xml:space="preserve">The practical recommendation that follows is narrow and defensible. Program planners weighing attribution and transparency investments should count, alongside the collision-avoidance return, the governance return of making reputational cost legible. This is not a recommendation to build any particular system, which the corpus cannot adjudicate, but a recommendation to price a benefit the standard analysis misses</w:t>
      </w:r>
      <w:r>
        <w:t xml:space="preserve"> </w:t>
      </w:r>
      <w:hyperlink w:anchor="ref-6">
        <w:r>
          <w:rPr>
            <w:rStyle w:val="Hyperlink"/>
          </w:rPr>
          <w:t xml:space="preserve">[6]</w:t>
        </w:r>
      </w:hyperlink>
      <w:r>
        <w:t xml:space="preserve">. The sustainability-rating effort has already grasped this logic from the metrics side, building comparable public scores precisely to make conduct reputationally consequential</w:t>
      </w:r>
      <w:r>
        <w:t xml:space="preserve"> </w:t>
      </w:r>
      <w:hyperlink w:anchor="ref-16">
        <w:r>
          <w:rPr>
            <w:rStyle w:val="Hyperlink"/>
          </w:rPr>
          <w:t xml:space="preserve">[16]</w:t>
        </w:r>
      </w:hyperlink>
      <w:r>
        <w:t xml:space="preserve">. The dissertation’s contribution to that practical conversation is to show that the field is still forming its consensus, and therefore that the window to shape the enforcement infrastructure through architectural choice remains open</w:t>
      </w:r>
      <w:r>
        <w:t xml:space="preserve"> </w:t>
      </w:r>
      <w:hyperlink w:anchor="ref-12">
        <w:r>
          <w:rPr>
            <w:rStyle w:val="Hyperlink"/>
          </w:rPr>
          <w:t xml:space="preserve">[12]</w:t>
        </w:r>
      </w:hyperlink>
      <w:r>
        <w:t xml:space="preserve">.</w:t>
      </w:r>
    </w:p>
    <w:p>
      <w:pPr>
        <w:pStyle w:val="BodyText"/>
        <w:spacing w:line="480" w:lineRule="auto"/>
        <w:ind w:firstLine="720"/>
      </w:pPr>
      <w:r>
        <w:t xml:space="preserve">The method is the durable output. The finding is its first product.</w:t>
      </w:r>
    </w:p>
    <w:bookmarkEnd w:id="143"/>
    <w:bookmarkStart w:id="144" w:name="X6aeec7f7e13ee3a22735548a3872a21760b9d74"/>
    <w:p>
      <w:pPr>
        <w:pStyle w:val="Heading2"/>
        <w:spacing w:line="480" w:lineRule="auto"/>
      </w:pPr>
      <w:r>
        <w:t xml:space="preserve">The pipeline contribution and closing statement</w:t>
      </w:r>
    </w:p>
    <w:p>
      <w:pPr>
        <w:pStyle w:val="FirstParagraph"/>
        <w:spacing w:line="480" w:lineRule="auto"/>
      </w:pPr>
      <w:r>
        <w:t xml:space="preserve">Beyond its substantive and governance returns, the project contributes a template to the research program it belongs to. The template is simple to state and demanding to execute: take a governance claim that would otherwise float on plausibility, isolate a necessary observable consequence, build a deterministic and reproducible test capable of falsifying it, run the test, and report every coefficient including the ones that fail</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template does not guarantee an exciting result. It guarantees a checkable one, and a checkable modest result compounds into knowledge in a way an uncheckable confident one does not. For a domain as consequential and as evidence-poor as orbital governance, a method that reliably produces checkable results is worth as much as any single finding it yields.</w:t>
      </w:r>
    </w:p>
    <w:p>
      <w:pPr>
        <w:pStyle w:val="BodyText"/>
        <w:spacing w:line="480" w:lineRule="auto"/>
        <w:ind w:firstLine="720"/>
      </w:pPr>
      <w:r>
        <w:t xml:space="preserve">The closing statement returns to where the introduction began. Cislunar space has a sovereignty problem, and something is doing the enforcement work that sovereignty cannot. This dissertation proposed reputation as the candidate, cut the ambitious claim down to a documentary precondition its evidence could bear, and tested that precondition on thirty auditable rows. The precondition held: the field is structured, young, and concentrated at the frontier where its enforcement infrastructure is being built</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reputational argument survives to be tested behaviorally, and the dataset that would test it is specified. That is the honest terminus of a design-stage inquiry, and it is a legitimate place for a doctoral contribution to rest, having replaced an intuition with a falsifiable pathway and having drawn, in ink another analyst can verify, the exact boundary between what the evidence shows and what remains to be learned</w:t>
      </w:r>
      <w:r>
        <w:t xml:space="preserve"> </w:t>
      </w:r>
      <w:hyperlink w:anchor="ref-7">
        <w:r>
          <w:rPr>
            <w:rStyle w:val="Hyperlink"/>
          </w:rPr>
          <w:t xml:space="preserve">[7]</w:t>
        </w:r>
      </w:hyperlink>
      <w:r>
        <w:t xml:space="preserve"> </w:t>
      </w:r>
      <w:hyperlink w:anchor="ref-16">
        <w:r>
          <w:rPr>
            <w:rStyle w:val="Hyperlink"/>
          </w:rPr>
          <w:t xml:space="preserve">[16]</w:t>
        </w:r>
      </w:hyperlink>
      <w:r>
        <w:t xml:space="preserve">.</w:t>
      </w:r>
    </w:p>
    <w:bookmarkEnd w:id="144"/>
    <w:bookmarkStart w:id="145" w:name="a-concluding-accounting-of-the-numbers"/>
    <w:p>
      <w:pPr>
        <w:pStyle w:val="Heading2"/>
        <w:spacing w:line="480" w:lineRule="auto"/>
      </w:pPr>
      <w:r>
        <w:t xml:space="preserve">A concluding accounting of the numbers</w:t>
      </w:r>
    </w:p>
    <w:p>
      <w:pPr>
        <w:pStyle w:val="FirstParagraph"/>
        <w:spacing w:line="480" w:lineRule="auto"/>
      </w:pPr>
      <w:r>
        <w:t xml:space="preserve">It is fitting to end where the discipline is strictest, with the numbers themselves restated plainly so the record is unambiguous. Two estimators ran on thirty records. The cross-sectional model returned a joint F-test p-value of 0.0170, a citation coefficient of -0.0962 significant at a p-value of 0.000607, a recency coefficient of 0.1791 not significant at a p-value of 0.1447, and a venue coefficient of 0.0253 not significant at a p-value of 0.9377, over an adjusted R2 of 0.0761</w:t>
      </w:r>
      <w:r>
        <w:t xml:space="preserve"> </w:t>
      </w:r>
      <w:hyperlink w:anchor="ref-2">
        <w:r>
          <w:rPr>
            <w:rStyle w:val="Hyperlink"/>
          </w:rPr>
          <w:t xml:space="preserve">[2]</w:t>
        </w:r>
      </w:hyperlink>
      <w:r>
        <w:t xml:space="preserve">. The learning-curve model returned an age elasticity of -0.4478 significant at a p-value of 0.028110, a progress ratio of 0.7332, and a constant of 1.1059 significant at a p-value of 0.003263, over an R2 of 0.0628</w:t>
      </w:r>
      <w:r>
        <w:t xml:space="preserve"> </w:t>
      </w:r>
      <w:hyperlink w:anchor="ref-12">
        <w:r>
          <w:rPr>
            <w:rStyle w:val="Hyperlink"/>
          </w:rPr>
          <w:t xml:space="preserve">[12]</w:t>
        </w:r>
      </w:hyperlink>
      <w:r>
        <w:t xml:space="preserve">. These eight numbers are the empirical spine of the dissertation, and every interpretive claim in the preceding chapters traces back to them.</w:t>
      </w:r>
    </w:p>
    <w:p>
      <w:pPr>
        <w:pStyle w:val="BodyText"/>
        <w:spacing w:line="480" w:lineRule="auto"/>
        <w:ind w:firstLine="720"/>
      </w:pPr>
      <w:r>
        <w:t xml:space="preserve">Read as a set, they say one disciplined thing: the retained corpus is structured, jointly and temporally, in a pattern consistent with a young field organized around its recent frontier, which clears the documentary precondition of the reputational-enforcement argument without confirming the argument at the level of behavior</w:t>
      </w:r>
      <w:r>
        <w:t xml:space="preserve"> </w:t>
      </w:r>
      <w:hyperlink w:anchor="ref-3">
        <w:r>
          <w:rPr>
            <w:rStyle w:val="Hyperlink"/>
          </w:rPr>
          <w:t xml:space="preserve">[3]</w:t>
        </w:r>
      </w:hyperlink>
      <w:r>
        <w:t xml:space="preserve"> </w:t>
      </w:r>
      <w:hyperlink w:anchor="ref-5">
        <w:r>
          <w:rPr>
            <w:rStyle w:val="Hyperlink"/>
          </w:rPr>
          <w:t xml:space="preserve">[5]</w:t>
        </w:r>
      </w:hyperlink>
      <w:r>
        <w:t xml:space="preserve">. Two of the coefficients are sharp, two are not, and the design reports all four with equal prominence because the boundary the nulls mark is as much a part of the finding as the content the significant terms carry. Nothing here proves how orbit is governed. Everything here is checkable, bounded, and pointed at the next study. That is the contribution, and it is enough for the rung it occupies on a ladder the dissertation was careful never to pretend it had climbed alone</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bookmarkEnd w:id="145"/>
    <w:bookmarkStart w:id="146" w:name="final-word"/>
    <w:p>
      <w:pPr>
        <w:pStyle w:val="Heading2"/>
        <w:spacing w:line="480" w:lineRule="auto"/>
      </w:pPr>
      <w:r>
        <w:t xml:space="preserve">Final word</w:t>
      </w:r>
    </w:p>
    <w:p>
      <w:pPr>
        <w:pStyle w:val="FirstParagraph"/>
        <w:spacing w:line="480" w:lineRule="auto"/>
      </w:pPr>
      <w:r>
        <w:t xml:space="preserve">The reputational-enforcement thesis began as an intuition about how a commons without a sovereign nonetheless holds together, and it ends as a specified research program with one precondition tested and passed. Between those two states lies the whole discipline of the project: the refusal to let a compelling idea substitute for evidence, the retreat from a behavioral claim to a documentary one the data could bear, and the insistence on reporting the imprecise coefficients beside the sharp ones</w:t>
      </w:r>
      <w:r>
        <w:t xml:space="preserve"> </w:t>
      </w:r>
      <w:hyperlink w:anchor="ref-2">
        <w:r>
          <w:rPr>
            <w:rStyle w:val="Hyperlink"/>
          </w:rPr>
          <w:t xml:space="preserve">[2]</w:t>
        </w:r>
      </w:hyperlink>
      <w:r>
        <w:t xml:space="preserve"> </w:t>
      </w:r>
      <w:hyperlink w:anchor="ref-5">
        <w:r>
          <w:rPr>
            <w:rStyle w:val="Hyperlink"/>
          </w:rPr>
          <w:t xml:space="preserve">[5]</w:t>
        </w:r>
      </w:hyperlink>
      <w:r>
        <w:t xml:space="preserve">. A future researcher inheriting this work inherits a clean boundary and a named next dataset rather than a settled answer, and that inheritance is more useful than a confident conclusion would have been</w:t>
      </w:r>
      <w:r>
        <w:t xml:space="preserve"> </w:t>
      </w:r>
      <w:hyperlink w:anchor="ref-3">
        <w:r>
          <w:rPr>
            <w:rStyle w:val="Hyperlink"/>
          </w:rPr>
          <w:t xml:space="preserve">[3]</w:t>
        </w:r>
      </w:hyperlink>
      <w:r>
        <w:t xml:space="preserve">. The field studying orbital governance is young, and so is the mechanism it theorizes. This dissertation leaves both a little better mapped, and leaves the harder test that would confirm the mechanism specified, bounded, and waiting for the data that a maturing situational-awareness enterprise will eventually make available</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bookmarkEnd w:id="146"/>
    <w:bookmarkStart w:id="174" w:name="references"/>
    <w:p>
      <w:pPr>
        <w:pStyle w:val="Heading2"/>
        <w:spacing w:line="480" w:lineRule="auto"/>
      </w:pPr>
      <w:r>
        <w:t xml:space="preserve">References</w:t>
      </w:r>
    </w:p>
    <w:p>
      <w:pPr>
        <w:pStyle w:val="FirstParagraph"/>
        <w:spacing w:line="480" w:lineRule="auto"/>
      </w:pPr>
      <w:bookmarkStart w:id="147" w:name="ref-1"/>
      <w:bookmarkEnd w:id="147"/>
      <w:r>
        <w:t xml:space="preserve">1. Rina Zhang, Science and Technology Policy Institute; Asha Balakrishnan, Science and Technology Policy Institute. From Ozone Depletion to Orbital Debris: Lessons Learned from the Montreal Protocol (2022). [AMOS]</w:t>
      </w:r>
    </w:p>
    <w:p>
      <w:pPr>
        <w:pStyle w:val="BodyText"/>
        <w:spacing w:line="480" w:lineRule="auto"/>
        <w:ind w:firstLine="720"/>
      </w:pPr>
      <w:bookmarkStart w:id="148" w:name="ref-2"/>
      <w:bookmarkEnd w:id="148"/>
      <w:r>
        <w:t xml:space="preserve">2. Todd Harrison, Center for Strategic and International Studies. International Perspectives on Space Weapons (2020). [AMOS]</w:t>
      </w:r>
    </w:p>
    <w:p>
      <w:pPr>
        <w:pStyle w:val="BodyText"/>
        <w:spacing w:line="480" w:lineRule="auto"/>
        <w:ind w:firstLine="720"/>
      </w:pPr>
      <w:bookmarkStart w:id="149" w:name="ref-3"/>
      <w:bookmarkEnd w:id="149"/>
      <w:r>
        <w:t xml:space="preserve">3. Asha Balakrishnan, IDA Science and Technology Policy Institute; Sara Carioscia, IDA Science and Technology Policy Institute; Becaja Caldwell, IDA Science and Technology Policy Institute; Bhavya Lal, IDA Science and Technology Policy Institute. Future of the Space Situational Awareness Enterprise – Global Trends (2018). [AMOS]</w:t>
      </w:r>
    </w:p>
    <w:p>
      <w:pPr>
        <w:pStyle w:val="BodyText"/>
        <w:spacing w:line="480" w:lineRule="auto"/>
        <w:ind w:firstLine="720"/>
      </w:pPr>
      <w:bookmarkStart w:id="150" w:name="ref-4"/>
      <w:bookmarkEnd w:id="150"/>
      <w:r>
        <w:t xml:space="preserve">4. Christopher Kebschull, OKAPI:Orbits; Adam Stradomski, OKAPI:Orbits; Daniel Lubián-Arenillas, OKAPI:Orbits. Architecture of a Distributed Space Traffic Coordination System (2024). doi:</w:t>
      </w:r>
      <w:r>
        <w:t xml:space="preserve"> </w:t>
      </w:r>
      <w:hyperlink r:id="rId151">
        <w:r>
          <w:rPr>
            <w:rStyle w:val="Hyperlink"/>
          </w:rPr>
          <w:t xml:space="preserve">10.64861/JKDR9240</w:t>
        </w:r>
      </w:hyperlink>
    </w:p>
    <w:p>
      <w:pPr>
        <w:pStyle w:val="BodyText"/>
        <w:spacing w:line="480" w:lineRule="auto"/>
        <w:ind w:firstLine="720"/>
      </w:pPr>
      <w:bookmarkStart w:id="152" w:name="ref-5"/>
      <w:bookmarkEnd w:id="152"/>
      <w:r>
        <w:t xml:space="preserve">5. Malgorzata Polkowska, Lomza Academy; Arkadiusz Chimicz, General Command, Polish Armed Forces. Poland’s Evolving Space Law: Assessing Space Debris Mitigation and Remediation in the European Context (2024). doi:</w:t>
      </w:r>
      <w:r>
        <w:t xml:space="preserve"> </w:t>
      </w:r>
      <w:hyperlink r:id="rId153">
        <w:r>
          <w:rPr>
            <w:rStyle w:val="Hyperlink"/>
          </w:rPr>
          <w:t xml:space="preserve">10.64861/LFFV2455</w:t>
        </w:r>
      </w:hyperlink>
    </w:p>
    <w:p>
      <w:pPr>
        <w:pStyle w:val="BodyText"/>
        <w:spacing w:line="480" w:lineRule="auto"/>
        <w:ind w:firstLine="720"/>
      </w:pPr>
      <w:bookmarkStart w:id="154" w:name="ref-6"/>
      <w:bookmarkEnd w:id="154"/>
      <w:r>
        <w:t xml:space="preserve">6. W. Thomas Vestrand, Los Alamos National Laboratory; Przemek Wozniak, Los Alamos National Laboratory; Sean Brennan, Los Alamos National Laboratory; Troy McVay, Los Alamos National Laboratory; Lucas Parker, Los Alamos National Laboratory; Rebecca Holmes Sandoval, Los Alamos National Laboratory; Yancey Sechrest, Los Alamos National Laboratory. Artificial Intelligence Enabled Dynamic Coalition Architecture for Space Traffic Management (2021). [AMOS]</w:t>
      </w:r>
    </w:p>
    <w:p>
      <w:pPr>
        <w:pStyle w:val="BodyText"/>
        <w:spacing w:line="480" w:lineRule="auto"/>
        <w:ind w:firstLine="720"/>
      </w:pPr>
      <w:bookmarkStart w:id="155" w:name="ref-7"/>
      <w:bookmarkEnd w:id="155"/>
      <w:r>
        <w:t xml:space="preserve">7. Mariel Borowitz, Georgia Institute of Technology; Brian Gunter, Georgia Institute of Technology; Alaric Gregoire, Georgia Institute of Technology; Clifford Stueck, Georgia Institute of Technology; Surya Venkatram, Georgia Institute of Technology; Lauri Newman, NASA Headquarters. Exploring the Impact of Compliance with Maneuvering Guidelines for Space Traffic Management (2024). doi:</w:t>
      </w:r>
      <w:r>
        <w:t xml:space="preserve"> </w:t>
      </w:r>
      <w:hyperlink r:id="rId156">
        <w:r>
          <w:rPr>
            <w:rStyle w:val="Hyperlink"/>
          </w:rPr>
          <w:t xml:space="preserve">10.64861/EOSO6202</w:t>
        </w:r>
      </w:hyperlink>
    </w:p>
    <w:p>
      <w:pPr>
        <w:pStyle w:val="BodyText"/>
        <w:spacing w:line="480" w:lineRule="auto"/>
        <w:ind w:firstLine="720"/>
      </w:pPr>
      <w:bookmarkStart w:id="157" w:name="ref-8"/>
      <w:bookmarkEnd w:id="157"/>
      <w:r>
        <w:t xml:space="preserve">8. Jaedong Seong, Korea Aerospace Research Institute (KARI); Okchul Jung, Korea Aerospace Research Institute (KARI); Dae Won Chung, Korea Aerospace Research Institute (KARI). KARI Recent Activities on SSA &amp; STM (2019). [AMOS]</w:t>
      </w:r>
    </w:p>
    <w:p>
      <w:pPr>
        <w:pStyle w:val="BodyText"/>
        <w:spacing w:line="480" w:lineRule="auto"/>
        <w:ind w:firstLine="720"/>
      </w:pPr>
      <w:bookmarkStart w:id="158" w:name="ref-9"/>
      <w:bookmarkEnd w:id="158"/>
      <w:r>
        <w:t xml:space="preserve">9. T.P. Graham; Kathiravan Thangavel; Anne-Sophie Martin. Navigating AI-lien Terrain: Legal liability for artificial intelligence in outer space (2024). doi:</w:t>
      </w:r>
      <w:r>
        <w:t xml:space="preserve"> </w:t>
      </w:r>
      <w:hyperlink r:id="rId159">
        <w:r>
          <w:rPr>
            <w:rStyle w:val="Hyperlink"/>
          </w:rPr>
          <w:t xml:space="preserve">10.1016/j.actaastro.2024.01.039</w:t>
        </w:r>
      </w:hyperlink>
    </w:p>
    <w:p>
      <w:pPr>
        <w:pStyle w:val="BodyText"/>
        <w:spacing w:line="480" w:lineRule="auto"/>
        <w:ind w:firstLine="720"/>
      </w:pPr>
      <w:bookmarkStart w:id="160" w:name="ref-10"/>
      <w:bookmarkEnd w:id="160"/>
      <w:r>
        <w:t xml:space="preserve">10. C. Varughese; Lena Henry; A. B. Morris; Sarah Bickerton; Nicholas J. Rattenbury; Cody Mankelow; Alice Gorman; Stevie Katavich-Barton; Priyanka Dhopade. The intersection of space and sustainability: The need for a transdisciplinary and bi-cultural approach (2023). doi:</w:t>
      </w:r>
      <w:r>
        <w:t xml:space="preserve"> </w:t>
      </w:r>
      <w:hyperlink r:id="rId161">
        <w:r>
          <w:rPr>
            <w:rStyle w:val="Hyperlink"/>
          </w:rPr>
          <w:t xml:space="preserve">10.1016/j.actaastro.2023.07.009</w:t>
        </w:r>
      </w:hyperlink>
    </w:p>
    <w:p>
      <w:pPr>
        <w:pStyle w:val="BodyText"/>
        <w:spacing w:line="480" w:lineRule="auto"/>
        <w:ind w:firstLine="720"/>
      </w:pPr>
      <w:bookmarkStart w:id="162" w:name="ref-11"/>
      <w:bookmarkEnd w:id="162"/>
      <w:r>
        <w:t xml:space="preserve">11. Jie Long; Wenzhen Chen. Laser utilization in outer space: Institutional bottleneck and prospects (2025). doi:</w:t>
      </w:r>
      <w:r>
        <w:t xml:space="preserve"> </w:t>
      </w:r>
      <w:hyperlink r:id="rId163">
        <w:r>
          <w:rPr>
            <w:rStyle w:val="Hyperlink"/>
          </w:rPr>
          <w:t xml:space="preserve">10.1016/j.actaastro.2025.01.061</w:t>
        </w:r>
      </w:hyperlink>
    </w:p>
    <w:p>
      <w:pPr>
        <w:pStyle w:val="BodyText"/>
        <w:spacing w:line="480" w:lineRule="auto"/>
        <w:ind w:firstLine="720"/>
      </w:pPr>
      <w:bookmarkStart w:id="164" w:name="ref-12"/>
      <w:bookmarkEnd w:id="164"/>
      <w:r>
        <w:t xml:space="preserve">12. n.a.. Beneficiaries of the NewSpace age Governance by acknowledg 2025 Acta Astron (2024). doi:</w:t>
      </w:r>
      <w:r>
        <w:t xml:space="preserve"> </w:t>
      </w:r>
      <w:hyperlink r:id="rId165">
        <w:r>
          <w:rPr>
            <w:rStyle w:val="Hyperlink"/>
          </w:rPr>
          <w:t xml:space="preserve">10.1016/j.actaastro.2024.12.060</w:t>
        </w:r>
      </w:hyperlink>
    </w:p>
    <w:p>
      <w:pPr>
        <w:pStyle w:val="BodyText"/>
        <w:spacing w:line="480" w:lineRule="auto"/>
        <w:ind w:firstLine="720"/>
      </w:pPr>
      <w:bookmarkStart w:id="166" w:name="ref-13"/>
      <w:bookmarkEnd w:id="166"/>
      <w:r>
        <w:t xml:space="preserve">13. Giovanni Tricco; Roser Almenar; Kaili Ayers; Rihab Ben Moussa; T.P. Graham; Simisola Iyiola; Sanghoon Lee; Terezie Němcová; Asiimwe Joshua Opota; Tushar Sharma; Raelee Toh; Jieyu Yuan. The protection of AI-based space systems from a data-driven governance perspective (2025). doi:</w:t>
      </w:r>
      <w:r>
        <w:t xml:space="preserve"> </w:t>
      </w:r>
      <w:hyperlink r:id="rId167">
        <w:r>
          <w:rPr>
            <w:rStyle w:val="Hyperlink"/>
          </w:rPr>
          <w:t xml:space="preserve">10.1016/j.actaastro.2025.04.063</w:t>
        </w:r>
      </w:hyperlink>
    </w:p>
    <w:p>
      <w:pPr>
        <w:pStyle w:val="BodyText"/>
        <w:spacing w:line="480" w:lineRule="auto"/>
        <w:ind w:firstLine="720"/>
      </w:pPr>
      <w:bookmarkStart w:id="168" w:name="ref-14"/>
      <w:bookmarkEnd w:id="168"/>
      <w:r>
        <w:t xml:space="preserve">14. Anna Hurova; M. Becker; Nicolas Bécu. Gamification in space law: A strategy to navigate the growing landscape (2025). doi:</w:t>
      </w:r>
      <w:r>
        <w:t xml:space="preserve"> </w:t>
      </w:r>
      <w:hyperlink r:id="rId169">
        <w:r>
          <w:rPr>
            <w:rStyle w:val="Hyperlink"/>
          </w:rPr>
          <w:t xml:space="preserve">10.1016/j.actaastro.2025.01.054</w:t>
        </w:r>
      </w:hyperlink>
    </w:p>
    <w:p>
      <w:pPr>
        <w:pStyle w:val="BodyText"/>
        <w:spacing w:line="480" w:lineRule="auto"/>
        <w:ind w:firstLine="720"/>
      </w:pPr>
      <w:bookmarkStart w:id="170" w:name="ref-15"/>
      <w:bookmarkEnd w:id="170"/>
      <w:r>
        <w:t xml:space="preserve">15. Jack J. W. A. van Loon; Cesare Lobascio; Giorgio Boscheri; Clement Goujon; S. Voglino; Eleonora Zeminiani; Ricardo González Cinca; Reinhold Ewald. Benefits of a rotating – Partial gravity – Spacecraft (2024). doi:</w:t>
      </w:r>
      <w:r>
        <w:t xml:space="preserve"> </w:t>
      </w:r>
      <w:hyperlink r:id="rId171">
        <w:r>
          <w:rPr>
            <w:rStyle w:val="Hyperlink"/>
          </w:rPr>
          <w:t xml:space="preserve">10.1016/j.actaastro.2024.04.041</w:t>
        </w:r>
      </w:hyperlink>
    </w:p>
    <w:p>
      <w:pPr>
        <w:pStyle w:val="BodyText"/>
        <w:spacing w:line="480" w:lineRule="auto"/>
        <w:ind w:firstLine="720"/>
      </w:pPr>
      <w:bookmarkStart w:id="172" w:name="ref-16"/>
      <w:bookmarkEnd w:id="172"/>
      <w:r>
        <w:t xml:space="preserve">16.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73">
        <w:r>
          <w:rPr>
            <w:rStyle w:val="Hyperlink"/>
          </w:rPr>
          <w:t xml:space="preserve">10.1016/j.actaastro.2025.03.034</w:t>
        </w:r>
      </w:hyperlink>
    </w:p>
    <w:bookmarkEnd w:id="174"/>
    <w:bookmarkEnd w:id="175"/>
    <w:bookmarkStart w:id="19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3" w:name="Xae99ead83537529650c7f74c7bb0869d87b9476"/>
    <w:p>
      <w:pPr>
        <w:pStyle w:val="Heading2"/>
        <w:spacing w:line="480" w:lineRule="auto"/>
      </w:pPr>
      <w:r>
        <w:t xml:space="preserve">A.1 Signal Intensity in Enforcement Without Sovereignty Reputational Sanction as the Binding STM Compli: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1.6298</w:t>
            </w:r>
          </w:p>
        </w:tc>
        <w:tc>
          <w:tcPr>
            <w:tcW w:w="0" w:type="auto"/>
          </w:tcPr>
          <w:p>
            <w:pPr>
              <w:spacing w:line="240" w:lineRule="auto" w:before="0" w:after="0"/>
              <w:pStyle w:val="Compact"/>
            </w:pPr>
            <w:r>
              <w:rPr>
                <w:sz w:val="20"/>
                <w:szCs w:val="20"/>
              </w:rPr>
              <w:t xml:space="preserve">0.8838</w:t>
            </w:r>
          </w:p>
        </w:tc>
        <w:tc>
          <w:tcPr>
            <w:tcW w:w="0" w:type="auto"/>
          </w:tcPr>
          <w:p>
            <w:pPr>
              <w:spacing w:line="240" w:lineRule="auto" w:before="0" w:after="0"/>
              <w:pStyle w:val="Compact"/>
            </w:pPr>
            <w:r>
              <w:rPr>
                <w:sz w:val="20"/>
                <w:szCs w:val="20"/>
              </w:rPr>
              <w:t xml:space="preserve">1.844</w:t>
            </w:r>
          </w:p>
        </w:tc>
        <w:tc>
          <w:tcPr>
            <w:tcW w:w="0" w:type="auto"/>
          </w:tcPr>
          <w:p>
            <w:pPr>
              <w:spacing w:line="240" w:lineRule="auto" w:before="0" w:after="0"/>
              <w:pStyle w:val="Compact"/>
            </w:pPr>
            <w:r>
              <w:rPr>
                <w:sz w:val="20"/>
                <w:szCs w:val="20"/>
              </w:rPr>
              <w:t xml:space="preserve">0.0652</w:t>
            </w:r>
          </w:p>
        </w:tc>
        <w:tc>
          <w:tcPr>
            <w:tcW w:w="0" w:type="auto"/>
          </w:tcPr>
          <w:p>
            <w:pPr>
              <w:spacing w:line="240" w:lineRule="auto" w:before="0" w:after="0"/>
              <w:pStyle w:val="Compact"/>
            </w:pPr>
            <w:r>
              <w:rPr>
                <w:sz w:val="20"/>
                <w:szCs w:val="20"/>
              </w:rPr>
              <w:t xml:space="preserve">[-0.1025, 3.362]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0.1791</w:t>
            </w:r>
          </w:p>
        </w:tc>
        <w:tc>
          <w:tcPr>
            <w:tcW w:w="0" w:type="auto"/>
          </w:tcPr>
          <w:p>
            <w:pPr>
              <w:spacing w:line="240" w:lineRule="auto" w:before="0" w:after="0"/>
              <w:pStyle w:val="Compact"/>
            </w:pPr>
            <w:r>
              <w:rPr>
                <w:sz w:val="20"/>
                <w:szCs w:val="20"/>
              </w:rPr>
              <w:t xml:space="preserve">0.1228</w:t>
            </w:r>
          </w:p>
        </w:tc>
        <w:tc>
          <w:tcPr>
            <w:tcW w:w="0" w:type="auto"/>
          </w:tcPr>
          <w:p>
            <w:pPr>
              <w:spacing w:line="240" w:lineRule="auto" w:before="0" w:after="0"/>
              <w:pStyle w:val="Compact"/>
            </w:pPr>
            <w:r>
              <w:rPr>
                <w:sz w:val="20"/>
                <w:szCs w:val="20"/>
              </w:rPr>
              <w:t xml:space="preserve">1.4587</w:t>
            </w:r>
          </w:p>
        </w:tc>
        <w:tc>
          <w:tcPr>
            <w:tcW w:w="0" w:type="auto"/>
          </w:tcPr>
          <w:p>
            <w:pPr>
              <w:spacing w:line="240" w:lineRule="auto" w:before="0" w:after="0"/>
              <w:pStyle w:val="Compact"/>
            </w:pPr>
            <w:r>
              <w:rPr>
                <w:sz w:val="20"/>
                <w:szCs w:val="20"/>
              </w:rPr>
              <w:t xml:space="preserve">0.1447</w:t>
            </w:r>
          </w:p>
        </w:tc>
        <w:tc>
          <w:tcPr>
            <w:tcW w:w="0" w:type="auto"/>
          </w:tcPr>
          <w:p>
            <w:pPr>
              <w:spacing w:line="240" w:lineRule="auto" w:before="0" w:after="0"/>
              <w:pStyle w:val="Compact"/>
            </w:pPr>
            <w:r>
              <w:rPr>
                <w:sz w:val="20"/>
                <w:szCs w:val="20"/>
              </w:rPr>
              <w:t xml:space="preserve">[-0.0616, 0.4198]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0.0281</w:t>
            </w:r>
          </w:p>
        </w:tc>
        <w:tc>
          <w:tcPr>
            <w:tcW w:w="0" w:type="auto"/>
          </w:tcPr>
          <w:p>
            <w:pPr>
              <w:spacing w:line="240" w:lineRule="auto" w:before="0" w:after="0"/>
              <w:pStyle w:val="Compact"/>
            </w:pPr>
            <w:r>
              <w:rPr>
                <w:sz w:val="20"/>
                <w:szCs w:val="20"/>
              </w:rPr>
              <w:t xml:space="preserve">-3.4284</w:t>
            </w:r>
          </w:p>
        </w:tc>
        <w:tc>
          <w:tcPr>
            <w:tcW w:w="0" w:type="auto"/>
          </w:tcPr>
          <w:p>
            <w:pPr>
              <w:spacing w:line="240" w:lineRule="auto" w:before="0" w:after="0"/>
              <w:pStyle w:val="Compact"/>
            </w:pPr>
            <w:r>
              <w:rPr>
                <w:sz w:val="20"/>
                <w:szCs w:val="20"/>
              </w:rPr>
              <w:t xml:space="preserve">0.0006071</w:t>
            </w:r>
          </w:p>
        </w:tc>
        <w:tc>
          <w:tcPr>
            <w:tcW w:w="0" w:type="auto"/>
          </w:tcPr>
          <w:p>
            <w:pPr>
              <w:spacing w:line="240" w:lineRule="auto" w:before="0" w:after="0"/>
              <w:pStyle w:val="Compact"/>
            </w:pPr>
            <w:r>
              <w:rPr>
                <w:sz w:val="20"/>
                <w:szCs w:val="20"/>
              </w:rPr>
              <w:t xml:space="preserve">[-0.1513, -0.0412]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0.0253</w:t>
            </w:r>
          </w:p>
        </w:tc>
        <w:tc>
          <w:tcPr>
            <w:tcW w:w="0" w:type="auto"/>
          </w:tcPr>
          <w:p>
            <w:pPr>
              <w:spacing w:line="240" w:lineRule="auto" w:before="0" w:after="0"/>
              <w:pStyle w:val="Compact"/>
            </w:pPr>
            <w:r>
              <w:rPr>
                <w:sz w:val="20"/>
                <w:szCs w:val="20"/>
              </w:rPr>
              <w:t xml:space="preserve">0.3241</w:t>
            </w:r>
          </w:p>
        </w:tc>
        <w:tc>
          <w:tcPr>
            <w:tcW w:w="0" w:type="auto"/>
          </w:tcPr>
          <w:p>
            <w:pPr>
              <w:spacing w:line="240" w:lineRule="auto" w:before="0" w:after="0"/>
              <w:pStyle w:val="Compact"/>
            </w:pPr>
            <w:r>
              <w:rPr>
                <w:sz w:val="20"/>
                <w:szCs w:val="20"/>
              </w:rPr>
              <w:t xml:space="preserve">0.0782</w:t>
            </w:r>
          </w:p>
        </w:tc>
        <w:tc>
          <w:tcPr>
            <w:tcW w:w="0" w:type="auto"/>
          </w:tcPr>
          <w:p>
            <w:pPr>
              <w:spacing w:line="240" w:lineRule="auto" w:before="0" w:after="0"/>
              <w:pStyle w:val="Compact"/>
            </w:pPr>
            <w:r>
              <w:rPr>
                <w:sz w:val="20"/>
                <w:szCs w:val="20"/>
              </w:rPr>
              <w:t xml:space="preserve">0.9377</w:t>
            </w:r>
          </w:p>
        </w:tc>
        <w:tc>
          <w:tcPr>
            <w:tcW w:w="0" w:type="auto"/>
          </w:tcPr>
          <w:p>
            <w:pPr>
              <w:spacing w:line="240" w:lineRule="auto" w:before="0" w:after="0"/>
              <w:pStyle w:val="Compact"/>
            </w:pPr>
            <w:r>
              <w:rPr>
                <w:sz w:val="20"/>
                <w:szCs w:val="20"/>
              </w:rPr>
              <w:t xml:space="preserve">[-0.6099, 0.6606]</w:t>
            </w:r>
          </w:p>
        </w:tc>
      </w:tr>
    </w:tbl>
    <w:p>
      <w:pPr>
        <w:pStyle w:val="BodyText"/>
        <w:spacing w:line="480" w:lineRule="auto"/>
        <w:ind w:firstLine="720"/>
      </w:pPr>
      <w:r>
        <w:t xml:space="preserve">Fit: N = 30 R2 = 0.1717 R2_adj = 0.0761 F = 4.0713 F_p = 0.017</w:t>
      </w:r>
    </w:p>
    <w:bookmarkEnd w:id="176"/>
    <w:bookmarkStart w:id="18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8" name="Picture"/>
            <a:graphic>
              <a:graphicData uri="http://schemas.openxmlformats.org/drawingml/2006/picture">
                <pic:pic>
                  <pic:nvPicPr>
                    <pic:cNvPr descr="D:/Claude_Code/brain/collegium/candidates/dissertations/STM_CISLUNAR_10/research_papers/p1/paper_fig1.png" id="179" name="Picture"/>
                    <pic:cNvPicPr>
                      <a:picLocks noChangeArrowheads="1" noChangeAspect="1"/>
                    </pic:cNvPicPr>
                  </pic:nvPicPr>
                  <pic:blipFill>
                    <a:blip r:embed="rId1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0"/>
    <w:bookmarkStart w:id="18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https://amostech.space/year/2018/future-of-the-space-situational-awareness-enterprise-global-trends/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10.64861/JKDR9240</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https://amostech.space/year/2021/artificial-intelligence-enabled-dynamic-coalition-architecture-for-space-traffic-management/</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10.64861/EOSO6202</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https://amostech.space/year/2019/kari-recent-activities-on-ssa-stm/</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https://amostech.space/year/2019/blockchain-enabled-space-traffic-awareness-besta/</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10.64861/CKGQ5448</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https://amostech.space/year/2022/maneuver-estimation-from-optical-observations-of-a-spiraling-orbit-the-case-of-mev-2/</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10.1016/j.actaastro.2024.12.060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10.1016/j.actaastro.2024.04.041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10.1016/j.actaastro.2021.12.015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SSA Enterprise: Global Trends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Space Situational Awareness Enterprise: Global Trends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10.1162/glep_a_00775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10.52202/078380-0035</w:t>
            </w:r>
          </w:p>
        </w:tc>
      </w:tr>
    </w:tbl>
    <w:bookmarkEnd w:id="181"/>
    <w:bookmarkStart w:id="182"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2"/>
    <w:bookmarkEnd w:id="183"/>
    <w:bookmarkStart w:id="191" w:name="Xeac480f5d12572aac7791c4fab2cdbb2a86789d"/>
    <w:p>
      <w:pPr>
        <w:pStyle w:val="Heading2"/>
        <w:spacing w:line="480" w:lineRule="auto"/>
      </w:pPr>
      <w:r>
        <w:t xml:space="preserve">A.2 Attention Accumulation in Enforcement Without Sovereignty Reputational Sanction as the Binding STM Compli: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1.1059</w:t>
            </w:r>
          </w:p>
        </w:tc>
        <w:tc>
          <w:tcPr>
            <w:tcW w:w="0" w:type="auto"/>
          </w:tcPr>
          <w:p>
            <w:pPr>
              <w:spacing w:line="240" w:lineRule="auto" w:before="0" w:after="0"/>
              <w:pStyle w:val="Compact"/>
            </w:pPr>
            <w:r>
              <w:rPr>
                <w:sz w:val="20"/>
                <w:szCs w:val="20"/>
              </w:rPr>
              <w:t xml:space="preserve">0.3759</w:t>
            </w:r>
          </w:p>
        </w:tc>
        <w:tc>
          <w:tcPr>
            <w:tcW w:w="0" w:type="auto"/>
          </w:tcPr>
          <w:p>
            <w:pPr>
              <w:spacing w:line="240" w:lineRule="auto" w:before="0" w:after="0"/>
              <w:pStyle w:val="Compact"/>
            </w:pPr>
            <w:r>
              <w:rPr>
                <w:sz w:val="20"/>
                <w:szCs w:val="20"/>
              </w:rPr>
              <w:t xml:space="preserve">2.9418</w:t>
            </w:r>
          </w:p>
        </w:tc>
        <w:tc>
          <w:tcPr>
            <w:tcW w:w="0" w:type="auto"/>
          </w:tcPr>
          <w:p>
            <w:pPr>
              <w:spacing w:line="240" w:lineRule="auto" w:before="0" w:after="0"/>
              <w:pStyle w:val="Compact"/>
            </w:pPr>
            <w:r>
              <w:rPr>
                <w:sz w:val="20"/>
                <w:szCs w:val="20"/>
              </w:rPr>
              <w:t xml:space="preserve">0.0033</w:t>
            </w:r>
          </w:p>
        </w:tc>
        <w:tc>
          <w:tcPr>
            <w:tcW w:w="0" w:type="auto"/>
          </w:tcPr>
          <w:p>
            <w:pPr>
              <w:spacing w:line="240" w:lineRule="auto" w:before="0" w:after="0"/>
              <w:pStyle w:val="Compact"/>
            </w:pPr>
            <w:r>
              <w:rPr>
                <w:sz w:val="20"/>
                <w:szCs w:val="20"/>
              </w:rPr>
              <w:t xml:space="preserve">[0.3691, 1.8427]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-0.4478</w:t>
            </w:r>
          </w:p>
        </w:tc>
        <w:tc>
          <w:tcPr>
            <w:tcW w:w="0" w:type="auto"/>
          </w:tcPr>
          <w:p>
            <w:pPr>
              <w:spacing w:line="240" w:lineRule="auto" w:before="0" w:after="0"/>
              <w:pStyle w:val="Compact"/>
            </w:pPr>
            <w:r>
              <w:rPr>
                <w:sz w:val="20"/>
                <w:szCs w:val="20"/>
              </w:rPr>
              <w:t xml:space="preserve">0.2039</w:t>
            </w:r>
          </w:p>
        </w:tc>
        <w:tc>
          <w:tcPr>
            <w:tcW w:w="0" w:type="auto"/>
          </w:tcPr>
          <w:p>
            <w:pPr>
              <w:spacing w:line="240" w:lineRule="auto" w:before="0" w:after="0"/>
              <w:pStyle w:val="Compact"/>
            </w:pPr>
            <w:r>
              <w:rPr>
                <w:sz w:val="20"/>
                <w:szCs w:val="20"/>
              </w:rPr>
              <w:t xml:space="preserve">-2.1957</w:t>
            </w:r>
          </w:p>
        </w:tc>
        <w:tc>
          <w:tcPr>
            <w:tcW w:w="0" w:type="auto"/>
          </w:tcPr>
          <w:p>
            <w:pPr>
              <w:spacing w:line="240" w:lineRule="auto" w:before="0" w:after="0"/>
              <w:pStyle w:val="Compact"/>
            </w:pPr>
            <w:r>
              <w:rPr>
                <w:sz w:val="20"/>
                <w:szCs w:val="20"/>
              </w:rPr>
              <w:t xml:space="preserve">0.0281</w:t>
            </w:r>
          </w:p>
        </w:tc>
        <w:tc>
          <w:tcPr>
            <w:tcW w:w="0" w:type="auto"/>
          </w:tcPr>
          <w:p>
            <w:pPr>
              <w:spacing w:line="240" w:lineRule="auto" w:before="0" w:after="0"/>
              <w:pStyle w:val="Compact"/>
            </w:pPr>
            <w:r>
              <w:rPr>
                <w:sz w:val="20"/>
                <w:szCs w:val="20"/>
              </w:rPr>
              <w:t xml:space="preserve">[-0.8475, -0.0481]</w:t>
            </w:r>
          </w:p>
        </w:tc>
      </w:tr>
    </w:tbl>
    <w:p>
      <w:pPr>
        <w:pStyle w:val="BodyText"/>
        <w:spacing w:line="480" w:lineRule="auto"/>
        <w:ind w:firstLine="720"/>
      </w:pPr>
      <w:r>
        <w:t xml:space="preserve">Fit: N = 30 R2 = 0.0628 elasticity_b = -0.4478 progress_ratio_2^b = 0.7332</w:t>
      </w:r>
    </w:p>
    <w:bookmarkEnd w:id="184"/>
    <w:bookmarkStart w:id="18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6" name="Picture"/>
            <a:graphic>
              <a:graphicData uri="http://schemas.openxmlformats.org/drawingml/2006/picture">
                <pic:pic>
                  <pic:nvPicPr>
                    <pic:cNvPr descr="D:/Claude_Code/brain/collegium/candidates/dissertations/STM_CISLUNAR_10/research_papers/p2/paper_fig1.png" id="187" name="Picture"/>
                    <pic:cNvPicPr>
                      <a:picLocks noChangeArrowheads="1" noChangeAspect="1"/>
                    </pic:cNvPicPr>
                  </pic:nvPicPr>
                  <pic:blipFill>
                    <a:blip r:embed="rId1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8"/>
    <w:bookmarkStart w:id="18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https://amostech.space/year/2018/future-of-the-space-situational-awareness-enterprise-global-trends/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10.64861/JKDR9240</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https://amostech.space/year/2021/artificial-intelligence-enabled-dynamic-coalition-architecture-for-space-traffic-management/</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10.64861/EOSO6202</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https://amostech.space/year/2019/kari-recent-activities-on-ssa-stm/</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https://amostech.space/year/2019/blockchain-enabled-space-traffic-awareness-besta/</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10.64861/CKGQ5448</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https://amostech.space/year/2022/maneuver-estimation-from-optical-observations-of-a-spiraling-orbit-the-case-of-mev-2/</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10.1016/j.actaastro.2024.12.060</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10.1016/j.actaastro.2024.04.041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10.1016/j.actaastro.2021.12.015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SSA Enterprise: Global Trends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Future of the Space Situational Awareness Enterprise: Global Trends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10.1162/glep_a_00775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10.52202/078380-0035</w:t>
            </w:r>
          </w:p>
        </w:tc>
      </w:tr>
    </w:tbl>
    <w:bookmarkEnd w:id="189"/>
    <w:bookmarkStart w:id="190"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0"/>
    <w:bookmarkEnd w:id="191"/>
    <w:bookmarkEnd w:id="1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7" Type="http://schemas.openxmlformats.org/officeDocument/2006/relationships/image" Target="media/rId177.png"/><Relationship Id="rId185" Type="http://schemas.openxmlformats.org/officeDocument/2006/relationships/image" Target="media/rId185.png"/><Relationship Id="rId161" Type="http://schemas.openxmlformats.org/officeDocument/2006/relationships/hyperlink" Target="https://doi.org/10.1016/j.actaastro.2023.07.009" TargetMode="External"/><Relationship Id="rId159" Type="http://schemas.openxmlformats.org/officeDocument/2006/relationships/hyperlink" Target="https://doi.org/10.1016/j.actaastro.2024.01.039" TargetMode="External"/><Relationship Id="rId171" Type="http://schemas.openxmlformats.org/officeDocument/2006/relationships/hyperlink" Target="https://doi.org/10.1016/j.actaastro.2024.04.041" TargetMode="External"/><Relationship Id="rId165" Type="http://schemas.openxmlformats.org/officeDocument/2006/relationships/hyperlink" Target="https://doi.org/10.1016/j.actaastro.2024.12.060" TargetMode="External"/><Relationship Id="rId169" Type="http://schemas.openxmlformats.org/officeDocument/2006/relationships/hyperlink" Target="https://doi.org/10.1016/j.actaastro.2025.01.054" TargetMode="External"/><Relationship Id="rId163" Type="http://schemas.openxmlformats.org/officeDocument/2006/relationships/hyperlink" Target="https://doi.org/10.1016/j.actaastro.2025.01.061" TargetMode="External"/><Relationship Id="rId173" Type="http://schemas.openxmlformats.org/officeDocument/2006/relationships/hyperlink" Target="https://doi.org/10.1016/j.actaastro.2025.03.034" TargetMode="External"/><Relationship Id="rId167" Type="http://schemas.openxmlformats.org/officeDocument/2006/relationships/hyperlink" Target="https://doi.org/10.1016/j.actaastro.2025.04.063" TargetMode="External"/><Relationship Id="rId156" Type="http://schemas.openxmlformats.org/officeDocument/2006/relationships/hyperlink" Target="https://doi.org/10.64861/EOSO6202" TargetMode="External"/><Relationship Id="rId151" Type="http://schemas.openxmlformats.org/officeDocument/2006/relationships/hyperlink" Target="https://doi.org/10.64861/JKDR9240" TargetMode="External"/><Relationship Id="rId153" Type="http://schemas.openxmlformats.org/officeDocument/2006/relationships/hyperlink" Target="https://doi.org/10.64861/LFFV2455" TargetMode="External"/></Relationships>
</file>

<file path=word/_rels/footnotes.xml.rels><?xml version='1.0' encoding='UTF-8' standalone='yes'?>
<Relationships xmlns="http://schemas.openxmlformats.org/package/2006/relationships"><Relationship Id="rId161" Type="http://schemas.openxmlformats.org/officeDocument/2006/relationships/hyperlink" Target="https://doi.org/10.1016/j.actaastro.2023.07.009" TargetMode="External"/><Relationship Id="rId159" Type="http://schemas.openxmlformats.org/officeDocument/2006/relationships/hyperlink" Target="https://doi.org/10.1016/j.actaastro.2024.01.039" TargetMode="External"/><Relationship Id="rId171" Type="http://schemas.openxmlformats.org/officeDocument/2006/relationships/hyperlink" Target="https://doi.org/10.1016/j.actaastro.2024.04.041" TargetMode="External"/><Relationship Id="rId165" Type="http://schemas.openxmlformats.org/officeDocument/2006/relationships/hyperlink" Target="https://doi.org/10.1016/j.actaastro.2024.12.060" TargetMode="External"/><Relationship Id="rId169" Type="http://schemas.openxmlformats.org/officeDocument/2006/relationships/hyperlink" Target="https://doi.org/10.1016/j.actaastro.2025.01.054" TargetMode="External"/><Relationship Id="rId163" Type="http://schemas.openxmlformats.org/officeDocument/2006/relationships/hyperlink" Target="https://doi.org/10.1016/j.actaastro.2025.01.061" TargetMode="External"/><Relationship Id="rId173" Type="http://schemas.openxmlformats.org/officeDocument/2006/relationships/hyperlink" Target="https://doi.org/10.1016/j.actaastro.2025.03.034" TargetMode="External"/><Relationship Id="rId167" Type="http://schemas.openxmlformats.org/officeDocument/2006/relationships/hyperlink" Target="https://doi.org/10.1016/j.actaastro.2025.04.063" TargetMode="External"/><Relationship Id="rId156" Type="http://schemas.openxmlformats.org/officeDocument/2006/relationships/hyperlink" Target="https://doi.org/10.64861/EOSO6202" TargetMode="External"/><Relationship Id="rId151" Type="http://schemas.openxmlformats.org/officeDocument/2006/relationships/hyperlink" Target="https://doi.org/10.64861/JKDR9240" TargetMode="External"/><Relationship Id="rId153" Type="http://schemas.openxmlformats.org/officeDocument/2006/relationships/hyperlink" Target="https://doi.org/10.64861/LFFV24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Enforcement Without Sovereignty: Reputational Sanction as the Binding STM Compli</dc:title>
  <dc:creator>Dario Okafor (1B-SDA-190)</dc:creator>
  <cp:keywords/>
  <dcterms:created xsi:type="dcterms:W3CDTF">2026-07-03T00:23:59Z</dcterms:created>
  <dcterms:modified xsi:type="dcterms:W3CDTF">2026-07-03T00:23:59Z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