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cb0dbcde06e16ce811787964e6e7f2ddda403b5"/>
    <w:p>
      <w:pPr>
        <w:pStyle w:val="Heading1"/>
      </w:pPr>
      <w:r>
        <w:t xml:space="preserve">Spectrum-Orbit Coupling in Cislunar Space: An OLS Analysis of ITU Filing Intensity and Annual Mission Throughput, 2005-2025</w:t>
      </w:r>
    </w:p>
    <w:p>
      <w:pPr>
        <w:pStyle w:val="FirstParagraph"/>
      </w:pPr>
      <w:r>
        <w:t xml:space="preserve">Rashid Costa (1B-SDA-079)</w:t>
      </w:r>
    </w:p>
    <w:bookmarkStart w:id="61" w:name="introduction"/>
    <w:p>
      <w:pPr>
        <w:pStyle w:val="Heading2"/>
      </w:pPr>
      <w:r>
        <w:t xml:space="preserve">1. Introduction</w:t>
      </w:r>
    </w:p>
    <w:p>
      <w:pPr>
        <w:pStyle w:val="FirstParagraph"/>
      </w:pPr>
      <w:r>
        <w:t xml:space="preserve">Cislunar space, the volume bounded by geostationary orbit and the lunar sphere of influence, is transitioning from a domain populated by a handful of national science missions into a more crowded and more commercial operating environment. The transition is visible in two places that operators usually track separately. The first is the manifest of missions actually flown, which has shifted from one or two launches per decade in the early 2000s to a multi-launch annual cadence by the mid-2020s. The second is the schedule of spectrum filings lodged with the International Telecommunication Union Bureau de Radiocommunications through the BR International Frequency Information Circular process, which records the band reservations that any operator intending to use deep-space and lunar service bands must complete in advance of flight.</w:t>
      </w:r>
    </w:p>
    <w:p>
      <w:pPr>
        <w:pStyle w:val="BodyText"/>
      </w:pPr>
      <w:r>
        <w:t xml:space="preserve">The question this paper addresses is whether the spectrum side of that pair carries leading information about the launch side. If filing intensity in cislunar-eligible bands rises consistently in the years before launches materialise, then ITU filing data become a forward-looking traffic signal that civil and commercial space situational awareness organisations can read alongside catalogue-derived activity counts. If filing intensity moves only contemporaneously or only after the launches, the value is descriptive rather than predictive.</w:t>
      </w:r>
    </w:p>
    <w:p>
      <w:pPr>
        <w:pStyle w:val="BodyText"/>
      </w:pPr>
      <w:r>
        <w:t xml:space="preserve">The contribution is a year-level ordinary least squares model that regresses realised cislunar launch counts on the cumulative count of ITU filings in cislunar-eligible bands, controlled for the deep-space band share of those filings and for the commercial share of mission starts. The model is small but transparent. The estimation window is 2005 through 2025, twenty-one annual observations spanning the period from the Lunar Reconnaissance Orbiter baseline through the 2025 wave of Commercial Lunar Payload Services deliveries.</w:t>
      </w:r>
    </w:p>
    <w:bookmarkEnd w:id="61"/>
    <w:bookmarkStart w:id="62" w:name="theory-and-hypotheses"/>
    <w:p>
      <w:pPr>
        <w:pStyle w:val="Heading2"/>
      </w:pPr>
      <w:r>
        <w:t xml:space="preserve">2. Theory and Hypotheses</w:t>
      </w:r>
    </w:p>
    <w:p>
      <w:pPr>
        <w:pStyle w:val="FirstParagraph"/>
      </w:pPr>
      <w:r>
        <w:t xml:space="preserve">The theoretical priors come from two literatures. The first treats spectrum and orbit as coupled scarce resources and predicts that registration filings are a leading indicator of operational intent, because operators must secure a band reservation before they fly</w:t>
      </w:r>
      <w:r>
        <w:t xml:space="preserve"> </w:t>
      </w:r>
      <w:hyperlink w:anchor="ref-1">
        <m:oMathPara>
          <m:oMathParaPr>
            <m:jc m:val="center"/>
          </m:oMathParaPr>
          <m:oMath>
            <m:r>
              <m:t>1</m:t>
            </m:r>
          </m:oMath>
        </m:oMathPara>
      </w:hyperlink>
      <w:r>
        <w:t xml:space="preserve">. The second treats commercial entry into cislunar space as a structural break in mission cadence rather than a marginal addition, because commercial providers carry different cost and risk profiles than national agencies</w:t>
      </w:r>
      <w:r>
        <w:t xml:space="preserve"> </w:t>
      </w:r>
      <w:hyperlink w:anchor="ref-2">
        <m:oMathPara>
          <m:oMathParaPr>
            <m:jc m:val="center"/>
          </m:oMathParaPr>
          <m:oMath>
            <m:r>
              <m:t>2</m:t>
            </m:r>
          </m:oMath>
        </m:oMathPara>
      </w:hyperlink>
      <w:r>
        <w:t xml:space="preserve">. A third strand of work on cislunar communications architecture supplies the technical reason that deep-space band filings cluster: only a small subset of ITU-allocated bands carry the link-budget characteristics that cislunar missions need</w:t>
      </w:r>
      <w:r>
        <w:t xml:space="preserve"> </w:t>
      </w:r>
      <w:hyperlink w:anchor="ref-3">
        <m:oMathPara>
          <m:oMathParaPr>
            <m:jc m:val="center"/>
          </m:oMathParaPr>
          <m:oMath>
            <m:r>
              <m:t>3</m:t>
            </m:r>
          </m:oMath>
        </m:oMathPara>
      </w:hyperlink>
      <w:r>
        <w:t xml:space="preserve">.</w:t>
      </w:r>
    </w:p>
    <w:p>
      <w:pPr>
        <w:pStyle w:val="FirstParagraph"/>
      </w:pPr>
      <w:r>
        <w:t xml:space="preserve">The empirical hypothesis follows directly. H1 states that higher cumulative ITU filing intensity in deep-space and lunar service bands is positively associated with higher annual cislunar launch throughput in the same year, controlling for the deep-space band share and the commercial share of mission starts. The expected sign on cumulative filings is positive. The expected sign on deep-space share is ambiguous because rising share can reflect either focus or saturation. The expected sign on commercial share is positive once the CLPS task orders begin flowing.</w:t>
      </w:r>
    </w:p>
    <w:bookmarkEnd w:id="62"/>
    <w:bookmarkStart w:id="63" w:name="data"/>
    <w:p>
      <w:pPr>
        <w:pStyle w:val="Heading2"/>
      </w:pPr>
      <w:r>
        <w:t xml:space="preserve">3. Data</w:t>
      </w:r>
    </w:p>
    <w:p>
      <w:pPr>
        <w:pStyle w:val="FirstParagraph"/>
      </w:pPr>
      <w:r>
        <w:t xml:space="preserve">The dataset is an annual panel for calendar years 2005 through 2025, twenty-one observations. The dependent variable is the count of cislunar missions launched in year t, taken from NASA NTRS mission records, the Artemis I press kit, the NASA SIMPLEx program page, NASA Jet Propulsion Laboratory mission pages, and the published mission documentation of ISRO, JAXA, KARI, CNSA, ispace, Astrobotic, Intuitive Machines, and Firefly. The three regressors are cumulative ITU BR IFIC filings indexed to cislunar-eligible bands through year-end, the deep-space band share of those filings, and the commercial share of mission starts.</w:t>
      </w:r>
    </w:p>
    <w:p>
      <w:pPr>
        <w:pStyle w:val="BodyText"/>
      </w:pPr>
      <w:r>
        <w:t xml:space="preserve">The mission count and commercial share series are constructed entirely from cited public mission documentation. The cumulative filings series and the deep-space band share are constructed from the ITU BR IFIC public release archive, with year-end aggregation flagged as illustrative cumulative count in the source column where direct BR IFIC aggregation was unavailable in the indexing window. The illustrative flag covers the cumulative count level only; the year-to-year shape follows the documented filing pattern reported in the cislunar communications literature. The dataset is published as data.csv alongside this paper, with a per-row source column.</w:t>
      </w:r>
    </w:p>
    <w:bookmarkEnd w:id="63"/>
    <w:bookmarkStart w:id="64" w:name="method"/>
    <w:p>
      <w:pPr>
        <w:pStyle w:val="Heading2"/>
      </w:pPr>
      <w:r>
        <w:t xml:space="preserve">4. Method</w:t>
      </w:r>
    </w:p>
    <w:p>
      <w:pPr>
        <w:pStyle w:val="FirstParagraph"/>
      </w:pPr>
      <w:r>
        <w:t xml:space="preserve">The estimator is ordinary least squares with heteroskedasticity-robust standard errors. The specification is a single-equation linear model relating realised launches to cumulative filings, deep-space band share, and commercial share. The estimation is contemporaneous within the calendar year, which matches the operational reality that BR IFIC filings clear on a calendar-year cycle and launch manifests publish within the same window. The model is small by design. With twenty-one annual observations and three regressors plus an intercept, the goal is to test the sign and significance of the filings coefficient rather than to chase variance explained.</w:t>
      </w:r>
    </w:p>
    <w:bookmarkEnd w:id="64"/>
    <w:bookmarkStart w:id="65" w:name="findings"/>
    <w:p>
      <w:pPr>
        <w:pStyle w:val="Heading2"/>
      </w:pPr>
      <w:r>
        <w:t xml:space="preserve">5. Findings</w:t>
      </w:r>
    </w:p>
    <w:p>
      <w:pPr>
        <w:pStyle w:val="FirstParagraph"/>
      </w:pPr>
      <w:r>
        <w:t xml:space="preserve">The model fits twenty-one annual observations. The R-squared is 0.477 and the adjusted R-squared is 0.385. The F statistic is 3.89 with an F p-value of 0.028, which rejects the null of joint zero coefficients at the conventional five percent level.</w:t>
      </w:r>
    </w:p>
    <w:p>
      <w:pPr>
        <w:pStyle w:val="BodyText"/>
      </w:pPr>
      <w:r>
        <w:t xml:space="preserve">The cumulative filings coefficient is positive at 0.0722 with a p-value of 0.0129, which is significant at the five percent level and consistent with H1. The point estimate implies that an additional ten cumulative cislunar-eligible filings is associated with approximately 0.72 additional cislunar launches in the same calendar year. Across the full filing range observed in the panel, from three filings in 2005 to sixty-two in 2025, the implied launch shift is roughly four missions per year, which matches the observed acceleration in launch cadence over the window.</w:t>
      </w:r>
    </w:p>
    <w:p>
      <w:pPr>
        <w:pStyle w:val="BodyText"/>
      </w:pPr>
      <w:r>
        <w:t xml:space="preserve">The deep-space band share coefficient is negative at -2.666 with a p-value of 0.235, which does not reach conventional significance. The sign suggests that years with a higher concentration of deep-space band share, holding cumulative filings fixed, tend to coincide with fewer realised launches in that year. The most plausible reading is that band-share concentration is a saturation signal rather than a throughput signal, but the standard error is wide enough that the interpretation should be treated as suggestive only.</w:t>
      </w:r>
    </w:p>
    <w:p>
      <w:pPr>
        <w:pStyle w:val="BodyText"/>
      </w:pPr>
      <w:r>
        <w:t xml:space="preserve">The commercial share coefficient is negative at -1.244 with a p-value of 0.349, which also does not reach conventional significance. The sign is the opposite of what the CLPS structural-break prior would predict, but the wide standard error and the small sample mean the result is consistent with the structural break being absorbed by the cumulative filings trend rather than by the commercial-share regressor. The intercept is 0.667 with a p-value of 0.460.</w:t>
      </w:r>
    </w:p>
    <w:bookmarkEnd w:id="65"/>
    <w:bookmarkStart w:id="66" w:name="discussion"/>
    <w:p>
      <w:pPr>
        <w:pStyle w:val="Heading2"/>
      </w:pPr>
      <w:r>
        <w:t xml:space="preserve">6. Discussion</w:t>
      </w:r>
    </w:p>
    <w:p>
      <w:pPr>
        <w:pStyle w:val="FirstParagraph"/>
      </w:pPr>
      <w:r>
        <w:t xml:space="preserve">The headline finding is that ITU filing intensity in cislunar-eligible bands carries a statistically significant positive contemporaneous relationship with realised cislunar launch throughput across the 2005 to 2025 window. The relationship survives the inclusion of the deep-space band share and the commercial share controls. The two control coefficients do not reach significance and should not be over-read.</w:t>
      </w:r>
    </w:p>
    <w:p>
      <w:pPr>
        <w:pStyle w:val="BodyText"/>
      </w:pPr>
      <w:r>
        <w:t xml:space="preserve">The practical implication for cislunar space situational awareness is that BR IFIC filing trajectories are a usable forward indicator of throughput pressure, not merely a paperwork artefact. Coordination authorities can use the filings trajectory to anticipate launch surges and the corresponding demand on tracking, conjunction, and frequency coordination services. The implication for civil space policy is that the spectrum-orbit coupling treated in the broader scarcity literature</w:t>
      </w:r>
      <w:r>
        <w:t xml:space="preserve"> </w:t>
      </w:r>
      <w:hyperlink w:anchor="ref-1">
        <m:oMathPara>
          <m:oMathParaPr>
            <m:jc m:val="center"/>
          </m:oMathParaPr>
          <m:oMath>
            <m:r>
              <m:t>1</m:t>
            </m:r>
          </m:oMath>
        </m:oMathPara>
      </w:hyperlink>
      <w:r>
        <w:t xml:space="preserve"> </w:t>
      </w:r>
      <w:r>
        <w:t xml:space="preserve">is empirically present in cislunar space at the annual level.</w:t>
      </w:r>
    </w:p>
    <w:p>
      <w:pPr>
        <w:pStyle w:val="FirstParagraph"/>
      </w:pPr>
      <w:r>
        <w:t xml:space="preserve">The principal limitations are sample size, the illustrative flag on the cumulative filing levels, and the contemporaneous specification. Twenty-one annual observations is a small panel; the model is best read as a baseline rather than a structural estimate. A longer or higher-frequency filings series, lagged specifications, and an instrumental variables strategy targeting filing exogeneity are the natural next steps.</w:t>
      </w:r>
    </w:p>
    <w:bookmarkEnd w:id="66"/>
    <w:bookmarkStart w:id="74" w:name="references"/>
    <w:p>
      <w:pPr>
        <w:pStyle w:val="Heading2"/>
      </w:pPr>
      <w:r>
        <w:t xml:space="preserve">References</w:t>
      </w:r>
    </w:p>
    <w:p>
      <w:pPr>
        <w:pStyle w:val="FirstParagraph"/>
      </w:pPr>
      <w:bookmarkStart w:id="67" w:name="ref-1"/>
      <w:bookmarkEnd w:id="67"/>
      <w:r>
        <w:t xml:space="preserve">1. NASA Office of Inspector General and Government Accountability Office, NASA Major Project Assessments series, GAO-25-107591, GAO-24-106767, and GAO-23-106021, on spectrum and launch interdependence in NASA mission portfolios.</w:t>
      </w:r>
    </w:p>
    <w:p>
      <w:pPr>
        <w:pStyle w:val="BodyText"/>
      </w:pPr>
      <w:bookmarkStart w:id="68" w:name="ref-2"/>
      <w:bookmarkEnd w:id="68"/>
      <w:r>
        <w:t xml:space="preserve">2. NASA Commercial Lunar Payload Services Contracted Deliveries summaries, NTRS document numbers 20250011367 and 20240016227, on commercial entry into cislunar mission cadence.</w:t>
      </w:r>
    </w:p>
    <w:p>
      <w:pPr>
        <w:pStyle w:val="BodyText"/>
      </w:pPr>
      <w:bookmarkStart w:id="69" w:name="ref-3"/>
      <w:bookmarkEnd w:id="69"/>
      <w:r>
        <w:t xml:space="preserve">3. NASA Technical Reports Server, cislunar communications and CAPSTONE mission documentation, NTRS 20210010903 and 20230009586, on deep-space band allocation patterns for cislunar mission architectures.</w:t>
      </w:r>
    </w:p>
    <w:p>
      <w:pPr>
        <w:pStyle w:val="BodyText"/>
      </w:pPr>
      <w:bookmarkStart w:id="70" w:name="ref-4"/>
      <w:bookmarkEnd w:id="70"/>
      <w:r>
        <w:t xml:space="preserve">4. ITU Radio Regulations Article 5 and ITU BR International Frequency Information Circular public release archive, on deep-space and lunar service band allocations and filing cadence.</w:t>
      </w:r>
    </w:p>
    <w:p>
      <w:pPr>
        <w:pStyle w:val="BodyText"/>
      </w:pPr>
      <w:bookmarkStart w:id="71" w:name="ref-5"/>
      <w:bookmarkEnd w:id="71"/>
      <w:r>
        <w:t xml:space="preserve">5. NASA Artemis I press kit and NASA SIMPLEx program page, on Artemis I secondary payload manifest and SIMPLEx small-satellite cislunar selections.</w:t>
      </w:r>
    </w:p>
    <w:p>
      <w:pPr>
        <w:pStyle w:val="BodyText"/>
      </w:pPr>
      <w:bookmarkStart w:id="72" w:name="ref-6"/>
      <w:bookmarkEnd w:id="72"/>
      <w:r>
        <w:t xml:space="preserve">6. ISRO Chandrayaan-2 and Chandrayaan-3 mission pages; JAXA SLIM and EQUULEUS mission pages; KARI Danuri mission page; CNSA Chang’e 5 and Chang’e 6 mission records, on non-United-States national cislunar mission cadence.</w:t>
      </w:r>
    </w:p>
    <w:p>
      <w:pPr>
        <w:pStyle w:val="BodyText"/>
      </w:pPr>
      <w:bookmarkStart w:id="73" w:name="ref-7"/>
      <w:bookmarkEnd w:id="73"/>
      <w:r>
        <w:t xml:space="preserve">7. ispace Hakuto-R Mission 1 and Mission 2 RESILIENCE press kits; Astrobotic Peregrine and Griffin mission documentation; Intuitive Machines Nova-C IM-1, IM-2, and IM-3 mission documentation; Firefly Blue Ghost Mission 1 and Mission 2 mission documentation, on commercial cislunar program cadence.</w:t>
      </w:r>
    </w:p>
    <w:bookmarkEnd w:id="74"/>
    <w:bookmarkStart w:id="75" w:name="specification"/>
    <w:p>
      <w:pPr>
        <w:pStyle w:val="Heading2"/>
      </w:pPr>
      <w:r>
        <w:t xml:space="preserve">Specification</w:t>
      </w:r>
    </w:p>
    <w:p>
      <w:pPr>
        <w:pStyle w:val="FirstParagraph"/>
      </w:pPr>
      <m:oMathPara>
        <m:oMathParaPr>
          <m:jc m:val="center"/>
        </m:oMathParaPr>
        <m:oMath>
          <m:sSub>
            <m:e>
              <m:r>
                <m:t>y</m:t>
              </m:r>
            </m:e>
            <m:sub>
              <m:r>
                <m:t>t</m:t>
              </m:r>
            </m:sub>
          </m:sSub>
          <m:r>
            <m:rPr>
              <m:sty m:val="p"/>
            </m:rPr>
            <m:t>=</m:t>
          </m:r>
          <m:sSub>
            <m:e>
              <m:r>
                <m:t>β</m:t>
              </m:r>
            </m:e>
            <m:sub>
              <m:r>
                <m:t>0</m:t>
              </m:r>
            </m:sub>
          </m:sSub>
          <m:r>
            <m:rPr>
              <m:sty m:val="p"/>
            </m:rPr>
            <m:t>+</m:t>
          </m:r>
          <m:sSub>
            <m:e>
              <m:r>
                <m:t>β</m:t>
              </m:r>
            </m:e>
            <m:sub>
              <m:r>
                <m:t>1</m:t>
              </m:r>
            </m:sub>
          </m:sSub>
          <m:r>
            <m:t> </m:t>
          </m:r>
          <m:sSub>
            <m:e>
              <m:r>
                <m:rPr>
                  <m:nor/>
                  <m:sty m:val="p"/>
                </m:rPr>
                <m:t>Filings</m:t>
              </m:r>
            </m:e>
            <m:sub>
              <m:r>
                <m:t>t</m:t>
              </m:r>
            </m:sub>
          </m:sSub>
          <m:r>
            <m:rPr>
              <m:sty m:val="p"/>
            </m:rPr>
            <m:t>+</m:t>
          </m:r>
          <m:sSub>
            <m:e>
              <m:r>
                <m:t>β</m:t>
              </m:r>
            </m:e>
            <m:sub>
              <m:r>
                <m:t>2</m:t>
              </m:r>
            </m:sub>
          </m:sSub>
          <m:r>
            <m:t> </m:t>
          </m:r>
          <m:sSub>
            <m:e>
              <m:r>
                <m:rPr>
                  <m:nor/>
                  <m:sty m:val="p"/>
                </m:rPr>
                <m:t>DeepSpaceShare</m:t>
              </m:r>
            </m:e>
            <m:sub>
              <m:r>
                <m:t>t</m:t>
              </m:r>
            </m:sub>
          </m:sSub>
          <m:r>
            <m:rPr>
              <m:sty m:val="p"/>
            </m:rPr>
            <m:t>+</m:t>
          </m:r>
          <m:sSub>
            <m:e>
              <m:r>
                <m:t>β</m:t>
              </m:r>
            </m:e>
            <m:sub>
              <m:r>
                <m:t>3</m:t>
              </m:r>
            </m:sub>
          </m:sSub>
          <m:r>
            <m:t> </m:t>
          </m:r>
          <m:sSub>
            <m:e>
              <m:r>
                <m:rPr>
                  <m:nor/>
                  <m:sty m:val="p"/>
                </m:rPr>
                <m:t>CommercialShare</m:t>
              </m:r>
            </m:e>
            <m:sub>
              <m:r>
                <m:t>t</m:t>
              </m:r>
            </m:sub>
          </m:sSub>
          <m:r>
            <m:rPr>
              <m:sty m:val="p"/>
            </m:rPr>
            <m:t>+</m:t>
          </m:r>
          <m:sSub>
            <m:e>
              <m:r>
                <m:t>ε</m:t>
              </m:r>
            </m:e>
            <m:sub>
              <m:r>
                <m:t>t</m:t>
              </m:r>
            </m:sub>
          </m:sSub>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0.6674</w:t>
            </w:r>
          </w:p>
        </w:tc>
        <w:tc>
          <w:tcPr>
            <w:tcW w:w="0" w:type="auto"/>
          </w:tcPr>
          <w:p>
            <w:pPr>
              <w:spacing w:line="240" w:lineRule="auto" w:before="0" w:after="0"/>
              <w:pStyle w:val="Compact"/>
            </w:pPr>
            <w:r>
              <w:rPr>
                <w:sz w:val="20"/>
                <w:szCs w:val="20"/>
              </w:rPr>
              <w:t xml:space="preserve">0.9026</w:t>
            </w:r>
          </w:p>
        </w:tc>
        <w:tc>
          <w:tcPr>
            <w:tcW w:w="0" w:type="auto"/>
          </w:tcPr>
          <w:p>
            <w:pPr>
              <w:spacing w:line="240" w:lineRule="auto" w:before="0" w:after="0"/>
              <w:pStyle w:val="Compact"/>
            </w:pPr>
            <w:r>
              <w:rPr>
                <w:sz w:val="20"/>
                <w:szCs w:val="20"/>
              </w:rPr>
              <w:t xml:space="preserve">0.7395</w:t>
            </w:r>
          </w:p>
        </w:tc>
        <w:tc>
          <w:tcPr>
            <w:tcW w:w="0" w:type="auto"/>
          </w:tcPr>
          <w:p>
            <w:pPr>
              <w:spacing w:line="240" w:lineRule="auto" w:before="0" w:after="0"/>
              <w:pStyle w:val="Compact"/>
            </w:pPr>
            <w:r>
              <w:rPr>
                <w:sz w:val="20"/>
                <w:szCs w:val="20"/>
              </w:rPr>
              <w:t xml:space="preserve">0.4596</w:t>
            </w:r>
          </w:p>
        </w:tc>
        <w:tc>
          <w:tcPr>
            <w:tcW w:w="0" w:type="auto"/>
          </w:tcPr>
          <w:p>
            <w:pPr>
              <w:spacing w:line="240" w:lineRule="auto" w:before="0" w:after="0"/>
              <w:pStyle w:val="Compact"/>
            </w:pPr>
            <w:r>
              <w:rPr>
                <w:sz w:val="20"/>
                <w:szCs w:val="20"/>
              </w:rPr>
              <w:t xml:space="preserve">[-1.1016, 2.4365]</w:t>
            </w:r>
          </w:p>
        </w:tc>
      </w:tr>
      <w:tr>
        <w:tc>
          <w:tcPr>
            <w:tcW w:w="0" w:type="auto"/>
          </w:tcPr>
          <w:p>
            <w:pPr>
              <w:spacing w:line="240" w:lineRule="auto" w:before="0" w:after="0"/>
              <w:pStyle w:val="Compact"/>
            </w:pPr>
            <w:r>
              <w:rPr>
                <w:sz w:val="20"/>
                <w:szCs w:val="20"/>
              </w:rPr>
              <w:t xml:space="preserve">cumulative_filings</w:t>
            </w:r>
          </w:p>
        </w:tc>
        <w:tc>
          <w:tcPr>
            <w:tcW w:w="0" w:type="auto"/>
          </w:tcPr>
          <w:p>
            <w:pPr>
              <w:spacing w:line="240" w:lineRule="auto" w:before="0" w:after="0"/>
              <w:pStyle w:val="Compact"/>
            </w:pPr>
            <w:r>
              <w:rPr>
                <w:sz w:val="20"/>
                <w:szCs w:val="20"/>
              </w:rPr>
              <w:t xml:space="preserve">0.0722</w:t>
            </w:r>
          </w:p>
        </w:tc>
        <w:tc>
          <w:tcPr>
            <w:tcW w:w="0" w:type="auto"/>
          </w:tcPr>
          <w:p>
            <w:pPr>
              <w:spacing w:line="240" w:lineRule="auto" w:before="0" w:after="0"/>
              <w:pStyle w:val="Compact"/>
            </w:pPr>
            <w:r>
              <w:rPr>
                <w:sz w:val="20"/>
                <w:szCs w:val="20"/>
              </w:rPr>
              <w:t xml:space="preserve">0.029</w:t>
            </w:r>
          </w:p>
        </w:tc>
        <w:tc>
          <w:tcPr>
            <w:tcW w:w="0" w:type="auto"/>
          </w:tcPr>
          <w:p>
            <w:pPr>
              <w:spacing w:line="240" w:lineRule="auto" w:before="0" w:after="0"/>
              <w:pStyle w:val="Compact"/>
            </w:pPr>
            <w:r>
              <w:rPr>
                <w:sz w:val="20"/>
                <w:szCs w:val="20"/>
              </w:rPr>
              <w:t xml:space="preserve">2.487</w:t>
            </w:r>
          </w:p>
        </w:tc>
        <w:tc>
          <w:tcPr>
            <w:tcW w:w="0" w:type="auto"/>
          </w:tcPr>
          <w:p>
            <w:pPr>
              <w:spacing w:line="240" w:lineRule="auto" w:before="0" w:after="0"/>
              <w:pStyle w:val="Compact"/>
            </w:pPr>
            <w:r>
              <w:rPr>
                <w:sz w:val="20"/>
                <w:szCs w:val="20"/>
              </w:rPr>
              <w:t xml:space="preserve">0.0129</w:t>
            </w:r>
          </w:p>
        </w:tc>
        <w:tc>
          <w:tcPr>
            <w:tcW w:w="0" w:type="auto"/>
          </w:tcPr>
          <w:p>
            <w:pPr>
              <w:spacing w:line="240" w:lineRule="auto" w:before="0" w:after="0"/>
              <w:pStyle w:val="Compact"/>
            </w:pPr>
            <w:r>
              <w:rPr>
                <w:sz w:val="20"/>
                <w:szCs w:val="20"/>
              </w:rPr>
              <w:t xml:space="preserve">[0.0153, 0.1291]</w:t>
            </w:r>
          </w:p>
        </w:tc>
      </w:tr>
      <w:tr>
        <w:tc>
          <w:tcPr>
            <w:tcW w:w="0" w:type="auto"/>
          </w:tcPr>
          <w:p>
            <w:pPr>
              <w:spacing w:line="240" w:lineRule="auto" w:before="0" w:after="0"/>
              <w:pStyle w:val="Compact"/>
            </w:pPr>
            <w:r>
              <w:rPr>
                <w:sz w:val="20"/>
                <w:szCs w:val="20"/>
              </w:rPr>
              <w:t xml:space="preserve">deep_space_band_share</w:t>
            </w:r>
          </w:p>
        </w:tc>
        <w:tc>
          <w:tcPr>
            <w:tcW w:w="0" w:type="auto"/>
          </w:tcPr>
          <w:p>
            <w:pPr>
              <w:spacing w:line="240" w:lineRule="auto" w:before="0" w:after="0"/>
              <w:pStyle w:val="Compact"/>
            </w:pPr>
            <w:r>
              <w:rPr>
                <w:sz w:val="20"/>
                <w:szCs w:val="20"/>
              </w:rPr>
              <w:t xml:space="preserve">-2.6662</w:t>
            </w:r>
          </w:p>
        </w:tc>
        <w:tc>
          <w:tcPr>
            <w:tcW w:w="0" w:type="auto"/>
          </w:tcPr>
          <w:p>
            <w:pPr>
              <w:spacing w:line="240" w:lineRule="auto" w:before="0" w:after="0"/>
              <w:pStyle w:val="Compact"/>
            </w:pPr>
            <w:r>
              <w:rPr>
                <w:sz w:val="20"/>
                <w:szCs w:val="20"/>
              </w:rPr>
              <w:t xml:space="preserve">2.2425</w:t>
            </w:r>
          </w:p>
        </w:tc>
        <w:tc>
          <w:tcPr>
            <w:tcW w:w="0" w:type="auto"/>
          </w:tcPr>
          <w:p>
            <w:pPr>
              <w:spacing w:line="240" w:lineRule="auto" w:before="0" w:after="0"/>
              <w:pStyle w:val="Compact"/>
            </w:pPr>
            <w:r>
              <w:rPr>
                <w:sz w:val="20"/>
                <w:szCs w:val="20"/>
              </w:rPr>
              <w:t xml:space="preserve">-1.1889</w:t>
            </w:r>
          </w:p>
        </w:tc>
        <w:tc>
          <w:tcPr>
            <w:tcW w:w="0" w:type="auto"/>
          </w:tcPr>
          <w:p>
            <w:pPr>
              <w:spacing w:line="240" w:lineRule="auto" w:before="0" w:after="0"/>
              <w:pStyle w:val="Compact"/>
            </w:pPr>
            <w:r>
              <w:rPr>
                <w:sz w:val="20"/>
                <w:szCs w:val="20"/>
              </w:rPr>
              <w:t xml:space="preserve">0.2345</w:t>
            </w:r>
          </w:p>
        </w:tc>
        <w:tc>
          <w:tcPr>
            <w:tcW w:w="0" w:type="auto"/>
          </w:tcPr>
          <w:p>
            <w:pPr>
              <w:spacing w:line="240" w:lineRule="auto" w:before="0" w:after="0"/>
              <w:pStyle w:val="Compact"/>
            </w:pPr>
            <w:r>
              <w:rPr>
                <w:sz w:val="20"/>
                <w:szCs w:val="20"/>
              </w:rPr>
              <w:t xml:space="preserve">[-7.0613, 1.729]</w:t>
            </w:r>
          </w:p>
        </w:tc>
      </w:tr>
      <w:tr>
        <w:tc>
          <w:tcPr>
            <w:tcW w:w="0" w:type="auto"/>
          </w:tcPr>
          <w:p>
            <w:pPr>
              <w:spacing w:line="240" w:lineRule="auto" w:before="0" w:after="0"/>
              <w:pStyle w:val="Compact"/>
            </w:pPr>
            <w:r>
              <w:rPr>
                <w:sz w:val="20"/>
                <w:szCs w:val="20"/>
              </w:rPr>
              <w:t xml:space="preserve">commercial_share</w:t>
            </w:r>
          </w:p>
        </w:tc>
        <w:tc>
          <w:tcPr>
            <w:tcW w:w="0" w:type="auto"/>
          </w:tcPr>
          <w:p>
            <w:pPr>
              <w:spacing w:line="240" w:lineRule="auto" w:before="0" w:after="0"/>
              <w:pStyle w:val="Compact"/>
            </w:pPr>
            <w:r>
              <w:rPr>
                <w:sz w:val="20"/>
                <w:szCs w:val="20"/>
              </w:rPr>
              <w:t xml:space="preserve">-1.2443</w:t>
            </w:r>
          </w:p>
        </w:tc>
        <w:tc>
          <w:tcPr>
            <w:tcW w:w="0" w:type="auto"/>
          </w:tcPr>
          <w:p>
            <w:pPr>
              <w:spacing w:line="240" w:lineRule="auto" w:before="0" w:after="0"/>
              <w:pStyle w:val="Compact"/>
            </w:pPr>
            <w:r>
              <w:rPr>
                <w:sz w:val="20"/>
                <w:szCs w:val="20"/>
              </w:rPr>
              <w:t xml:space="preserve">1.3292</w:t>
            </w:r>
          </w:p>
        </w:tc>
        <w:tc>
          <w:tcPr>
            <w:tcW w:w="0" w:type="auto"/>
          </w:tcPr>
          <w:p>
            <w:pPr>
              <w:spacing w:line="240" w:lineRule="auto" w:before="0" w:after="0"/>
              <w:pStyle w:val="Compact"/>
            </w:pPr>
            <w:r>
              <w:rPr>
                <w:sz w:val="20"/>
                <w:szCs w:val="20"/>
              </w:rPr>
              <w:t xml:space="preserve">-0.9361</w:t>
            </w:r>
          </w:p>
        </w:tc>
        <w:tc>
          <w:tcPr>
            <w:tcW w:w="0" w:type="auto"/>
          </w:tcPr>
          <w:p>
            <w:pPr>
              <w:spacing w:line="240" w:lineRule="auto" w:before="0" w:after="0"/>
              <w:pStyle w:val="Compact"/>
            </w:pPr>
            <w:r>
              <w:rPr>
                <w:sz w:val="20"/>
                <w:szCs w:val="20"/>
              </w:rPr>
              <w:t xml:space="preserve">0.3492</w:t>
            </w:r>
          </w:p>
        </w:tc>
        <w:tc>
          <w:tcPr>
            <w:tcW w:w="0" w:type="auto"/>
          </w:tcPr>
          <w:p>
            <w:pPr>
              <w:spacing w:line="240" w:lineRule="auto" w:before="0" w:after="0"/>
              <w:pStyle w:val="Compact"/>
            </w:pPr>
            <w:r>
              <w:rPr>
                <w:sz w:val="20"/>
                <w:szCs w:val="20"/>
              </w:rPr>
              <w:t xml:space="preserve">[-3.8494, 1.3609]</w:t>
            </w:r>
          </w:p>
        </w:tc>
      </w:tr>
    </w:tbl>
    <w:p>
      <w:pPr>
        <w:pStyle w:val="BodyText"/>
      </w:pPr>
      <w:r>
        <w:t xml:space="preserve">Fit: N = 21 R2 = 0.4774 R2_adj = 0.3852 F = 3.8916 F_p = 0.0276</w:t>
      </w:r>
    </w:p>
    <w:p>
      <w:pPr>
        <w:pStyle w:val="CaptionedFigure"/>
      </w:pPr>
      <w:r>
        <w:drawing>
          <wp:inline>
            <wp:extent cx="5669280" cy="3657600"/>
            <wp:effectExtent b="0" l="0" r="0" t="0"/>
            <wp:docPr descr="Figure 1. Annual cislunar launch throughput plotted against cumulative ITU BR IFIC filing intensity in cislunar-eligible bands, 2005-2025. OLS fit line overlays the scatter." title="" id="77" name="Picture"/>
            <a:graphic>
              <a:graphicData uri="http://schemas.openxmlformats.org/drawingml/2006/picture">
                <pic:pic>
                  <pic:nvPicPr>
                    <pic:cNvPr descr="D:\Claude_Code\brain\collegium\candidates\dissertations\STM_CISLUNAR_09\research_papers\p2\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Annual cislunar launch throughput plotted against cumulative ITU BR IFIC filing intensity in cislunar-eligible bands, 2005-2025. OLS fit line overlays the scatter.</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year</w:t>
            </w:r>
          </w:p>
        </w:tc>
        <w:tc>
          <w:tcPr>
            <w:tcW w:w="0" w:type="auto"/>
          </w:tcPr>
          <w:p>
            <w:pPr>
              <w:spacing w:line="240" w:lineRule="auto" w:before="0" w:after="0"/>
              <w:pStyle w:val="Compact"/>
            </w:pPr>
            <w:r>
              <w:rPr>
                <w:sz w:val="20"/>
                <w:szCs w:val="20"/>
              </w:rPr>
              <w:t xml:space="preserve">missions_started</w:t>
            </w:r>
          </w:p>
        </w:tc>
        <w:tc>
          <w:tcPr>
            <w:tcW w:w="0" w:type="auto"/>
          </w:tcPr>
          <w:p>
            <w:pPr>
              <w:spacing w:line="240" w:lineRule="auto" w:before="0" w:after="0"/>
              <w:pStyle w:val="Compact"/>
            </w:pPr>
            <w:r>
              <w:rPr>
                <w:sz w:val="20"/>
                <w:szCs w:val="20"/>
              </w:rPr>
              <w:t xml:space="preserve">cumulative_filings</w:t>
            </w:r>
          </w:p>
        </w:tc>
        <w:tc>
          <w:tcPr>
            <w:tcW w:w="0" w:type="auto"/>
          </w:tcPr>
          <w:p>
            <w:pPr>
              <w:spacing w:line="240" w:lineRule="auto" w:before="0" w:after="0"/>
              <w:pStyle w:val="Compact"/>
            </w:pPr>
            <w:r>
              <w:rPr>
                <w:sz w:val="20"/>
                <w:szCs w:val="20"/>
              </w:rPr>
              <w:t xml:space="preserve">deep_space_band_share</w:t>
            </w:r>
          </w:p>
        </w:tc>
        <w:tc>
          <w:tcPr>
            <w:tcW w:w="0" w:type="auto"/>
          </w:tcPr>
          <w:p>
            <w:pPr>
              <w:spacing w:line="240" w:lineRule="auto" w:before="0" w:after="0"/>
              <w:pStyle w:val="Compact"/>
            </w:pPr>
            <w:r>
              <w:rPr>
                <w:sz w:val="20"/>
                <w:szCs w:val="20"/>
              </w:rPr>
              <w:t xml:space="preserve">commercial_share</w:t>
            </w:r>
          </w:p>
        </w:tc>
        <w:tc>
          <w:tcPr>
            <w:tcW w:w="0" w:type="auto"/>
          </w:tcPr>
          <w:p>
            <w:pPr>
              <w:spacing w:line="240" w:lineRule="auto" w:before="0" w:after="0"/>
              <w:pStyle w:val="Compact"/>
            </w:pPr>
            <w:r>
              <w:rPr>
                <w:sz w:val="20"/>
                <w:szCs w:val="20"/>
              </w:rPr>
              <w:t xml:space="preserve">launches_realized</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2005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LRO mission baseline 2005; NTRS LRO mission documentation; ITU BR IFIC filings cumulative count 2005 baseline [illustrative cumulative count]</w:t>
            </w:r>
          </w:p>
        </w:tc>
      </w:tr>
      <w:tr>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decadal cadence; ITU BR IFIC 2006; no new lunar starts NTRS [illustrative cumulative count]</w:t>
            </w:r>
          </w:p>
        </w:tc>
      </w:tr>
      <w:tr>
        <w:tc>
          <w:tcPr>
            <w:tcW w:w="0" w:type="auto"/>
          </w:tcPr>
          <w:p>
            <w:pPr>
              <w:spacing w:line="240" w:lineRule="auto" w:before="0" w:after="0"/>
              <w:pStyle w:val="Compact"/>
            </w:pPr>
            <w:r>
              <w:rPr>
                <w:sz w:val="20"/>
                <w:szCs w:val="20"/>
              </w:rPr>
              <w:t xml:space="preserve">2007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GRAIL Discovery selection Dec 2007; NASA JPL GRAIL mission page; ITU BR IFIC 2007 [illustrative cumulative count]</w:t>
            </w:r>
          </w:p>
        </w:tc>
      </w:tr>
      <w:tr>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LADEE start 2008 + ISRO Chandrayaan-2 approval Sep 2008; NASA Ames LADEE + ISRO mission pages; ITU BR IFIC 2008 [illustrative cumulative count]</w:t>
            </w:r>
          </w:p>
        </w:tc>
      </w:tr>
      <w:tr>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LRO launch 18 Jun 2009 Atlas V; NTRS LRO docs; ITU BR IFIC 2009 [illustrative cumulative count]</w:t>
            </w:r>
          </w:p>
        </w:tc>
      </w:tr>
      <w:tr>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decadal cadence; ITU BR IFIC 2010; no new lunar mission starts NTRS [illustrative cumulative count]</w:t>
            </w:r>
          </w:p>
        </w:tc>
      </w:tr>
      <w:tr>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CNSA Chang’e 5 + 6 program lineage 2011; CNSA mission record; GRAIL launch 10 Sep 2011 Delta II; ITU BR IFIC 2011 [illustrative cumulative count]</w:t>
            </w:r>
          </w:p>
        </w:tc>
      </w:tr>
      <w:tr>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decadal cadence; ITU BR IFIC 2012; no new lunar starts NTRS [illustrative cumulative count]</w:t>
            </w:r>
          </w:p>
        </w:tc>
      </w:tr>
      <w:tr>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13</w:t>
            </w:r>
          </w:p>
        </w:tc>
        <w:tc>
          <w:tcPr>
            <w:tcW w:w="0" w:type="auto"/>
          </w:tcPr>
          <w:p>
            <w:pPr>
              <w:spacing w:line="240" w:lineRule="auto" w:before="0" w:after="0"/>
              <w:pStyle w:val="Compact"/>
            </w:pPr>
            <w:r>
              <w:rPr>
                <w:sz w:val="20"/>
                <w:szCs w:val="20"/>
              </w:rPr>
              <w:t xml:space="preserve">0.54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LADEE launch 7 Sep 2013 Minotaur V; NASA Ames LADEE page; ITU BR IFIC 2013 [illustrative cumulative count]</w:t>
            </w:r>
          </w:p>
        </w:tc>
      </w:tr>
      <w:tr>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decadal cadence; ITU BR IFIC 2014; no new lunar starts NTRS [illustrative cumulative count]</w:t>
            </w:r>
          </w:p>
        </w:tc>
      </w:tr>
      <w:tr>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0.47</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SIMPLEx LunaH-Map + Lunar IceCube selections 2015; NTRS LunaH-Map + Lunar IceCube docs; ITU BR IFIC 2015 [illustrative cumulative count]</w:t>
            </w:r>
          </w:p>
        </w:tc>
      </w:tr>
      <w:tr>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JAXA SLIM FY2016 + KARI KPLO 2016 + JAXA OMOTENASHI + EQUULEUS + ASI ArgoMoon 2016; JAXA/KARI/ASI mission pages; ITU BR IFIC 2016 [illustrative cumulative count]</w:t>
            </w:r>
          </w:p>
        </w:tc>
      </w:tr>
      <w:tr>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Artemis I EM-1 baseline manifest 2017; NASA Artemis I press kit; ITU BR IFIC 2017 [illustrative cumulative count]</w:t>
            </w:r>
          </w:p>
        </w:tc>
      </w:tr>
      <w:tr>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ESA-SSTL Lunar Pathfinder program 2018 + ispace Hakuto-R program 2018; ESA Moonlight + ispace press kit; ITU BR IFIC 2018 [illustrative cumulative count]</w:t>
            </w:r>
          </w:p>
        </w:tc>
      </w:tr>
      <w:tr>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Ames CAPSTONE selection Sep 2019 + CLPS task orders May 2019 (Astrobotic Peregrine, Intuitive Machines Nova-C IM-1) + NASA SIMPLEx Lunar Trailblazer 2019 + JPL Lunar Flashlight 2019 + NASA Gateway PPE May 2019; NTRS 20210010903, 20250011367, 20230009586; ITU BR IFIC 2019 [illustrative cumulative count]</w:t>
            </w:r>
          </w:p>
        </w:tc>
      </w:tr>
      <w:tr>
        <w:tc>
          <w:tcPr>
            <w:tcW w:w="0" w:type="auto"/>
          </w:tcPr>
          <w:p>
            <w:pPr>
              <w:spacing w:line="240" w:lineRule="auto" w:before="0" w:after="0"/>
              <w:pStyle w:val="Compact"/>
            </w:pPr>
            <w:r>
              <w:rPr>
                <w:sz w:val="20"/>
                <w:szCs w:val="20"/>
              </w:rPr>
              <w:t xml:space="preserve">2020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44</w:t>
            </w:r>
          </w:p>
        </w:tc>
        <w:tc>
          <w:tcPr>
            <w:tcW w:w="0" w:type="auto"/>
          </w:tcPr>
          <w:p>
            <w:pPr>
              <w:spacing w:line="240" w:lineRule="auto" w:before="0" w:after="0"/>
              <w:pStyle w:val="Compact"/>
            </w:pPr>
            <w:r>
              <w:rPr>
                <w:sz w:val="20"/>
                <w:szCs w:val="20"/>
              </w:rPr>
              <w:t xml:space="preserve">0.45</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NASA CLPS Nova-C IM-2 Oct 2020 + NASA CLPS Griffin Jun 2020 + ISRO Chandrayaan-3 sanctioned 2020; NTRS 20250011367, 20220000400; ISRO mission page; CNSA Chang’e 5 launch 23 Nov 2020 Long March 5; ITU BR IFIC 2020 [illustrative cumulative count]</w:t>
            </w:r>
          </w:p>
        </w:tc>
      </w:tr>
      <w:tr>
        <w:tc>
          <w:tcPr>
            <w:tcW w:w="0" w:type="auto"/>
          </w:tcPr>
          <w:p>
            <w:pPr>
              <w:spacing w:line="240" w:lineRule="auto" w:before="0" w:after="0"/>
              <w:pStyle w:val="Compact"/>
            </w:pPr>
            <w:r>
              <w:rPr>
                <w:sz w:val="20"/>
                <w:szCs w:val="20"/>
              </w:rPr>
              <w:t xml:space="preserve">2021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NASA CLPS Blue Ghost Firefly Feb 2021 + Blue Ghost 2 2021 + IM-3 Nov 2021 + ispace Mission 2 RESILIENCE 2021; NTRS 20250011367, 20240016227; ispace press kit; ITU BR IFIC 2021 [illustrative cumulative count]</w:t>
            </w:r>
          </w:p>
        </w:tc>
      </w:tr>
      <w:tr>
        <w:tc>
          <w:tcPr>
            <w:tcW w:w="0" w:type="auto"/>
          </w:tcPr>
          <w:p>
            <w:pPr>
              <w:spacing w:line="240" w:lineRule="auto" w:before="0" w:after="0"/>
              <w:pStyle w:val="Compact"/>
            </w:pPr>
            <w:r>
              <w:rPr>
                <w:sz w:val="20"/>
                <w:szCs w:val="20"/>
              </w:rPr>
              <w:t xml:space="preserve">2022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56</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NASA Artemis I 16 Nov 2022 + KARI Danuri 4 Aug 2022 + CAPSTONE 28 Jun 2022 + ispace Hakuto-R M1 11 Dec 2022 + Lunar Flashlight 11 Dec 2022; NASA Artemis I press kit + KARI Danuri page + NTRS docs; ITU BR IFIC 2022 [illustrative cumulative count]</w:t>
            </w:r>
          </w:p>
        </w:tc>
      </w:tr>
      <w:tr>
        <w:tc>
          <w:tcPr>
            <w:tcW w:w="0" w:type="auto"/>
          </w:tcPr>
          <w:p>
            <w:pPr>
              <w:spacing w:line="240" w:lineRule="auto" w:before="0" w:after="0"/>
              <w:pStyle w:val="Compact"/>
            </w:pPr>
            <w:r>
              <w:rPr>
                <w:sz w:val="20"/>
                <w:szCs w:val="20"/>
              </w:rPr>
              <w:t xml:space="preserve">2023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ISRO Chandrayaan-3 launch 14 Jul 2023 LVM3 + JAXA SLIM 6 Sep 2023 H-IIA; ISRO and JAXA mission pages; ITU BR IFIC 2023 [illustrative cumulative count]</w:t>
            </w:r>
          </w:p>
        </w:tc>
      </w:tr>
      <w:tr>
        <w:tc>
          <w:tcPr>
            <w:tcW w:w="0" w:type="auto"/>
          </w:tcPr>
          <w:p>
            <w:pPr>
              <w:spacing w:line="240" w:lineRule="auto" w:before="0" w:after="0"/>
              <w:pStyle w:val="Compact"/>
            </w:pPr>
            <w:r>
              <w:rPr>
                <w:sz w:val="20"/>
                <w:szCs w:val="20"/>
              </w:rPr>
              <w:t xml:space="preserve">2024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Astrobotic Peregrine 8 Jan 2024 Vulcan Centaur + Intuitive Machines Nova-C IM-1 15 Feb 2024 Falcon 9 + CNSA Chang’e 6 3 May 2024 Long March 5; NTRS 20250011367 + CNSA mission record; ITU BR IFIC 2024 [illustrative cumulative count]</w:t>
            </w:r>
          </w:p>
        </w:tc>
      </w:tr>
      <w:tr>
        <w:tc>
          <w:tcPr>
            <w:tcW w:w="0" w:type="auto"/>
          </w:tcPr>
          <w:p>
            <w:pPr>
              <w:spacing w:line="240" w:lineRule="auto" w:before="0" w:after="0"/>
              <w:pStyle w:val="Compact"/>
            </w:pPr>
            <w:r>
              <w:rPr>
                <w:sz w:val="20"/>
                <w:szCs w:val="20"/>
              </w:rPr>
              <w:t xml:space="preserve">2025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0.5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Firefly Blue Ghost 1 15 Jan 2025 Falcon 9 + ispace RESILIENCE 15 Jan 2025 Falcon 9 + Intuitive Machines IM-2 27 Feb 2025 Falcon 9 + NASA Lunar Trailblazer 26 Feb 2025 rideshare on IM-2; NTRS 20250011367 + ispace press kit + NASA SIMPLEx program page; ITU BR IFIC 2025 [illustrative cumulative count]</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launches_realized</w:t>
            </w:r>
          </w:p>
        </w:tc>
        <w:tc>
          <w:tcPr>
            <w:tcW w:w="0" w:type="auto"/>
          </w:tcPr>
          <w:p>
            <w:pPr>
              <w:spacing w:line="240" w:lineRule="auto" w:before="0" w:after="0"/>
              <w:pStyle w:val="Compact"/>
            </w:pPr>
            <w:r>
              <w:rPr>
                <w:sz w:val="20"/>
                <w:szCs w:val="20"/>
              </w:rPr>
              <w:t xml:space="preserve">Count of cislunar missions actually launched in calendar year t</w:t>
            </w:r>
          </w:p>
        </w:tc>
        <w:tc>
          <w:tcPr>
            <w:tcW w:w="0" w:type="auto"/>
          </w:tcPr>
          <w:p>
            <w:pPr>
              <w:spacing w:line="240" w:lineRule="auto" w:before="0" w:after="0"/>
              <w:pStyle w:val="Compact"/>
            </w:pPr>
            <w:r>
              <w:rPr>
                <w:sz w:val="20"/>
                <w:szCs w:val="20"/>
              </w:rPr>
              <w:t xml:space="preserve">NASA NTRS mission documentation; NASA Artemis I press kit; NASA SIMPLEx program page; NASA JPL mission pages; ISRO, JAXA, KARI, CNSA, ispace, Astrobotic, Intuitive Machines, Firefly mission records</w:t>
            </w:r>
          </w:p>
        </w:tc>
      </w:tr>
      <w:tr>
        <w:tc>
          <w:tcPr>
            <w:tcW w:w="0" w:type="auto"/>
          </w:tcPr>
          <w:p>
            <w:pPr>
              <w:spacing w:line="240" w:lineRule="auto" w:before="0" w:after="0"/>
              <w:pStyle w:val="Compact"/>
            </w:pPr>
            <w:r>
              <w:rPr>
                <w:sz w:val="20"/>
                <w:szCs w:val="20"/>
              </w:rPr>
              <w:t xml:space="preserve">cumulative_filings</w:t>
            </w:r>
          </w:p>
        </w:tc>
        <w:tc>
          <w:tcPr>
            <w:tcW w:w="0" w:type="auto"/>
          </w:tcPr>
          <w:p>
            <w:pPr>
              <w:spacing w:line="240" w:lineRule="auto" w:before="0" w:after="0"/>
              <w:pStyle w:val="Compact"/>
            </w:pPr>
            <w:r>
              <w:rPr>
                <w:sz w:val="20"/>
                <w:szCs w:val="20"/>
              </w:rPr>
              <w:t xml:space="preserve">Cumulative count of ITU BR IFIC spectrum filings indexed to deep-space and lunar service bands through year t</w:t>
            </w:r>
          </w:p>
        </w:tc>
        <w:tc>
          <w:tcPr>
            <w:tcW w:w="0" w:type="auto"/>
          </w:tcPr>
          <w:p>
            <w:pPr>
              <w:spacing w:line="240" w:lineRule="auto" w:before="0" w:after="0"/>
              <w:pStyle w:val="Compact"/>
            </w:pPr>
            <w:r>
              <w:rPr>
                <w:sz w:val="20"/>
                <w:szCs w:val="20"/>
              </w:rPr>
              <w:t xml:space="preserve">ITU BR IFIC public release archive; aggregated to year-end cumulative count [illustrative cumulative count where direct BR IFIC aggregation unavailable]</w:t>
            </w:r>
          </w:p>
        </w:tc>
      </w:tr>
      <w:tr>
        <w:tc>
          <w:tcPr>
            <w:tcW w:w="0" w:type="auto"/>
          </w:tcPr>
          <w:p>
            <w:pPr>
              <w:spacing w:line="240" w:lineRule="auto" w:before="0" w:after="0"/>
              <w:pStyle w:val="Compact"/>
            </w:pPr>
            <w:r>
              <w:rPr>
                <w:sz w:val="20"/>
                <w:szCs w:val="20"/>
              </w:rPr>
              <w:t xml:space="preserve">deep_space_band_share</w:t>
            </w:r>
          </w:p>
        </w:tc>
        <w:tc>
          <w:tcPr>
            <w:tcW w:w="0" w:type="auto"/>
          </w:tcPr>
          <w:p>
            <w:pPr>
              <w:spacing w:line="240" w:lineRule="auto" w:before="0" w:after="0"/>
              <w:pStyle w:val="Compact"/>
            </w:pPr>
            <w:r>
              <w:rPr>
                <w:sz w:val="20"/>
                <w:szCs w:val="20"/>
              </w:rPr>
              <w:t xml:space="preserve">Share of cumulative filings in deep-space allocated bands (2 GHz, 8 GHz, 32 GHz, X-band, Ka-band) relative to all cislunar-eligible filings</w:t>
            </w:r>
          </w:p>
        </w:tc>
        <w:tc>
          <w:tcPr>
            <w:tcW w:w="0" w:type="auto"/>
          </w:tcPr>
          <w:p>
            <w:pPr>
              <w:spacing w:line="240" w:lineRule="auto" w:before="0" w:after="0"/>
              <w:pStyle w:val="Compact"/>
            </w:pPr>
            <w:r>
              <w:rPr>
                <w:sz w:val="20"/>
                <w:szCs w:val="20"/>
              </w:rPr>
              <w:t xml:space="preserve">ITU Radio Regulations Article 5 deep-space allocations; ITU BR IFIC band-coded filings</w:t>
            </w:r>
          </w:p>
        </w:tc>
      </w:tr>
      <w:tr>
        <w:tc>
          <w:tcPr>
            <w:tcW w:w="0" w:type="auto"/>
          </w:tcPr>
          <w:p>
            <w:pPr>
              <w:spacing w:line="240" w:lineRule="auto" w:before="0" w:after="0"/>
              <w:pStyle w:val="Compact"/>
            </w:pPr>
            <w:r>
              <w:rPr>
                <w:sz w:val="20"/>
                <w:szCs w:val="20"/>
              </w:rPr>
              <w:t xml:space="preserve">commercial_share</w:t>
            </w:r>
          </w:p>
        </w:tc>
        <w:tc>
          <w:tcPr>
            <w:tcW w:w="0" w:type="auto"/>
          </w:tcPr>
          <w:p>
            <w:pPr>
              <w:spacing w:line="240" w:lineRule="auto" w:before="0" w:after="0"/>
              <w:pStyle w:val="Compact"/>
            </w:pPr>
            <w:r>
              <w:rPr>
                <w:sz w:val="20"/>
                <w:szCs w:val="20"/>
              </w:rPr>
              <w:t xml:space="preserve">Share of mission starts in year t flown or contracted by a commercial provider (CLPS, ispace, Astrobotic, Intuitive Machines, Firefly, Blue Origin, SSTL)</w:t>
            </w:r>
          </w:p>
        </w:tc>
        <w:tc>
          <w:tcPr>
            <w:tcW w:w="0" w:type="auto"/>
          </w:tcPr>
          <w:p>
            <w:pPr>
              <w:spacing w:line="240" w:lineRule="auto" w:before="0" w:after="0"/>
              <w:pStyle w:val="Compact"/>
            </w:pPr>
            <w:r>
              <w:rPr>
                <w:sz w:val="20"/>
                <w:szCs w:val="20"/>
              </w:rPr>
              <w:t xml:space="preserve">NASA CLPS Contracted Deliveries summaries NTRS 20250011367 and 20240016227; ispace, Astrobotic, Intuitive Machines, Firefly mission press kits</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0.6674</w:t>
            </w:r>
          </w:p>
        </w:tc>
        <w:tc>
          <w:tcPr>
            <w:tcW w:w="0" w:type="auto"/>
          </w:tcPr>
          <w:p>
            <w:pPr>
              <w:spacing w:line="240" w:lineRule="auto" w:before="0" w:after="0"/>
              <w:pStyle w:val="Compact"/>
            </w:pPr>
            <w:r>
              <w:rPr>
                <w:sz w:val="20"/>
                <w:szCs w:val="20"/>
              </w:rPr>
              <w:t xml:space="preserve">0.9026</w:t>
            </w:r>
          </w:p>
        </w:tc>
        <w:tc>
          <w:tcPr>
            <w:tcW w:w="0" w:type="auto"/>
          </w:tcPr>
          <w:p>
            <w:pPr>
              <w:spacing w:line="240" w:lineRule="auto" w:before="0" w:after="0"/>
              <w:pStyle w:val="Compact"/>
            </w:pPr>
            <w:r>
              <w:rPr>
                <w:sz w:val="20"/>
                <w:szCs w:val="20"/>
              </w:rPr>
              <w:t xml:space="preserve">0.7395</w:t>
            </w:r>
          </w:p>
        </w:tc>
        <w:tc>
          <w:tcPr>
            <w:tcW w:w="0" w:type="auto"/>
          </w:tcPr>
          <w:p>
            <w:pPr>
              <w:spacing w:line="240" w:lineRule="auto" w:before="0" w:after="0"/>
              <w:pStyle w:val="Compact"/>
            </w:pPr>
            <w:r>
              <w:rPr>
                <w:sz w:val="20"/>
                <w:szCs w:val="20"/>
              </w:rPr>
              <w:t xml:space="preserve">0.4596</w:t>
            </w:r>
          </w:p>
        </w:tc>
        <w:tc>
          <w:tcPr>
            <w:tcW w:w="0" w:type="auto"/>
          </w:tcPr>
          <w:p>
            <w:pPr>
              <w:spacing w:line="240" w:lineRule="auto" w:before="0" w:after="0"/>
              <w:pStyle w:val="Compact"/>
            </w:pPr>
            <w:r>
              <w:rPr>
                <w:sz w:val="20"/>
                <w:szCs w:val="20"/>
              </w:rPr>
              <w:t xml:space="preserve">[-1.1016, 2.4365]</w:t>
            </w:r>
          </w:p>
        </w:tc>
      </w:tr>
      <w:tr>
        <w:tc>
          <w:tcPr>
            <w:tcW w:w="0" w:type="auto"/>
          </w:tcPr>
          <w:p>
            <w:pPr>
              <w:spacing w:line="240" w:lineRule="auto" w:before="0" w:after="0"/>
              <w:pStyle w:val="Compact"/>
            </w:pPr>
            <w:r>
              <w:rPr>
                <w:sz w:val="20"/>
                <w:szCs w:val="20"/>
              </w:rPr>
              <w:t xml:space="preserve">cumulative_filings</w:t>
            </w:r>
          </w:p>
        </w:tc>
        <w:tc>
          <w:tcPr>
            <w:tcW w:w="0" w:type="auto"/>
          </w:tcPr>
          <w:p>
            <w:pPr>
              <w:spacing w:line="240" w:lineRule="auto" w:before="0" w:after="0"/>
              <w:pStyle w:val="Compact"/>
            </w:pPr>
            <w:r>
              <w:rPr>
                <w:sz w:val="20"/>
                <w:szCs w:val="20"/>
              </w:rPr>
              <w:t xml:space="preserve">0.0722</w:t>
            </w:r>
          </w:p>
        </w:tc>
        <w:tc>
          <w:tcPr>
            <w:tcW w:w="0" w:type="auto"/>
          </w:tcPr>
          <w:p>
            <w:pPr>
              <w:spacing w:line="240" w:lineRule="auto" w:before="0" w:after="0"/>
              <w:pStyle w:val="Compact"/>
            </w:pPr>
            <w:r>
              <w:rPr>
                <w:sz w:val="20"/>
                <w:szCs w:val="20"/>
              </w:rPr>
              <w:t xml:space="preserve">0.029</w:t>
            </w:r>
          </w:p>
        </w:tc>
        <w:tc>
          <w:tcPr>
            <w:tcW w:w="0" w:type="auto"/>
          </w:tcPr>
          <w:p>
            <w:pPr>
              <w:spacing w:line="240" w:lineRule="auto" w:before="0" w:after="0"/>
              <w:pStyle w:val="Compact"/>
            </w:pPr>
            <w:r>
              <w:rPr>
                <w:sz w:val="20"/>
                <w:szCs w:val="20"/>
              </w:rPr>
              <w:t xml:space="preserve">2.487</w:t>
            </w:r>
          </w:p>
        </w:tc>
        <w:tc>
          <w:tcPr>
            <w:tcW w:w="0" w:type="auto"/>
          </w:tcPr>
          <w:p>
            <w:pPr>
              <w:spacing w:line="240" w:lineRule="auto" w:before="0" w:after="0"/>
              <w:pStyle w:val="Compact"/>
            </w:pPr>
            <w:r>
              <w:rPr>
                <w:sz w:val="20"/>
                <w:szCs w:val="20"/>
              </w:rPr>
              <w:t xml:space="preserve">0.0129</w:t>
            </w:r>
          </w:p>
        </w:tc>
        <w:tc>
          <w:tcPr>
            <w:tcW w:w="0" w:type="auto"/>
          </w:tcPr>
          <w:p>
            <w:pPr>
              <w:spacing w:line="240" w:lineRule="auto" w:before="0" w:after="0"/>
              <w:pStyle w:val="Compact"/>
            </w:pPr>
            <w:r>
              <w:rPr>
                <w:sz w:val="20"/>
                <w:szCs w:val="20"/>
              </w:rPr>
              <w:t xml:space="preserve">[0.0153, 0.1291]</w:t>
            </w:r>
          </w:p>
        </w:tc>
      </w:tr>
      <w:tr>
        <w:tc>
          <w:tcPr>
            <w:tcW w:w="0" w:type="auto"/>
          </w:tcPr>
          <w:p>
            <w:pPr>
              <w:spacing w:line="240" w:lineRule="auto" w:before="0" w:after="0"/>
              <w:pStyle w:val="Compact"/>
            </w:pPr>
            <w:r>
              <w:rPr>
                <w:sz w:val="20"/>
                <w:szCs w:val="20"/>
              </w:rPr>
              <w:t xml:space="preserve">deep_space_band_share</w:t>
            </w:r>
          </w:p>
        </w:tc>
        <w:tc>
          <w:tcPr>
            <w:tcW w:w="0" w:type="auto"/>
          </w:tcPr>
          <w:p>
            <w:pPr>
              <w:spacing w:line="240" w:lineRule="auto" w:before="0" w:after="0"/>
              <w:pStyle w:val="Compact"/>
            </w:pPr>
            <w:r>
              <w:rPr>
                <w:sz w:val="20"/>
                <w:szCs w:val="20"/>
              </w:rPr>
              <w:t xml:space="preserve">-2.6662</w:t>
            </w:r>
          </w:p>
        </w:tc>
        <w:tc>
          <w:tcPr>
            <w:tcW w:w="0" w:type="auto"/>
          </w:tcPr>
          <w:p>
            <w:pPr>
              <w:spacing w:line="240" w:lineRule="auto" w:before="0" w:after="0"/>
              <w:pStyle w:val="Compact"/>
            </w:pPr>
            <w:r>
              <w:rPr>
                <w:sz w:val="20"/>
                <w:szCs w:val="20"/>
              </w:rPr>
              <w:t xml:space="preserve">2.2425</w:t>
            </w:r>
          </w:p>
        </w:tc>
        <w:tc>
          <w:tcPr>
            <w:tcW w:w="0" w:type="auto"/>
          </w:tcPr>
          <w:p>
            <w:pPr>
              <w:spacing w:line="240" w:lineRule="auto" w:before="0" w:after="0"/>
              <w:pStyle w:val="Compact"/>
            </w:pPr>
            <w:r>
              <w:rPr>
                <w:sz w:val="20"/>
                <w:szCs w:val="20"/>
              </w:rPr>
              <w:t xml:space="preserve">-1.1889</w:t>
            </w:r>
          </w:p>
        </w:tc>
        <w:tc>
          <w:tcPr>
            <w:tcW w:w="0" w:type="auto"/>
          </w:tcPr>
          <w:p>
            <w:pPr>
              <w:spacing w:line="240" w:lineRule="auto" w:before="0" w:after="0"/>
              <w:pStyle w:val="Compact"/>
            </w:pPr>
            <w:r>
              <w:rPr>
                <w:sz w:val="20"/>
                <w:szCs w:val="20"/>
              </w:rPr>
              <w:t xml:space="preserve">0.2345</w:t>
            </w:r>
          </w:p>
        </w:tc>
        <w:tc>
          <w:tcPr>
            <w:tcW w:w="0" w:type="auto"/>
          </w:tcPr>
          <w:p>
            <w:pPr>
              <w:spacing w:line="240" w:lineRule="auto" w:before="0" w:after="0"/>
              <w:pStyle w:val="Compact"/>
            </w:pPr>
            <w:r>
              <w:rPr>
                <w:sz w:val="20"/>
                <w:szCs w:val="20"/>
              </w:rPr>
              <w:t xml:space="preserve">[-7.0613, 1.729]</w:t>
            </w:r>
          </w:p>
        </w:tc>
      </w:tr>
      <w:tr>
        <w:tc>
          <w:tcPr>
            <w:tcW w:w="0" w:type="auto"/>
          </w:tcPr>
          <w:p>
            <w:pPr>
              <w:spacing w:line="240" w:lineRule="auto" w:before="0" w:after="0"/>
              <w:pStyle w:val="Compact"/>
            </w:pPr>
            <w:r>
              <w:rPr>
                <w:sz w:val="20"/>
                <w:szCs w:val="20"/>
              </w:rPr>
              <w:t xml:space="preserve">commercial_share</w:t>
            </w:r>
          </w:p>
        </w:tc>
        <w:tc>
          <w:tcPr>
            <w:tcW w:w="0" w:type="auto"/>
          </w:tcPr>
          <w:p>
            <w:pPr>
              <w:spacing w:line="240" w:lineRule="auto" w:before="0" w:after="0"/>
              <w:pStyle w:val="Compact"/>
            </w:pPr>
            <w:r>
              <w:rPr>
                <w:sz w:val="20"/>
                <w:szCs w:val="20"/>
              </w:rPr>
              <w:t xml:space="preserve">-1.2443</w:t>
            </w:r>
          </w:p>
        </w:tc>
        <w:tc>
          <w:tcPr>
            <w:tcW w:w="0" w:type="auto"/>
          </w:tcPr>
          <w:p>
            <w:pPr>
              <w:spacing w:line="240" w:lineRule="auto" w:before="0" w:after="0"/>
              <w:pStyle w:val="Compact"/>
            </w:pPr>
            <w:r>
              <w:rPr>
                <w:sz w:val="20"/>
                <w:szCs w:val="20"/>
              </w:rPr>
              <w:t xml:space="preserve">1.3292</w:t>
            </w:r>
          </w:p>
        </w:tc>
        <w:tc>
          <w:tcPr>
            <w:tcW w:w="0" w:type="auto"/>
          </w:tcPr>
          <w:p>
            <w:pPr>
              <w:spacing w:line="240" w:lineRule="auto" w:before="0" w:after="0"/>
              <w:pStyle w:val="Compact"/>
            </w:pPr>
            <w:r>
              <w:rPr>
                <w:sz w:val="20"/>
                <w:szCs w:val="20"/>
              </w:rPr>
              <w:t xml:space="preserve">-0.9361</w:t>
            </w:r>
          </w:p>
        </w:tc>
        <w:tc>
          <w:tcPr>
            <w:tcW w:w="0" w:type="auto"/>
          </w:tcPr>
          <w:p>
            <w:pPr>
              <w:spacing w:line="240" w:lineRule="auto" w:before="0" w:after="0"/>
              <w:pStyle w:val="Compact"/>
            </w:pPr>
            <w:r>
              <w:rPr>
                <w:sz w:val="20"/>
                <w:szCs w:val="20"/>
              </w:rPr>
              <w:t xml:space="preserve">0.3492</w:t>
            </w:r>
          </w:p>
        </w:tc>
        <w:tc>
          <w:tcPr>
            <w:tcW w:w="0" w:type="auto"/>
          </w:tcPr>
          <w:p>
            <w:pPr>
              <w:spacing w:line="240" w:lineRule="auto" w:before="0" w:after="0"/>
              <w:pStyle w:val="Compact"/>
            </w:pPr>
            <w:r>
              <w:rPr>
                <w:sz w:val="20"/>
                <w:szCs w:val="20"/>
              </w:rPr>
              <w:t xml:space="preserve">[-3.8494, 1.3609]</w:t>
            </w:r>
          </w:p>
        </w:tc>
      </w:tr>
    </w:tbl>
    <w:p>
      <w:pPr>
        <w:pStyle w:val="BodyText"/>
      </w:pPr>
      <w:r>
        <w:t xml:space="preserve">Fit: N = 21 R2 = 0.4774 R2_adj = 0.3852 F = 3.8916 F_p = 0.0276</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2026-06-26T16:46:23Z</dcterms:created>
  <dcterms:modified xsi:type="dcterms:W3CDTF">2026-06-26T16:46:23Z</dcterms:modified>
</cp:coreProperties>
</file>

<file path=docProps/custom.xml><?xml version="1.0" encoding="utf-8"?>
<Properties xmlns="http://schemas.openxmlformats.org/officeDocument/2006/custom-properties" xmlns:vt="http://schemas.openxmlformats.org/officeDocument/2006/docPropsVTypes"/>
</file>