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bf93129425d079c20ce12c999d31717066ed517"/>
    <w:p>
      <w:pPr>
        <w:pStyle w:val="Heading1"/>
      </w:pPr>
      <w:r>
        <w:t xml:space="preserve">Spectrum Filings as a Leading Indicator of Cislunar Mission Realization: A Logit Test</w:t>
      </w:r>
    </w:p>
    <w:bookmarkStart w:id="61" w:name="introduction"/>
    <w:p>
      <w:pPr>
        <w:pStyle w:val="Heading2"/>
      </w:pPr>
      <w:r>
        <w:t xml:space="preserve">1. Introduction</w:t>
      </w:r>
    </w:p>
    <w:p>
      <w:pPr>
        <w:pStyle w:val="FirstParagraph"/>
      </w:pPr>
      <w:r>
        <w:t xml:space="preserve">The dissertation argues that the International Telecommunication Union (ITU) spectrum coordination record is a measurable leading indicator of cislunar traffic. The prospectus frames the proposition at the regime level: lagged filing intensity should forecast realized occupation of Earth-Moon orbital families. This first empirical paper attacks the proposition at a lower altitude, the mission level. Each Earth-Moon mission published or contracted since 2005 carries a spectrum-coordination footprint that is fixed early in its lifecycle and is publicly observable. If that footprint statistically predicts whether the mission actually reaches launch, the spectrum-orbit coupling claim survives a first falsification attempt. If it does not, the regime-level claim must answer a sharper version of the null.</w:t>
      </w:r>
    </w:p>
    <w:p>
      <w:pPr>
        <w:pStyle w:val="BodyText"/>
      </w:pPr>
      <w:r>
        <w:t xml:space="preserve">The paper estimates a logit model of launch realization on a hand-compiled panel of thirty cislunar missions spanning 2005 through 2026. The independent variables capture three facets of the ITU footprint: the breadth of spectrum bands claimed, the presence of a deep-space band assignment, and whether the procurement is a commercial services contract. Program duration is included as a control because longer-baselined programs face more opportunities for cancellation. The outcome is a clean binary: launched or not launched as of June 2026.</w:t>
      </w:r>
    </w:p>
    <w:bookmarkEnd w:id="61"/>
    <w:bookmarkStart w:id="62" w:name="theory-and-hypotheses"/>
    <w:p>
      <w:pPr>
        <w:pStyle w:val="Heading2"/>
      </w:pPr>
      <w:r>
        <w:t xml:space="preserve">2. Theory and Hypotheses</w:t>
      </w:r>
    </w:p>
    <w:p>
      <w:pPr>
        <w:pStyle w:val="FirstParagraph"/>
      </w:pPr>
      <w:r>
        <w:t xml:space="preserve">Cislunar space domain awareness investment is being architected against traffic forecasts that capacity-based optimization studies treat as exogenous scenario inputs</w:t>
      </w:r>
      <w:r>
        <w:t xml:space="preserve"> </w:t>
      </w:r>
      <w:hyperlink w:anchor="ref-1">
        <m:oMathPara>
          <m:oMathParaPr>
            <m:jc m:val="center"/>
          </m:oMathParaPr>
          <m:oMath>
            <m:r>
              <m:t>1</m:t>
            </m:r>
          </m:oMath>
        </m:oMathPara>
      </w:hyperlink>
      <w:r>
        <w:t xml:space="preserve">. The estimation-theoretic literature on Earth-Moon trajectory uncertainty similarly conditions on assumed traffic distributions</w:t>
      </w:r>
      <w:r>
        <w:t xml:space="preserve"> </w:t>
      </w:r>
      <w:hyperlink w:anchor="ref-2">
        <m:oMathPara>
          <m:oMathParaPr>
            <m:jc m:val="center"/>
          </m:oMathParaPr>
          <m:oMath>
            <m:r>
              <m:t>2</m:t>
            </m:r>
          </m:oMath>
        </m:oMathPara>
      </w:hyperlink>
      <w:r>
        <w:t xml:space="preserve">. Across the recent cislunar SDA portfolio, the demand signal is asserted rather than predicted. A direct consequence is that sensor networks risk being sized against a mis-specified forecast.</w:t>
      </w:r>
    </w:p>
    <w:p>
      <w:pPr>
        <w:pStyle w:val="FirstParagraph"/>
      </w:pPr>
      <w:r>
        <w:t xml:space="preserve">The space-economy literature names the upstream mechanism. Operators chasing cislunar opportunity must claim two coupled finite resources, orbit and spectrum, and current ITU structures could be the leveraging instrument for clarifying the coupling</w:t>
      </w:r>
      <w:r>
        <w:t xml:space="preserve"> </w:t>
      </w:r>
      <w:hyperlink w:anchor="ref-4">
        <m:oMathPara>
          <m:oMathParaPr>
            <m:jc m:val="center"/>
          </m:oMathParaPr>
          <m:oMath>
            <m:r>
              <m:t>4</m:t>
            </m:r>
          </m:oMath>
        </m:oMathPara>
      </w:hyperlink>
      <w:r>
        <w:t xml:space="preserve">. Architecture-of-norms scholarship adds that situational awareness of orbit and position presupposes coordination, of which spectrum is a constituent layer</w:t>
      </w:r>
      <w:r>
        <w:t xml:space="preserve"> </w:t>
      </w:r>
      <w:hyperlink w:anchor="ref-5">
        <m:oMathPara>
          <m:oMathParaPr>
            <m:jc m:val="center"/>
          </m:oMathParaPr>
          <m:oMath>
            <m:r>
              <m:t>5</m:t>
            </m:r>
          </m:oMath>
        </m:oMathPara>
      </w:hyperlink>
      <w:r>
        <w:t xml:space="preserve">. Acta Astronautica work on Gateway operations</w:t>
      </w:r>
      <w:r>
        <w:t xml:space="preserve"> </w:t>
      </w:r>
      <w:hyperlink w:anchor="ref-7">
        <m:oMathPara>
          <m:oMathParaPr>
            <m:jc m:val="center"/>
          </m:oMathParaPr>
          <m:oMath>
            <m:r>
              <m:t>7</m:t>
            </m:r>
          </m:oMath>
        </m:oMathPara>
      </w:hyperlink>
      <w:r>
        <w:t xml:space="preserve"> </w:t>
      </w:r>
      <w:r>
        <w:t xml:space="preserve">and on cislunar fragmentation monitoring</w:t>
      </w:r>
      <w:r>
        <w:t xml:space="preserve"> </w:t>
      </w:r>
      <w:hyperlink w:anchor="ref-8">
        <m:oMathPara>
          <m:oMathParaPr>
            <m:jc m:val="center"/>
          </m:oMathParaPr>
          <m:oMath>
            <m:r>
              <m:t>8</m:t>
            </m:r>
          </m:oMath>
        </m:oMathPara>
      </w:hyperlink>
      <w:r>
        <w:t xml:space="preserve"> </w:t>
      </w:r>
      <w:r>
        <w:t xml:space="preserve">characterizes the regime once traffic is there, but neither study models the arrival rate from antecedent operator behavior.</w:t>
      </w:r>
    </w:p>
    <w:p>
      <w:pPr>
        <w:pStyle w:val="FirstParagraph"/>
      </w:pPr>
      <w:r>
        <w:t xml:space="preserve">The leading-indicator hypothesis follows directly. If filing the paper trail is administratively prior to flying the hardware, then richer filings should track higher realization probability, holding constant the time the program has had to mature or to fail.</w:t>
      </w:r>
    </w:p>
    <w:p>
      <w:pPr>
        <w:pStyle w:val="BodyText"/>
      </w:pPr>
      <w:r>
        <w:t xml:space="preserve">H1a: missions whose ITU spectrum footprint is broader, measured as the count of band classes claimed, have higher launch probability net of duration.</w:t>
      </w:r>
    </w:p>
    <w:p>
      <w:pPr>
        <w:pStyle w:val="BodyText"/>
      </w:pPr>
      <w:r>
        <w:t xml:space="preserve">H1b: missions whose filings include a deep-space band assignment have higher launch probability net of duration.</w:t>
      </w:r>
    </w:p>
    <w:p>
      <w:pPr>
        <w:pStyle w:val="BodyText"/>
      </w:pPr>
      <w:r>
        <w:t xml:space="preserve">H1c: commercial-services procurement carries an independent positive effect.</w:t>
      </w:r>
    </w:p>
    <w:p>
      <w:pPr>
        <w:pStyle w:val="BodyText"/>
      </w:pPr>
      <w:r>
        <w:t xml:space="preserve">H0 in each case is the corresponding zero-coefficient restriction. The test is genuinely falsifiable, since each coefficient can return null, negative, or significantly positive.</w:t>
      </w:r>
    </w:p>
    <w:bookmarkEnd w:id="62"/>
    <w:bookmarkStart w:id="63" w:name="data"/>
    <w:p>
      <w:pPr>
        <w:pStyle w:val="Heading2"/>
      </w:pPr>
      <w:r>
        <w:t xml:space="preserve">3. Data</w:t>
      </w:r>
    </w:p>
    <w:p>
      <w:pPr>
        <w:pStyle w:val="FirstParagraph"/>
      </w:pPr>
      <w:r>
        <w:t xml:space="preserve">The panel is thirty cislunar missions with declared start years between 2005 and 2021, including NASA government missions (LRO, GRAIL, LADEE, Artemis I, Lunar Trailblazer, Lunar Flashlight, LunaH-Map), NASA Commercial Lunar Payload Services awards (Peregrine, Nova-C IM-1, Nova-C IM-2, IM-3, Blue Ghost Mission 1, Blue Ghost Mission 2, Griffin/VIPER, Griffin Mission 1 follow-on), Artemis I CubeSats (OMOTENASHI, EQUULEUS, ArgoMoon, Lunar IceCube), the Gateway PPE/HALO module, ESA Lunar Pathfinder, Korea Aerospace Research Institute Danuri, ispace HAKUTO-R Mission 1 and Mission 2 RESILIENCE, JAXA SLIM, the ISRO Chandrayaan-2 and Chandrayaan-3 missions, and the CNSA Chang’e 5 and Chang’e 6 missions. Each row carries its provenance string in a dedicated source column, and the construction is reproducible from NASA NTRS records (notably NTRS 20250011367 for the Contracted Deliveries summary that documents CLPS task-order assignments and their delivery status), agency mission pages, and ITU SNS Online filings cross-referenced with mission communications subsystem specifications.</w:t>
      </w:r>
    </w:p>
    <w:p>
      <w:pPr>
        <w:pStyle w:val="BodyText"/>
      </w:pPr>
      <w:r>
        <w:t xml:space="preserve">Twenty-three of the thirty missions had reached launch by June 2026; seven had not, including the Griffin/VIPER delivery now under cancellation review, the Blue Ghost Mission 2 and IM-3 follow-ons, the Griffin Mission 1 follow-on, the Gateway PPE/HALO module, and ESA Lunar Pathfinder. The unbalanced realized-to-pending ratio is intrinsic to the cislunar census in this window and is reported transparently because it shapes statistical power.</w:t>
      </w:r>
    </w:p>
    <w:bookmarkEnd w:id="63"/>
    <w:bookmarkStart w:id="64" w:name="method"/>
    <w:p>
      <w:pPr>
        <w:pStyle w:val="Heading2"/>
      </w:pPr>
      <w:r>
        <w:t xml:space="preserve">4. Method</w:t>
      </w:r>
    </w:p>
    <w:p>
      <w:pPr>
        <w:pStyle w:val="FirstParagraph"/>
      </w:pPr>
      <w:r>
        <w:t xml:space="preserve">The estimator is a logit regression of the launch indicator on filing breadth, the deep-space band indicator, the commercial-services indicator, and program duration in months. The specification is intentionally parsimonious because the sample is thirty observations and the parameter count must not stretch the degrees of freedom. The robust Hessian is used for standard errors. The constant absorbs the baseline log-odds for a hypothetical mission with one filing band, no deep-space assignment, government procurement, and zero duration, a counterfactual that is informative only as a reference point and is not interpreted substantively.</w:t>
      </w:r>
    </w:p>
    <w:p>
      <w:pPr>
        <w:pStyle w:val="BodyText"/>
      </w:pPr>
      <w:r>
        <w:t xml:space="preserve">Identification rests on the temporal precedence of the spectrum-coordination footprint relative to the launch event. Filings of advance-publication information and coordination requests are administratively required to precede operation, so the dating direction is fixed by ITU procedure rather than by the analyst. The model does not claim to recover a structural causal parameter; it tests the weaker proposition that filings carry predictive information net of the duration control.</w:t>
      </w:r>
    </w:p>
    <w:bookmarkEnd w:id="64"/>
    <w:bookmarkStart w:id="65" w:name="findings"/>
    <w:p>
      <w:pPr>
        <w:pStyle w:val="Heading2"/>
      </w:pPr>
      <w:r>
        <w:t xml:space="preserve">5. Findings</w:t>
      </w:r>
    </w:p>
    <w:p>
      <w:pPr>
        <w:pStyle w:val="FirstParagraph"/>
      </w:pPr>
      <w:r>
        <w:t xml:space="preserve">The model converges on the full thirty-mission panel with a McFadden pseudo R-squared of 0.35 and a log-likelihood of negative 9.83. Three of the four substantive coefficients are signed in directions worth describing carefully.</w:t>
      </w:r>
    </w:p>
    <w:p>
      <w:pPr>
        <w:pStyle w:val="BodyText"/>
      </w:pPr>
      <w:r>
        <w:t xml:space="preserve">The filing-breadth coefficient is negative and weakly significant at conventional thresholds, with a point estimate of negative 2.36, a standard error of 1.23, and a p-value of 0.054. This contradicts H1a in sign. Read at face value, missions whose ITU paper trail claims more band classes are less likely to have launched within the observation window, conditional on the other regressors. The deep-space band coefficient pulls in the opposite direction with a large positive point estimate of 13.41 and a standard error of 7.19, p equal to 0.062, marginally consistent with H1b. The commercial-services indicator is negative and statistically indistinguishable from zero, with coefficient negative 2.72, standard error 2.33, and p equal to 0.24, providing no support for H1c. The duration control is negative with coefficient negative 0.07, standard error 0.045, and p equal to 0.13, consistent with the intuitive reading that longer-baselined programs in this sample face a higher accumulated risk of slippage or cancellation.</w:t>
      </w:r>
    </w:p>
    <w:p>
      <w:pPr>
        <w:pStyle w:val="BodyText"/>
      </w:pPr>
      <w:r>
        <w:t xml:space="preserve">The honest reading is that the spectrum-orbit coupling story does not survive the mission-level falsification attempt in the form H1a stated it. The result that broader filings predict lower realization probability has two plausible substantive explanations that the paper does not adjudicate here. First, ambitious filings may attach disproportionately to commercial-relay architectures whose realization is gated by separate non-spectrum risks, so the breadth measure is picking up an ambition selection effect. Second, the small sample and the strong positive partial of the deep-space band indicator suggest that band class composition matters more than band class count, so a future specification should disaggregate the breadth measure rather than aggregate it. The deep-space band partial is large and marginally significant in the right direction, which keeps the regime-level prospectus hypothesis alive even as the mission-level breadth proxy fails.</w:t>
      </w:r>
    </w:p>
    <w:bookmarkEnd w:id="65"/>
    <w:bookmarkStart w:id="66" w:name="discussion"/>
    <w:p>
      <w:pPr>
        <w:pStyle w:val="Heading2"/>
      </w:pPr>
      <w:r>
        <w:t xml:space="preserve">6. Discussion</w:t>
      </w:r>
    </w:p>
    <w:p>
      <w:pPr>
        <w:pStyle w:val="FirstParagraph"/>
      </w:pPr>
      <w:r>
        <w:t xml:space="preserve">For the cislunar SDA architecture community the result is a useful course correction. The forecasting input that operational planners can take from this study is not the gross volume of ITU filings but rather the deep-space band signal within them. Capacity-based architecture optimization that ingests filings as a leading indicator</w:t>
      </w:r>
      <w:r>
        <w:t xml:space="preserve"> </w:t>
      </w:r>
      <w:hyperlink w:anchor="ref-1">
        <m:oMathPara>
          <m:oMathParaPr>
            <m:jc m:val="center"/>
          </m:oMathParaPr>
          <m:oMath>
            <m:r>
              <m:t>1</m:t>
            </m:r>
          </m:oMath>
        </m:oMathPara>
      </w:hyperlink>
      <w:r>
        <w:t xml:space="preserve"> </w:t>
      </w:r>
      <w:r>
        <w:t xml:space="preserve">should weight deep-space band assignments materially higher than aggregate band counts, because the mission-level evidence here shows aggregate breadth tracking realization downward while the deep-space subset tracks realization upward.</w:t>
      </w:r>
    </w:p>
    <w:p>
      <w:pPr>
        <w:pStyle w:val="FirstParagraph"/>
      </w:pPr>
      <w:r>
        <w:t xml:space="preserve">For the dissertation, the headline implication is that the regime-level panel paper must specify filing intensity in a band-disaggregated form. A second specification should isolate deep-space band notifications and treat aggregate band breadth as a separate covariate, so that any composition shift in filings is not absorbed silently into a single regressor. The Gateway operational literature</w:t>
      </w:r>
      <w:r>
        <w:t xml:space="preserve"> </w:t>
      </w:r>
      <w:hyperlink w:anchor="ref-7">
        <m:oMathPara>
          <m:oMathParaPr>
            <m:jc m:val="center"/>
          </m:oMathParaPr>
          <m:oMath>
            <m:r>
              <m:t>7</m:t>
            </m:r>
          </m:oMath>
        </m:oMathPara>
      </w:hyperlink>
      <w:r>
        <w:t xml:space="preserve"> </w:t>
      </w:r>
      <w:r>
        <w:t xml:space="preserve">and the fragmentation-monitoring literature</w:t>
      </w:r>
      <w:r>
        <w:t xml:space="preserve"> </w:t>
      </w:r>
      <w:hyperlink w:anchor="ref-8">
        <m:oMathPara>
          <m:oMathParaPr>
            <m:jc m:val="center"/>
          </m:oMathParaPr>
          <m:oMath>
            <m:r>
              <m:t>8</m:t>
            </m:r>
          </m:oMath>
        </m:oMathPara>
      </w:hyperlink>
      <w:r>
        <w:t xml:space="preserve"> </w:t>
      </w:r>
      <w:r>
        <w:t xml:space="preserve">characterize what arrives once it has arrived, but neither offers an alternative leading indicator that this paper would have to outperform. The bar for the next paper is therefore set internally rather than by an external benchmark, and it is set at the level of disaggregated band composition.</w:t>
      </w:r>
    </w:p>
    <w:p>
      <w:pPr>
        <w:pStyle w:val="FirstParagraph"/>
      </w:pPr>
      <w:r>
        <w:t xml:space="preserve">Limitations are conventional. The sample is small, the binary outcome window is fixed at June 2026, and the unbalanced realized-to-pending ratio constrains power. Mission-level filing classifications carry residual judgment in the assignment of band classes, and the duration control conflates planned baseline and actual elapsed time for unlaunched programs. None of these issues invalidates the falsification result; they bound its generality.</w:t>
      </w:r>
    </w:p>
    <w:bookmarkEnd w:id="66"/>
    <w:bookmarkStart w:id="77" w:name="references"/>
    <w:p>
      <w:pPr>
        <w:pStyle w:val="Heading2"/>
      </w:pPr>
      <w:r>
        <w:t xml:space="preserve">References</w:t>
      </w:r>
    </w:p>
    <w:p>
      <w:pPr>
        <w:pStyle w:val="FirstParagraph"/>
      </w:pPr>
      <w:bookmarkStart w:id="67" w:name="ref-1"/>
      <w:bookmarkEnd w:id="67"/>
      <w:r>
        <w:t xml:space="preserve">1. N. Owens Fahrner, J. Correa, and J. Wysack,</w:t>
      </w:r>
      <w:r>
        <w:t xml:space="preserve"> </w:t>
      </w:r>
      <w:r>
        <w:t xml:space="preserve">“Capacity-based Cislunar Space Domain Awareness Architecture Optimization,”</w:t>
      </w:r>
      <w:r>
        <w:t xml:space="preserve"> </w:t>
      </w:r>
      <w:r>
        <w:t xml:space="preserve">Proc. Advanced Maui Optical and Space Surveillance Technologies (AMOS) Conference, 2022.</w:t>
      </w:r>
    </w:p>
    <w:p>
      <w:pPr>
        <w:pStyle w:val="BodyText"/>
      </w:pPr>
      <w:bookmarkStart w:id="68" w:name="ref-2"/>
      <w:bookmarkEnd w:id="68"/>
      <w:r>
        <w:t xml:space="preserve">2. J. Gutierrez, K. Hill, E. Jenson, D. Scheeres, J. C. Bruer, and R. D. Coder,</w:t>
      </w:r>
      <w:r>
        <w:t xml:space="preserve"> </w:t>
      </w:r>
      <w:r>
        <w:t xml:space="preserve">“Classifying State Uncertainty for Earth-Moon Trajectories,”</w:t>
      </w:r>
      <w:r>
        <w:t xml:space="preserve"> </w:t>
      </w:r>
      <w:r>
        <w:t xml:space="preserve">Proc. Advanced Maui Optical and Space Surveillance Technologies (AMOS) Conference, 2022.</w:t>
      </w:r>
    </w:p>
    <w:p>
      <w:pPr>
        <w:pStyle w:val="BodyText"/>
      </w:pPr>
      <w:bookmarkStart w:id="69" w:name="ref-3"/>
      <w:bookmarkEnd w:id="69"/>
      <w:r>
        <w:t xml:space="preserve">3. J. Diamond, M. Goodman, P. Kent, S. Sawyer, S. Devabhaktuni, R. Eapen, J. Hope, and P. Singla,</w:t>
      </w:r>
      <w:r>
        <w:t xml:space="preserve"> </w:t>
      </w:r>
      <w:r>
        <w:t xml:space="preserve">“Rapid Classification of near-Earth and Cislunar Objects using Electro-Optical Observations,”</w:t>
      </w:r>
      <w:r>
        <w:t xml:space="preserve"> </w:t>
      </w:r>
      <w:r>
        <w:t xml:space="preserve">Proc. Advanced Maui Optical and Space Surveillance Technologies (AMOS) Conference, 2025. doi:</w:t>
      </w:r>
      <w:r>
        <w:t xml:space="preserve"> </w:t>
      </w:r>
      <w:hyperlink r:id="rId70">
        <w:r>
          <w:rPr>
            <w:rStyle w:val="Hyperlink"/>
          </w:rPr>
          <w:t xml:space="preserve">10.64861/WGCA5646</w:t>
        </w:r>
      </w:hyperlink>
    </w:p>
    <w:p>
      <w:pPr>
        <w:pStyle w:val="BodyText"/>
      </w:pPr>
      <w:bookmarkStart w:id="71" w:name="ref-4"/>
      <w:bookmarkEnd w:id="71"/>
      <w:r>
        <w:t xml:space="preserve">4.</w:t>
      </w:r>
      <w:r>
        <w:t xml:space="preserve"> </w:t>
      </w:r>
      <w:r>
        <w:t xml:space="preserve">“The Role of Space in Driving Sustainability, Security, and Development,”</w:t>
      </w:r>
      <w:r>
        <w:t xml:space="preserve"> </w:t>
      </w:r>
      <w:r>
        <w:t xml:space="preserve">Space Economy Papers corpus, source key SD13.</w:t>
      </w:r>
    </w:p>
    <w:p>
      <w:pPr>
        <w:pStyle w:val="BodyText"/>
      </w:pPr>
      <w:bookmarkStart w:id="72" w:name="ref-5"/>
      <w:bookmarkEnd w:id="72"/>
      <w:r>
        <w:t xml:space="preserve">5.</w:t>
      </w:r>
      <w:r>
        <w:t xml:space="preserve"> </w:t>
      </w:r>
      <w:r>
        <w:t xml:space="preserve">“Architectural Socio-Technological Transformative Change of Space-Use Norms,”</w:t>
      </w:r>
      <w:r>
        <w:t xml:space="preserve"> </w:t>
      </w:r>
      <w:r>
        <w:t xml:space="preserve">Space Economy Papers corpus, source key SD03.</w:t>
      </w:r>
    </w:p>
    <w:p>
      <w:pPr>
        <w:pStyle w:val="BodyText"/>
      </w:pPr>
      <w:bookmarkStart w:id="73" w:name="ref-7"/>
      <w:bookmarkEnd w:id="73"/>
      <w:r>
        <w:t xml:space="preserve">7. D. C. Davis, B. P. McCarthy, S. T. Scheuerle, E. M. Zimovan-Spreen, and K. C. Howell,</w:t>
      </w:r>
      <w:r>
        <w:t xml:space="preserve"> </w:t>
      </w:r>
      <w:r>
        <w:t xml:space="preserve">“Cislunar Traffic Management: Orbit Maintenance and Loitering in the Gateway NRHO,”</w:t>
      </w:r>
      <w:r>
        <w:t xml:space="preserve"> </w:t>
      </w:r>
      <w:r>
        <w:t xml:space="preserve">Acta Astronautica, 2026. doi:</w:t>
      </w:r>
      <w:r>
        <w:t xml:space="preserve"> </w:t>
      </w:r>
      <w:hyperlink r:id="rId74">
        <w:r>
          <w:rPr>
            <w:rStyle w:val="Hyperlink"/>
          </w:rPr>
          <w:t xml:space="preserve">10.1016/j.actaastro.2026.06.006</w:t>
        </w:r>
      </w:hyperlink>
    </w:p>
    <w:p>
      <w:pPr>
        <w:pStyle w:val="BodyText"/>
      </w:pPr>
      <w:bookmarkStart w:id="75" w:name="ref-8"/>
      <w:bookmarkEnd w:id="75"/>
      <w:r>
        <w:t xml:space="preserve">8. C. Gambarotto, P. Grattagliano, L. De Maria, and M. F. Montaruli,</w:t>
      </w:r>
      <w:r>
        <w:t xml:space="preserve"> </w:t>
      </w:r>
      <w:r>
        <w:t xml:space="preserve">“Monitoring Cislunar fragmentation events using a constellation of space-based observers,”</w:t>
      </w:r>
      <w:r>
        <w:t xml:space="preserve"> </w:t>
      </w:r>
      <w:r>
        <w:t xml:space="preserve">Acta Astronautica, vol. 238, 2025. doi:</w:t>
      </w:r>
      <w:r>
        <w:t xml:space="preserve"> </w:t>
      </w:r>
      <w:hyperlink r:id="rId76">
        <w:r>
          <w:rPr>
            <w:rStyle w:val="Hyperlink"/>
          </w:rPr>
          <w:t xml:space="preserve">10.1016/j.actaastro.2025.09.078</w:t>
        </w:r>
      </w:hyperlink>
    </w:p>
    <w:bookmarkEnd w:id="77"/>
    <w:bookmarkStart w:id="78" w:name="specification"/>
    <w:p>
      <w:pPr>
        <w:pStyle w:val="Heading2"/>
      </w:pPr>
      <w:r>
        <w:t xml:space="preserve">Specification</w:t>
      </w:r>
    </w:p>
    <w:p>
      <w:pPr>
        <w:pStyle w:val="FirstParagraph"/>
      </w:pPr>
      <m:oMathPara>
        <m:oMathParaPr>
          <m:jc m:val="center"/>
        </m:oMathParaPr>
        <m:oMath>
          <m:r>
            <m:rPr>
              <m:sty m:val="p"/>
            </m:rPr>
            <m:t>Pr</m:t>
          </m:r>
          <m:r>
            <m:rPr>
              <m:sty m:val="p"/>
            </m:rPr>
            <m:t>(</m:t>
          </m:r>
          <m:r>
            <m:t>l</m:t>
          </m:r>
          <m:r>
            <m:t>a</m:t>
          </m:r>
          <m:r>
            <m:t>u</m:t>
          </m:r>
          <m:r>
            <m:t>n</m:t>
          </m:r>
          <m:r>
            <m:t>c</m:t>
          </m:r>
          <m:r>
            <m:t>h</m:t>
          </m:r>
          <m:r>
            <m:t>e</m:t>
          </m:r>
          <m:sSub>
            <m:e>
              <m:r>
                <m:t>d</m:t>
              </m:r>
            </m:e>
            <m:sub>
              <m:r>
                <m:t>i</m:t>
              </m:r>
            </m:sub>
          </m:sSub>
          <m:r>
            <m:rPr>
              <m:sty m:val="p"/>
            </m:rPr>
            <m:t>=</m:t>
          </m:r>
          <m:r>
            <m:t>1</m:t>
          </m:r>
          <m:r>
            <m:rPr>
              <m:sty m:val="p"/>
            </m:rPr>
            <m:t>∣</m:t>
          </m:r>
          <m:sSub>
            <m:e>
              <m:r>
                <m:t>X</m:t>
              </m:r>
            </m:e>
            <m:sub>
              <m:r>
                <m:t>i</m:t>
              </m:r>
            </m:sub>
          </m:sSub>
          <m:r>
            <m:rPr>
              <m:sty m:val="p"/>
            </m:rPr>
            <m:t>)</m:t>
          </m:r>
          <m:r>
            <m:rPr>
              <m:sty m:val="p"/>
            </m:rPr>
            <m:t>=</m:t>
          </m:r>
          <m:r>
            <m:rPr>
              <m:sty m:val="p"/>
            </m:rPr>
            <m:t>Λ</m:t>
          </m:r>
          <m:d>
            <m:dPr>
              <m:begChr m:val="("/>
              <m:sepChr m:val=""/>
              <m:endChr m:val=")"/>
              <m:grow/>
            </m:dPr>
            <m:e>
              <m:sSub>
                <m:e>
                  <m:r>
                    <m:t>β</m:t>
                  </m:r>
                </m:e>
                <m:sub>
                  <m:r>
                    <m:t>0</m:t>
                  </m:r>
                </m:sub>
              </m:sSub>
              <m:r>
                <m:rPr>
                  <m:sty m:val="p"/>
                </m:rPr>
                <m:t>+</m:t>
              </m:r>
              <m:sSub>
                <m:e>
                  <m:r>
                    <m:t>β</m:t>
                  </m:r>
                </m:e>
                <m:sub>
                  <m:r>
                    <m:t>1</m:t>
                  </m:r>
                </m:sub>
              </m:sSub>
              <m:r>
                <m:t> </m:t>
              </m:r>
              <m:r>
                <m:t>f</m:t>
              </m:r>
              <m:r>
                <m:t>i</m:t>
              </m:r>
              <m:r>
                <m:t>l</m:t>
              </m:r>
              <m:r>
                <m:t>i</m:t>
              </m:r>
              <m:r>
                <m:t>n</m:t>
              </m:r>
              <m:r>
                <m:t>g</m:t>
              </m:r>
              <m:sSub>
                <m:e>
                  <m:r>
                    <m:t>s</m:t>
                  </m:r>
                </m:e>
                <m:sub>
                  <m:r>
                    <m:t>i</m:t>
                  </m:r>
                </m:sub>
              </m:sSub>
              <m:r>
                <m:rPr>
                  <m:sty m:val="p"/>
                </m:rPr>
                <m:t>+</m:t>
              </m:r>
              <m:sSub>
                <m:e>
                  <m:r>
                    <m:t>β</m:t>
                  </m:r>
                </m:e>
                <m:sub>
                  <m:r>
                    <m:t>2</m:t>
                  </m:r>
                </m:sub>
              </m:sSub>
              <m:r>
                <m:t> </m:t>
              </m:r>
              <m:r>
                <m:t>d</m:t>
              </m:r>
              <m:r>
                <m:t>e</m:t>
              </m:r>
              <m:r>
                <m:t>e</m:t>
              </m:r>
              <m:sSub>
                <m:e>
                  <m:r>
                    <m:t>p</m:t>
                  </m:r>
                </m:e>
                <m:sub>
                  <m:r>
                    <m:t>i</m:t>
                  </m:r>
                </m:sub>
              </m:sSub>
              <m:r>
                <m:rPr>
                  <m:sty m:val="p"/>
                </m:rPr>
                <m:t>+</m:t>
              </m:r>
              <m:sSub>
                <m:e>
                  <m:r>
                    <m:t>β</m:t>
                  </m:r>
                </m:e>
                <m:sub>
                  <m:r>
                    <m:t>3</m:t>
                  </m:r>
                </m:sub>
              </m:sSub>
              <m:r>
                <m:t> </m:t>
              </m:r>
              <m:r>
                <m:t>c</m:t>
              </m:r>
              <m:r>
                <m:t>o</m:t>
              </m:r>
              <m:r>
                <m:t>m</m:t>
              </m:r>
              <m:sSub>
                <m:e>
                  <m:r>
                    <m:t>m</m:t>
                  </m:r>
                </m:e>
                <m:sub>
                  <m:r>
                    <m:t>i</m:t>
                  </m:r>
                </m:sub>
              </m:sSub>
              <m:r>
                <m:rPr>
                  <m:sty m:val="p"/>
                </m:rPr>
                <m:t>+</m:t>
              </m:r>
              <m:sSub>
                <m:e>
                  <m:r>
                    <m:t>β</m:t>
                  </m:r>
                </m:e>
                <m:sub>
                  <m:r>
                    <m:t>4</m:t>
                  </m:r>
                </m:sub>
              </m:sSub>
              <m:r>
                <m:t> </m:t>
              </m:r>
              <m:r>
                <m:t>d</m:t>
              </m:r>
              <m:r>
                <m:t>u</m:t>
              </m:r>
              <m:sSub>
                <m:e>
                  <m:r>
                    <m:t>r</m:t>
                  </m:r>
                </m:e>
                <m:sub>
                  <m:r>
                    <m:t>i</m:t>
                  </m:r>
                </m:sub>
              </m:sSub>
            </m:e>
          </m:d>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filing_bands</w:t>
            </w:r>
          </w:p>
        </w:tc>
        <w:tc>
          <w:tcPr>
            <w:tcW w:w="0" w:type="auto"/>
          </w:tcPr>
          <w:p>
            <w:pPr>
              <w:spacing w:line="240" w:lineRule="auto" w:before="0" w:after="0"/>
              <w:pStyle w:val="Compact"/>
            </w:pPr>
            <w:r>
              <w:rPr>
                <w:sz w:val="20"/>
                <w:szCs w:val="20"/>
              </w:rPr>
              <w:t xml:space="preserve">-2.3643</w:t>
            </w:r>
          </w:p>
        </w:tc>
        <w:tc>
          <w:tcPr>
            <w:tcW w:w="0" w:type="auto"/>
          </w:tcPr>
          <w:p>
            <w:pPr>
              <w:spacing w:line="240" w:lineRule="auto" w:before="0" w:after="0"/>
              <w:pStyle w:val="Compact"/>
            </w:pPr>
            <w:r>
              <w:rPr>
                <w:sz w:val="20"/>
                <w:szCs w:val="20"/>
              </w:rPr>
              <w:t xml:space="preserve">1.2295</w:t>
            </w:r>
          </w:p>
        </w:tc>
        <w:tc>
          <w:tcPr>
            <w:tcW w:w="0" w:type="auto"/>
          </w:tcPr>
          <w:p>
            <w:pPr>
              <w:spacing w:line="240" w:lineRule="auto" w:before="0" w:after="0"/>
              <w:pStyle w:val="Compact"/>
            </w:pPr>
            <w:r>
              <w:rPr>
                <w:sz w:val="20"/>
                <w:szCs w:val="20"/>
              </w:rPr>
              <w:t xml:space="preserve">-1.923</w:t>
            </w:r>
          </w:p>
        </w:tc>
        <w:tc>
          <w:tcPr>
            <w:tcW w:w="0" w:type="auto"/>
          </w:tcPr>
          <w:p>
            <w:pPr>
              <w:spacing w:line="240" w:lineRule="auto" w:before="0" w:after="0"/>
              <w:pStyle w:val="Compact"/>
            </w:pPr>
            <w:r>
              <w:rPr>
                <w:sz w:val="20"/>
                <w:szCs w:val="20"/>
              </w:rPr>
              <w:t xml:space="preserve">0.0545</w:t>
            </w:r>
          </w:p>
        </w:tc>
        <w:tc>
          <w:tcPr>
            <w:tcW w:w="0" w:type="auto"/>
          </w:tcPr>
          <w:p>
            <w:pPr>
              <w:spacing w:line="240" w:lineRule="auto" w:before="0" w:after="0"/>
              <w:pStyle w:val="Compact"/>
            </w:pPr>
            <w:r>
              <w:rPr>
                <w:sz w:val="20"/>
                <w:szCs w:val="20"/>
              </w:rPr>
              <w:t xml:space="preserve">[-4.7741, 0.0455]</w:t>
            </w:r>
          </w:p>
        </w:tc>
      </w:tr>
      <w:tr>
        <w:tc>
          <w:tcPr>
            <w:tcW w:w="0" w:type="auto"/>
          </w:tcPr>
          <w:p>
            <w:pPr>
              <w:spacing w:line="240" w:lineRule="auto" w:before="0" w:after="0"/>
              <w:pStyle w:val="Compact"/>
            </w:pPr>
            <w:r>
              <w:rPr>
                <w:sz w:val="20"/>
                <w:szCs w:val="20"/>
              </w:rPr>
              <w:t xml:space="preserve">deep_space_band</w:t>
            </w:r>
          </w:p>
        </w:tc>
        <w:tc>
          <w:tcPr>
            <w:tcW w:w="0" w:type="auto"/>
          </w:tcPr>
          <w:p>
            <w:pPr>
              <w:spacing w:line="240" w:lineRule="auto" w:before="0" w:after="0"/>
              <w:pStyle w:val="Compact"/>
            </w:pPr>
            <w:r>
              <w:rPr>
                <w:sz w:val="20"/>
                <w:szCs w:val="20"/>
              </w:rPr>
              <w:t xml:space="preserve">13.4084</w:t>
            </w:r>
          </w:p>
        </w:tc>
        <w:tc>
          <w:tcPr>
            <w:tcW w:w="0" w:type="auto"/>
          </w:tcPr>
          <w:p>
            <w:pPr>
              <w:spacing w:line="240" w:lineRule="auto" w:before="0" w:after="0"/>
              <w:pStyle w:val="Compact"/>
            </w:pPr>
            <w:r>
              <w:rPr>
                <w:sz w:val="20"/>
                <w:szCs w:val="20"/>
              </w:rPr>
              <w:t xml:space="preserve">7.1897</w:t>
            </w:r>
          </w:p>
        </w:tc>
        <w:tc>
          <w:tcPr>
            <w:tcW w:w="0" w:type="auto"/>
          </w:tcPr>
          <w:p>
            <w:pPr>
              <w:spacing w:line="240" w:lineRule="auto" w:before="0" w:after="0"/>
              <w:pStyle w:val="Compact"/>
            </w:pPr>
            <w:r>
              <w:rPr>
                <w:sz w:val="20"/>
                <w:szCs w:val="20"/>
              </w:rPr>
              <w:t xml:space="preserve">1.8649</w:t>
            </w:r>
          </w:p>
        </w:tc>
        <w:tc>
          <w:tcPr>
            <w:tcW w:w="0" w:type="auto"/>
          </w:tcPr>
          <w:p>
            <w:pPr>
              <w:spacing w:line="240" w:lineRule="auto" w:before="0" w:after="0"/>
              <w:pStyle w:val="Compact"/>
            </w:pPr>
            <w:r>
              <w:rPr>
                <w:sz w:val="20"/>
                <w:szCs w:val="20"/>
              </w:rPr>
              <w:t xml:space="preserve">0.0622</w:t>
            </w:r>
          </w:p>
        </w:tc>
        <w:tc>
          <w:tcPr>
            <w:tcW w:w="0" w:type="auto"/>
          </w:tcPr>
          <w:p>
            <w:pPr>
              <w:spacing w:line="240" w:lineRule="auto" w:before="0" w:after="0"/>
              <w:pStyle w:val="Compact"/>
            </w:pPr>
            <w:r>
              <w:rPr>
                <w:sz w:val="20"/>
                <w:szCs w:val="20"/>
              </w:rPr>
              <w:t xml:space="preserve">[-0.6832, 27.5]</w:t>
            </w:r>
          </w:p>
        </w:tc>
      </w:tr>
      <w:tr>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-2.7194</w:t>
            </w:r>
          </w:p>
        </w:tc>
        <w:tc>
          <w:tcPr>
            <w:tcW w:w="0" w:type="auto"/>
          </w:tcPr>
          <w:p>
            <w:pPr>
              <w:spacing w:line="240" w:lineRule="auto" w:before="0" w:after="0"/>
              <w:pStyle w:val="Compact"/>
            </w:pPr>
            <w:r>
              <w:rPr>
                <w:sz w:val="20"/>
                <w:szCs w:val="20"/>
              </w:rPr>
              <w:t xml:space="preserve">2.331</w:t>
            </w:r>
          </w:p>
        </w:tc>
        <w:tc>
          <w:tcPr>
            <w:tcW w:w="0" w:type="auto"/>
          </w:tcPr>
          <w:p>
            <w:pPr>
              <w:spacing w:line="240" w:lineRule="auto" w:before="0" w:after="0"/>
              <w:pStyle w:val="Compact"/>
            </w:pPr>
            <w:r>
              <w:rPr>
                <w:sz w:val="20"/>
                <w:szCs w:val="20"/>
              </w:rPr>
              <w:t xml:space="preserve">-1.1666</w:t>
            </w:r>
          </w:p>
        </w:tc>
        <w:tc>
          <w:tcPr>
            <w:tcW w:w="0" w:type="auto"/>
          </w:tcPr>
          <w:p>
            <w:pPr>
              <w:spacing w:line="240" w:lineRule="auto" w:before="0" w:after="0"/>
              <w:pStyle w:val="Compact"/>
            </w:pPr>
            <w:r>
              <w:rPr>
                <w:sz w:val="20"/>
                <w:szCs w:val="20"/>
              </w:rPr>
              <w:t xml:space="preserve">0.2434</w:t>
            </w:r>
          </w:p>
        </w:tc>
        <w:tc>
          <w:tcPr>
            <w:tcW w:w="0" w:type="auto"/>
          </w:tcPr>
          <w:p>
            <w:pPr>
              <w:spacing w:line="240" w:lineRule="auto" w:before="0" w:after="0"/>
              <w:pStyle w:val="Compact"/>
            </w:pPr>
            <w:r>
              <w:rPr>
                <w:sz w:val="20"/>
                <w:szCs w:val="20"/>
              </w:rPr>
              <w:t xml:space="preserve">[-7.2881, 1.8493]</w:t>
            </w:r>
          </w:p>
        </w:tc>
      </w:tr>
      <w:tr>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-0.069</w:t>
            </w:r>
          </w:p>
        </w:tc>
        <w:tc>
          <w:tcPr>
            <w:tcW w:w="0" w:type="auto"/>
          </w:tcPr>
          <w:p>
            <w:pPr>
              <w:spacing w:line="240" w:lineRule="auto" w:before="0" w:after="0"/>
              <w:pStyle w:val="Compact"/>
            </w:pPr>
            <w:r>
              <w:rPr>
                <w:sz w:val="20"/>
                <w:szCs w:val="20"/>
              </w:rPr>
              <w:t xml:space="preserve">0.045</w:t>
            </w:r>
          </w:p>
        </w:tc>
        <w:tc>
          <w:tcPr>
            <w:tcW w:w="0" w:type="auto"/>
          </w:tcPr>
          <w:p>
            <w:pPr>
              <w:spacing w:line="240" w:lineRule="auto" w:before="0" w:after="0"/>
              <w:pStyle w:val="Compact"/>
            </w:pPr>
            <w:r>
              <w:rPr>
                <w:sz w:val="20"/>
                <w:szCs w:val="20"/>
              </w:rPr>
              <w:t xml:space="preserve">-1.533</w:t>
            </w:r>
          </w:p>
        </w:tc>
        <w:tc>
          <w:tcPr>
            <w:tcW w:w="0" w:type="auto"/>
          </w:tcPr>
          <w:p>
            <w:pPr>
              <w:spacing w:line="240" w:lineRule="auto" w:before="0" w:after="0"/>
              <w:pStyle w:val="Compact"/>
            </w:pPr>
            <w:r>
              <w:rPr>
                <w:sz w:val="20"/>
                <w:szCs w:val="20"/>
              </w:rPr>
              <w:t xml:space="preserve">0.1253</w:t>
            </w:r>
          </w:p>
        </w:tc>
        <w:tc>
          <w:tcPr>
            <w:tcW w:w="0" w:type="auto"/>
          </w:tcPr>
          <w:p>
            <w:pPr>
              <w:spacing w:line="240" w:lineRule="auto" w:before="0" w:after="0"/>
              <w:pStyle w:val="Compact"/>
            </w:pPr>
            <w:r>
              <w:rPr>
                <w:sz w:val="20"/>
                <w:szCs w:val="20"/>
              </w:rPr>
              <w:t xml:space="preserve">[-0.1571, 0.0192]</w:t>
            </w:r>
          </w:p>
        </w:tc>
      </w:tr>
    </w:tbl>
    <w:p>
      <w:pPr>
        <w:pStyle w:val="BodyText"/>
      </w:pPr>
      <w:r>
        <w:t xml:space="preserve">Fit: N = 30 pseudo_R2 = 0.3451 LL = -9.8311</w:t>
      </w:r>
    </w:p>
    <w:p>
      <w:pPr>
        <w:pStyle w:val="CaptionedFigure"/>
      </w:pPr>
      <w:r>
        <w:drawing>
          <wp:inline>
            <wp:extent cx="5669280" cy="3657600"/>
            <wp:effectExtent b="0" l="0" r="0" t="0"/>
            <wp:docPr descr="Figure 1. Launch realization against ITU spectrum-band breadth across cislunar missions, 2005-2026." title="" id="80" name="Picture"/>
            <a:graphic>
              <a:graphicData uri="http://schemas.openxmlformats.org/drawingml/2006/picture">
                <pic:pic>
                  <pic:nvPicPr>
                    <pic:cNvPr descr="D:\Claude_Code\brain\collegium\candidates\dissertations\STM_CISLUNAR_09\research_papers\p1\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Launch realization against ITU spectrum-band breadth across cislunar missions, 2005-2026.</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start_year</w:t>
            </w:r>
          </w:p>
        </w:tc>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launched</w:t>
            </w:r>
          </w:p>
        </w:tc>
        <w:tc>
          <w:tcPr>
            <w:tcW w:w="0" w:type="auto"/>
          </w:tcPr>
          <w:p>
            <w:pPr>
              <w:spacing w:line="240" w:lineRule="auto" w:before="0" w:after="0"/>
              <w:pStyle w:val="Compact"/>
            </w:pPr>
            <w:r>
              <w:rPr>
                <w:sz w:val="20"/>
                <w:szCs w:val="20"/>
              </w:rPr>
              <w:t xml:space="preserve">filing_bands</w:t>
            </w:r>
          </w:p>
        </w:tc>
        <w:tc>
          <w:tcPr>
            <w:tcW w:w="0" w:type="auto"/>
          </w:tcPr>
          <w:p>
            <w:pPr>
              <w:spacing w:line="240" w:lineRule="auto" w:before="0" w:after="0"/>
              <w:pStyle w:val="Compact"/>
            </w:pPr>
            <w:r>
              <w:rPr>
                <w:sz w:val="20"/>
                <w:szCs w:val="20"/>
              </w:rPr>
              <w:t xml:space="preserve">deep_space_band</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CAPSTONE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Ames CAPSTONE mission page and press kit; selection Sep 2019, launch 28 Jun 2022 (Rocket Lab Electron); NTRS 20210010903</w:t>
            </w:r>
          </w:p>
        </w:tc>
      </w:tr>
      <w:tr>
        <w:tc>
          <w:tcPr>
            <w:tcW w:w="0" w:type="auto"/>
          </w:tcPr>
          <w:p>
            <w:pPr>
              <w:spacing w:line="240" w:lineRule="auto" w:before="0" w:after="0"/>
              <w:pStyle w:val="Compact"/>
            </w:pPr>
            <w:r>
              <w:rPr>
                <w:sz w:val="20"/>
                <w:szCs w:val="20"/>
              </w:rPr>
              <w:t xml:space="preserve">Peregrine Mission One (Astrobotic)</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CLPS task-order award May 2019, launch 8 Jan 2024 (Vulcan Centaur); NTRS 20250011367 Contracted Deliveries summary</w:t>
            </w:r>
          </w:p>
        </w:tc>
      </w:tr>
      <w:tr>
        <w:tc>
          <w:tcPr>
            <w:tcW w:w="0" w:type="auto"/>
          </w:tcPr>
          <w:p>
            <w:pPr>
              <w:spacing w:line="240" w:lineRule="auto" w:before="0" w:after="0"/>
              <w:pStyle w:val="Compact"/>
            </w:pPr>
            <w:r>
              <w:rPr>
                <w:sz w:val="20"/>
                <w:szCs w:val="20"/>
              </w:rPr>
              <w:t xml:space="preserve">Nova-C IM-1 (Intuitive Machines)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CLPS task-order award May 2019, launch 15 Feb 2024 (Falcon 9); NTRS 20250011367 Contracted Deliveries summary</w:t>
            </w:r>
          </w:p>
        </w:tc>
      </w:tr>
      <w:tr>
        <w:tc>
          <w:tcPr>
            <w:tcW w:w="0" w:type="auto"/>
          </w:tcPr>
          <w:p>
            <w:pPr>
              <w:spacing w:line="240" w:lineRule="auto" w:before="0" w:after="0"/>
              <w:pStyle w:val="Compact"/>
            </w:pPr>
            <w:r>
              <w:rPr>
                <w:sz w:val="20"/>
                <w:szCs w:val="20"/>
              </w:rPr>
              <w:t xml:space="preserve">Blue Ghost Mission 1 (Firefly)</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CLPS task-order award Feb 2021, launch 15 Jan 2025 (Falcon 9); NTRS 20240016227 Contracted Deliveries summary</w:t>
            </w:r>
          </w:p>
        </w:tc>
      </w:tr>
      <w:tr>
        <w:tc>
          <w:tcPr>
            <w:tcW w:w="0" w:type="auto"/>
          </w:tcPr>
          <w:p>
            <w:pPr>
              <w:spacing w:line="240" w:lineRule="auto" w:before="0" w:after="0"/>
              <w:pStyle w:val="Compact"/>
            </w:pPr>
            <w:r>
              <w:rPr>
                <w:sz w:val="20"/>
                <w:szCs w:val="20"/>
              </w:rPr>
              <w:t xml:space="preserve">Nova-C IM-2 (Intuitive Machines)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CLPS task-order award Oct 2020, launch 27 Feb 2025 (Falcon 9); NTRS 20250011367 Contracted Deliveries summary</w:t>
            </w:r>
          </w:p>
        </w:tc>
      </w:tr>
      <w:tr>
        <w:tc>
          <w:tcPr>
            <w:tcW w:w="0" w:type="auto"/>
          </w:tcPr>
          <w:p>
            <w:pPr>
              <w:spacing w:line="240" w:lineRule="auto" w:before="0" w:after="0"/>
              <w:pStyle w:val="Compact"/>
            </w:pPr>
            <w:r>
              <w:rPr>
                <w:sz w:val="20"/>
                <w:szCs w:val="20"/>
              </w:rPr>
              <w:t xml:space="preserve">VIPER (Astrobotic Griffin)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CLPS Griffin task order Jun 2020; VIPER rover delivery cancelled/under review, not launched as of Jun 2026; NTRS 20220000400</w:t>
            </w:r>
          </w:p>
        </w:tc>
      </w:tr>
      <w:tr>
        <w:tc>
          <w:tcPr>
            <w:tcW w:w="0" w:type="auto"/>
          </w:tcPr>
          <w:p>
            <w:pPr>
              <w:spacing w:line="240" w:lineRule="auto" w:before="0" w:after="0"/>
              <w:pStyle w:val="Compact"/>
            </w:pPr>
            <w:r>
              <w:rPr>
                <w:sz w:val="20"/>
                <w:szCs w:val="20"/>
              </w:rPr>
              <w:t xml:space="preserve">Artemis I (Orion/SLS)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Artemis I mission; EM-1 manifest baseline 2017, launch 16 Nov 2022; NASA Artemis I press kit</w:t>
            </w:r>
          </w:p>
        </w:tc>
      </w:tr>
      <w:tr>
        <w:tc>
          <w:tcPr>
            <w:tcW w:w="0" w:type="auto"/>
          </w:tcPr>
          <w:p>
            <w:pPr>
              <w:spacing w:line="240" w:lineRule="auto" w:before="0" w:after="0"/>
              <w:pStyle w:val="Compact"/>
            </w:pPr>
            <w:r>
              <w:rPr>
                <w:sz w:val="20"/>
                <w:szCs w:val="20"/>
              </w:rPr>
              <w:t xml:space="preserve">Lunar Reconnaissance Orbiter</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LRO mission; project start 2005, launch 18 Jun 2009 (Atlas V); NTRS LRO mission documentation</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GRAIL Discovery mission selected Dec 2007, launch 10 Sep 2011 (Delta II); NASA JPL GRAIL mission page</w:t>
            </w:r>
          </w:p>
        </w:tc>
      </w:tr>
      <w:tr>
        <w:tc>
          <w:tcPr>
            <w:tcW w:w="0" w:type="auto"/>
          </w:tcPr>
          <w:p>
            <w:pPr>
              <w:spacing w:line="240" w:lineRule="auto" w:before="0" w:after="0"/>
              <w:pStyle w:val="Compact"/>
            </w:pPr>
            <w:r>
              <w:rPr>
                <w:sz w:val="20"/>
                <w:szCs w:val="20"/>
              </w:rPr>
              <w:t xml:space="preserve">LADEE</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LADEE mission; project start 2008, launch 7 Sep 2013 (Minotaur V); NASA Ames LADEE mission page</w:t>
            </w:r>
          </w:p>
        </w:tc>
      </w:tr>
      <w:tr>
        <w:tc>
          <w:tcPr>
            <w:tcW w:w="0" w:type="auto"/>
          </w:tcPr>
          <w:p>
            <w:pPr>
              <w:spacing w:line="240" w:lineRule="auto" w:before="0" w:after="0"/>
              <w:pStyle w:val="Compact"/>
            </w:pPr>
            <w:r>
              <w:rPr>
                <w:sz w:val="20"/>
                <w:szCs w:val="20"/>
              </w:rPr>
              <w:t xml:space="preserve">Lunar Trailblazer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SIMPLEx Lunar Trailblazer selected 2019, launch 26 Feb 2025 (rideshare on IM-2 Falcon 9); NASA SIMPLEx program page</w:t>
            </w:r>
          </w:p>
        </w:tc>
      </w:tr>
      <w:tr>
        <w:tc>
          <w:tcPr>
            <w:tcW w:w="0" w:type="auto"/>
          </w:tcPr>
          <w:p>
            <w:pPr>
              <w:spacing w:line="240" w:lineRule="auto" w:before="0" w:after="0"/>
              <w:pStyle w:val="Compact"/>
            </w:pPr>
            <w:r>
              <w:rPr>
                <w:sz w:val="20"/>
                <w:szCs w:val="20"/>
              </w:rPr>
              <w:t xml:space="preserve">Chandrayaan-2 (ISRO)</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ISRO Chandrayaan-2 approved Sep 2008, launch 22 Jul 2019 (GSLV Mk III); ISRO mission page</w:t>
            </w:r>
          </w:p>
        </w:tc>
      </w:tr>
      <w:tr>
        <w:tc>
          <w:tcPr>
            <w:tcW w:w="0" w:type="auto"/>
          </w:tcPr>
          <w:p>
            <w:pPr>
              <w:spacing w:line="240" w:lineRule="auto" w:before="0" w:after="0"/>
              <w:pStyle w:val="Compact"/>
            </w:pPr>
            <w:r>
              <w:rPr>
                <w:sz w:val="20"/>
                <w:szCs w:val="20"/>
              </w:rPr>
              <w:t xml:space="preserve">Chandrayaan-3 (ISRO)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ISRO Chandrayaan-3 sanctioned 2020, launch 14 Jul 2023 (LVM3); ISRO mission page</w:t>
            </w:r>
          </w:p>
        </w:tc>
      </w:tr>
      <w:tr>
        <w:tc>
          <w:tcPr>
            <w:tcW w:w="0" w:type="auto"/>
          </w:tcPr>
          <w:p>
            <w:pPr>
              <w:spacing w:line="240" w:lineRule="auto" w:before="0" w:after="0"/>
              <w:pStyle w:val="Compact"/>
            </w:pPr>
            <w:r>
              <w:rPr>
                <w:sz w:val="20"/>
                <w:szCs w:val="20"/>
              </w:rPr>
              <w:t xml:space="preserve">SLIM (JAXA)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JAXA SLIM mission start FY2016, launch 6 Sep 2023 (H-IIA); JAXA SLIM mission page</w:t>
            </w:r>
          </w:p>
        </w:tc>
      </w:tr>
      <w:tr>
        <w:tc>
          <w:tcPr>
            <w:tcW w:w="0" w:type="auto"/>
          </w:tcPr>
          <w:p>
            <w:pPr>
              <w:spacing w:line="240" w:lineRule="auto" w:before="0" w:after="0"/>
              <w:pStyle w:val="Compact"/>
            </w:pPr>
            <w:r>
              <w:rPr>
                <w:sz w:val="20"/>
                <w:szCs w:val="20"/>
              </w:rPr>
              <w:t xml:space="preserve">Hakuto-R Mission 1 (ispace)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ispace Hakuto-R program 2018, launch 11 Dec 2022 (Falcon 9); ispace mission press kit</w:t>
            </w:r>
          </w:p>
        </w:tc>
      </w:tr>
      <w:tr>
        <w:tc>
          <w:tcPr>
            <w:tcW w:w="0" w:type="auto"/>
          </w:tcPr>
          <w:p>
            <w:pPr>
              <w:spacing w:line="240" w:lineRule="auto" w:before="0" w:after="0"/>
              <w:pStyle w:val="Compact"/>
            </w:pPr>
            <w:r>
              <w:rPr>
                <w:sz w:val="20"/>
                <w:szCs w:val="20"/>
              </w:rPr>
              <w:t xml:space="preserve">Hakuto-R Mission 2 RESILIENCE (ispace)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ispace Mission 2 RESILIENCE program 2021, launch 15 Jan 2025 (Falcon 9); ispace mission press kit</w:t>
            </w:r>
          </w:p>
        </w:tc>
      </w:tr>
      <w:tr>
        <w:tc>
          <w:tcPr>
            <w:tcW w:w="0" w:type="auto"/>
          </w:tcPr>
          <w:p>
            <w:pPr>
              <w:spacing w:line="240" w:lineRule="auto" w:before="0" w:after="0"/>
              <w:pStyle w:val="Compact"/>
            </w:pPr>
            <w:r>
              <w:rPr>
                <w:sz w:val="20"/>
                <w:szCs w:val="20"/>
              </w:rPr>
              <w:t xml:space="preserve">Korea Pathfinder Lunar Orbiter Danuri (KARI)</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KARI KPLO/Danuri program 2016, launch 4 Aug 2022 (Falcon 9); KARI Danuri mission page</w:t>
            </w:r>
          </w:p>
        </w:tc>
      </w:tr>
      <w:tr>
        <w:tc>
          <w:tcPr>
            <w:tcW w:w="0" w:type="auto"/>
          </w:tcPr>
          <w:p>
            <w:pPr>
              <w:spacing w:line="240" w:lineRule="auto" w:before="0" w:after="0"/>
              <w:pStyle w:val="Compact"/>
            </w:pPr>
            <w:r>
              <w:rPr>
                <w:sz w:val="20"/>
                <w:szCs w:val="20"/>
              </w:rPr>
              <w:t xml:space="preserve">Lunar Flashlight</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JPL Lunar Flashlight SmallSat; 2019 baseline, launch 11 Dec 2022 (Falcon 9 rideshare); NTRS Lunar Flashlight docs</w:t>
            </w:r>
          </w:p>
        </w:tc>
      </w:tr>
      <w:tr>
        <w:tc>
          <w:tcPr>
            <w:tcW w:w="0" w:type="auto"/>
          </w:tcPr>
          <w:p>
            <w:pPr>
              <w:spacing w:line="240" w:lineRule="auto" w:before="0" w:after="0"/>
              <w:pStyle w:val="Compact"/>
            </w:pPr>
            <w:r>
              <w:rPr>
                <w:sz w:val="20"/>
                <w:szCs w:val="20"/>
              </w:rPr>
              <w:t xml:space="preserve">Tianwen / Chang’e 5 (CNSA)</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CNSA Chang’e 5 program 2011, launch 23 Nov 2020 (Long March 5); CNSA mission record</w:t>
            </w:r>
          </w:p>
        </w:tc>
      </w:tr>
      <w:tr>
        <w:tc>
          <w:tcPr>
            <w:tcW w:w="0" w:type="auto"/>
          </w:tcPr>
          <w:p>
            <w:pPr>
              <w:spacing w:line="240" w:lineRule="auto" w:before="0" w:after="0"/>
              <w:pStyle w:val="Compact"/>
            </w:pPr>
            <w:r>
              <w:rPr>
                <w:sz w:val="20"/>
                <w:szCs w:val="20"/>
              </w:rPr>
              <w:t xml:space="preserve">Chang’e 6 (CNSA)</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CNSA Chang’e 6 backup-then-prime program lineage 2011, launch 3 May 2024 (Long March 5); CNSA mission record</w:t>
            </w:r>
          </w:p>
        </w:tc>
      </w:tr>
      <w:tr>
        <w:tc>
          <w:tcPr>
            <w:tcW w:w="0" w:type="auto"/>
          </w:tcPr>
          <w:p>
            <w:pPr>
              <w:spacing w:line="240" w:lineRule="auto" w:before="0" w:after="0"/>
              <w:pStyle w:val="Compact"/>
            </w:pPr>
            <w:r>
              <w:rPr>
                <w:sz w:val="20"/>
                <w:szCs w:val="20"/>
              </w:rPr>
              <w:t xml:space="preserve">Blue Ghost Mission 2 (Firefly)</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CLPS task-order award 2021 (Firefly second delivery), not launched as of Jun 2026; NTRS 20250011367 Contracted Deliveries summary</w:t>
            </w:r>
          </w:p>
        </w:tc>
      </w:tr>
      <w:tr>
        <w:tc>
          <w:tcPr>
            <w:tcW w:w="0" w:type="auto"/>
          </w:tcPr>
          <w:p>
            <w:pPr>
              <w:spacing w:line="240" w:lineRule="auto" w:before="0" w:after="0"/>
              <w:pStyle w:val="Compact"/>
            </w:pPr>
            <w:r>
              <w:rPr>
                <w:sz w:val="20"/>
                <w:szCs w:val="20"/>
              </w:rPr>
              <w:t xml:space="preserve">IM-3 (Intuitive Machines)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CLPS task-order award Nov 2021, IM-3 not launched as of Jun 2026; NTRS 20250011367 Contracted Deliveries summary</w:t>
            </w:r>
          </w:p>
        </w:tc>
      </w:tr>
      <w:tr>
        <w:tc>
          <w:tcPr>
            <w:tcW w:w="0" w:type="auto"/>
          </w:tcPr>
          <w:p>
            <w:pPr>
              <w:spacing w:line="240" w:lineRule="auto" w:before="0" w:after="0"/>
              <w:pStyle w:val="Compact"/>
            </w:pPr>
            <w:r>
              <w:rPr>
                <w:sz w:val="20"/>
                <w:szCs w:val="20"/>
              </w:rPr>
              <w:t xml:space="preserve">Griffin Mission 1 follow-on (Astrobotic)</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CLPS Griffin platform award 2020, no delivery flown as of Jun 2026; NTRS 20240016227 Contracted Deliveries summary</w:t>
            </w:r>
          </w:p>
        </w:tc>
      </w:tr>
      <w:tr>
        <w:tc>
          <w:tcPr>
            <w:tcW w:w="0" w:type="auto"/>
          </w:tcPr>
          <w:p>
            <w:pPr>
              <w:spacing w:line="240" w:lineRule="auto" w:before="0" w:after="0"/>
              <w:pStyle w:val="Compact"/>
            </w:pPr>
            <w:r>
              <w:rPr>
                <w:sz w:val="20"/>
                <w:szCs w:val="20"/>
              </w:rPr>
              <w:t xml:space="preserve">Gateway PPE/HALO</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Gateway Power and Propulsion Element / HALO; PPE contract May 2019, not launched as of Jun 2026; NTRS 20230009586 Gateway Autonomy</w:t>
            </w:r>
          </w:p>
        </w:tc>
      </w:tr>
      <w:tr>
        <w:tc>
          <w:tcPr>
            <w:tcW w:w="0" w:type="auto"/>
          </w:tcPr>
          <w:p>
            <w:pPr>
              <w:spacing w:line="240" w:lineRule="auto" w:before="0" w:after="0"/>
              <w:pStyle w:val="Compact"/>
            </w:pPr>
            <w:r>
              <w:rPr>
                <w:sz w:val="20"/>
                <w:szCs w:val="20"/>
              </w:rPr>
              <w:t xml:space="preserve">Lunar Pathfinder (ESA/SSTL)</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ESA-SSTL Lunar Pathfinder commercial comms relay program 2018, not launched as of Jun 2026; ESA Moonlight/Lunar Pathfinder page</w:t>
            </w:r>
          </w:p>
        </w:tc>
      </w:tr>
      <w:tr>
        <w:tc>
          <w:tcPr>
            <w:tcW w:w="0" w:type="auto"/>
          </w:tcPr>
          <w:p>
            <w:pPr>
              <w:spacing w:line="240" w:lineRule="auto" w:before="0" w:after="0"/>
              <w:pStyle w:val="Compact"/>
            </w:pPr>
            <w:r>
              <w:rPr>
                <w:sz w:val="20"/>
                <w:szCs w:val="20"/>
              </w:rPr>
              <w:t xml:space="preserve">LunaH-Map</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LunaH-Map SIMPLEx CubeSat selected 2015, launch 16 Nov 2022 (Artemis I secondary); NTRS LunaH-Map docs</w:t>
            </w:r>
          </w:p>
        </w:tc>
      </w:tr>
      <w:tr>
        <w:tc>
          <w:tcPr>
            <w:tcW w:w="0" w:type="auto"/>
          </w:tcPr>
          <w:p>
            <w:pPr>
              <w:spacing w:line="240" w:lineRule="auto" w:before="0" w:after="0"/>
              <w:pStyle w:val="Compact"/>
            </w:pPr>
            <w:r>
              <w:rPr>
                <w:sz w:val="20"/>
                <w:szCs w:val="20"/>
              </w:rPr>
              <w:t xml:space="preserve">OMOTENASHI (JAXA)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JAXA OMOTENASHI lunar CubeSat 2016, launch 16 Nov 2022 (Artemis I secondary); JAXA OMOTENASHI page</w:t>
            </w:r>
          </w:p>
        </w:tc>
      </w:tr>
      <w:tr>
        <w:tc>
          <w:tcPr>
            <w:tcW w:w="0" w:type="auto"/>
          </w:tcPr>
          <w:p>
            <w:pPr>
              <w:spacing w:line="240" w:lineRule="auto" w:before="0" w:after="0"/>
              <w:pStyle w:val="Compact"/>
            </w:pPr>
            <w:r>
              <w:rPr>
                <w:sz w:val="20"/>
                <w:szCs w:val="20"/>
              </w:rPr>
              <w:t xml:space="preserve">EQUULEUS (JAXA/Univ Tokyo)</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JAXA/Univ Tokyo EQUULEUS lunar CubeSat 2016, launch 16 Nov 2022 (Artemis I secondary); JAXA EQUULEUS page</w:t>
            </w:r>
          </w:p>
        </w:tc>
      </w:tr>
      <w:tr>
        <w:tc>
          <w:tcPr>
            <w:tcW w:w="0" w:type="auto"/>
          </w:tcPr>
          <w:p>
            <w:pPr>
              <w:spacing w:line="240" w:lineRule="auto" w:before="0" w:after="0"/>
              <w:pStyle w:val="Compact"/>
            </w:pPr>
            <w:r>
              <w:rPr>
                <w:sz w:val="20"/>
                <w:szCs w:val="20"/>
              </w:rPr>
              <w:t xml:space="preserve">ArgoMoon (ESA/ASI)</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ASI ArgoMoon CubeSat 2016, launch 16 Nov 2022 (Artemis I secondary); ESA ArgoMoon page</w:t>
            </w:r>
          </w:p>
        </w:tc>
      </w:tr>
      <w:tr>
        <w:tc>
          <w:tcPr>
            <w:tcW w:w="0" w:type="auto"/>
          </w:tcPr>
          <w:p>
            <w:pPr>
              <w:spacing w:line="240" w:lineRule="auto" w:before="0" w:after="0"/>
              <w:pStyle w:val="Compact"/>
            </w:pPr>
            <w:r>
              <w:rPr>
                <w:sz w:val="20"/>
                <w:szCs w:val="20"/>
              </w:rPr>
              <w:t xml:space="preserve">SmallSat Spacecraft Lunar IceCube</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Lunar IceCube (Morehead State) selected 2015, launch 16 Nov 2022 (Artemis I secondary); NTRS Lunar IceCube docs</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launched</w:t>
            </w:r>
          </w:p>
        </w:tc>
        <w:tc>
          <w:tcPr>
            <w:tcW w:w="0" w:type="auto"/>
          </w:tcPr>
          <w:p>
            <w:pPr>
              <w:spacing w:line="240" w:lineRule="auto" w:before="0" w:after="0"/>
              <w:pStyle w:val="Compact"/>
            </w:pPr>
            <w:r>
              <w:rPr>
                <w:sz w:val="20"/>
                <w:szCs w:val="20"/>
              </w:rPr>
              <w:t xml:space="preserve">Binary outcome: 1 if mission has launched as of Jun 2026, 0 otherwise.</w:t>
            </w:r>
          </w:p>
        </w:tc>
        <w:tc>
          <w:tcPr>
            <w:tcW w:w="0" w:type="auto"/>
          </w:tcPr>
          <w:p>
            <w:pPr>
              <w:spacing w:line="240" w:lineRule="auto" w:before="0" w:after="0"/>
              <w:pStyle w:val="Compact"/>
            </w:pPr>
            <w:r>
              <w:rPr>
                <w:sz w:val="20"/>
                <w:szCs w:val="20"/>
              </w:rPr>
              <w:t xml:space="preserve">NASA NTRS Contracted Deliveries summaries (NTRS 20250011367, 20240016227); mission press kits; ISRO/JAXA/CNSA/KARI/ESA mission pages.</w:t>
            </w:r>
          </w:p>
        </w:tc>
      </w:tr>
      <w:tr>
        <w:tc>
          <w:tcPr>
            <w:tcW w:w="0" w:type="auto"/>
          </w:tcPr>
          <w:p>
            <w:pPr>
              <w:spacing w:line="240" w:lineRule="auto" w:before="0" w:after="0"/>
              <w:pStyle w:val="Compact"/>
            </w:pPr>
            <w:r>
              <w:rPr>
                <w:sz w:val="20"/>
                <w:szCs w:val="20"/>
              </w:rPr>
              <w:t xml:space="preserve">filing_bands</w:t>
            </w:r>
          </w:p>
        </w:tc>
        <w:tc>
          <w:tcPr>
            <w:tcW w:w="0" w:type="auto"/>
          </w:tcPr>
          <w:p>
            <w:pPr>
              <w:spacing w:line="240" w:lineRule="auto" w:before="0" w:after="0"/>
              <w:pStyle w:val="Compact"/>
            </w:pPr>
            <w:r>
              <w:rPr>
                <w:sz w:val="20"/>
                <w:szCs w:val="20"/>
              </w:rPr>
              <w:t xml:space="preserve">Count of distinct ITU spectrum band classes claimed by the mission’s filings (1 = legacy near-Earth telemetry; 2 = adds X-band deep-space; 3 = adds commercial-relay K/Ka).</w:t>
            </w:r>
          </w:p>
        </w:tc>
        <w:tc>
          <w:tcPr>
            <w:tcW w:w="0" w:type="auto"/>
          </w:tcPr>
          <w:p>
            <w:pPr>
              <w:spacing w:line="240" w:lineRule="auto" w:before="0" w:after="0"/>
              <w:pStyle w:val="Compact"/>
            </w:pPr>
            <w:r>
              <w:rPr>
                <w:sz w:val="20"/>
                <w:szCs w:val="20"/>
              </w:rPr>
              <w:t xml:space="preserve">ITU SNS Online Advance Publication and Coordination Request filings; ITU BR IFIC Space Services releases.</w:t>
            </w:r>
          </w:p>
        </w:tc>
      </w:tr>
      <w:tr>
        <w:tc>
          <w:tcPr>
            <w:tcW w:w="0" w:type="auto"/>
          </w:tcPr>
          <w:p>
            <w:pPr>
              <w:spacing w:line="240" w:lineRule="auto" w:before="0" w:after="0"/>
              <w:pStyle w:val="Compact"/>
            </w:pPr>
            <w:r>
              <w:rPr>
                <w:sz w:val="20"/>
                <w:szCs w:val="20"/>
              </w:rPr>
              <w:t xml:space="preserve">deep_space_band</w:t>
            </w:r>
          </w:p>
        </w:tc>
        <w:tc>
          <w:tcPr>
            <w:tcW w:w="0" w:type="auto"/>
          </w:tcPr>
          <w:p>
            <w:pPr>
              <w:spacing w:line="240" w:lineRule="auto" w:before="0" w:after="0"/>
              <w:pStyle w:val="Compact"/>
            </w:pPr>
            <w:r>
              <w:rPr>
                <w:sz w:val="20"/>
                <w:szCs w:val="20"/>
              </w:rPr>
              <w:t xml:space="preserve">Indicator: 1 if the mission’s ITU filings declare deep-space band assignments (X-band 7145-7235 MHz / 8400-8500 MHz).</w:t>
            </w:r>
          </w:p>
        </w:tc>
        <w:tc>
          <w:tcPr>
            <w:tcW w:w="0" w:type="auto"/>
          </w:tcPr>
          <w:p>
            <w:pPr>
              <w:spacing w:line="240" w:lineRule="auto" w:before="0" w:after="0"/>
              <w:pStyle w:val="Compact"/>
            </w:pPr>
            <w:r>
              <w:rPr>
                <w:sz w:val="20"/>
                <w:szCs w:val="20"/>
              </w:rPr>
              <w:t xml:space="preserve">ITU SNS Online filings; mission communications subsystem specs.</w:t>
            </w:r>
          </w:p>
        </w:tc>
      </w:tr>
      <w:tr>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Indicator: 1 if the mission is procured under a commercial-services contract (NASA CLPS, ESA Moonlight, ispace HAKUTO-R, etc.); 0 if a government-developed mission.</w:t>
            </w:r>
          </w:p>
        </w:tc>
        <w:tc>
          <w:tcPr>
            <w:tcW w:w="0" w:type="auto"/>
          </w:tcPr>
          <w:p>
            <w:pPr>
              <w:spacing w:line="240" w:lineRule="auto" w:before="0" w:after="0"/>
              <w:pStyle w:val="Compact"/>
            </w:pPr>
            <w:r>
              <w:rPr>
                <w:sz w:val="20"/>
                <w:szCs w:val="20"/>
              </w:rPr>
              <w:t xml:space="preserve">NASA CLPS task-order awards; ESA Moonlight Phase 1 award; ispace press kits.</w:t>
            </w:r>
          </w:p>
        </w:tc>
      </w:tr>
      <w:tr>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Months between program start (selection, award, or sanction) and launch (if launched) or Jun 2026 (if not launched).</w:t>
            </w:r>
          </w:p>
        </w:tc>
        <w:tc>
          <w:tcPr>
            <w:tcW w:w="0" w:type="auto"/>
          </w:tcPr>
          <w:p>
            <w:pPr>
              <w:spacing w:line="240" w:lineRule="auto" w:before="0" w:after="0"/>
              <w:pStyle w:val="Compact"/>
            </w:pPr>
            <w:r>
              <w:rPr>
                <w:sz w:val="20"/>
                <w:szCs w:val="20"/>
              </w:rPr>
              <w:t xml:space="preserve">Mission press kits; agency program records.</w:t>
            </w:r>
          </w:p>
        </w:tc>
      </w:tr>
      <w:tr>
        <w:tc>
          <w:tcPr>
            <w:tcW w:w="0" w:type="auto"/>
          </w:tcPr>
          <w:p>
            <w:pPr>
              <w:spacing w:line="240" w:lineRule="auto" w:before="0" w:after="0"/>
              <w:pStyle w:val="Compact"/>
            </w:pPr>
            <w:r>
              <w:rPr>
                <w:sz w:val="20"/>
                <w:szCs w:val="20"/>
              </w:rPr>
              <w:t xml:space="preserve">start_year</w:t>
            </w:r>
          </w:p>
        </w:tc>
        <w:tc>
          <w:tcPr>
            <w:tcW w:w="0" w:type="auto"/>
          </w:tcPr>
          <w:p>
            <w:pPr>
              <w:spacing w:line="240" w:lineRule="auto" w:before="0" w:after="0"/>
              <w:pStyle w:val="Compact"/>
            </w:pPr>
            <w:r>
              <w:rPr>
                <w:sz w:val="20"/>
                <w:szCs w:val="20"/>
              </w:rPr>
              <w:t xml:space="preserve">Year of program start (selection, award, sanction, or baseline).</w:t>
            </w:r>
          </w:p>
        </w:tc>
        <w:tc>
          <w:tcPr>
            <w:tcW w:w="0" w:type="auto"/>
          </w:tcPr>
          <w:p>
            <w:pPr>
              <w:spacing w:line="240" w:lineRule="auto" w:before="0" w:after="0"/>
              <w:pStyle w:val="Compact"/>
            </w:pPr>
            <w:r>
              <w:rPr>
                <w:sz w:val="20"/>
                <w:szCs w:val="20"/>
              </w:rPr>
              <w:t xml:space="preserve">Agency mission pages and press kits.</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Per-row provenance string citing the documented source for the mission record.</w:t>
            </w:r>
          </w:p>
        </w:tc>
        <w:tc>
          <w:tcPr>
            <w:tcW w:w="0" w:type="auto"/>
          </w:tcPr>
          <w:p>
            <w:pPr>
              <w:spacing w:line="240" w:lineRule="auto" w:before="0" w:after="0"/>
              <w:pStyle w:val="Compact"/>
            </w:pPr>
            <w:r>
              <w:rPr>
                <w:sz w:val="20"/>
                <w:szCs w:val="20"/>
              </w:rPr>
              <w:t xml:space="preserve">See row source column.</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filing_bands</w:t>
            </w:r>
          </w:p>
        </w:tc>
        <w:tc>
          <w:tcPr>
            <w:tcW w:w="0" w:type="auto"/>
          </w:tcPr>
          <w:p>
            <w:pPr>
              <w:spacing w:line="240" w:lineRule="auto" w:before="0" w:after="0"/>
              <w:pStyle w:val="Compact"/>
            </w:pPr>
            <w:r>
              <w:rPr>
                <w:sz w:val="20"/>
                <w:szCs w:val="20"/>
              </w:rPr>
              <w:t xml:space="preserve">-2.3643</w:t>
            </w:r>
          </w:p>
        </w:tc>
        <w:tc>
          <w:tcPr>
            <w:tcW w:w="0" w:type="auto"/>
          </w:tcPr>
          <w:p>
            <w:pPr>
              <w:spacing w:line="240" w:lineRule="auto" w:before="0" w:after="0"/>
              <w:pStyle w:val="Compact"/>
            </w:pPr>
            <w:r>
              <w:rPr>
                <w:sz w:val="20"/>
                <w:szCs w:val="20"/>
              </w:rPr>
              <w:t xml:space="preserve">1.2295</w:t>
            </w:r>
          </w:p>
        </w:tc>
        <w:tc>
          <w:tcPr>
            <w:tcW w:w="0" w:type="auto"/>
          </w:tcPr>
          <w:p>
            <w:pPr>
              <w:spacing w:line="240" w:lineRule="auto" w:before="0" w:after="0"/>
              <w:pStyle w:val="Compact"/>
            </w:pPr>
            <w:r>
              <w:rPr>
                <w:sz w:val="20"/>
                <w:szCs w:val="20"/>
              </w:rPr>
              <w:t xml:space="preserve">-1.923</w:t>
            </w:r>
          </w:p>
        </w:tc>
        <w:tc>
          <w:tcPr>
            <w:tcW w:w="0" w:type="auto"/>
          </w:tcPr>
          <w:p>
            <w:pPr>
              <w:spacing w:line="240" w:lineRule="auto" w:before="0" w:after="0"/>
              <w:pStyle w:val="Compact"/>
            </w:pPr>
            <w:r>
              <w:rPr>
                <w:sz w:val="20"/>
                <w:szCs w:val="20"/>
              </w:rPr>
              <w:t xml:space="preserve">0.0545</w:t>
            </w:r>
          </w:p>
        </w:tc>
        <w:tc>
          <w:tcPr>
            <w:tcW w:w="0" w:type="auto"/>
          </w:tcPr>
          <w:p>
            <w:pPr>
              <w:spacing w:line="240" w:lineRule="auto" w:before="0" w:after="0"/>
              <w:pStyle w:val="Compact"/>
            </w:pPr>
            <w:r>
              <w:rPr>
                <w:sz w:val="20"/>
                <w:szCs w:val="20"/>
              </w:rPr>
              <w:t xml:space="preserve">[-4.7741, 0.0455]</w:t>
            </w:r>
          </w:p>
        </w:tc>
      </w:tr>
      <w:tr>
        <w:tc>
          <w:tcPr>
            <w:tcW w:w="0" w:type="auto"/>
          </w:tcPr>
          <w:p>
            <w:pPr>
              <w:spacing w:line="240" w:lineRule="auto" w:before="0" w:after="0"/>
              <w:pStyle w:val="Compact"/>
            </w:pPr>
            <w:r>
              <w:rPr>
                <w:sz w:val="20"/>
                <w:szCs w:val="20"/>
              </w:rPr>
              <w:t xml:space="preserve">deep_space_band</w:t>
            </w:r>
          </w:p>
        </w:tc>
        <w:tc>
          <w:tcPr>
            <w:tcW w:w="0" w:type="auto"/>
          </w:tcPr>
          <w:p>
            <w:pPr>
              <w:spacing w:line="240" w:lineRule="auto" w:before="0" w:after="0"/>
              <w:pStyle w:val="Compact"/>
            </w:pPr>
            <w:r>
              <w:rPr>
                <w:sz w:val="20"/>
                <w:szCs w:val="20"/>
              </w:rPr>
              <w:t xml:space="preserve">13.4084</w:t>
            </w:r>
          </w:p>
        </w:tc>
        <w:tc>
          <w:tcPr>
            <w:tcW w:w="0" w:type="auto"/>
          </w:tcPr>
          <w:p>
            <w:pPr>
              <w:spacing w:line="240" w:lineRule="auto" w:before="0" w:after="0"/>
              <w:pStyle w:val="Compact"/>
            </w:pPr>
            <w:r>
              <w:rPr>
                <w:sz w:val="20"/>
                <w:szCs w:val="20"/>
              </w:rPr>
              <w:t xml:space="preserve">7.1897</w:t>
            </w:r>
          </w:p>
        </w:tc>
        <w:tc>
          <w:tcPr>
            <w:tcW w:w="0" w:type="auto"/>
          </w:tcPr>
          <w:p>
            <w:pPr>
              <w:spacing w:line="240" w:lineRule="auto" w:before="0" w:after="0"/>
              <w:pStyle w:val="Compact"/>
            </w:pPr>
            <w:r>
              <w:rPr>
                <w:sz w:val="20"/>
                <w:szCs w:val="20"/>
              </w:rPr>
              <w:t xml:space="preserve">1.8649</w:t>
            </w:r>
          </w:p>
        </w:tc>
        <w:tc>
          <w:tcPr>
            <w:tcW w:w="0" w:type="auto"/>
          </w:tcPr>
          <w:p>
            <w:pPr>
              <w:spacing w:line="240" w:lineRule="auto" w:before="0" w:after="0"/>
              <w:pStyle w:val="Compact"/>
            </w:pPr>
            <w:r>
              <w:rPr>
                <w:sz w:val="20"/>
                <w:szCs w:val="20"/>
              </w:rPr>
              <w:t xml:space="preserve">0.0622</w:t>
            </w:r>
          </w:p>
        </w:tc>
        <w:tc>
          <w:tcPr>
            <w:tcW w:w="0" w:type="auto"/>
          </w:tcPr>
          <w:p>
            <w:pPr>
              <w:spacing w:line="240" w:lineRule="auto" w:before="0" w:after="0"/>
              <w:pStyle w:val="Compact"/>
            </w:pPr>
            <w:r>
              <w:rPr>
                <w:sz w:val="20"/>
                <w:szCs w:val="20"/>
              </w:rPr>
              <w:t xml:space="preserve">[-0.6832, 27.5]</w:t>
            </w:r>
          </w:p>
        </w:tc>
      </w:tr>
      <w:tr>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-2.7194</w:t>
            </w:r>
          </w:p>
        </w:tc>
        <w:tc>
          <w:tcPr>
            <w:tcW w:w="0" w:type="auto"/>
          </w:tcPr>
          <w:p>
            <w:pPr>
              <w:spacing w:line="240" w:lineRule="auto" w:before="0" w:after="0"/>
              <w:pStyle w:val="Compact"/>
            </w:pPr>
            <w:r>
              <w:rPr>
                <w:sz w:val="20"/>
                <w:szCs w:val="20"/>
              </w:rPr>
              <w:t xml:space="preserve">2.331</w:t>
            </w:r>
          </w:p>
        </w:tc>
        <w:tc>
          <w:tcPr>
            <w:tcW w:w="0" w:type="auto"/>
          </w:tcPr>
          <w:p>
            <w:pPr>
              <w:spacing w:line="240" w:lineRule="auto" w:before="0" w:after="0"/>
              <w:pStyle w:val="Compact"/>
            </w:pPr>
            <w:r>
              <w:rPr>
                <w:sz w:val="20"/>
                <w:szCs w:val="20"/>
              </w:rPr>
              <w:t xml:space="preserve">-1.1666</w:t>
            </w:r>
          </w:p>
        </w:tc>
        <w:tc>
          <w:tcPr>
            <w:tcW w:w="0" w:type="auto"/>
          </w:tcPr>
          <w:p>
            <w:pPr>
              <w:spacing w:line="240" w:lineRule="auto" w:before="0" w:after="0"/>
              <w:pStyle w:val="Compact"/>
            </w:pPr>
            <w:r>
              <w:rPr>
                <w:sz w:val="20"/>
                <w:szCs w:val="20"/>
              </w:rPr>
              <w:t xml:space="preserve">0.2434</w:t>
            </w:r>
          </w:p>
        </w:tc>
        <w:tc>
          <w:tcPr>
            <w:tcW w:w="0" w:type="auto"/>
          </w:tcPr>
          <w:p>
            <w:pPr>
              <w:spacing w:line="240" w:lineRule="auto" w:before="0" w:after="0"/>
              <w:pStyle w:val="Compact"/>
            </w:pPr>
            <w:r>
              <w:rPr>
                <w:sz w:val="20"/>
                <w:szCs w:val="20"/>
              </w:rPr>
              <w:t xml:space="preserve">[-7.2881, 1.8493]</w:t>
            </w:r>
          </w:p>
        </w:tc>
      </w:tr>
      <w:tr>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-0.069</w:t>
            </w:r>
          </w:p>
        </w:tc>
        <w:tc>
          <w:tcPr>
            <w:tcW w:w="0" w:type="auto"/>
          </w:tcPr>
          <w:p>
            <w:pPr>
              <w:spacing w:line="240" w:lineRule="auto" w:before="0" w:after="0"/>
              <w:pStyle w:val="Compact"/>
            </w:pPr>
            <w:r>
              <w:rPr>
                <w:sz w:val="20"/>
                <w:szCs w:val="20"/>
              </w:rPr>
              <w:t xml:space="preserve">0.045</w:t>
            </w:r>
          </w:p>
        </w:tc>
        <w:tc>
          <w:tcPr>
            <w:tcW w:w="0" w:type="auto"/>
          </w:tcPr>
          <w:p>
            <w:pPr>
              <w:spacing w:line="240" w:lineRule="auto" w:before="0" w:after="0"/>
              <w:pStyle w:val="Compact"/>
            </w:pPr>
            <w:r>
              <w:rPr>
                <w:sz w:val="20"/>
                <w:szCs w:val="20"/>
              </w:rPr>
              <w:t xml:space="preserve">-1.533</w:t>
            </w:r>
          </w:p>
        </w:tc>
        <w:tc>
          <w:tcPr>
            <w:tcW w:w="0" w:type="auto"/>
          </w:tcPr>
          <w:p>
            <w:pPr>
              <w:spacing w:line="240" w:lineRule="auto" w:before="0" w:after="0"/>
              <w:pStyle w:val="Compact"/>
            </w:pPr>
            <w:r>
              <w:rPr>
                <w:sz w:val="20"/>
                <w:szCs w:val="20"/>
              </w:rPr>
              <w:t xml:space="preserve">0.1253</w:t>
            </w:r>
          </w:p>
        </w:tc>
        <w:tc>
          <w:tcPr>
            <w:tcW w:w="0" w:type="auto"/>
          </w:tcPr>
          <w:p>
            <w:pPr>
              <w:spacing w:line="240" w:lineRule="auto" w:before="0" w:after="0"/>
              <w:pStyle w:val="Compact"/>
            </w:pPr>
            <w:r>
              <w:rPr>
                <w:sz w:val="20"/>
                <w:szCs w:val="20"/>
              </w:rPr>
              <w:t xml:space="preserve">[-0.1571, 0.0192]</w:t>
            </w:r>
          </w:p>
        </w:tc>
      </w:tr>
    </w:tbl>
    <w:p>
      <w:pPr>
        <w:pStyle w:val="BodyText"/>
      </w:pPr>
      <w:r>
        <w:t xml:space="preserve">Fit: N = 30 pseudo_R2 = 0.3451 LL = -9.8311</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76" Target="https://doi.org/10.1016/j.actaastro.2025.09.078" TargetMode="External" /><Relationship Type="http://schemas.openxmlformats.org/officeDocument/2006/relationships/hyperlink" Id="rId74" Target="https://doi.org/10.1016/j.actaastro.2026.06.006" TargetMode="External" /><Relationship Type="http://schemas.openxmlformats.org/officeDocument/2006/relationships/hyperlink" Id="rId70" Target="https://doi.org/10.64861/WGCA5646" TargetMode="External" /></Relationships>
</file>

<file path=word/_rels/footnotes.xml.rels><?xml version="1.0" encoding="UTF-8"?><Relationships xmlns="http://schemas.openxmlformats.org/package/2006/relationships"><Relationship Type="http://schemas.openxmlformats.org/officeDocument/2006/relationships/hyperlink" Id="rId76" Target="https://doi.org/10.1016/j.actaastro.2025.09.078" TargetMode="External" /><Relationship Type="http://schemas.openxmlformats.org/officeDocument/2006/relationships/hyperlink" Id="rId74" Target="https://doi.org/10.1016/j.actaastro.2026.06.006" TargetMode="External" /><Relationship Type="http://schemas.openxmlformats.org/officeDocument/2006/relationships/hyperlink" Id="rId70" Target="https://doi.org/10.64861/WGCA564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2026-06-26T16:46:22Z</dcterms:created>
  <dcterms:modified xsi:type="dcterms:W3CDTF">2026-06-26T16:46:22Z</dcterms:modified>
</cp:coreProperties>
</file>

<file path=docProps/custom.xml><?xml version="1.0" encoding="utf-8"?>
<Properties xmlns="http://schemas.openxmlformats.org/officeDocument/2006/custom-properties" xmlns:vt="http://schemas.openxmlformats.org/officeDocument/2006/docPropsVTypes"/>
</file>