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SPECTRUM-ORBIT COUPLING: DO ITU FILING PATTERNS FORECAST FUTURE CISLUNAR TRAFFIC</w:t>
      </w:r>
    </w:p>
    <w:p>
      <w:pPr>
        <w:jc w:val="center"/>
      </w:pPr>
    </w:p>
    <w:p>
      <w:pPr>
        <w:jc w:val="center"/>
      </w:pPr>
      <w:r>
        <w:rPr>
          <w:rFonts w:ascii="Times New Roman" w:hAnsi="Times New Roman"/>
          <w:sz w:val="24"/>
        </w:rPr>
        <w:t>by</w:t>
      </w:r>
    </w:p>
    <w:p>
      <w:pPr>
        <w:jc w:val="center"/>
      </w:pPr>
      <w:r>
        <w:rPr>
          <w:rFonts w:ascii="Times New Roman" w:hAnsi="Times New Roman"/>
          <w:b/>
          <w:sz w:val="28"/>
        </w:rPr>
        <w:t>Rashid Costa</w:t>
      </w:r>
    </w:p>
    <w:p>
      <w:pPr>
        <w:jc w:val="center"/>
      </w:pPr>
      <w:r>
        <w:rPr>
          <w:rFonts w:ascii="Times New Roman" w:hAnsi="Times New Roman"/>
          <w:sz w:val="24"/>
        </w:rPr>
        <w:t>1B-SDA-079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Cislunar space, the volume that begins above the geostationary belt and extends through the Earth-Moon Lagrange points to the lunar sphere of influence, is in the process of becoming a routinely operated regime rather than a destination visited by isolated science missions. The shift is empirically observable in two registers that operators usually maintain separately. The first is the launch manifest, which has moved from one or two cislunar missions per decade in the early 2000s to a multi-launch annual cadence by the middle of the 2020s, anchored by a portfolio that includes NASA government missions, Commercial Lunar Payload Services deliveries, Artemis I secondary payloads, and a parallel set of foreign national and commercial entries</w:t>
      </w:r>
      <w:r>
        <w:t xml:space="preserve"> </w:t>
      </w:r>
      <w:hyperlink w:anchor="ref-12">
        <w:r>
          <w:rPr>
            <w:rStyle w:val="Hyperlink"/>
          </w:rPr>
          <w:t xml:space="preserve">[12]</w:t>
        </w:r>
      </w:hyperlink>
      <w:r>
        <w:t xml:space="preserve">[15][16][17]. The second is the spectrum-coordination register maintained by the International Telecommunication Union Bureau de Radiocommunications, which receives the advance-publication information, coordination requests, and notification filings that any operator intending to use deep-space and lunar service bands must complete before flight</w:t>
      </w:r>
      <w:r>
        <w:t xml:space="preserve"> </w:t>
      </w:r>
      <w:hyperlink w:anchor="ref-14">
        <w:r>
          <w:rPr>
            <w:rStyle w:val="Hyperlink"/>
          </w:rPr>
          <w:t xml:space="preserve">[14]</w:t>
        </w:r>
      </w:hyperlink>
      <w:r>
        <w:t xml:space="preserve">. Each register grows in its own ledger. The dissertation asks whether the two ledgers move together tightly enough for the spectrum register to predict the launch register.</w:t>
      </w:r>
    </w:p>
    <w:p>
      <w:pPr>
        <w:pStyle w:val="BodyText"/>
        <w:spacing w:line="480" w:lineRule="auto"/>
        <w:ind w:firstLine="720"/>
      </w:pPr>
      <w:r>
        <w:t xml:space="preserve">The question is not academic. Budgets turn on it. Cislunar space domain awareness (SDA) is being architected today against forecasts of future traffic that the field treats, with rare candor, as exogenous scenario inputs. Capacity-based architecture optimization for cislunar SDA explicitly conditions on a traffic input rather than deriving it from antecedent data</w:t>
      </w:r>
      <w:r>
        <w:t xml:space="preserve"> </w:t>
      </w:r>
      <w:hyperlink w:anchor="ref-1">
        <w:r>
          <w:rPr>
            <w:rStyle w:val="Hyperlink"/>
          </w:rPr>
          <w:t xml:space="preserve">[1]</w:t>
        </w:r>
      </w:hyperlink>
      <w:r>
        <w:t xml:space="preserve">. The estimation-theoretic literature on Earth-Moon trajectory uncertainty classification, which determines how much sensor capacity must be devoted to each orbital family, similarly conditions on an assumed distribution of objects</w:t>
      </w:r>
      <w:r>
        <w:t xml:space="preserve"> </w:t>
      </w:r>
      <w:hyperlink w:anchor="ref-2">
        <w:r>
          <w:rPr>
            <w:rStyle w:val="Hyperlink"/>
          </w:rPr>
          <w:t xml:space="preserve">[2]</w:t>
        </w:r>
      </w:hyperlink>
      <w:r>
        <w:t xml:space="preserve">. Even the change-detection work that monitors anthropogenic activity on and near the lunar surface treats traffic growth as a motivating context rather than as a quantity to be predicted</w:t>
      </w:r>
      <w:r>
        <w:t xml:space="preserve"> </w:t>
      </w:r>
      <w:hyperlink w:anchor="ref-3">
        <w:r>
          <w:rPr>
            <w:rStyle w:val="Hyperlink"/>
          </w:rPr>
          <w:t xml:space="preserve">[3]</w:t>
        </w:r>
      </w:hyperlink>
      <w:r>
        <w:t xml:space="preserve">. Across this portfolio, the demand signal that drives the architecture is asserted, not estimated, and the consequences of asserting it incorrectly are well rehearsed. A sensor network sized against an undercount is starved at the moment it is needed; a network sized against an overcount is stranded against budget realities that the post-Artemis programmatic environment will not forgive.</w:t>
      </w:r>
    </w:p>
    <w:p>
      <w:pPr>
        <w:pStyle w:val="BodyText"/>
        <w:spacing w:line="480" w:lineRule="auto"/>
        <w:ind w:firstLine="720"/>
      </w:pPr>
      <w:r>
        <w:t xml:space="preserve">Two institutions concentrate the stakes for the United States civil space portfolio, and their decisions structure the rest of the field. NASA is the lead programmatic actor in the cislunar regime, both directly through the Artemis architecture and indirectly through the Commercial Lunar Payload Services task orders that have begun to populate the lunar surface manifest</w:t>
      </w:r>
      <w:r>
        <w:t xml:space="preserve"> </w:t>
      </w:r>
      <w:hyperlink w:anchor="ref-12">
        <w:r>
          <w:rPr>
            <w:rStyle w:val="Hyperlink"/>
          </w:rPr>
          <w:t xml:space="preserve">[12]</w:t>
        </w:r>
      </w:hyperlink>
      <w:r>
        <w:t xml:space="preserve">[15]. Spectrum and launch interdependencies bound the agency’s mission-level planning, and the Office of Inspector General and the Government Accountability Office have documented them in successive Major Project Assessments</w:t>
      </w:r>
      <w:r>
        <w:t xml:space="preserve"> </w:t>
      </w:r>
      <w:hyperlink w:anchor="ref-11">
        <w:r>
          <w:rPr>
            <w:rStyle w:val="Hyperlink"/>
          </w:rPr>
          <w:t xml:space="preserve">[11]</w:t>
        </w:r>
      </w:hyperlink>
      <w:r>
        <w:t xml:space="preserve">. The Jet Propulsion Laboratory operates the deep-space tracking and ephemerides infrastructure that the rest of the cislunar community depends on, and JPL’s allocation of finite Deep Space Network capacity and HORIZONS ephemerides effort is sensitive to the rate at which new cislunar entrants arrive. For NASA and JPL together, a forward-looking traffic indicator that is cheap, public, and statistically defensible is not a research curiosity. It is a planning input that can either be brought into the budget cycle or, if it fails the test of being predictive, set aside before it distorts capacity decisions.</w:t>
      </w:r>
    </w:p>
    <w:bookmarkEnd w:id="61"/>
    <w:bookmarkStart w:id="62" w:name="the-coupling-that-has-not-been-tested"/>
    <w:p>
      <w:pPr>
        <w:pStyle w:val="Heading2"/>
        <w:spacing w:line="480" w:lineRule="auto"/>
      </w:pPr>
      <w:r>
        <w:t xml:space="preserve">1.2 The Coupling That Has Not Been Tested</w:t>
      </w:r>
    </w:p>
    <w:p>
      <w:pPr>
        <w:pStyle w:val="FirstParagraph"/>
        <w:spacing w:line="480" w:lineRule="auto"/>
      </w:pPr>
      <w:r>
        <w:t xml:space="preserve">The motivating intuition is straightforward. Conceptual form for it already lives in the space-economy literature. Operators chasing cislunar opportunity must claim two coupled finite resources, an orbital slot and a band of radio spectrum, and the space-economy corpus is explicit that the rush for orbit is simultaneously a rush for spectrum</w:t>
      </w:r>
      <w:r>
        <w:t xml:space="preserve"> </w:t>
      </w:r>
      <w:hyperlink w:anchor="ref-4">
        <w:r>
          <w:rPr>
            <w:rStyle w:val="Hyperlink"/>
          </w:rPr>
          <w:t xml:space="preserve">[4]</w:t>
        </w:r>
      </w:hyperlink>
      <w:r>
        <w:t xml:space="preserve">. Architectural and normative scholarship on the broader space-use environment treats coordination across these layers as a constituent feature of the regime rather than as a discretionary overlay</w:t>
      </w:r>
      <w:r>
        <w:t xml:space="preserve"> </w:t>
      </w:r>
      <w:hyperlink w:anchor="ref-10">
        <w:r>
          <w:rPr>
            <w:rStyle w:val="Hyperlink"/>
          </w:rPr>
          <w:t xml:space="preserve">[10]</w:t>
        </w:r>
      </w:hyperlink>
      <w:r>
        <w:t xml:space="preserve">. Orbital carrying capacity, in turn, is framed as a safety metric whose binding constraint shifts with collision-avoidance and coordination capability rather than as a static property of the regime</w:t>
      </w:r>
      <w:r>
        <w:t xml:space="preserve"> </w:t>
      </w:r>
      <w:hyperlink w:anchor="ref-5">
        <w:r>
          <w:rPr>
            <w:rStyle w:val="Hyperlink"/>
          </w:rPr>
          <w:t xml:space="preserve">[5]</w:t>
        </w:r>
      </w:hyperlink>
      <w:r>
        <w:t xml:space="preserve">. The implication, never tested, is that the public spectrum record should leak operator intent into observability earlier than any other public source. A spacecraft cannot transmit without a frequency assignment, the assignment is filed administratively in advance of operation, and the filing is dated and visible to anyone willing to read the Bureau de Radiocommunications releases.</w:t>
      </w:r>
    </w:p>
    <w:p>
      <w:pPr>
        <w:pStyle w:val="BodyText"/>
        <w:spacing w:line="480" w:lineRule="auto"/>
        <w:ind w:firstLine="720"/>
      </w:pPr>
      <w:r>
        <w:t xml:space="preserve">If that intuition holds, the ITU spectrum register is the single cheapest forward-looking traffic indicator available to cislunar planners, and the regime acquires a leading indicator that does not require new sensors, new clearances, or new bilateral access agreements. If it does not hold, the field needs to know so that scarce analytical attention is not diverted to a spurious proxy. The dissertation is constructed so that the question can be answered in either direction.</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Two largely non-communicating registers hold the literature that motivates this dissertation. The first is the cislunar domain literature, in which the engineering and operational characteristics of the regime are described with precision. Architecture-optimization studies size sensor networks against scenario traffic</w:t>
      </w:r>
      <w:r>
        <w:t xml:space="preserve"> </w:t>
      </w:r>
      <w:hyperlink w:anchor="ref-1">
        <w:r>
          <w:rPr>
            <w:rStyle w:val="Hyperlink"/>
          </w:rPr>
          <w:t xml:space="preserve">[1]</w:t>
        </w:r>
      </w:hyperlink>
      <w:r>
        <w:t xml:space="preserve">. Estimation-theoretic work classifies state uncertainty for Earth-Moon trajectories</w:t>
      </w:r>
      <w:r>
        <w:t xml:space="preserve"> </w:t>
      </w:r>
      <w:hyperlink w:anchor="ref-2">
        <w:r>
          <w:rPr>
            <w:rStyle w:val="Hyperlink"/>
          </w:rPr>
          <w:t xml:space="preserve">[2]</w:t>
        </w:r>
      </w:hyperlink>
      <w:r>
        <w:t xml:space="preserve">. Electro-optical observation studies refine the rapid classification of near-Earth and cislunar objects</w:t>
      </w:r>
      <w:r>
        <w:t xml:space="preserve"> </w:t>
      </w:r>
      <w:hyperlink w:anchor="ref-9">
        <w:r>
          <w:rPr>
            <w:rStyle w:val="Hyperlink"/>
          </w:rPr>
          <w:t xml:space="preserve">[9]</w:t>
        </w:r>
      </w:hyperlink>
      <w:r>
        <w:t xml:space="preserve">. Acta Astronautica work on Gateway operations describes orbit maintenance and loitering in the near-rectilinear halo orbit with the precision that the regime requires</w:t>
      </w:r>
      <w:r>
        <w:t xml:space="preserve"> </w:t>
      </w:r>
      <w:hyperlink w:anchor="ref-7">
        <w:r>
          <w:rPr>
            <w:rStyle w:val="Hyperlink"/>
          </w:rPr>
          <w:t xml:space="preserve">[7]</w:t>
        </w:r>
      </w:hyperlink>
      <w:r>
        <w:t xml:space="preserve">. Companion work on cislunar fragmentation monitoring describes how a constellation of space-based observers could characterize debris events once they occur</w:t>
      </w:r>
      <w:r>
        <w:t xml:space="preserve"> </w:t>
      </w:r>
      <w:hyperlink w:anchor="ref-8">
        <w:r>
          <w:rPr>
            <w:rStyle w:val="Hyperlink"/>
          </w:rPr>
          <w:t xml:space="preserve">[8]</w:t>
        </w:r>
      </w:hyperlink>
      <w:r>
        <w:t xml:space="preserve">. Moon-to-Mars governance and traffic-management framing aggregates these threads into a coherent picture of what cislunar space traffic management must accomplish once the population to be managed exists</w:t>
      </w:r>
      <w:r>
        <w:t xml:space="preserve"> </w:t>
      </w:r>
      <w:hyperlink w:anchor="ref-6">
        <w:r>
          <w:rPr>
            <w:rStyle w:val="Hyperlink"/>
          </w:rPr>
          <w:t xml:space="preserve">[6]</w:t>
        </w:r>
      </w:hyperlink>
      <w:r>
        <w:t xml:space="preserve">. This is a domain literature about the regime, and it is rigorous within its scope.</w:t>
      </w:r>
    </w:p>
    <w:p>
      <w:pPr>
        <w:pStyle w:val="BodyText"/>
        <w:spacing w:line="480" w:lineRule="auto"/>
        <w:ind w:firstLine="720"/>
      </w:pPr>
      <w:r>
        <w:t xml:space="preserve">The second register is the econometric and forecasting literature that has begun, separately, to take satellite-launch and constellation traffic seriously as an object of formal modelling. Recent work in Acta Astronautica forecasts satellite launch traffic against gross domestic product and constellation plans, treating the launch series as a forecastable economic outcome rather than as a scenario input</w:t>
      </w:r>
      <w:r>
        <w:t xml:space="preserve"> </w:t>
      </w:r>
      <w:hyperlink w:anchor="ref-28">
        <w:r>
          <w:rPr>
            <w:rStyle w:val="Hyperlink"/>
          </w:rPr>
          <w:t xml:space="preserve">[28]</w:t>
        </w:r>
      </w:hyperlink>
      <w:r>
        <w:t xml:space="preserve">. A parallel strand of work develops reference scenarios and supporting inputs for space-environment modelling, including statistical treatments of constellation cadence and capacity exposure</w:t>
      </w:r>
      <w:r>
        <w:t xml:space="preserve"> </w:t>
      </w:r>
      <w:hyperlink w:anchor="ref-23">
        <w:r>
          <w:rPr>
            <w:rStyle w:val="Hyperlink"/>
          </w:rPr>
          <w:t xml:space="preserve">[23]</w:t>
        </w:r>
      </w:hyperlink>
      <w:r>
        <w:t xml:space="preserve">. ITU spectrum filings are themselves the subject of standalone survey work in geostationary orbit, where filing patterns have been catalogued and characterized at the regime level for forecasting and policy purposes</w:t>
      </w:r>
      <w:r>
        <w:t xml:space="preserve"> </w:t>
      </w:r>
      <w:hyperlink w:anchor="ref-21">
        <w:r>
          <w:rPr>
            <w:rStyle w:val="Hyperlink"/>
          </w:rPr>
          <w:t xml:space="preserve">[21]</w:t>
        </w:r>
      </w:hyperlink>
      <w:r>
        <w:t xml:space="preserve">. Adjacent work on assessing harmful interference and compliance in geostationary orbit develops independent methods for reading the spectrum-coordination record as a behavioural indicator rather than as paperwork</w:t>
      </w:r>
      <w:r>
        <w:t xml:space="preserve"> </w:t>
      </w:r>
      <w:hyperlink w:anchor="ref-18">
        <w:r>
          <w:rPr>
            <w:rStyle w:val="Hyperlink"/>
          </w:rPr>
          <w:t xml:space="preserve">[18]</w:t>
        </w:r>
      </w:hyperlink>
      <w:r>
        <w:t xml:space="preserve">. The methodological vocabulary in this second register includes panel time-series specification, Granger-style precedence testing, placebo and negative-control regimes, and band-disaggregated treatment of filing intensity.</w:t>
      </w:r>
    </w:p>
    <w:p>
      <w:pPr>
        <w:pStyle w:val="BodyText"/>
        <w:spacing w:line="480" w:lineRule="auto"/>
        <w:ind w:firstLine="720"/>
      </w:pPr>
      <w:r>
        <w:t xml:space="preserve">The gap is that these two registers do not meet over the cislunar regime. The domain literature does not estimate the traffic series from antecedent data. The econometric literature has not yet been pointed at the cislunar census. The space-economy framing asserts the orbit-spectrum coupling as a resource-economics fact</w:t>
      </w:r>
      <w:r>
        <w:t xml:space="preserve"> </w:t>
      </w:r>
      <w:hyperlink w:anchor="ref-4">
        <w:r>
          <w:rPr>
            <w:rStyle w:val="Hyperlink"/>
          </w:rPr>
          <w:t xml:space="preserve">[4]</w:t>
        </w:r>
      </w:hyperlink>
      <w:r>
        <w:t xml:space="preserve"> </w:t>
      </w:r>
      <w:r>
        <w:t xml:space="preserve">without operationalizing it as a falsifiable forecasting relationship for cislunar traffic specifically. The Moon-to-Mars governance synthesis identifies the operational stakes of getting the forecast wrong</w:t>
      </w:r>
      <w:r>
        <w:t xml:space="preserve"> </w:t>
      </w:r>
      <w:hyperlink w:anchor="ref-6">
        <w:r>
          <w:rPr>
            <w:rStyle w:val="Hyperlink"/>
          </w:rPr>
          <w:t xml:space="preserve">[6]</w:t>
        </w:r>
      </w:hyperlink>
      <w:r>
        <w:t xml:space="preserve"> </w:t>
      </w:r>
      <w:r>
        <w:t xml:space="preserve">without proposing a leading indicator the planners could read. The geostationary spectrum-survey literature shows that ITU filings can be treated as a structured data source with regime-level signal</w:t>
      </w:r>
      <w:r>
        <w:t xml:space="preserve"> </w:t>
      </w:r>
      <w:hyperlink w:anchor="ref-21">
        <w:r>
          <w:rPr>
            <w:rStyle w:val="Hyperlink"/>
          </w:rPr>
          <w:t xml:space="preserve">[21]</w:t>
        </w:r>
      </w:hyperlink>
      <w:r>
        <w:t xml:space="preserve">, but the survey work stops at characterization rather than tests for forecast skill against an outcome series. No retrieved study estimates the predictive elasticity of cislunar traffic with respect to lagged cislunar-relevant spectrum-filing intensity, with controls, with a pre-registered decision rule, and with a placebo and a negative-control regime designed to make the test capable of failing. The dissertation is constructed to fill exactly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the dissertation reduces to one number. The dissertation estimates beta, the predictive elasticity of realized cislunar traffic with respect to lagged cislunar-relevant ITU spectrum-filing intensity, in a panel time-series specification with unit fixed effects, time fixed effects, and controls for launch-vehicle availability, programmatic announcements, and secular trend. The null hypothesis H0 is that beta is statistically indistinguishable from zero. The alternative hypothesis H1 is that beta is positive and statistically significant at a pre-registered level. The decision rule on beta is fixed before the traffic outcome series is merged to the filing series. A null or negative significant beta refutes the spectrum-as-leading-indicator thesis. A positive significant beta provides quantitative grounding for treating the ITU register as a forecasting input for cislunar SDA architecture.</w:t>
      </w:r>
    </w:p>
    <w:p>
      <w:pPr>
        <w:pStyle w:val="BodyText"/>
        <w:spacing w:line="480" w:lineRule="auto"/>
        <w:ind w:firstLine="720"/>
      </w:pPr>
      <w:r>
        <w:t xml:space="preserve">The estimand is the lagged predictive effect of filing intensity on traffic. It is not a structural causal claim about filings physically producing spacecraft. Identification rests on the institutional fact that advance-publication information and coordination request filings are administratively required to precede operation, so the temporal direction is fixed by ITU procedure</w:t>
      </w:r>
      <w:r>
        <w:t xml:space="preserve"> </w:t>
      </w:r>
      <w:hyperlink w:anchor="ref-14">
        <w:r>
          <w:rPr>
            <w:rStyle w:val="Hyperlink"/>
          </w:rPr>
          <w:t xml:space="preserve">[14]</w:t>
        </w:r>
      </w:hyperlink>
      <w:r>
        <w:t xml:space="preserve">. The threats to validity are catalogued in the prospectus and addressed substantively in later chapters: common-cause confounding by programmatic surges is absorbed by time fixed effects, by explicit programmatic-announcement controls, and by a non-cislunar negative-control regime; filing inflation and abandonment, the known tendency of the ITU register to include speculative filings, attenuates beta toward the null and is addressed by a filing-completeness weighting layer; outcome measurement error in the cislunar census widens confidence intervals conservatively; regime-classification subjectivity is bounded by sensitivity analysis on the cislunar-relevant filter; and the short cislunar record bounds external validity in ways that are reported transparently.</w:t>
      </w:r>
    </w:p>
    <w:p>
      <w:pPr>
        <w:pStyle w:val="BodyText"/>
        <w:spacing w:line="480" w:lineRule="auto"/>
        <w:ind w:firstLine="720"/>
      </w:pPr>
      <w:r>
        <w:t xml:space="preserve">Two empirical chapters precede the regime-level panel and feed into the contribution. The first is a mission-level logit study of thirty cislunar missions between 2005 and 2026, which tests whether the spectrum-coordination footprint statistically predicts whether a mission reaches launch</w:t>
      </w:r>
      <w:r>
        <w:t xml:space="preserve"> </w:t>
      </w:r>
      <w:hyperlink w:anchor="ref-12">
        <w:r>
          <w:rPr>
            <w:rStyle w:val="Hyperlink"/>
          </w:rPr>
          <w:t xml:space="preserve">[12]</w:t>
        </w:r>
      </w:hyperlink>
      <w:r>
        <w:t xml:space="preserve">[15][16][17]. The mission-level test refutes the simplest version of the hypothesis, that broader filings predict higher realization, while providing marginally significant evidence that deep-space band assignments do carry forward-looking signal. The second is an annual time-series study for the years 2005 through 2025, which regresses cislunar launch counts on cumulative cislunar-eligible filing intensity, the deep-space band share, and the commercial share of mission starts. The annual study returns a positive and statistically significant cumulative-filings coefficient at the five percent level. These two studies do not, on their own, settle the regime-level question. They set the bar for the regime-level panel and they direct the panel toward a band-disaggregated specification in which deep-space band notifications are isolated from aggregate band breadth. The dissertation’s headline contribution is the regime-level beta. The two empirical priors are the apparatus that makes the regime-level test honest.</w:t>
      </w:r>
    </w:p>
    <w:bookmarkEnd w:id="64"/>
    <w:bookmarkStart w:id="65" w:name="X4e3c287df50a3baa57eaa4363f1310c66946815"/>
    <w:p>
      <w:pPr>
        <w:pStyle w:val="Heading2"/>
        <w:spacing w:line="480" w:lineRule="auto"/>
      </w:pPr>
      <w:r>
        <w:t xml:space="preserve">1.5 Why the Contribution Is Falsifiable and Why That Matters</w:t>
      </w:r>
    </w:p>
    <w:p>
      <w:pPr>
        <w:pStyle w:val="FirstParagraph"/>
        <w:spacing w:line="480" w:lineRule="auto"/>
      </w:pPr>
      <w:r>
        <w:t xml:space="preserve">The dissertation is constructed to be capable of failing. The decision rule is pre-registered. The placebo test uses post-period filings, which should carry no predictive weight under H1; if they do, the specification is wrong and the result is set aside. The negative-control regime, a non-cislunar orbital band that should not respond to cislunar filing intensity, provides an independent check that the effect is cislunar-specific rather than a generic space-activity trend. Standard errors are clustered by panel unit. Sensitivity analyses report how beta moves under alternative lag lengths and under alternative cislunar-relevance classifications. The dissertation is not constructed to make a single proposition survive at any cost. It is constructed so that an honest null is reportable.</w:t>
      </w:r>
    </w:p>
    <w:p>
      <w:pPr>
        <w:pStyle w:val="BodyText"/>
        <w:spacing w:line="480" w:lineRule="auto"/>
        <w:ind w:firstLine="720"/>
      </w:pPr>
      <w:r>
        <w:t xml:space="preserve">This matters because the consumers of the result, NASA architecture planners, JPL Deep Space Network and HORIZONS allocators, and the broader cislunar SDA architecture community, can act on a null result as readily as on a positive one. A null result tells the planners that the ITU register is not a forecasting input and that scarce analytical attention should be directed elsewhere. A positive result tells the planners that the ITU register is a forecasting input, with a measured elasticity, and that the input should be wired into capacity-based architecture optimization</w:t>
      </w:r>
      <w:r>
        <w:t xml:space="preserve"> </w:t>
      </w:r>
      <w:hyperlink w:anchor="ref-1">
        <w:r>
          <w:rPr>
            <w:rStyle w:val="Hyperlink"/>
          </w:rPr>
          <w:t xml:space="preserve">[1]</w:t>
        </w:r>
      </w:hyperlink>
      <w:r>
        <w:t xml:space="preserve"> </w:t>
      </w:r>
      <w:r>
        <w:t xml:space="preserve">and into Earth-Moon trajectory uncertainty classification</w:t>
      </w:r>
      <w:r>
        <w:t xml:space="preserve"> </w:t>
      </w:r>
      <w:hyperlink w:anchor="ref-2">
        <w:r>
          <w:rPr>
            <w:rStyle w:val="Hyperlink"/>
          </w:rPr>
          <w:t xml:space="preserve">[2]</w:t>
        </w:r>
      </w:hyperlink>
      <w:r>
        <w:t xml:space="preserve"> </w:t>
      </w:r>
      <w:r>
        <w:t xml:space="preserve">alongside the existing scenario seeds. Either result is more useful than the current state, in which the question is asserted and not tested.</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in eight chapters. Chapter 2 develops the theoretical frame in detail, drawing on the space-economy treatment of orbit and spectrum as coupled finite resources</w:t>
      </w:r>
      <w:r>
        <w:t xml:space="preserve"> </w:t>
      </w:r>
      <w:hyperlink w:anchor="ref-4">
        <w:r>
          <w:rPr>
            <w:rStyle w:val="Hyperlink"/>
          </w:rPr>
          <w:t xml:space="preserve">[4]</w:t>
        </w:r>
      </w:hyperlink>
      <w:r>
        <w:t xml:space="preserve">, the architectural-normative treatment of coordination as constitutive of the regime</w:t>
      </w:r>
      <w:r>
        <w:t xml:space="preserve"> </w:t>
      </w:r>
      <w:hyperlink w:anchor="ref-10">
        <w:r>
          <w:rPr>
            <w:rStyle w:val="Hyperlink"/>
          </w:rPr>
          <w:t xml:space="preserve">[10]</w:t>
        </w:r>
      </w:hyperlink>
      <w:r>
        <w:t xml:space="preserve">, and the carrying-capacity literature</w:t>
      </w:r>
      <w:r>
        <w:t xml:space="preserve"> </w:t>
      </w:r>
      <w:hyperlink w:anchor="ref-5">
        <w:r>
          <w:rPr>
            <w:rStyle w:val="Hyperlink"/>
          </w:rPr>
          <w:t xml:space="preserve">[5]</w:t>
        </w:r>
      </w:hyperlink>
      <w:r>
        <w:t xml:space="preserve"> </w:t>
      </w:r>
      <w:r>
        <w:t xml:space="preserve">to motivate why a leading indicator should exist if the coupling is real. Chapter 3 reviews the cislunar domain literature, with attention to the SDA architecture and estimation-theoretic strands</w:t>
      </w:r>
      <w:r>
        <w:t xml:space="preserve"> </w:t>
      </w:r>
      <w:hyperlink w:anchor="ref-1">
        <w:r>
          <w:rPr>
            <w:rStyle w:val="Hyperlink"/>
          </w:rPr>
          <w:t xml:space="preserve">[1]</w:t>
        </w:r>
      </w:hyperlink>
      <w:r>
        <w:t xml:space="preserve">[2][3][9], the Acta Astronautica work on Gateway operations</w:t>
      </w:r>
      <w:r>
        <w:t xml:space="preserve"> </w:t>
      </w:r>
      <w:hyperlink w:anchor="ref-7">
        <w:r>
          <w:rPr>
            <w:rStyle w:val="Hyperlink"/>
          </w:rPr>
          <w:t xml:space="preserve">[7]</w:t>
        </w:r>
      </w:hyperlink>
      <w:r>
        <w:t xml:space="preserve">, the cislunar fragmentation monitoring literature</w:t>
      </w:r>
      <w:r>
        <w:t xml:space="preserve"> </w:t>
      </w:r>
      <w:hyperlink w:anchor="ref-8">
        <w:r>
          <w:rPr>
            <w:rStyle w:val="Hyperlink"/>
          </w:rPr>
          <w:t xml:space="preserve">[8]</w:t>
        </w:r>
      </w:hyperlink>
      <w:r>
        <w:t xml:space="preserve">, and the Moon-to-Mars governance synthesis</w:t>
      </w:r>
      <w:r>
        <w:t xml:space="preserve"> </w:t>
      </w:r>
      <w:hyperlink w:anchor="ref-6">
        <w:r>
          <w:rPr>
            <w:rStyle w:val="Hyperlink"/>
          </w:rPr>
          <w:t xml:space="preserve">[6]</w:t>
        </w:r>
      </w:hyperlink>
      <w:r>
        <w:t xml:space="preserve">. Chapter 4 reviews the econometric and survey literature on spectrum filings, launch forecasting, and reference scenario construction</w:t>
      </w:r>
      <w:r>
        <w:t xml:space="preserve"> </w:t>
      </w:r>
      <w:hyperlink w:anchor="ref-21">
        <w:r>
          <w:rPr>
            <w:rStyle w:val="Hyperlink"/>
          </w:rPr>
          <w:t xml:space="preserve">[21]</w:t>
        </w:r>
      </w:hyperlink>
      <w:r>
        <w:t xml:space="preserve">[18][28][23], and identifies the methodological tools that the domain literature has not yet imported.</w:t>
      </w:r>
    </w:p>
    <w:p>
      <w:pPr>
        <w:pStyle w:val="BodyText"/>
        <w:spacing w:line="480" w:lineRule="auto"/>
        <w:ind w:firstLine="720"/>
      </w:pPr>
      <w:r>
        <w:t xml:space="preserve">Chapter 5 specifies the data construction in full. The independent variable is built from the ITU Space Network Systems Online database and the BR International Frequency Information Circular release archive</w:t>
      </w:r>
      <w:r>
        <w:t xml:space="preserve"> </w:t>
      </w:r>
      <w:hyperlink w:anchor="ref-14">
        <w:r>
          <w:rPr>
            <w:rStyle w:val="Hyperlink"/>
          </w:rPr>
          <w:t xml:space="preserve">[14]</w:t>
        </w:r>
      </w:hyperlink>
      <w:r>
        <w:t xml:space="preserve">, classified as cislunar-relevant by declared orbital geometry and frequency bands. The dependent variable is constructed from public catalog data for Earth-Moon and Gateway-regime spacecraft, augmented by NASA Jet Propulsion Laboratory HORIZONS ephemerides for objects beyond the standard near-Earth catalog and by the published mission record for national and commercial cislunar programs</w:t>
      </w:r>
      <w:r>
        <w:t xml:space="preserve"> </w:t>
      </w:r>
      <w:hyperlink w:anchor="ref-12">
        <w:r>
          <w:rPr>
            <w:rStyle w:val="Hyperlink"/>
          </w:rPr>
          <w:t xml:space="preserve">[12]</w:t>
        </w:r>
      </w:hyperlink>
      <w:r>
        <w:t xml:space="preserve">[13][15][16][17]. Cislunar fragmentation and event records supplement the occupation series where catalog coverage is sparse</w:t>
      </w:r>
      <w:r>
        <w:t xml:space="preserve"> </w:t>
      </w:r>
      <w:hyperlink w:anchor="ref-8">
        <w:r>
          <w:rPr>
            <w:rStyle w:val="Hyperlink"/>
          </w:rPr>
          <w:t xml:space="preserve">[8]</w:t>
        </w:r>
      </w:hyperlink>
      <w:r>
        <w:t xml:space="preserve">. The chapter publishes the per-row source provenance that the COLLEGIUM data-provenance gate requires.</w:t>
      </w:r>
    </w:p>
    <w:p>
      <w:pPr>
        <w:pStyle w:val="BodyText"/>
        <w:spacing w:line="480" w:lineRule="auto"/>
        <w:ind w:firstLine="720"/>
      </w:pPr>
      <w:r>
        <w:t xml:space="preserve">Chapter 6 presents the mission-level logit study. The chapter reports the falsification result on filing breadth, the marginally significant deep-space band partial, and the implications for the regime-level specification. Chapter 7 presents the annual time-series study. The chapter reports the positive and significant cumulative-filings coefficient, the null deep-space-share and commercial-share coefficients, and the limitations imposed by the twenty-one annual observations and by the illustrative-flag treatment of cumulative filing levels.</w:t>
      </w:r>
    </w:p>
    <w:p>
      <w:pPr>
        <w:pStyle w:val="BodyText"/>
        <w:spacing w:line="480" w:lineRule="auto"/>
        <w:ind w:firstLine="720"/>
      </w:pPr>
      <w:r>
        <w:t xml:space="preserve">Chapter 8 presents the regime-level panel time-series specification, the central contribution. The chapter reports beta with its standard error, p-value, placebo and negative-control results, and sensitivity bands across lag length and cislunar-relevance classification. The chapter is the headline result of the dissertation and the only chapter on which the falsification rule operates.</w:t>
      </w:r>
    </w:p>
    <w:p>
      <w:pPr>
        <w:pStyle w:val="BodyText"/>
        <w:spacing w:line="480" w:lineRule="auto"/>
        <w:ind w:firstLine="720"/>
      </w:pPr>
      <w:r>
        <w:t xml:space="preserve">Chapter 9 discusses implications for NASA architecture planning, for JPL infrastructure allocation, and for the broader cislunar SDA architecture community, and identifies the next research questions that a positive or null result would each open. Chapter 10 concludes by summarizing what has been tested, what has been refuted, what has been corroborated, and what remains open. The dissertation does not claim to resolve cislunar traffic forecasting. It claims to subject one widely asserted but never tested proposition to a falsifiable empirical test and to report the result honestly. That is the contribution.</w:t>
      </w:r>
    </w:p>
    <w:bookmarkEnd w:id="66"/>
    <w:bookmarkEnd w:id="67"/>
    <w:bookmarkStart w:id="74" w:name="chapter-2.-literature-review"/>
    <w:p>
      <w:pPr>
        <w:pStyle w:val="Heading1"/>
        <w:spacing w:line="480" w:lineRule="auto"/>
      </w:pPr>
      <w:r>
        <w:t xml:space="preserve">Chapter 2. Literature Review</w:t>
      </w:r>
    </w:p>
    <w:bookmarkStart w:id="68" w:name="orientation-and-organizing-logic"/>
    <w:p>
      <w:pPr>
        <w:pStyle w:val="Heading2"/>
        <w:spacing w:line="480" w:lineRule="auto"/>
      </w:pPr>
      <w:r>
        <w:t xml:space="preserve">2.1 Orientation and Organizing Logic</w:t>
      </w:r>
    </w:p>
    <w:p>
      <w:pPr>
        <w:pStyle w:val="FirstParagraph"/>
        <w:spacing w:line="480" w:lineRule="auto"/>
      </w:pPr>
      <w:r>
        <w:t xml:space="preserve">This chapter reviews the two literatures that bound the dissertation question and demonstrates that they have, to date, remained largely unjoined. The first is the domain technical literature on cislunar space domain awareness (SDA), space traffic management (STM), spectrum allocation, and the orbit-spectrum resource problem. The second is the cliometric and econometric methodology literature that supplies the inferential tools, panel time-series identification, distributed-lag specification, binary outcome models, leading indicator design, and structural-break detection, by which one can test whether an administrative paper trail forecasts a physical outcome. The dissertation’s contribution lies precisely at the seam: the domain literature asserts a coupling between orbit and spectrum but treats traffic as exogenous, while the cliometric literature provides the predictive estimators that have not yet been brought to bear on the cislunar regime. This chapter inventories both, explains why each has been individually adequate but jointly insufficient, and frames the predictive elasticity coefficient that the empirical chapters estimate.</w:t>
      </w:r>
    </w:p>
    <w:p>
      <w:pPr>
        <w:pStyle w:val="BodyText"/>
        <w:spacing w:line="480" w:lineRule="auto"/>
        <w:ind w:firstLine="720"/>
      </w:pPr>
      <w:r>
        <w:t xml:space="preserve">The review proceeds in five movements. Section 2.2 surveys the cislunar SDA and STM literature, with particular attention to how each retrieved work treats the traffic input. Section 2.3 examines the spectrum and ITU coordination literature and its interface with orbital occupation. Section 2.4 reviews the space-economy and orbital carrying capacity literature, which supplies the resource-economics framing for spectrum-orbit coupling. Section 2.5 surveys the cliometric and econometric methodology relevant to predictive elasticity estimation in small panels with administrative leading indicators. Section 2.6 synthesizes the gap and motivates the joint design that the empirical chapters operationalize.</w:t>
      </w:r>
    </w:p>
    <w:bookmarkEnd w:id="68"/>
    <w:bookmarkStart w:id="69" w:name="Xe7560a0257fe1ea7c48908b2b6d96d91bd32dc9"/>
    <w:p>
      <w:pPr>
        <w:pStyle w:val="Heading2"/>
        <w:spacing w:line="480" w:lineRule="auto"/>
      </w:pPr>
      <w:r>
        <w:t xml:space="preserve">2.2 Cislunar SDA, STM, and the Exogenous-Traffic Convention</w:t>
      </w:r>
    </w:p>
    <w:p>
      <w:pPr>
        <w:pStyle w:val="FirstParagraph"/>
        <w:spacing w:line="480" w:lineRule="auto"/>
      </w:pPr>
      <w:r>
        <w:t xml:space="preserve">Contemporary cislunar SDA architecture rests on a small but growing portfolio of conference and journal work that has consolidated rapidly over the past four years. Owens Fahrner, Correa, and Wysack established the capacity-based formulation that now anchors the field, framing the cislunar sensor-tasking problem as an optimization over scarce observation capacity against a population of objects whose distribution is taken as a scenario input</w:t>
      </w:r>
      <w:r>
        <w:t xml:space="preserve"> </w:t>
      </w:r>
      <w:hyperlink w:anchor="ref-1">
        <w:r>
          <w:rPr>
            <w:rStyle w:val="Hyperlink"/>
          </w:rPr>
          <w:t xml:space="preserve">[1]</w:t>
        </w:r>
      </w:hyperlink>
      <w:r>
        <w:t xml:space="preserve">. That formulation is analytically powerful. It permits closed-form trade-offs between sensor count, sensor placement, and revisit cadence, but it inherits a critical assumption: the traffic forecast that drives the demand side of the optimization is supplied exogenously, typically from program-of-record assumptions or from notional growth curves. The architecture is therefore only as good as the demand signal; a mis-specified forecast yields either a starved network that cannot keep up with arrivals or a stranded network whose capacity is never utilized.</w:t>
      </w:r>
    </w:p>
    <w:p>
      <w:pPr>
        <w:pStyle w:val="BodyText"/>
        <w:spacing w:line="480" w:lineRule="auto"/>
        <w:ind w:firstLine="720"/>
      </w:pPr>
      <w:r>
        <w:t xml:space="preserve">Gutierrez, Hill, Jenson, Scheeres, Bruer, and Coder developed the complementary estimation-theoretic layer, classifying state uncertainty for Earth-Moon trajectories in a manner that allows downstream catalog maintenance and conjunction assessment to be tractable in the multi-body regime</w:t>
      </w:r>
      <w:r>
        <w:t xml:space="preserve"> </w:t>
      </w:r>
      <w:hyperlink w:anchor="ref-2">
        <w:r>
          <w:rPr>
            <w:rStyle w:val="Hyperlink"/>
          </w:rPr>
          <w:t xml:space="preserve">[2]</w:t>
        </w:r>
      </w:hyperlink>
      <w:r>
        <w:t xml:space="preserve">. Their work is foundational because it acknowledges that cislunar dynamics are not adequately handled by the two-body covariance machinery inherited from near-Earth practice. Yet the uncertainty classification, like the capacity optimization, conditions on a traffic distribution that the analyst supplies rather than predicts. The two papers together represent the state of the art on the supply side of the SDA problem, but neither attempts to derive the demand side from antecedent operator behavior.</w:t>
      </w:r>
    </w:p>
    <w:p>
      <w:pPr>
        <w:pStyle w:val="BodyText"/>
        <w:spacing w:line="480" w:lineRule="auto"/>
        <w:ind w:firstLine="720"/>
      </w:pPr>
      <w:r>
        <w:t xml:space="preserve">Osterman, Van Cleve, Lawitzke, Griesbach, Grant, and Olson extended the SDA problem outward and downward, treating anthropogenic change detection on and close to the Moon as a primary driver of contemporary SDA investment</w:t>
      </w:r>
      <w:r>
        <w:t xml:space="preserve"> </w:t>
      </w:r>
      <w:hyperlink w:anchor="ref-3">
        <w:r>
          <w:rPr>
            <w:rStyle w:val="Hyperlink"/>
          </w:rPr>
          <w:t xml:space="preserve">[3]</w:t>
        </w:r>
      </w:hyperlink>
      <w:r>
        <w:t xml:space="preserve">. Their framing is important for this dissertation because it documents that the growing quantity of missions and traffic to cislunar space is now a recognized first-order driver of SDA architecture, on par with the long-standing geostationary and low-Earth concerns. The work establishes the policy salience of the cislunar traffic forecast without offering a method to derive it.</w:t>
      </w:r>
    </w:p>
    <w:p>
      <w:pPr>
        <w:pStyle w:val="BodyText"/>
        <w:spacing w:line="480" w:lineRule="auto"/>
        <w:ind w:firstLine="720"/>
      </w:pPr>
      <w:r>
        <w:t xml:space="preserve">Diamond, Goodman, Kent, Sawyer, Devabhaktuni, Eapen, Hope, and Singla complement this body with rapid classification methods for near-Earth and cislunar objects using electro-optical observations, demonstrating that once an object is detected its regime assignment can be resolved on operationally relevant timescales</w:t>
      </w:r>
      <w:r>
        <w:t xml:space="preserve"> </w:t>
      </w:r>
      <w:hyperlink w:anchor="ref-9">
        <w:r>
          <w:rPr>
            <w:rStyle w:val="Hyperlink"/>
          </w:rPr>
          <w:t xml:space="preserve">[9]</w:t>
        </w:r>
      </w:hyperlink>
      <w:r>
        <w:t xml:space="preserve">. The classification capability is essential for catalog hygiene but again operates downstream of arrival; it does not anticipate which objects will appear, only what they are once they are seen.</w:t>
      </w:r>
    </w:p>
    <w:p>
      <w:pPr>
        <w:pStyle w:val="BodyText"/>
        <w:spacing w:line="480" w:lineRule="auto"/>
        <w:ind w:firstLine="720"/>
      </w:pPr>
      <w:r>
        <w:t xml:space="preserve">Fidelity is rising in the STM-in-cislunar branch of the literature, which characterizes the operating environment in ever finer detail. Anilkumar, Mukherjee, Bérend, Biswas, Buinhas, Dailey, Foing, Franco Rodriguez, Hedrick, Kebe, Li, Ott, Pastor, Rana, Rodríguez, Sorge, Unfried, and Urdampilleta provided the most comprehensive recent synthesis, framing Moon-to-Mars STM as a strategic governance and operational challenge whose institutional architecture is still under construction</w:t>
      </w:r>
      <w:r>
        <w:t xml:space="preserve"> </w:t>
      </w:r>
      <w:hyperlink w:anchor="ref-6">
        <w:r>
          <w:rPr>
            <w:rStyle w:val="Hyperlink"/>
          </w:rPr>
          <w:t xml:space="preserve">[6]</w:t>
        </w:r>
      </w:hyperlink>
      <w:r>
        <w:t xml:space="preserve">. The work is a catalog of present-tense challenges and proposed frameworks; it is not a forecasting exercise. Davis, McCarthy, Scheuerle, Zimovan-Spreen, and Howell deepened the technical layer with detailed analysis of orbit maintenance and loitering in the Gateway near-rectilinear halo orbit, demonstrating that even the Gateway-class operating regime imposes nontrivial station-keeping demands that scale with traffic density</w:t>
      </w:r>
      <w:r>
        <w:t xml:space="preserve"> </w:t>
      </w:r>
      <w:hyperlink w:anchor="ref-7">
        <w:r>
          <w:rPr>
            <w:rStyle w:val="Hyperlink"/>
          </w:rPr>
          <w:t xml:space="preserve">[7]</w:t>
        </w:r>
      </w:hyperlink>
      <w:r>
        <w:t xml:space="preserve">. Gambarotto, Grattagliano, De Maria, and Montaruli closed the catalog-maintenance loop by analyzing cislunar fragmentation events using a constellation of space-based observers, providing the negative-control evidence that the cislunar object population is already large enough to generate detectable breakup signatures</w:t>
      </w:r>
      <w:r>
        <w:t xml:space="preserve"> </w:t>
      </w:r>
      <w:hyperlink w:anchor="ref-8">
        <w:r>
          <w:rPr>
            <w:rStyle w:val="Hyperlink"/>
          </w:rPr>
          <w:t xml:space="preserve">[8]</w:t>
        </w:r>
      </w:hyperlink>
      <w:r>
        <w:t xml:space="preserve">.</w:t>
      </w:r>
    </w:p>
    <w:p>
      <w:pPr>
        <w:pStyle w:val="BodyText"/>
        <w:spacing w:line="480" w:lineRule="auto"/>
        <w:ind w:firstLine="720"/>
      </w:pPr>
      <w:r>
        <w:t xml:space="preserve">A parallel STM strand addresses the large-constellation problem in lower regimes. Sorge, Alary, Lacomba, Tung, and Singh examined STM in the context of large constellations</w:t>
      </w:r>
      <w:r>
        <w:t xml:space="preserve"> </w:t>
      </w:r>
      <w:hyperlink w:anchor="ref-31">
        <w:r>
          <w:rPr>
            <w:rStyle w:val="Hyperlink"/>
          </w:rPr>
          <w:t xml:space="preserve">[31]</w:t>
        </w:r>
      </w:hyperlink>
      <w:r>
        <w:t xml:space="preserve">, establishing that traffic forecasting in any regime where coordinated commercial deployments operate becomes an exercise in predicting administratively driven cadences rather than independent events. Their conclusion that constellation cadence is set by procurement and regulatory milestones, not by ad hoc operational decisions, is directly relevant to the cislunar case: if cadence is set by paper milestones in low-Earth orbit, it is plausibly set by paper milestones in cislunar space as well.</w:t>
      </w:r>
    </w:p>
    <w:p>
      <w:pPr>
        <w:pStyle w:val="BodyText"/>
        <w:spacing w:line="480" w:lineRule="auto"/>
        <w:ind w:firstLine="720"/>
      </w:pPr>
      <w:r>
        <w:t xml:space="preserve">One shared limitation across the SDA and STM literature is now visible. Each retrieved work treats the cislunar traffic population as a quantity to be observed, maintained, characterized, or governed once it exists, but not as a quantity to be predicted from antecedent operator behavior. The dissertation question, whether ITU filings forecast cislunar traffic, has therefore not been asked within this literature, and the methods used in this literature, capacity optimization, uncertainty classification, electro-optical classification, are not the methods one would deploy to ask it.</w:t>
      </w:r>
    </w:p>
    <w:bookmarkEnd w:id="69"/>
    <w:bookmarkStart w:id="70" w:name="X09f35ba8586c5c486e7c962c7538ca2b3ff3d8e"/>
    <w:p>
      <w:pPr>
        <w:pStyle w:val="Heading2"/>
        <w:spacing w:line="480" w:lineRule="auto"/>
      </w:pPr>
      <w:r>
        <w:t xml:space="preserve">2.3 Spectrum, ITU Coordination, and the Orbit-Spectrum Interface</w:t>
      </w:r>
    </w:p>
    <w:p>
      <w:pPr>
        <w:pStyle w:val="FirstParagraph"/>
        <w:spacing w:line="480" w:lineRule="auto"/>
      </w:pPr>
      <w:r>
        <w:t xml:space="preserve">Spectrum coordination and ITU filings have, in parallel, developed substantial empirical density in the literature, but largely in regimes adjacent to cislunar space. Roberts and Linares conducted the most relevant precedent: a survey of ITU space station license applications in the geosynchronous orbital regime that demonstrated, for the first time at scale, that the filing register is a rich, tractable, and analytically meaningful dataset</w:t>
      </w:r>
      <w:r>
        <w:t xml:space="preserve"> </w:t>
      </w:r>
      <w:hyperlink w:anchor="ref-21">
        <w:r>
          <w:rPr>
            <w:rStyle w:val="Hyperlink"/>
          </w:rPr>
          <w:t xml:space="preserve">[21]</w:t>
        </w:r>
      </w:hyperlink>
      <w:r>
        <w:t xml:space="preserve">. Their work shows that ITU filings can be cleaned, classified by orbital geometry, and used to characterize operator intent at the population level. That methodological move, from filings-as-paperwork to filings-as-data, is the precedent on which the present dissertation builds. The Roberts and Linares analysis is geostationary in scope; it does not extend to cislunar bands, and it characterizes the filing population in its own right rather than testing whether filings forecast realized occupation.</w:t>
      </w:r>
    </w:p>
    <w:p>
      <w:pPr>
        <w:pStyle w:val="BodyText"/>
        <w:spacing w:line="480" w:lineRule="auto"/>
        <w:ind w:firstLine="720"/>
      </w:pPr>
      <w:r>
        <w:t xml:space="preserve">Allison documented the World Radiocommunication Conference 2019 outcomes as new space law enabling sustainability of low-Earth orbit, establishing that ITU coordination is not merely a frequency allocation exercise but a constitutive instrument of orbital governance</w:t>
      </w:r>
      <w:r>
        <w:t xml:space="preserve"> </w:t>
      </w:r>
      <w:hyperlink w:anchor="ref-19">
        <w:r>
          <w:rPr>
            <w:rStyle w:val="Hyperlink"/>
          </w:rPr>
          <w:t xml:space="preserve">[19]</w:t>
        </w:r>
      </w:hyperlink>
      <w:r>
        <w:t xml:space="preserve">. Her treatment of the WRC-19 process highlights that ITU outputs carry binding force on operator behavior and that filings made in the run-up to WRC outcomes are themselves leading indicators of regulatory equilibrium. The connection to cislunar filing behavior is direct: if WRC-19 set the regulatory boundary conditions for low-Earth broadband, an analogous process is now setting them for cislunar relay and deep-space service bands.</w:t>
      </w:r>
    </w:p>
    <w:p>
      <w:pPr>
        <w:pStyle w:val="BodyText"/>
        <w:spacing w:line="480" w:lineRule="auto"/>
        <w:ind w:firstLine="720"/>
      </w:pPr>
      <w:r>
        <w:t xml:space="preserve">Young and Thadani extended the policy analysis to the commercial side of the same regime, treating low-orbit broadband as a high-stakes competitive arena in which ITU filings are an instrument of strategic positioning rather than merely an administrative requirement</w:t>
      </w:r>
      <w:r>
        <w:t xml:space="preserve"> </w:t>
      </w:r>
      <w:hyperlink w:anchor="ref-20">
        <w:r>
          <w:rPr>
            <w:rStyle w:val="Hyperlink"/>
          </w:rPr>
          <w:t xml:space="preserve">[20]</w:t>
        </w:r>
      </w:hyperlink>
      <w:r>
        <w:t xml:space="preserve">. Their framing matters for the dissertation because it identifies the mechanism by which filings can be inflated, defensive, or speculative, the same mechanism that the present work must control for in the cislunar context. If filings are partly strategic noise, the predictive elasticity of traffic with respect to filings must be estimated against a baseline that includes that noise.</w:t>
      </w:r>
    </w:p>
    <w:p>
      <w:pPr>
        <w:pStyle w:val="BodyText"/>
        <w:spacing w:line="480" w:lineRule="auto"/>
        <w:ind w:firstLine="720"/>
      </w:pPr>
      <w:r>
        <w:t xml:space="preserve">Why is spectrum coordination binding rather than advisory? The interference and uplink literature supplies the technical reason. Briskman and Akturan documented interference into radio broadcast satellite uplinks, establishing that uncoordinated or poorly coordinated spectrum use produces measurable operational harm</w:t>
      </w:r>
      <w:r>
        <w:t xml:space="preserve"> </w:t>
      </w:r>
      <w:hyperlink w:anchor="ref-32">
        <w:r>
          <w:rPr>
            <w:rStyle w:val="Hyperlink"/>
          </w:rPr>
          <w:t xml:space="preserve">[32]</w:t>
        </w:r>
      </w:hyperlink>
      <w:r>
        <w:t xml:space="preserve">. Quintana-Díaz, Ekman, Camanzo Mariño, Birkeland, Lago Agra, González Muíño, and Aguado Agelet measured satellite uplink interference in the 437 MHz UHF amateur band, providing a small-spacecraft analog of the same problem and demonstrating that the binding force of coordination scales down to the CubeSat class</w:t>
      </w:r>
      <w:r>
        <w:t xml:space="preserve"> </w:t>
      </w:r>
      <w:hyperlink w:anchor="ref-26">
        <w:r>
          <w:rPr>
            <w:rStyle w:val="Hyperlink"/>
          </w:rPr>
          <w:t xml:space="preserve">[26]</w:t>
        </w:r>
      </w:hyperlink>
      <w:r>
        <w:t xml:space="preserve">. Karra and Jah extended the interference-detection problem to the geostationary regime with an independent method for assessing harmful interference and compliance, establishing that the coordination system is increasingly amenable to external verification</w:t>
      </w:r>
      <w:r>
        <w:t xml:space="preserve"> </w:t>
      </w:r>
      <w:hyperlink w:anchor="ref-18">
        <w:r>
          <w:rPr>
            <w:rStyle w:val="Hyperlink"/>
          </w:rPr>
          <w:t xml:space="preserve">[18]</w:t>
        </w:r>
      </w:hyperlink>
      <w:r>
        <w:t xml:space="preserve">. These works collectively establish that the ITU coordination process is not a paper formality; it is a binding constraint whose violation generates observable harm, and operators therefore have a strong incentive to file in advance of operation. That incentive is the institutional basis for the leading-indicator hypothesis tested in this dissertation.</w:t>
      </w:r>
    </w:p>
    <w:p>
      <w:pPr>
        <w:pStyle w:val="BodyText"/>
        <w:spacing w:line="480" w:lineRule="auto"/>
        <w:ind w:firstLine="720"/>
      </w:pPr>
      <w:r>
        <w:t xml:space="preserve">Skinner, Kelecy, Gregory, Toth, Liang, Yamanaka, Kent, Tjoelker, Margineantu, Allison, and Heiberg provided the integration of ground-based SSA concepts with commercial GEO satellite operations, including frequency management services, showing that operational SSA in the geostationary regime is co-developed with spectrum coordination in practice if not always in policy</w:t>
      </w:r>
      <w:r>
        <w:t xml:space="preserve"> </w:t>
      </w:r>
      <w:hyperlink w:anchor="ref-22">
        <w:r>
          <w:rPr>
            <w:rStyle w:val="Hyperlink"/>
          </w:rPr>
          <w:t xml:space="preserve">[22]</w:t>
        </w:r>
      </w:hyperlink>
      <w:r>
        <w:t xml:space="preserve">. Their work is the closest precedent for treating spectrum and orbit jointly at the operational layer, although it remains a GEO-regime study and does not address cislunar forecasting.</w:t>
      </w:r>
    </w:p>
    <w:p>
      <w:pPr>
        <w:pStyle w:val="BodyText"/>
        <w:spacing w:line="480" w:lineRule="auto"/>
        <w:ind w:firstLine="720"/>
      </w:pPr>
      <w:r>
        <w:t xml:space="preserve">What this literature does not contain is the specific test that the dissertation performs. No retrieved work asks whether the count, composition, or geometry of ITU filings statistically forecasts the count of objects subsequently entering cislunar orbital regimes. The Roberts and Linares dataset construction</w:t>
      </w:r>
      <w:r>
        <w:t xml:space="preserve"> </w:t>
      </w:r>
      <w:hyperlink w:anchor="ref-21">
        <w:r>
          <w:rPr>
            <w:rStyle w:val="Hyperlink"/>
          </w:rPr>
          <w:t xml:space="preserve">[21]</w:t>
        </w:r>
      </w:hyperlink>
      <w:r>
        <w:t xml:space="preserve"> </w:t>
      </w:r>
      <w:r>
        <w:t xml:space="preserve">is the methodological precedent; the Allison</w:t>
      </w:r>
      <w:r>
        <w:t xml:space="preserve"> </w:t>
      </w:r>
      <w:hyperlink w:anchor="ref-19">
        <w:r>
          <w:rPr>
            <w:rStyle w:val="Hyperlink"/>
          </w:rPr>
          <w:t xml:space="preserve">[19]</w:t>
        </w:r>
      </w:hyperlink>
      <w:r>
        <w:t xml:space="preserve"> </w:t>
      </w:r>
      <w:r>
        <w:t xml:space="preserve">and Young and Thadani</w:t>
      </w:r>
      <w:r>
        <w:t xml:space="preserve"> </w:t>
      </w:r>
      <w:hyperlink w:anchor="ref-20">
        <w:r>
          <w:rPr>
            <w:rStyle w:val="Hyperlink"/>
          </w:rPr>
          <w:t xml:space="preserve">[20]</w:t>
        </w:r>
      </w:hyperlink>
      <w:r>
        <w:t xml:space="preserve"> </w:t>
      </w:r>
      <w:r>
        <w:t xml:space="preserve">policy analyses establish that filings are strategically informative; the interference literature</w:t>
      </w:r>
      <w:r>
        <w:t xml:space="preserve"> </w:t>
      </w:r>
      <w:hyperlink w:anchor="ref-18">
        <w:r>
          <w:rPr>
            <w:rStyle w:val="Hyperlink"/>
          </w:rPr>
          <w:t xml:space="preserve">[18]</w:t>
        </w:r>
      </w:hyperlink>
      <w:r>
        <w:t xml:space="preserve">[26][32] establishes that they are operationally binding. None of these takes the next step of treating filings as a leading indicator in a predictive regression.</w:t>
      </w:r>
    </w:p>
    <w:bookmarkEnd w:id="70"/>
    <w:bookmarkStart w:id="71" w:name="Xb300c83e3d429d6dafcf0a7713f47f93f30475e"/>
    <w:p>
      <w:pPr>
        <w:pStyle w:val="Heading2"/>
        <w:spacing w:line="480" w:lineRule="auto"/>
      </w:pPr>
      <w:r>
        <w:t xml:space="preserve">2.4 Space Economy, Carrying Capacity, and Resource Coupling</w:t>
      </w:r>
    </w:p>
    <w:p>
      <w:pPr>
        <w:pStyle w:val="FirstParagraph"/>
        <w:spacing w:line="480" w:lineRule="auto"/>
      </w:pPr>
      <w:r>
        <w:t xml:space="preserve">Why should orbit and spectrum be jointly informative? The space-economy literature supplies the theoretical reason. The Space Economy Papers source SD13 establishes the macro framing: space activity is increasingly understood as a development, sustainability, and security driver in which public and private players compete for two coupled finite resources, orbital slots and spectrum allocations</w:t>
      </w:r>
      <w:r>
        <w:t xml:space="preserve"> </w:t>
      </w:r>
      <w:hyperlink w:anchor="ref-4">
        <w:r>
          <w:rPr>
            <w:rStyle w:val="Hyperlink"/>
          </w:rPr>
          <w:t xml:space="preserve">[4]</w:t>
        </w:r>
      </w:hyperlink>
      <w:r>
        <w:t xml:space="preserve">. That coupling is asserted as a resource-economics fact and is operationalized in policy discourse as a justification for joint governance, but it is not, in this literature, translated into a falsifiable predictive relationship.</w:t>
      </w:r>
    </w:p>
    <w:p>
      <w:pPr>
        <w:pStyle w:val="BodyText"/>
        <w:spacing w:line="480" w:lineRule="auto"/>
        <w:ind w:firstLine="720"/>
      </w:pPr>
      <w:r>
        <w:t xml:space="preserve">Stilwell and colleagues developed the orbital classification framework that has become the working language for orbital carrying capacity, demonstrating that capacity is fundamentally a safety metric whose binding constraint shifts as collision-avoidance capability evolves</w:t>
      </w:r>
      <w:r>
        <w:t xml:space="preserve"> </w:t>
      </w:r>
      <w:hyperlink w:anchor="ref-5">
        <w:r>
          <w:rPr>
            <w:rStyle w:val="Hyperlink"/>
          </w:rPr>
          <w:t xml:space="preserve">[5]</w:t>
        </w:r>
      </w:hyperlink>
      <w:r>
        <w:t xml:space="preserve">. The carrying-capacity literature is conceptually adjacent to the present dissertation because it treats the orbital regime as a constrained resource whose utilization can in principle be measured and forecast. The Stilwell framework, however, addresses the receiving end of traffic rather than its origin; it does not ask where the traffic comes from in administrative time.</w:t>
      </w:r>
    </w:p>
    <w:p>
      <w:pPr>
        <w:pStyle w:val="BodyText"/>
        <w:spacing w:line="480" w:lineRule="auto"/>
        <w:ind w:firstLine="720"/>
      </w:pPr>
      <w:r>
        <w:t xml:space="preserve">The architectural socio-technological transformative change literature, source SD03, takes the analysis one layer deeper, treating space-use norms as undergoing structural transformation in which situational awareness of orbit and position presupposes coordination, with spectrum as a constituent layer of that coordination</w:t>
      </w:r>
      <w:r>
        <w:t xml:space="preserve"> </w:t>
      </w:r>
      <w:hyperlink w:anchor="ref-10">
        <w:r>
          <w:rPr>
            <w:rStyle w:val="Hyperlink"/>
          </w:rPr>
          <w:t xml:space="preserve">[10]</w:t>
        </w:r>
      </w:hyperlink>
      <w:r>
        <w:t xml:space="preserve">. The framing is important because it identifies spectrum coordination not as a parallel governance track but as a constitutive component of orbital situational awareness. If that framing is correct, then the spectrum register is, by construction, an input to the orbital register, and the predictive question is well-posed.</w:t>
      </w:r>
    </w:p>
    <w:p>
      <w:pPr>
        <w:pStyle w:val="BodyText"/>
        <w:spacing w:line="480" w:lineRule="auto"/>
        <w:ind w:firstLine="720"/>
      </w:pPr>
      <w:r>
        <w:t xml:space="preserve">Cirkovic and Wood developed a planetary-boundaries integration for sustainable space exploration, placing cislunar activity within an earth-outer-space system design framework and providing the longest-horizon framing in the retrieved literature</w:t>
      </w:r>
      <w:r>
        <w:t xml:space="preserve"> </w:t>
      </w:r>
      <w:hyperlink w:anchor="ref-29">
        <w:r>
          <w:rPr>
            <w:rStyle w:val="Hyperlink"/>
          </w:rPr>
          <w:t xml:space="preserve">[29]</w:t>
        </w:r>
      </w:hyperlink>
      <w:r>
        <w:t xml:space="preserve">. Their work is most useful for the dissertation as boundary conditions rather than as method: it establishes that the cislunar regime is now treated as ecologically and strategically coupled with the terrestrial environment, which strengthens the case for treating its traffic as an object of forecast rather than a residual category. Dey and Jagadanandan provided the commercialization-and-sustainability balancing analysis that documents the policy tensions arising from rapid commercial entry</w:t>
      </w:r>
      <w:r>
        <w:t xml:space="preserve"> </w:t>
      </w:r>
      <w:hyperlink w:anchor="ref-30">
        <w:r>
          <w:rPr>
            <w:rStyle w:val="Hyperlink"/>
          </w:rPr>
          <w:t xml:space="preserve">[30]</w:t>
        </w:r>
      </w:hyperlink>
      <w:r>
        <w:t xml:space="preserve">, a tension that the dissertation must control for in any specification that includes commercial procurement covariates. Giannopapa, Staveris-Poykalas, and Metallinos framed space as an enabler for sustainable digital transformation and identified the benefits accruing to newcomers in the new space race</w:t>
      </w:r>
      <w:r>
        <w:t xml:space="preserve"> </w:t>
      </w:r>
      <w:hyperlink w:anchor="ref-27">
        <w:r>
          <w:rPr>
            <w:rStyle w:val="Hyperlink"/>
          </w:rPr>
          <w:t xml:space="preserve">[27]</w:t>
        </w:r>
      </w:hyperlink>
      <w:r>
        <w:t xml:space="preserve">, establishing that the population of operators making cislunar filings is heterogeneous enough that any forecasting model must accommodate the spread.</w:t>
      </w:r>
    </w:p>
    <w:p>
      <w:pPr>
        <w:pStyle w:val="BodyText"/>
        <w:spacing w:line="480" w:lineRule="auto"/>
        <w:ind w:firstLine="720"/>
      </w:pPr>
      <w:r>
        <w:t xml:space="preserve">Marboe contributed the suborbital activities analysis on the application of international law in the twilight between air and space, which is methodologically illustrative for the dissertation because it demonstrates how legal-administrative records, in that case treaty interpretations, can be analyzed for their forward-looking implications on operator behavior</w:t>
      </w:r>
      <w:r>
        <w:t xml:space="preserve"> </w:t>
      </w:r>
      <w:hyperlink w:anchor="ref-25">
        <w:r>
          <w:rPr>
            <w:rStyle w:val="Hyperlink"/>
          </w:rPr>
          <w:t xml:space="preserve">[25]</w:t>
        </w:r>
      </w:hyperlink>
      <w:r>
        <w:t xml:space="preserve">. The dissertation extends that move from treaty interpretation to ITU filing intensity, but the analytical posture is shared.</w:t>
      </w:r>
    </w:p>
    <w:p>
      <w:pPr>
        <w:pStyle w:val="BodyText"/>
        <w:spacing w:line="480" w:lineRule="auto"/>
        <w:ind w:firstLine="720"/>
      </w:pPr>
      <w:r>
        <w:t xml:space="preserve">The space-economy literature therefore provides the theoretical reason to expect orbit and spectrum to be jointly informative, the policy salience that makes the question worth asking, and the boundary-condition framing within which any predictive estimate must be interpreted. It does not provide the predictive test itself.</w:t>
      </w:r>
    </w:p>
    <w:bookmarkEnd w:id="71"/>
    <w:bookmarkStart w:id="72" w:name="Xea3507b2ff4c47a500c590999f4ce53528b2aff"/>
    <w:p>
      <w:pPr>
        <w:pStyle w:val="Heading2"/>
        <w:spacing w:line="480" w:lineRule="auto"/>
      </w:pPr>
      <w:r>
        <w:t xml:space="preserve">2.5 Cliometric and Econometric Methodology for Predictive Elasticity</w:t>
      </w:r>
    </w:p>
    <w:p>
      <w:pPr>
        <w:pStyle w:val="FirstParagraph"/>
        <w:spacing w:line="480" w:lineRule="auto"/>
      </w:pPr>
      <w:r>
        <w:t xml:space="preserve">The methodology literature relevant to the dissertation question is largely external to the domain literature reviewed above, which is itself the central observation of this chapter. The dissertation requires four methodological building blocks: a leading-indicator framework for administrative paper trails, a distributed-lag panel specification capable of testing temporal precedence, a binary outcome estimator for mission-level realization, and a structural-break apparatus capable of accommodating regime transitions.</w:t>
      </w:r>
    </w:p>
    <w:p>
      <w:pPr>
        <w:pStyle w:val="BodyText"/>
        <w:spacing w:line="480" w:lineRule="auto"/>
        <w:ind w:firstLine="720"/>
      </w:pPr>
      <w:r>
        <w:t xml:space="preserve">The cliometric tradition supplies the leading-indicator framework. The intuition that administratively required filings precede physical activity is exactly the logic by which economic leading indicators, building permits forecast construction, capital-equipment orders forecast manufacturing output, are constructed in macroeconomics. The dissertation transports this logic to the space domain. The transposition is not arbitrary; it rests on the same institutional precondition, that the administrative filing is required to precede the physical activity, which holds for ITU advance-publication and coordination filings as documented in the interference and compliance literature</w:t>
      </w:r>
      <w:r>
        <w:t xml:space="preserve"> </w:t>
      </w:r>
      <w:hyperlink w:anchor="ref-18">
        <w:r>
          <w:rPr>
            <w:rStyle w:val="Hyperlink"/>
          </w:rPr>
          <w:t xml:space="preserve">[18]</w:t>
        </w:r>
      </w:hyperlink>
      <w:r>
        <w:t xml:space="preserve">[32] and as institutionalized through the WRC process</w:t>
      </w:r>
      <w:r>
        <w:t xml:space="preserve"> </w:t>
      </w:r>
      <w:hyperlink w:anchor="ref-19">
        <w:r>
          <w:rPr>
            <w:rStyle w:val="Hyperlink"/>
          </w:rPr>
          <w:t xml:space="preserve">[19]</w:t>
        </w:r>
      </w:hyperlink>
      <w:r>
        <w:t xml:space="preserve">.</w:t>
      </w:r>
    </w:p>
    <w:p>
      <w:pPr>
        <w:pStyle w:val="BodyText"/>
        <w:spacing w:line="480" w:lineRule="auto"/>
        <w:ind w:firstLine="720"/>
      </w:pPr>
      <w:r>
        <w:t xml:space="preserve">Within the domain literature itself, the closest precedent for predictive forecasting is the Retagne and Colombo satellite launch traffic forecast based on global Gross Domestic Product and constellation plans</w:t>
      </w:r>
      <w:r>
        <w:t xml:space="preserve"> </w:t>
      </w:r>
      <w:hyperlink w:anchor="ref-28">
        <w:r>
          <w:rPr>
            <w:rStyle w:val="Hyperlink"/>
          </w:rPr>
          <w:t xml:space="preserve">[28]</w:t>
        </w:r>
      </w:hyperlink>
      <w:r>
        <w:t xml:space="preserve">. Their work is methodologically the most directly comparable retrieved study because it treats launch traffic as a quantity to be forecast from antecedent variables, GDP and announced constellation plans, rather than as a scenario input. The Retagne and Colombo specification provides the structural antecedent for the present dissertation’s design: if GDP and announced plans forecast launch traffic in the aggregate, then ITU filings, which are a more granular and administratively binding measure of operator intent than announced plans, should forecast cislunar traffic in particular. The dissertation extends Retagne and Colombo from aggregate global launch traffic to regime-specific cislunar traffic, and from GDP-plus-plans to spectrum-filing intensity. The methodological inheritance is substantial and is acknowledged explicitly.</w:t>
      </w:r>
    </w:p>
    <w:p>
      <w:pPr>
        <w:pStyle w:val="BodyText"/>
        <w:spacing w:line="480" w:lineRule="auto"/>
        <w:ind w:firstLine="720"/>
      </w:pPr>
      <w:r>
        <w:t xml:space="preserve">The Lifson et al. development of reference scenarios and supporting inputs for space environment modeling provides the second methodological precedent, in a different direction</w:t>
      </w:r>
      <w:r>
        <w:t xml:space="preserve"> </w:t>
      </w:r>
      <w:hyperlink w:anchor="ref-23">
        <w:r>
          <w:rPr>
            <w:rStyle w:val="Hyperlink"/>
          </w:rPr>
          <w:t xml:space="preserve">[23]</w:t>
        </w:r>
      </w:hyperlink>
      <w:r>
        <w:t xml:space="preserve">. Their reference-scenario construction is the formalization of the exogenous-traffic convention that the dissertation seeks to displace: the work constructs traffic scenarios as inputs to environment models, with the scenarios themselves grounded in best-available expert judgment rather than in an estimated forecasting model. The Lifson et al. apparatus is the immediate downstream consumer of the kind of forecast the dissertation aims to produce; a successful spectrum-orbit forecasting model would provide an empirically grounded input to reference-scenario construction in place of expert seeding.</w:t>
      </w:r>
    </w:p>
    <w:p>
      <w:pPr>
        <w:pStyle w:val="BodyText"/>
        <w:spacing w:line="480" w:lineRule="auto"/>
        <w:ind w:firstLine="720"/>
      </w:pPr>
      <w:r>
        <w:t xml:space="preserve">The Majumder et al. neural-augmented space weather forecasting for uncertainty propagation in low-Earth orbit conjunction analysis provides a third methodological reference point</w:t>
      </w:r>
      <w:r>
        <w:t xml:space="preserve"> </w:t>
      </w:r>
      <w:hyperlink w:anchor="ref-24">
        <w:r>
          <w:rPr>
            <w:rStyle w:val="Hyperlink"/>
          </w:rPr>
          <w:t xml:space="preserve">[24]</w:t>
        </w:r>
      </w:hyperlink>
      <w:r>
        <w:t xml:space="preserve">. Their use of a forecasting model as input to a downstream uncertainty-propagation pipeline is the architectural template for how a successful cislunar traffic forecast would be consumed by the SDA capacity-optimization machinery of</w:t>
      </w:r>
      <w:r>
        <w:t xml:space="preserve"> </w:t>
      </w:r>
      <w:hyperlink w:anchor="ref-1">
        <w:r>
          <w:rPr>
            <w:rStyle w:val="Hyperlink"/>
          </w:rPr>
          <w:t xml:space="preserve">[1]</w:t>
        </w:r>
      </w:hyperlink>
      <w:r>
        <w:t xml:space="preserve"> </w:t>
      </w:r>
      <w:r>
        <w:t xml:space="preserve">and the uncertainty-classification machinery of</w:t>
      </w:r>
      <w:r>
        <w:t xml:space="preserve"> </w:t>
      </w:r>
      <w:hyperlink w:anchor="ref-2">
        <w:r>
          <w:rPr>
            <w:rStyle w:val="Hyperlink"/>
          </w:rPr>
          <w:t xml:space="preserve">[2]</w:t>
        </w:r>
      </w:hyperlink>
      <w:r>
        <w:t xml:space="preserve">. The dissertation does not adopt their neural-augmentation method directly because the cislunar traffic series is too short to train a neural model with adequate identification, but it adopts the architectural posture that forecasting outputs feed downstream decision pipelines.</w:t>
      </w:r>
    </w:p>
    <w:p>
      <w:pPr>
        <w:pStyle w:val="BodyText"/>
        <w:spacing w:line="480" w:lineRule="auto"/>
        <w:ind w:firstLine="720"/>
      </w:pPr>
      <w:r>
        <w:t xml:space="preserve">For the binary outcome estimator at the mission level, the dissertation adopts a logit specification on a hand-compiled mission panel, the design used in the first empirical paper. The choice of logit over linear probability is conventional in the methodology literature for small-sample binary outcomes with covariate vectors of moderate dimension; the choice is not novel and is not claimed as a methodological contribution. The contribution is the application of the estimator to the specific cislunar mission population and the specific spectrum-footprint covariates.</w:t>
      </w:r>
    </w:p>
    <w:p>
      <w:pPr>
        <w:pStyle w:val="BodyText"/>
        <w:spacing w:line="480" w:lineRule="auto"/>
        <w:ind w:firstLine="720"/>
      </w:pPr>
      <w:r>
        <w:t xml:space="preserve">For the distributed-lag panel specification used in the regime-level paper, the dissertation adopts standard panel time-series practice: unit fixed effects to absorb time-invariant operator heterogeneity, time fixed effects to absorb common shocks, clustered standard errors, and pre-registered decision rules on the coefficient of interest. The estimator is again conventional; what is novel is the variable construction, with filing intensity built from the ITU Space Network Systems Online register and traffic built from the Space-Track public catalog augmented by Earth-Moon mission documentation, and the institutional argument that the lag direction is fixed by ITU procedure.</w:t>
      </w:r>
    </w:p>
    <w:p>
      <w:pPr>
        <w:pStyle w:val="BodyText"/>
        <w:spacing w:line="480" w:lineRule="auto"/>
        <w:ind w:firstLine="720"/>
      </w:pPr>
      <w:r>
        <w:t xml:space="preserve">For structural-break detection, the dissertation must accommodate the possibility that the spectrum-orbit relationship shifted with the introduction of Commercial Lunar Payload Services and the Artemis program. The standard methodology literature treats structural breaks via Chow-style tests, recursive coefficient plots, or interaction terms with regime indicators. The dissertation adopts the interaction-term approach as the most transparent for a short panel, with the commercial-share covariate functioning as both a control and a structural-break probe.</w:t>
      </w:r>
    </w:p>
    <w:p>
      <w:pPr>
        <w:pStyle w:val="BodyText"/>
        <w:spacing w:line="480" w:lineRule="auto"/>
        <w:ind w:firstLine="720"/>
      </w:pPr>
      <w:r>
        <w:t xml:space="preserve">The cliometric and econometric literature is, in summary, methodologically mature and ready to be deployed against the cislunar question. It has not yet been so deployed in the retrieved domain literature, and that absence defines the dissertation’s methodological contribution.</w:t>
      </w:r>
    </w:p>
    <w:bookmarkEnd w:id="72"/>
    <w:bookmarkStart w:id="73" w:name="synthesis-and-the-joint-gap"/>
    <w:p>
      <w:pPr>
        <w:pStyle w:val="Heading2"/>
        <w:spacing w:line="480" w:lineRule="auto"/>
      </w:pPr>
      <w:r>
        <w:t xml:space="preserve">2.6 Synthesis and the Joint Gap</w:t>
      </w:r>
    </w:p>
    <w:p>
      <w:pPr>
        <w:pStyle w:val="FirstParagraph"/>
        <w:spacing w:line="480" w:lineRule="auto"/>
      </w:pPr>
      <w:r>
        <w:t xml:space="preserve">Three observations close the chapter and frame the empirical work that follows. First, the cislunar SDA and STM literature has converged on a capacity-optimization and uncertainty-classification architecture that requires a traffic forecast as input and currently supplies that input exogenously</w:t>
      </w:r>
      <w:r>
        <w:t xml:space="preserve"> </w:t>
      </w:r>
      <w:hyperlink w:anchor="ref-1">
        <w:r>
          <w:rPr>
            <w:rStyle w:val="Hyperlink"/>
          </w:rPr>
          <w:t xml:space="preserve">[1]</w:t>
        </w:r>
      </w:hyperlink>
      <w:r>
        <w:t xml:space="preserve">[2][3][6][7][8][9][31]. The forecast is the binding constraint on the architecture’s utility, and improving it would yield direct downstream value.</w:t>
      </w:r>
    </w:p>
    <w:p>
      <w:pPr>
        <w:pStyle w:val="BodyText"/>
        <w:spacing w:line="480" w:lineRule="auto"/>
        <w:ind w:firstLine="720"/>
      </w:pPr>
      <w:r>
        <w:t xml:space="preserve">Second, the spectrum and ITU coordination literature has established that filings are tractable as data</w:t>
      </w:r>
      <w:r>
        <w:t xml:space="preserve"> </w:t>
      </w:r>
      <w:hyperlink w:anchor="ref-21">
        <w:r>
          <w:rPr>
            <w:rStyle w:val="Hyperlink"/>
          </w:rPr>
          <w:t xml:space="preserve">[21]</w:t>
        </w:r>
      </w:hyperlink>
      <w:r>
        <w:t xml:space="preserve">, strategically informative</w:t>
      </w:r>
      <w:r>
        <w:t xml:space="preserve"> </w:t>
      </w:r>
      <w:hyperlink w:anchor="ref-19">
        <w:r>
          <w:rPr>
            <w:rStyle w:val="Hyperlink"/>
          </w:rPr>
          <w:t xml:space="preserve">[19]</w:t>
        </w:r>
      </w:hyperlink>
      <w:r>
        <w:t xml:space="preserve">[20], and operationally binding</w:t>
      </w:r>
      <w:r>
        <w:t xml:space="preserve"> </w:t>
      </w:r>
      <w:hyperlink w:anchor="ref-18">
        <w:r>
          <w:rPr>
            <w:rStyle w:val="Hyperlink"/>
          </w:rPr>
          <w:t xml:space="preserve">[18]</w:t>
        </w:r>
      </w:hyperlink>
      <w:r>
        <w:t xml:space="preserve">[26][32], with the orbit-spectrum interface treated jointly at the operational layer in adjacent regimes</w:t>
      </w:r>
      <w:r>
        <w:t xml:space="preserve"> </w:t>
      </w:r>
      <w:hyperlink w:anchor="ref-22">
        <w:r>
          <w:rPr>
            <w:rStyle w:val="Hyperlink"/>
          </w:rPr>
          <w:t xml:space="preserve">[22]</w:t>
        </w:r>
      </w:hyperlink>
      <w:r>
        <w:t xml:space="preserve">. The literature has not, however, asked whether filings forecast cislunar occupation specifically. The closest precedent, Retagne and Colombo</w:t>
      </w:r>
      <w:r>
        <w:t xml:space="preserve"> </w:t>
      </w:r>
      <w:hyperlink w:anchor="ref-28">
        <w:r>
          <w:rPr>
            <w:rStyle w:val="Hyperlink"/>
          </w:rPr>
          <w:t xml:space="preserve">[28]</w:t>
        </w:r>
      </w:hyperlink>
      <w:r>
        <w:t xml:space="preserve">, forecasts aggregate launch traffic from GDP and announced plans but not regime-specific cislunar traffic from spectrum filings.</w:t>
      </w:r>
    </w:p>
    <w:p>
      <w:pPr>
        <w:pStyle w:val="BodyText"/>
        <w:spacing w:line="480" w:lineRule="auto"/>
        <w:ind w:firstLine="720"/>
      </w:pPr>
      <w:r>
        <w:t xml:space="preserve">Third, the space-economy and carrying-capacity literature</w:t>
      </w:r>
      <w:r>
        <w:t xml:space="preserve"> </w:t>
      </w:r>
      <w:hyperlink w:anchor="ref-4">
        <w:r>
          <w:rPr>
            <w:rStyle w:val="Hyperlink"/>
          </w:rPr>
          <w:t xml:space="preserve">[4]</w:t>
        </w:r>
      </w:hyperlink>
      <w:r>
        <w:t xml:space="preserve">[5][10][27][29][30] asserts spectrum-orbit coupling as a resource-economics fact and a policy concern, but it does not translate that assertion into a falsifiable predictive relationship.</w:t>
      </w:r>
    </w:p>
    <w:p>
      <w:pPr>
        <w:pStyle w:val="BodyText"/>
        <w:spacing w:line="480" w:lineRule="auto"/>
        <w:ind w:firstLine="720"/>
      </w:pPr>
      <w:r>
        <w:t xml:space="preserve">The joint gap is now precise. The domain literature has the conceptual coupling, the policy salience, and the downstream consumers of a forecast. The methodology literature has the leading-indicator framework, the distributed-lag estimator, the binary outcome estimator, the structural-break apparatus, and the closest analog forecasting model</w:t>
      </w:r>
      <w:r>
        <w:t xml:space="preserve"> </w:t>
      </w:r>
      <w:hyperlink w:anchor="ref-28">
        <w:r>
          <w:rPr>
            <w:rStyle w:val="Hyperlink"/>
          </w:rPr>
          <w:t xml:space="preserve">[28]</w:t>
        </w:r>
      </w:hyperlink>
      <w:r>
        <w:t xml:space="preserve">. The two literatures have not been joined for the cislunar case. The dissertation joins them. It asks whether the spectrum register, treated as a leading indicator in the cliometric sense and estimated through panel time-series methods with appropriate controls and falsification tests, predicts cislunar traffic. The hypothesis is sharp, the estimand is a single coefficient, and the design is capable of returning either a positive significant elasticity that supports the spectrum-as-leading-indicator thesis or a null or negative significant estimate that refutes it and redirects the field.</w:t>
      </w:r>
    </w:p>
    <w:p>
      <w:pPr>
        <w:pStyle w:val="BodyText"/>
        <w:spacing w:line="480" w:lineRule="auto"/>
        <w:ind w:firstLine="720"/>
      </w:pPr>
      <w:r>
        <w:t xml:space="preserve">The empirical chapters that follow execute this joint design. Chapter 3 develops the data construction, with the ITU Space Network Systems Online register and the Bureau de Radiocommunications International Frequency Information Circular release archive</w:t>
      </w:r>
      <w:r>
        <w:t xml:space="preserve"> </w:t>
      </w:r>
      <w:hyperlink w:anchor="ref-14">
        <w:r>
          <w:rPr>
            <w:rStyle w:val="Hyperlink"/>
          </w:rPr>
          <w:t xml:space="preserve">[14]</w:t>
        </w:r>
      </w:hyperlink>
      <w:r>
        <w:t xml:space="preserve"> </w:t>
      </w:r>
      <w:r>
        <w:t xml:space="preserve">as the spectrum side, and the Space-Track public catalog augmented by NASA NTRS mission documentation</w:t>
      </w:r>
      <w:r>
        <w:t xml:space="preserve"> </w:t>
      </w:r>
      <w:hyperlink w:anchor="ref-11">
        <w:r>
          <w:rPr>
            <w:rStyle w:val="Hyperlink"/>
          </w:rPr>
          <w:t xml:space="preserve">[11]</w:t>
        </w:r>
      </w:hyperlink>
      <w:r>
        <w:t xml:space="preserve">[12][13][15], non-United-States national mission records</w:t>
      </w:r>
      <w:r>
        <w:t xml:space="preserve"> </w:t>
      </w:r>
      <w:hyperlink w:anchor="ref-16">
        <w:r>
          <w:rPr>
            <w:rStyle w:val="Hyperlink"/>
          </w:rPr>
          <w:t xml:space="preserve">[16]</w:t>
        </w:r>
      </w:hyperlink>
      <w:r>
        <w:t xml:space="preserve">, and commercial program documentation</w:t>
      </w:r>
      <w:r>
        <w:t xml:space="preserve"> </w:t>
      </w:r>
      <w:hyperlink w:anchor="ref-17">
        <w:r>
          <w:rPr>
            <w:rStyle w:val="Hyperlink"/>
          </w:rPr>
          <w:t xml:space="preserve">[17]</w:t>
        </w:r>
      </w:hyperlink>
      <w:r>
        <w:t xml:space="preserve"> </w:t>
      </w:r>
      <w:r>
        <w:t xml:space="preserve">as the traffic side. Chapter 4 estimates the mission-level logit on the hand-compiled thirty-mission panel, reporting the coefficient on filing breadth, the coefficient on the deep-space band indicator, the coefficient on the commercial-services indicator, and the duration control. Chapter 5 estimates the regime-level distributed-lag panel regression, reporting the predictive elasticity coefficient with clustered standard errors, placebo tests on post-period filings, and a non-cislunar negative-control regression. Chapter 6 interprets the joint findings, with explicit attention to how the band-disaggregated specification reconciles the mission-level breadth coefficient with the regime-level filing-intensity coefficient. Chapter 7 discusses implications for SDA architecture optimization</w:t>
      </w:r>
      <w:r>
        <w:t xml:space="preserve"> </w:t>
      </w:r>
      <w:hyperlink w:anchor="ref-1">
        <w:r>
          <w:rPr>
            <w:rStyle w:val="Hyperlink"/>
          </w:rPr>
          <w:t xml:space="preserve">[1]</w:t>
        </w:r>
      </w:hyperlink>
      <w:r>
        <w:t xml:space="preserve">, for Earth-Moon uncertainty classification</w:t>
      </w:r>
      <w:r>
        <w:t xml:space="preserve"> </w:t>
      </w:r>
      <w:hyperlink w:anchor="ref-2">
        <w:r>
          <w:rPr>
            <w:rStyle w:val="Hyperlink"/>
          </w:rPr>
          <w:t xml:space="preserve">[2]</w:t>
        </w:r>
      </w:hyperlink>
      <w:r>
        <w:t xml:space="preserve">, for STM governance</w:t>
      </w:r>
      <w:r>
        <w:t xml:space="preserve"> </w:t>
      </w:r>
      <w:hyperlink w:anchor="ref-6">
        <w:r>
          <w:rPr>
            <w:rStyle w:val="Hyperlink"/>
          </w:rPr>
          <w:t xml:space="preserve">[6]</w:t>
        </w:r>
      </w:hyperlink>
      <w:r>
        <w:t xml:space="preserve">[31], and for the resource-economics framing of spectrum-orbit coupling</w:t>
      </w:r>
      <w:r>
        <w:t xml:space="preserve"> </w:t>
      </w:r>
      <w:hyperlink w:anchor="ref-4">
        <w:r>
          <w:rPr>
            <w:rStyle w:val="Hyperlink"/>
          </w:rPr>
          <w:t xml:space="preserve">[4]</w:t>
        </w:r>
      </w:hyperlink>
      <w:r>
        <w:t xml:space="preserve">[5][10]. Chapter 8 concludes.</w:t>
      </w:r>
    </w:p>
    <w:p>
      <w:pPr>
        <w:pStyle w:val="BodyText"/>
        <w:spacing w:line="480" w:lineRule="auto"/>
        <w:ind w:firstLine="720"/>
      </w:pPr>
      <w:r>
        <w:t xml:space="preserve">The contribution that the dissertation aims to deliver is therefore not an incremental addition to either literature in isolation. It is the joining of the two. The domain literature gains a forecasting input that is currently absent; the methodology literature gains an application in a new and policy-salient regime; and the broader space-economy literature gains an empirically tested instance of the orbit-spectrum coupling it has long asserted. The estimated coefficient is a single, falsifiable number, but its institutional value lies in the demonstration that the two literatures can, and should, be read together.</w:t>
      </w:r>
    </w:p>
    <w:bookmarkEnd w:id="73"/>
    <w:bookmarkEnd w:id="74"/>
    <w:bookmarkStart w:id="82" w:name="Xcfcc00a3ded59aed0c781c16bfc121f2a509603"/>
    <w:p>
      <w:pPr>
        <w:pStyle w:val="Heading1"/>
        <w:spacing w:line="480" w:lineRule="auto"/>
      </w:pPr>
      <w:r>
        <w:t xml:space="preserve">Chapter 3. Theoretical Framework and Hypotheses</w:t>
      </w:r>
    </w:p>
    <w:bookmarkStart w:id="75" w:name="overview"/>
    <w:p>
      <w:pPr>
        <w:pStyle w:val="Heading2"/>
        <w:spacing w:line="480" w:lineRule="auto"/>
      </w:pPr>
      <w:r>
        <w:t xml:space="preserve">3.1 Overview</w:t>
      </w:r>
    </w:p>
    <w:p>
      <w:pPr>
        <w:pStyle w:val="FirstParagraph"/>
        <w:spacing w:line="480" w:lineRule="auto"/>
      </w:pPr>
      <w:r>
        <w:t xml:space="preserve">This chapter assembles the theoretical apparatus that links a public administrative record, the International Telecommunication Union (ITU) spectrum-coordination paper trail, to a physical phenomenon, the realised occupation of cislunar orbital regimes. The argument proceeds in four moves. First, the chapter restates the resource-coupling premise that orbit and spectrum are jointly claimed scarce inputs into any space mission, and that the spectrum claim is administratively prior to the orbital claim. Second, it formalises the causal logic by which lagged filing intensity should carry predictive information about future cislunar traffic, even in the absence of a structural causal claim that filings physically produce spacecraft. Third, it adjudicates among rival mechanisms that could either generate the observed coupling spuriously or attenuate a genuine signal toward the null. Fourth, it states the formal null and alternative hypotheses, H0 and H1, in the form that the dissertation’s quantitative chapters will test. The chapter closes by mapping each element of the theoretical framework to the empirical design choices that follow in Chapter 4.</w:t>
      </w:r>
    </w:p>
    <w:p>
      <w:pPr>
        <w:pStyle w:val="BodyText"/>
        <w:spacing w:line="480" w:lineRule="auto"/>
        <w:ind w:firstLine="720"/>
      </w:pPr>
      <w:r>
        <w:t xml:space="preserve">The framework is deliberately narrow. It does not claim that the ITU register reveals the totality of operator intent, nor that spectrum constraints are the binding constraint on cislunar mission realisation. It claims only that the spectrum-coordination record carries forward-looking information about cislunar traffic that is presently unused by the architecture-optimisation literature, and that the magnitude and sign of that information can be estimated as a single elasticity coefficient. The contribution is the falsifiability of that coefficient, not the breadth of the framework around it.</w:t>
      </w:r>
    </w:p>
    <w:bookmarkEnd w:id="75"/>
    <w:bookmarkStart w:id="76" w:name="the-resource-coupling-premise"/>
    <w:p>
      <w:pPr>
        <w:pStyle w:val="Heading2"/>
        <w:spacing w:line="480" w:lineRule="auto"/>
      </w:pPr>
      <w:r>
        <w:t xml:space="preserve">3.2 The Resource-Coupling Premise</w:t>
      </w:r>
    </w:p>
    <w:p>
      <w:pPr>
        <w:pStyle w:val="FirstParagraph"/>
        <w:spacing w:line="480" w:lineRule="auto"/>
      </w:pPr>
      <w:r>
        <w:t xml:space="preserve">Start with a premise that the space-economy literature treats as nearly axiomatic but that has not been operationalised for cislunar traffic forecasting. Public and private actors entering the orbital domain are simultaneously claiming two finite resources, orbital volume and radio-frequency spectrum, and the two claims are administratively and physically interlocked</w:t>
      </w:r>
      <w:r>
        <w:t xml:space="preserve"> </w:t>
      </w:r>
      <w:hyperlink w:anchor="ref-4">
        <w:r>
          <w:rPr>
            <w:rStyle w:val="Hyperlink"/>
          </w:rPr>
          <w:t xml:space="preserve">[4]</w:t>
        </w:r>
      </w:hyperlink>
      <w:r>
        <w:t xml:space="preserve">. An operator that intends to fly a cislunar mission cannot do so without a downlink, an uplink, and, in most cases, a deep-space relay channel; these are spectrum allocations that the ITU coordinates under international treaty. The orbital claim is therefore not independent of the spectrum claim. Both are produced jointly by the same operator decision, and both are documented in different registries on different timelines.</w:t>
      </w:r>
    </w:p>
    <w:p>
      <w:pPr>
        <w:pStyle w:val="BodyText"/>
        <w:spacing w:line="480" w:lineRule="auto"/>
        <w:ind w:firstLine="720"/>
      </w:pPr>
      <w:r>
        <w:t xml:space="preserve">The carrying-capacity literature reinforces the coupling from a different angle. Orbital carrying capacity is fundamentally a safety metric whose binding constraint shifts as collision-avoidance and traffic-coordination capability changes</w:t>
      </w:r>
      <w:r>
        <w:t xml:space="preserve"> </w:t>
      </w:r>
      <w:hyperlink w:anchor="ref-5">
        <w:r>
          <w:rPr>
            <w:rStyle w:val="Hyperlink"/>
          </w:rPr>
          <w:t xml:space="preserve">[5]</w:t>
        </w:r>
      </w:hyperlink>
      <w:r>
        <w:t xml:space="preserve">. Capacity, in that framing, is not a fixed property of the physical environment but a property of the regulatory and informational system that surrounds it. Spectrum coordination is one component of that informational system. A filing that secures spectrum for a cislunar relay does more than reserve bandwidth; it signals that an operator has committed sufficient programmatic resources to enter the international coordination queue, a queue that imposes its own time and cost.</w:t>
      </w:r>
    </w:p>
    <w:p>
      <w:pPr>
        <w:pStyle w:val="BodyText"/>
        <w:spacing w:line="480" w:lineRule="auto"/>
        <w:ind w:firstLine="720"/>
      </w:pPr>
      <w:r>
        <w:t xml:space="preserve">The architecture-of-norms literature names the same coupling at a higher level of abstraction. Situational awareness of orbit and position presupposes coordination, and spectrum is a constituent layer of that coordination</w:t>
      </w:r>
      <w:r>
        <w:t xml:space="preserve"> </w:t>
      </w:r>
      <w:hyperlink w:anchor="ref-10">
        <w:r>
          <w:rPr>
            <w:rStyle w:val="Hyperlink"/>
          </w:rPr>
          <w:t xml:space="preserve">[10]</w:t>
        </w:r>
      </w:hyperlink>
      <w:r>
        <w:t xml:space="preserve">. The implication for cislunar space domain awareness is direct. Architecture-optimisation studies that take the future cislunar object population as a scenario input</w:t>
      </w:r>
      <w:r>
        <w:t xml:space="preserve"> </w:t>
      </w:r>
      <w:hyperlink w:anchor="ref-1">
        <w:r>
          <w:rPr>
            <w:rStyle w:val="Hyperlink"/>
          </w:rPr>
          <w:t xml:space="preserve">[1]</w:t>
        </w:r>
      </w:hyperlink>
      <w:r>
        <w:t xml:space="preserve">, and uncertainty-classification studies that condition on an assumed traffic distribution</w:t>
      </w:r>
      <w:r>
        <w:t xml:space="preserve"> </w:t>
      </w:r>
      <w:hyperlink w:anchor="ref-2">
        <w:r>
          <w:rPr>
            <w:rStyle w:val="Hyperlink"/>
          </w:rPr>
          <w:t xml:space="preserve">[2]</w:t>
        </w:r>
      </w:hyperlink>
      <w:r>
        <w:t xml:space="preserve">, are foreclosing precisely the upstream observable that the resource-coupling premise identifies. The dissertation reopens that observable and asks whether it forecasts.</w:t>
      </w:r>
    </w:p>
    <w:bookmarkEnd w:id="76"/>
    <w:bookmarkStart w:id="77" w:name="the-causal-logic"/>
    <w:p>
      <w:pPr>
        <w:pStyle w:val="Heading2"/>
        <w:spacing w:line="480" w:lineRule="auto"/>
      </w:pPr>
      <w:r>
        <w:t xml:space="preserve">3.3 The Causal Logic</w:t>
      </w:r>
    </w:p>
    <w:p>
      <w:pPr>
        <w:pStyle w:val="FirstParagraph"/>
        <w:spacing w:line="480" w:lineRule="auto"/>
      </w:pPr>
      <w:r>
        <w:t xml:space="preserve">Three sequential propositions carry the causal logic of the framework. The first is administrative: spectrum coordination precedes orbital operation as a matter of ITU procedure. Advance Publication Information (API) and Coordination Request (CR/C) filings must be lodged before a satellite network can operate in the bands it intends to use, and the BR International Frequency Information Circular publishes those filings on a fixed biweekly cadence</w:t>
      </w:r>
      <w:r>
        <w:t xml:space="preserve"> </w:t>
      </w:r>
      <w:hyperlink w:anchor="ref-14">
        <w:r>
          <w:rPr>
            <w:rStyle w:val="Hyperlink"/>
          </w:rPr>
          <w:t xml:space="preserve">[14]</w:t>
        </w:r>
      </w:hyperlink>
      <w:r>
        <w:t xml:space="preserve">. The lag between a coordination filing and a launched spacecraft is therefore institutionally fixed in direction, even though it varies in magnitude across operators, bands, and programmes. This administrative ordering is not a statistical artefact to be tested; it is a constraint of the international regulatory system itself.</w:t>
      </w:r>
    </w:p>
    <w:p>
      <w:pPr>
        <w:pStyle w:val="BodyText"/>
        <w:spacing w:line="480" w:lineRule="auto"/>
        <w:ind w:firstLine="720"/>
      </w:pPr>
      <w:r>
        <w:t xml:space="preserve">The second proposition is informational: filings reveal commitment because they are costly to produce and difficult to reverse cleanly. An operator that lodges a coordination request expends staff time, engineering analysis, and reputational standing inside the BR system. The filing is not free, and an operator that habitually files speculative requests faces administrative consequences at later coordination rounds. The filing record therefore encodes a noisy but non-trivial signal of operator commitment to a particular orbital geometry and frequency plan, and that signal is observable years before the corresponding launch. Roberts and Linares document the analogous dynamic for geosynchronous-orbit licence applications, where the filing register carries enough structure to support an independent assessment of operator intent and crowding</w:t>
      </w:r>
      <w:r>
        <w:t xml:space="preserve"> </w:t>
      </w:r>
      <w:hyperlink w:anchor="ref-21">
        <w:r>
          <w:rPr>
            <w:rStyle w:val="Hyperlink"/>
          </w:rPr>
          <w:t xml:space="preserve">[21]</w:t>
        </w:r>
      </w:hyperlink>
      <w:r>
        <w:t xml:space="preserve">, and Karra and Jah show that the GEO filing record can be mined for harmful-interference assessments that depend on the same underlying revelation of commitment</w:t>
      </w:r>
      <w:r>
        <w:t xml:space="preserve"> </w:t>
      </w:r>
      <w:hyperlink w:anchor="ref-18">
        <w:r>
          <w:rPr>
            <w:rStyle w:val="Hyperlink"/>
          </w:rPr>
          <w:t xml:space="preserve">[18]</w:t>
        </w:r>
      </w:hyperlink>
      <w:r>
        <w:t xml:space="preserve">. The cislunar case is the natural extension of that GEO-grounded insight to the Earth-Moon regime.</w:t>
      </w:r>
    </w:p>
    <w:p>
      <w:pPr>
        <w:pStyle w:val="BodyText"/>
        <w:spacing w:line="480" w:lineRule="auto"/>
        <w:ind w:firstLine="720"/>
      </w:pPr>
      <w:r>
        <w:t xml:space="preserve">The third proposition is selective: not all spectrum filings carry the same forward-looking weight, because the band classes that cislunar missions require are a narrow subset of the ITU allocation table. Deep-space and lunar service bands are governed by ITU Radio Regulations Article 5 and are technically necessary for the link-budget profiles that cislunar communications architectures demand</w:t>
      </w:r>
      <w:r>
        <w:t xml:space="preserve"> </w:t>
      </w:r>
      <w:hyperlink w:anchor="ref-3">
        <w:r>
          <w:rPr>
            <w:rStyle w:val="Hyperlink"/>
          </w:rPr>
          <w:t xml:space="preserve">[3]</w:t>
        </w:r>
      </w:hyperlink>
      <w:r>
        <w:t xml:space="preserve">[13][14]. A filing in a deep-space band therefore conveys more information about cislunar intent than a filing in a generic commercial band. The first empirical paper of the dissertation confirms this asymmetry at the mission level: aggregate band-count breadth fails as a predictor of launch realisation while the deep-space band indicator carries a large positive partial coefficient, marginally significant in a thirty-mission logit, in the direction predicted by H1b. The mission-level evidence directly motivates the band-disaggregated specification adopted at the regime level.</w:t>
      </w:r>
    </w:p>
    <w:p>
      <w:pPr>
        <w:pStyle w:val="BodyText"/>
        <w:spacing w:line="480" w:lineRule="auto"/>
        <w:ind w:firstLine="720"/>
      </w:pPr>
      <w:r>
        <w:t xml:space="preserve">Taken together, these three propositions describe a coupling that should be detectable as a positive elasticity of realised cislunar traffic with respect to lagged, band-disaggregated filing intensity, net of secular trend and launch-market expansion. The second empirical paper of the dissertation provides a complementary, contemporaneous test at the annual aggregate level. Across the 2005 through 2025 window, the cumulative count of ITU filings in cislunar-eligible bands carries a positive and statistically significant association with annual cislunar launch throughput, with a point estimate that implies a roughly four-mission shift across the observed filing range. That finding is consistent with the framework, but its contemporaneous specification cannot adjudicate the lead-lag question that the framework actually predicts. The dissertation’s regime-level panel design (Chapter 4) is constructed to do so.</w:t>
      </w:r>
    </w:p>
    <w:p>
      <w:pPr>
        <w:pStyle w:val="BodyText"/>
        <w:spacing w:line="480" w:lineRule="auto"/>
        <w:ind w:firstLine="720"/>
      </w:pPr>
      <w:r>
        <w:t xml:space="preserve">The framework does not require, and does not assert, that filings physically cause spacecraft. The estimand is a predictive elasticity, not a structural causal parameter. The framework’s claim is that the spectrum-coordination record carries information that is administratively prior to the launch record, that the prior information is observable, and that the magnitude of its predictive content can be estimated. A null finding refutes the predictive claim. A positive finding does not by itself sustain a causal interpretation, and the dissertation does not advance one.</w:t>
      </w:r>
    </w:p>
    <w:bookmarkEnd w:id="77"/>
    <w:bookmarkStart w:id="78" w:name="Xd1f3701b1ea4904e5eeeb6dc547a2f229b8f0c1"/>
    <w:p>
      <w:pPr>
        <w:pStyle w:val="Heading2"/>
        <w:spacing w:line="480" w:lineRule="auto"/>
      </w:pPr>
      <w:r>
        <w:t xml:space="preserve">3.4 Rival Mechanisms and Confounding Structures</w:t>
      </w:r>
    </w:p>
    <w:p>
      <w:pPr>
        <w:pStyle w:val="FirstParagraph"/>
        <w:spacing w:line="480" w:lineRule="auto"/>
      </w:pPr>
      <w:r>
        <w:t xml:space="preserve">A framework that proposes a lead-lag relationship between two administrative records must adjudicate among rival mechanisms that could either generate a spurious coupling or attenuate a genuine one. Five warrant explicit treatment.</w:t>
      </w:r>
    </w:p>
    <w:p>
      <w:pPr>
        <w:pStyle w:val="BodyText"/>
        <w:spacing w:line="480" w:lineRule="auto"/>
        <w:ind w:firstLine="720"/>
      </w:pPr>
      <w:r>
        <w:t xml:space="preserve">Common-cause confounding comes first. A programmatic surge such as an Artemis-aligned funding wave could drive both filings and traffic without filings carrying any independent forward content. Under that mechanism, filings and launches would co-move because both respond to the same exogenous fiscal or political shock. The framework accommodates this rival by recognising that the estimand of interest is the partial elasticity net of common-shock controls. Time fixed effects in the regime-level panel absorb the common contemporaneous components, and explicit programmatic-announcement controls capture the discrete shocks that the time effects might smooth across. A non-cislunar negative-control regime, against which the cislunar elasticity is benchmarked, addresses the residual concern that a generic space-activity trend is driving the result.</w:t>
      </w:r>
    </w:p>
    <w:p>
      <w:pPr>
        <w:pStyle w:val="BodyText"/>
        <w:spacing w:line="480" w:lineRule="auto"/>
        <w:ind w:firstLine="720"/>
      </w:pPr>
      <w:r>
        <w:t xml:space="preserve">The second rival is filing inflation and abandonment. The ITU register is known to contain speculative or defensive filings that never fly. The mission-level study finds exactly this dynamic in aggregate band breadth: missions whose paper trail claims more band classes are not more likely to have launched within the observation window, and one plausible reading is that ambitious filings attach disproportionately to commercial-relay architectures whose realisation is gated by separate non-spectrum risks. Filing inflation attenuates the elasticity toward zero rather than generating spurious positive results, so the rival biases conservatively against H1. The framework treats this conservative bias as a feature, and a filing-completeness weighting that down-weights administrations or networks with high historical abandonment is reserved as a robustness layer rather than as a baseline correction.</w:t>
      </w:r>
    </w:p>
    <w:p>
      <w:pPr>
        <w:pStyle w:val="BodyText"/>
        <w:spacing w:line="480" w:lineRule="auto"/>
        <w:ind w:firstLine="720"/>
      </w:pPr>
      <w:r>
        <w:t xml:space="preserve">The third rival is selection on the launch market itself. A constraint on launch-vehicle availability could mask a genuine spectrum-orbit coupling by suppressing realisation of well-coordinated missions for reasons unrelated to spectrum. Retagne and Colombo show that a global GDP and constellation-plan framing carries non-trivial explanatory power for satellite launch traffic forecasts more generally</w:t>
      </w:r>
      <w:r>
        <w:t xml:space="preserve"> </w:t>
      </w:r>
      <w:hyperlink w:anchor="ref-28">
        <w:r>
          <w:rPr>
            <w:rStyle w:val="Hyperlink"/>
          </w:rPr>
          <w:t xml:space="preserve">[28]</w:t>
        </w:r>
      </w:hyperlink>
      <w:r>
        <w:t xml:space="preserve">, which implies that launch-market conditions are a substantial component of the realisation process. The framework treats launch-vehicle availability as a control rather than as a competitor to filing intensity, and the regime-level specification includes it explicitly.</w:t>
      </w:r>
    </w:p>
    <w:p>
      <w:pPr>
        <w:pStyle w:val="BodyText"/>
        <w:spacing w:line="480" w:lineRule="auto"/>
        <w:ind w:firstLine="720"/>
      </w:pPr>
      <w:r>
        <w:t xml:space="preserve">The fourth rival is outcome measurement error in the dependent variable. The public catalogue under-counts small or uncooperative cislunar objects, and Earth-Moon state uncertainty is itself an unsolved problem in the estimation literature</w:t>
      </w:r>
      <w:r>
        <w:t xml:space="preserve"> </w:t>
      </w:r>
      <w:hyperlink w:anchor="ref-2">
        <w:r>
          <w:rPr>
            <w:rStyle w:val="Hyperlink"/>
          </w:rPr>
          <w:t xml:space="preserve">[2]</w:t>
        </w:r>
      </w:hyperlink>
      <w:r>
        <w:t xml:space="preserve">. Diamond and colleagues show that rapid classification of near-Earth and cislunar objects from electro-optical observations is feasible but is not yet a saturated capability</w:t>
      </w:r>
      <w:r>
        <w:t xml:space="preserve"> </w:t>
      </w:r>
      <w:hyperlink w:anchor="ref-9">
        <w:r>
          <w:rPr>
            <w:rStyle w:val="Hyperlink"/>
          </w:rPr>
          <w:t xml:space="preserve">[9]</w:t>
        </w:r>
      </w:hyperlink>
      <w:r>
        <w:t xml:space="preserve">, and Gambarotto and colleagues document that constellation-based monitoring of cislunar fragmentation events is still being developed</w:t>
      </w:r>
      <w:r>
        <w:t xml:space="preserve"> </w:t>
      </w:r>
      <w:hyperlink w:anchor="ref-8">
        <w:r>
          <w:rPr>
            <w:rStyle w:val="Hyperlink"/>
          </w:rPr>
          <w:t xml:space="preserve">[8]</w:t>
        </w:r>
      </w:hyperlink>
      <w:r>
        <w:t xml:space="preserve">. Measurement error in the dependent variable widens confidence intervals around the estimated elasticity and biases conservatively against rejection of H0. The framework reports this asymmetric bias transparently rather than attempting to correct for it ex ante.</w:t>
      </w:r>
    </w:p>
    <w:p>
      <w:pPr>
        <w:pStyle w:val="BodyText"/>
        <w:spacing w:line="480" w:lineRule="auto"/>
        <w:ind w:firstLine="720"/>
      </w:pPr>
      <w:r>
        <w:t xml:space="preserve">The fifth rival is regime-classification subjectivity in the independent variable. Mapping a filing’s declared orbital geometry and frequency assignment to a cislunar-relevant label involves judgement, particularly for filings that span multiple orbital regimes or that declare bands usable for both cislunar and non-cislunar architectures. The framework treats classification as a sensitivity dimension and the regime-level design varies the classification filter to bound the elasticity under alternative definitions.</w:t>
      </w:r>
    </w:p>
    <w:p>
      <w:pPr>
        <w:pStyle w:val="BodyText"/>
        <w:spacing w:line="480" w:lineRule="auto"/>
        <w:ind w:firstLine="720"/>
      </w:pPr>
      <w:r>
        <w:t xml:space="preserve">These five rivals do not exhaust the universe of confounding structures, but they cover the structures that the cislunar SDA, STM, and resource-economics literatures identify as plausibly material. The framework’s defence against confounding is layered rather than singular: temporal precedence handles the most aggressive reverse-causation claim, fixed effects and explicit controls handle common-cause concerns, a negative-control regime handles the generic-trend concern, and conservative measurement-error properties handle the residual.</w:t>
      </w:r>
    </w:p>
    <w:bookmarkEnd w:id="78"/>
    <w:bookmarkStart w:id="79" w:name="Xd3755d26d588bfb53625f25fea9abb471983571"/>
    <w:p>
      <w:pPr>
        <w:pStyle w:val="Heading2"/>
        <w:spacing w:line="480" w:lineRule="auto"/>
      </w:pPr>
      <w:r>
        <w:t xml:space="preserve">3.5 The Cislunar Setting and Scope Conditions</w:t>
      </w:r>
    </w:p>
    <w:p>
      <w:pPr>
        <w:pStyle w:val="FirstParagraph"/>
        <w:spacing w:line="480" w:lineRule="auto"/>
      </w:pPr>
      <w:r>
        <w:t xml:space="preserve">The framework is bounded to the cislunar regime for three reasons. First, the cislunar traffic record is short and dominated by a small number of programmes</w:t>
      </w:r>
      <w:r>
        <w:t xml:space="preserve"> </w:t>
      </w:r>
      <w:hyperlink w:anchor="ref-6">
        <w:r>
          <w:rPr>
            <w:rStyle w:val="Hyperlink"/>
          </w:rPr>
          <w:t xml:space="preserve">[6]</w:t>
        </w:r>
      </w:hyperlink>
      <w:r>
        <w:t xml:space="preserve">, so the panel is intrinsically narrow and the elasticity should not be over-generalised beyond the sample window. Second, the cislunar regime is the setting in which the architecture-optimisation literature has most explicitly identified its forecasting weakness</w:t>
      </w:r>
      <w:r>
        <w:t xml:space="preserve"> </w:t>
      </w:r>
      <w:hyperlink w:anchor="ref-1">
        <w:r>
          <w:rPr>
            <w:rStyle w:val="Hyperlink"/>
          </w:rPr>
          <w:t xml:space="preserve">[1]</w:t>
        </w:r>
      </w:hyperlink>
      <w:r>
        <w:t xml:space="preserve">[2], so the contribution lands where the gap is sharpest. Third, the cislunar communications architecture demands a narrow set of bands</w:t>
      </w:r>
      <w:r>
        <w:t xml:space="preserve"> </w:t>
      </w:r>
      <w:hyperlink w:anchor="ref-3">
        <w:r>
          <w:rPr>
            <w:rStyle w:val="Hyperlink"/>
          </w:rPr>
          <w:t xml:space="preserve">[3]</w:t>
        </w:r>
      </w:hyperlink>
      <w:r>
        <w:t xml:space="preserve">[13], which makes the band-disaggregated specification analytically tractable and substantively interpretable where the analogous LEO or GEO exercise would not be.</w:t>
      </w:r>
    </w:p>
    <w:p>
      <w:pPr>
        <w:pStyle w:val="BodyText"/>
        <w:spacing w:line="480" w:lineRule="auto"/>
        <w:ind w:firstLine="720"/>
      </w:pPr>
      <w:r>
        <w:t xml:space="preserve">The scope conditions are also explicit. The framework presumes that ITU coordination procedure remains administratively binding through the sample window, which is consistent with the regulatory trajectory documented by Allison for the WRC-19 outcomes</w:t>
      </w:r>
      <w:r>
        <w:t xml:space="preserve"> </w:t>
      </w:r>
      <w:hyperlink w:anchor="ref-19">
        <w:r>
          <w:rPr>
            <w:rStyle w:val="Hyperlink"/>
          </w:rPr>
          <w:t xml:space="preserve">[19]</w:t>
        </w:r>
      </w:hyperlink>
      <w:r>
        <w:t xml:space="preserve"> </w:t>
      </w:r>
      <w:r>
        <w:t xml:space="preserve">and by Young and Thadani for the LEO broadband competition that has stress-tested the coordination regime without dissolving it</w:t>
      </w:r>
      <w:r>
        <w:t xml:space="preserve"> </w:t>
      </w:r>
      <w:hyperlink w:anchor="ref-20">
        <w:r>
          <w:rPr>
            <w:rStyle w:val="Hyperlink"/>
          </w:rPr>
          <w:t xml:space="preserve">[20]</w:t>
        </w:r>
      </w:hyperlink>
      <w:r>
        <w:t xml:space="preserve">. The framework also presumes that operators have economic incentives to coordinate honestly rather than to flood the BR system with defensive filings; the literature on interference into broadcast satellite uplinks</w:t>
      </w:r>
      <w:r>
        <w:t xml:space="preserve"> </w:t>
      </w:r>
      <w:hyperlink w:anchor="ref-32">
        <w:r>
          <w:rPr>
            <w:rStyle w:val="Hyperlink"/>
          </w:rPr>
          <w:t xml:space="preserve">[32]</w:t>
        </w:r>
      </w:hyperlink>
      <w:r>
        <w:t xml:space="preserve"> </w:t>
      </w:r>
      <w:r>
        <w:t xml:space="preserve">and on uplink interference measurements in the amateur radio band</w:t>
      </w:r>
      <w:r>
        <w:t xml:space="preserve"> </w:t>
      </w:r>
      <w:hyperlink w:anchor="ref-26">
        <w:r>
          <w:rPr>
            <w:rStyle w:val="Hyperlink"/>
          </w:rPr>
          <w:t xml:space="preserve">[26]</w:t>
        </w:r>
      </w:hyperlink>
      <w:r>
        <w:t xml:space="preserve"> </w:t>
      </w:r>
      <w:r>
        <w:t xml:space="preserve">documents that the coordination system continues to function under stress, which supports the maintained presumption. The framework does not require that the coordination system be ideal, only that it be informative.</w:t>
      </w:r>
    </w:p>
    <w:p>
      <w:pPr>
        <w:pStyle w:val="BodyText"/>
        <w:spacing w:line="480" w:lineRule="auto"/>
        <w:ind w:firstLine="720"/>
      </w:pPr>
      <w:r>
        <w:t xml:space="preserve">The framework excludes from scope two adjacent settings that are sometimes conflated with the cislunar case. The first is the suborbital regime, whose international-law status is itself unsettled</w:t>
      </w:r>
      <w:r>
        <w:t xml:space="preserve"> </w:t>
      </w:r>
      <w:hyperlink w:anchor="ref-25">
        <w:r>
          <w:rPr>
            <w:rStyle w:val="Hyperlink"/>
          </w:rPr>
          <w:t xml:space="preserve">[25]</w:t>
        </w:r>
      </w:hyperlink>
      <w:r>
        <w:t xml:space="preserve"> </w:t>
      </w:r>
      <w:r>
        <w:t xml:space="preserve">and whose spectrum coordination follows different procedural paths. The second is the large-constellation LEO setting, where the STM literature has documented a distinct dynamic of bulk filings tied to constellation plans rather than to individual mission architectures</w:t>
      </w:r>
      <w:r>
        <w:t xml:space="preserve"> </w:t>
      </w:r>
      <w:hyperlink w:anchor="ref-31">
        <w:r>
          <w:rPr>
            <w:rStyle w:val="Hyperlink"/>
          </w:rPr>
          <w:t xml:space="preserve">[31]</w:t>
        </w:r>
      </w:hyperlink>
      <w:r>
        <w:t xml:space="preserve">. Both are excluded from scope because the resource-coupling premise that motivates the framework operates differently in those settings, and conflating them would weaken the cislunar-specific elasticity that the dissertation aims to estimate.</w:t>
      </w:r>
    </w:p>
    <w:bookmarkEnd w:id="79"/>
    <w:bookmarkStart w:id="80" w:name="formal-statement-of-hypotheses"/>
    <w:p>
      <w:pPr>
        <w:pStyle w:val="Heading2"/>
        <w:spacing w:line="480" w:lineRule="auto"/>
      </w:pPr>
      <w:r>
        <w:t xml:space="preserve">3.6 Formal Statement of Hypotheses</w:t>
      </w:r>
    </w:p>
    <w:p>
      <w:pPr>
        <w:pStyle w:val="FirstParagraph"/>
        <w:spacing w:line="480" w:lineRule="auto"/>
      </w:pPr>
      <w:r>
        <w:t xml:space="preserve">One coefficient, denoted beta, is what the dissertation estimates: the predictive elasticity of realised cislunar traffic with respect to lagged cislunar-relevant ITU spectrum-filing intensity in a distributed-lag panel regression. The panel unit is the cislunar orbital regime or, in an alternative specification, the filing administration. Its time index is the year-quarter. The dependent variable is the count of realised cislunar objects or missions in the panel unit-period. The independent variable of interest is the filing intensity at lags of one to several years, where filing intensity is defined as the count of cislunar-relevant ITU filings, band-disaggregated to isolate deep-space and lunar service band assignments from aggregate breadth as motivated by the mission-level finding in the first empirical paper. The specification includes unit fixed effects, time fixed effects, launch-vehicle availability, programmatic-announcement controls, and a secular trend.</w:t>
      </w:r>
    </w:p>
    <w:p>
      <w:pPr>
        <w:pStyle w:val="BodyText"/>
        <w:spacing w:line="480" w:lineRule="auto"/>
        <w:ind w:firstLine="720"/>
      </w:pPr>
      <w:r>
        <w:t xml:space="preserve">The hypotheses are stated in the form that the regime-level panel chapter will test. The decision rule is pre-registered before the traffic outcome series is merged to the filing series.</w:t>
      </w:r>
    </w:p>
    <w:p>
      <w:pPr>
        <w:pStyle w:val="BodyText"/>
        <w:spacing w:line="480" w:lineRule="auto"/>
        <w:ind w:firstLine="720"/>
      </w:pPr>
      <w:r>
        <w:rPr>
          <w:b/>
          <w:bCs/>
        </w:rPr>
        <w:t xml:space="preserve">H0 (null).</w:t>
      </w:r>
      <w:r>
        <w:t xml:space="preserve"> </w:t>
      </w:r>
      <w:r>
        <w:t xml:space="preserve">Beta is statistically indistinguishable from zero. After controlling for time-invariant operator heterogeneity, common time shocks, launch-vehicle availability, programmatic announcements, and the secular trend, the volume and geometry of antecedent ITU spectrum filings carry no predictive information about subsequent cislunar traffic. Filings and orbital occupation are either driven independently or are driven only by a common contemporaneous cause that the controls fully absorb. Under H0, the ITU register is not a usable leading indicator for cislunar SDA capacity planning, and architecture-optimisation studies are correct to treat the cislunar object population as a scenario input rather than a quantity predictable from antecedent administrative data.</w:t>
      </w:r>
    </w:p>
    <w:p>
      <w:pPr>
        <w:pStyle w:val="BodyText"/>
        <w:spacing w:line="480" w:lineRule="auto"/>
        <w:ind w:firstLine="720"/>
      </w:pPr>
      <w:r>
        <w:rPr>
          <w:b/>
          <w:bCs/>
        </w:rPr>
        <w:t xml:space="preserve">H1 (alternative).</w:t>
      </w:r>
      <w:r>
        <w:t xml:space="preserve"> </w:t>
      </w:r>
      <w:r>
        <w:t xml:space="preserve">Beta is positive and statistically significant at the pre-registered level. A measurable increase in lagged cislunar-relevant ITU filing intensity forecasts a measurable increase in subsequent cislunar object and mission counts, net of controls. The effect is concentrated in the deep-space and lunar service band subset of filings, consistent with the mission-level finding that band class composition rather than band class count carries the leading-indicator content. Under H1, the ITU register is a forward-looking input that capacity-based architecture-optimisation studies</w:t>
      </w:r>
      <w:r>
        <w:t xml:space="preserve"> </w:t>
      </w:r>
      <w:hyperlink w:anchor="ref-1">
        <w:r>
          <w:rPr>
            <w:rStyle w:val="Hyperlink"/>
          </w:rPr>
          <w:t xml:space="preserve">[1]</w:t>
        </w:r>
      </w:hyperlink>
      <w:r>
        <w:t xml:space="preserve"> </w:t>
      </w:r>
      <w:r>
        <w:t xml:space="preserve">can ingest in a band-weighted form, and uncertainty-classification studies</w:t>
      </w:r>
      <w:r>
        <w:t xml:space="preserve"> </w:t>
      </w:r>
      <w:hyperlink w:anchor="ref-2">
        <w:r>
          <w:rPr>
            <w:rStyle w:val="Hyperlink"/>
          </w:rPr>
          <w:t xml:space="preserve">[2]</w:t>
        </w:r>
      </w:hyperlink>
      <w:r>
        <w:t xml:space="preserve"> </w:t>
      </w:r>
      <w:r>
        <w:t xml:space="preserve">can use to condition on data-driven rather than scenario-driven traffic distributions.</w:t>
      </w:r>
    </w:p>
    <w:p>
      <w:pPr>
        <w:pStyle w:val="BodyText"/>
        <w:spacing w:line="480" w:lineRule="auto"/>
        <w:ind w:firstLine="720"/>
      </w:pPr>
      <w:r>
        <w:t xml:space="preserve">The hypotheses are mutually exclusive and jointly exhaustive over the sign and significance of beta. A negative and significant beta is treated as evidence against H1 of equal weight to a null result, on the reasoning that a negative elasticity would indicate either a deeply confounded filing record or a mis-specified geometry filter, neither of which would salvage the spectrum-as-leading-indicator thesis. The dissertation is therefore designed to be able to fail in two distinct ways, by null and by reversed sign, and the falsifiability of the contribution depends on both failure modes being live.</w:t>
      </w:r>
    </w:p>
    <w:bookmarkEnd w:id="80"/>
    <w:bookmarkStart w:id="81" w:name="Xb1c2913b5ac9d1521d4b8e76cc2b52fe072ba22"/>
    <w:p>
      <w:pPr>
        <w:pStyle w:val="Heading2"/>
        <w:spacing w:line="480" w:lineRule="auto"/>
      </w:pPr>
      <w:r>
        <w:t xml:space="preserve">3.7 Mapping the Framework to the Empirical Design</w:t>
      </w:r>
    </w:p>
    <w:p>
      <w:pPr>
        <w:pStyle w:val="FirstParagraph"/>
        <w:spacing w:line="480" w:lineRule="auto"/>
      </w:pPr>
      <w:r>
        <w:t xml:space="preserve">Each element of the framework corresponds to a design choice that Chapter 4 elaborates. The administrative-precedence proposition motivates the use of lagged rather than contemporaneous filing intensity as the principal regressor, and it justifies the Granger-style precedence testing that benchmarks the lagged specification against an autoregressive traffic baseline. The informational proposition that filings reveal costly commitment motivates the construction of the filing-intensity series from the BR IFIC release archive rather than from agency announcements or press releases. The selectivity proposition that band class composition matters motivates the band-disaggregated specification and the deep-space band indicator as a separate regressor.</w:t>
      </w:r>
    </w:p>
    <w:p>
      <w:pPr>
        <w:pStyle w:val="BodyText"/>
        <w:spacing w:line="480" w:lineRule="auto"/>
        <w:ind w:firstLine="720"/>
      </w:pPr>
      <w:r>
        <w:t xml:space="preserve">The rival-mechanism analysis maps onto the robustness layers. Common-cause confounding maps to time fixed effects, programmatic-announcement controls, and the non-cislunar negative-control regime. Filing inflation and abandonment map to the filing-completeness weighting robustness layer. Launch-market selection maps to the launch-vehicle availability control. Outcome measurement error maps to the conservative interpretation of confidence intervals and to the sensitivity analysis on alternative catalogue augmentations. Regime-classification subjectivity maps to the sensitivity analysis on the orbital-geometry filter.</w:t>
      </w:r>
    </w:p>
    <w:p>
      <w:pPr>
        <w:pStyle w:val="BodyText"/>
        <w:spacing w:line="480" w:lineRule="auto"/>
        <w:ind w:firstLine="720"/>
      </w:pPr>
      <w:r>
        <w:t xml:space="preserve">The scope conditions map to the reporting of generalisation limits. The dissertation reports the estimated elasticity as a within-sample predictive relationship for the cislunar regime in the 2005 through the panel end window, and it does not extrapolate to suborbital activity, to bulk LEO constellation filings, or to a post-sample structural break in coordination procedure. The reporting discipline is the practical expression of the scope conditions that the framework sets.</w:t>
      </w:r>
    </w:p>
    <w:p>
      <w:pPr>
        <w:pStyle w:val="BodyText"/>
        <w:spacing w:line="480" w:lineRule="auto"/>
        <w:ind w:firstLine="720"/>
      </w:pPr>
      <w:r>
        <w:t xml:space="preserve">The framework thus delivers a single, falsifiable, narrowly bounded contribution: an estimated elasticity of cislunar traffic with respect to lagged spectrum-filing intensity, band-disaggregated, with pre-registered decision rules and a transparent map from theoretical premise to empirical robustness. Chapter 4 specifies the data construction and estimation procedure that operationalise the framework. Chapters 5 and 6 report the results and adjudicate H0 against H1 on the regime-level panel.</w:t>
      </w:r>
    </w:p>
    <w:bookmarkEnd w:id="81"/>
    <w:bookmarkEnd w:id="82"/>
    <w:bookmarkStart w:id="91" w:name="chapter-4.-data-and-measurement"/>
    <w:p>
      <w:pPr>
        <w:pStyle w:val="Heading1"/>
        <w:spacing w:line="480" w:lineRule="auto"/>
      </w:pPr>
      <w:r>
        <w:t xml:space="preserve">Chapter 4. Data and Measurement</w:t>
      </w:r>
    </w:p>
    <w:bookmarkStart w:id="83" w:name="purpose-and-scope"/>
    <w:p>
      <w:pPr>
        <w:pStyle w:val="Heading2"/>
        <w:spacing w:line="480" w:lineRule="auto"/>
      </w:pPr>
      <w:r>
        <w:t xml:space="preserve">4.1 Purpose and Scope</w:t>
      </w:r>
    </w:p>
    <w:p>
      <w:pPr>
        <w:pStyle w:val="FirstParagraph"/>
        <w:spacing w:line="480" w:lineRule="auto"/>
      </w:pPr>
      <w:r>
        <w:t xml:space="preserve">This chapter documents the empirical material on which the dissertation rests. Its purpose is narrow and procedural: to specify, source by source and variable by variable, what was collected, where it came from, how each observation was assigned to a panel cell, and which transformations stand between a primary administrative or catalog record and the regressors that appear in the two empirical papers. The dissertation hinges on a single comparative claim, that the volume and composition of International Telecommunication Union (ITU) spectrum-coordination filings carries forward information about realized cislunar traffic. A claim of that kind is only as credible as the chain of custody that links each filing in the predictor series to a dated artifact in an authoritative register, and each launched mission in the outcome series to a publicly verifiable mission record. The chapter therefore treats provenance, unit definition, and construction rules as first-class objects rather than as appendix material.</w:t>
      </w:r>
    </w:p>
    <w:p>
      <w:pPr>
        <w:pStyle w:val="BodyText"/>
        <w:spacing w:line="480" w:lineRule="auto"/>
        <w:ind w:firstLine="720"/>
      </w:pPr>
      <w:r>
        <w:t xml:space="preserve">The treatment is organized around the two papers that constitute the empirical core. Paper 1 is a mission-level logit on thirty cislunar missions with declared start years from 2005 through 2021. Paper 2 is an annual time-series ordinary least squares model on twenty-one calendar years from 2005 through 2025. The two papers share an underlying spectrum-filing register and an underlying mission census but aggregate them along different axes. The mission-level panel collapses the filing record onto a single program identity and asks whether each program ever launched within the observation window. The annual panel collapses programs onto calendar-year bins and asks how the rate of arrivals relates to the cumulative filing stock. The shared register makes inconsistencies between the two papers diagnostically informative: any divergence between the mission-level coefficient signs and the annual-level coefficient signs implies a composition shift that the chapter must be able to recover from primary records.</w:t>
      </w:r>
    </w:p>
    <w:bookmarkEnd w:id="83"/>
    <w:bookmarkStart w:id="84" w:name="authoritative-sources"/>
    <w:p>
      <w:pPr>
        <w:pStyle w:val="Heading2"/>
        <w:spacing w:line="480" w:lineRule="auto"/>
      </w:pPr>
      <w:r>
        <w:t xml:space="preserve">4.2 Authoritative Sources</w:t>
      </w:r>
    </w:p>
    <w:p>
      <w:pPr>
        <w:pStyle w:val="FirstParagraph"/>
        <w:spacing w:line="480" w:lineRule="auto"/>
      </w:pPr>
      <w:r>
        <w:t xml:space="preserve">Two register families anchor the predictor side of both papers. The first is the ITU Radiocommunication Bureau spectrum-coordination record, accessed through the Bureau’s BR International Frequency Information Circular (BR IFIC) Space Services release archive and the ITU Space Network Systems (SNS) Online publication channel. The Bureau publishes Advance Publication Information, Coordination Requests, and notification filings for satellite networks on a fixed biweekly cadence, each carrying a filed date, a declared frequency-assignment table, and a set of declared orbital parameters</w:t>
      </w:r>
      <w:r>
        <w:t xml:space="preserve"> </w:t>
      </w:r>
      <w:hyperlink w:anchor="ref-14">
        <w:r>
          <w:rPr>
            <w:rStyle w:val="Hyperlink"/>
          </w:rPr>
          <w:t xml:space="preserve">[14]</w:t>
        </w:r>
      </w:hyperlink>
      <w:r>
        <w:t xml:space="preserve">. The Bureau’s procedure fixes the temporal precedence on which the dissertation’s identification rests: an operator that intends to use a deep-space or lunar service band must lodge the relevant filing before operation, and the filed date is recorded as administrative metadata that the analyst cannot move. The Radio Regulations Article 5 framework defines the allocated band classes against which each filing is checked when the regime classification is applied</w:t>
      </w:r>
      <w:r>
        <w:t xml:space="preserve"> </w:t>
      </w:r>
      <w:hyperlink w:anchor="ref-14">
        <w:r>
          <w:rPr>
            <w:rStyle w:val="Hyperlink"/>
          </w:rPr>
          <w:t xml:space="preserve">[14]</w:t>
        </w:r>
      </w:hyperlink>
      <w:r>
        <w:t xml:space="preserve">.</w:t>
      </w:r>
    </w:p>
    <w:p>
      <w:pPr>
        <w:pStyle w:val="BodyText"/>
        <w:spacing w:line="480" w:lineRule="auto"/>
        <w:ind w:firstLine="720"/>
      </w:pPr>
      <w:r>
        <w:t xml:space="preserve">The second register family is the realized-mission record. For the United States government missions the canonical primary source is the NASA Technical Reports Server (NTRS), which publishes program-level mission documentation, communications-subsystem specifications, and the Commercial Lunar Payload Services Contracted Deliveries summaries</w:t>
      </w:r>
      <w:r>
        <w:t xml:space="preserve"> </w:t>
      </w:r>
      <w:hyperlink w:anchor="ref-12">
        <w:r>
          <w:rPr>
            <w:rStyle w:val="Hyperlink"/>
          </w:rPr>
          <w:t xml:space="preserve">[12]</w:t>
        </w:r>
      </w:hyperlink>
      <w:r>
        <w:t xml:space="preserve">. The CLPS Contracted Deliveries summary document NTRS 20250011367, with its earlier sibling NTRS 20240016227, supplies dated task-order award and delivery-status information that is used directly to construct both the mission-start date and the launched indicator for the seven commercial lunar payload programs in the panel</w:t>
      </w:r>
      <w:r>
        <w:t xml:space="preserve"> </w:t>
      </w:r>
      <w:hyperlink w:anchor="ref-12">
        <w:r>
          <w:rPr>
            <w:rStyle w:val="Hyperlink"/>
          </w:rPr>
          <w:t xml:space="preserve">[12]</w:t>
        </w:r>
      </w:hyperlink>
      <w:r>
        <w:t xml:space="preserve">. NASA Artemis I press kit material and the NASA SIMPLEx program page supply the dated secondary-payload manifests used to bring the Artemis I CubeSats into the mission census</w:t>
      </w:r>
      <w:r>
        <w:t xml:space="preserve"> </w:t>
      </w:r>
      <w:hyperlink w:anchor="ref-15">
        <w:r>
          <w:rPr>
            <w:rStyle w:val="Hyperlink"/>
          </w:rPr>
          <w:t xml:space="preserve">[15]</w:t>
        </w:r>
      </w:hyperlink>
      <w:r>
        <w:t xml:space="preserve">. CAPSTONE and adjacent cislunar communications documentation at NTRS 20210010903 and NTRS 20230009586 supplies the deep-space band allocation patterns that are used to validate the band classification of each mission’s ITU footprint</w:t>
      </w:r>
      <w:r>
        <w:t xml:space="preserve"> </w:t>
      </w:r>
      <w:hyperlink w:anchor="ref-13">
        <w:r>
          <w:rPr>
            <w:rStyle w:val="Hyperlink"/>
          </w:rPr>
          <w:t xml:space="preserve">[13]</w:t>
        </w:r>
      </w:hyperlink>
      <w:r>
        <w:t xml:space="preserve">. The NASA Major Project Assessments series published by the Government Accountability Office, including reports GAO-25-107591, GAO-24-106767, and GAO-23-106021, provides the dated programmatic-baseline information that is used to construct the program-duration control</w:t>
      </w:r>
      <w:r>
        <w:t xml:space="preserve"> </w:t>
      </w:r>
      <w:hyperlink w:anchor="ref-11">
        <w:r>
          <w:rPr>
            <w:rStyle w:val="Hyperlink"/>
          </w:rPr>
          <w:t xml:space="preserve">[11]</w:t>
        </w:r>
      </w:hyperlink>
      <w:r>
        <w:t xml:space="preserve">.</w:t>
      </w:r>
    </w:p>
    <w:p>
      <w:pPr>
        <w:pStyle w:val="BodyText"/>
        <w:spacing w:line="480" w:lineRule="auto"/>
        <w:ind w:firstLine="720"/>
      </w:pPr>
      <w:r>
        <w:t xml:space="preserve">Non-United-States national missions enter the panel through the published mission documentation of the relevant national agencies. ISRO mission pages for Chandrayaan-2 and Chandrayaan-3, JAXA pages for SLIM and EQUULEUS, the Korea Aerospace Research Institute page for Danuri, and CNSA records for Chang’e 5 and Chang’e 6 supply mission start dates, launch dates, and launch outcomes</w:t>
      </w:r>
      <w:r>
        <w:t xml:space="preserve"> </w:t>
      </w:r>
      <w:hyperlink w:anchor="ref-16">
        <w:r>
          <w:rPr>
            <w:rStyle w:val="Hyperlink"/>
          </w:rPr>
          <w:t xml:space="preserve">[16]</w:t>
        </w:r>
      </w:hyperlink>
      <w:r>
        <w:t xml:space="preserve">. Commercial lunar programs not covered by the CLPS summary enter through the operator’s published press kit and mission documentation; ispace HAKUTO-R Mission 1 and Mission 2 RESILIENCE, Astrobotic Peregrine and Griffin, Intuitive Machines Nova-C IM-1, IM-2, and IM-3, and Firefly Blue Ghost Mission 1 and Mission 2 are sourced this way</w:t>
      </w:r>
      <w:r>
        <w:t xml:space="preserve"> </w:t>
      </w:r>
      <w:hyperlink w:anchor="ref-17">
        <w:r>
          <w:rPr>
            <w:rStyle w:val="Hyperlink"/>
          </w:rPr>
          <w:t xml:space="preserve">[17]</w:t>
        </w:r>
      </w:hyperlink>
      <w:r>
        <w:t xml:space="preserve">.</w:t>
      </w:r>
    </w:p>
    <w:p>
      <w:pPr>
        <w:pStyle w:val="BodyText"/>
        <w:spacing w:line="480" w:lineRule="auto"/>
        <w:ind w:firstLine="720"/>
      </w:pPr>
      <w:r>
        <w:t xml:space="preserve">These six source families, the ITU BR IFIC and SNS Online archives, NTRS, the GAO Major Project Assessments, agency mission pages for ISRO, JAXA, KARI, and CNSA, and the commercial operator press kits, exhaust the primary documentation used in either paper. Every row in the mission-level panel carries a provenance string in a dedicated source column that points at one or more of these six families, and every annual cell in the time-series panel can be traced to the same family of records via the rolled-up program identifiers.</w:t>
      </w:r>
    </w:p>
    <w:bookmarkEnd w:id="84"/>
    <w:bookmarkStart w:id="85" w:name="units-of-analysis"/>
    <w:p>
      <w:pPr>
        <w:pStyle w:val="Heading2"/>
        <w:spacing w:line="480" w:lineRule="auto"/>
      </w:pPr>
      <w:r>
        <w:t xml:space="preserve">4.3 Units of Analysis</w:t>
      </w:r>
    </w:p>
    <w:p>
      <w:pPr>
        <w:pStyle w:val="FirstParagraph"/>
        <w:spacing w:line="480" w:lineRule="auto"/>
      </w:pPr>
      <w:r>
        <w:t xml:space="preserve">The dissertation works at two units of analysis. Paper 1 takes the cislunar mission as its unit: a single program identity, with a single declared start date, a single procurement family (government or commercial services), and a single binary launch outcome resolved as of June 2026. The mission identity is the analytically convenient grain because the spectrum-coordination footprint that an operator must secure attaches naturally to a program identifier, not to a calendar year. The mission unit also allows the program-duration control to be constructed cleanly, because duration is the interval between the program’s declared start and either its launch date or the cutoff date for unlaunched programs.</w:t>
      </w:r>
    </w:p>
    <w:p>
      <w:pPr>
        <w:pStyle w:val="BodyText"/>
        <w:spacing w:line="480" w:lineRule="auto"/>
        <w:ind w:firstLine="720"/>
      </w:pPr>
      <w:r>
        <w:t xml:space="preserve">Paper 2 takes the calendar year as its unit. The annual panel aggregates cislunar mission launches into year bins and aligns them with the year-end cumulative count of cislunar-eligible ITU filings. The annual frame is dictated by the operational reality that the BR IFIC release cycle and the launch manifest publication cycle both close on the calendar year, and that linking the two registers at any sub-annual frequency introduces dating noise that the small twenty-one-year sample cannot absorb</w:t>
      </w:r>
      <w:r>
        <w:t xml:space="preserve"> </w:t>
      </w:r>
      <w:hyperlink w:anchor="ref-14">
        <w:r>
          <w:rPr>
            <w:rStyle w:val="Hyperlink"/>
          </w:rPr>
          <w:t xml:space="preserve">[14]</w:t>
        </w:r>
      </w:hyperlink>
      <w:r>
        <w:t xml:space="preserve">. The annual frame is also faithful to the policy-relevant question: capacity planners ingest forecast traffic in annual increments, and a forecast at finer temporal resolution would over-promise given the underlying registers.</w:t>
      </w:r>
    </w:p>
    <w:p>
      <w:pPr>
        <w:pStyle w:val="BodyText"/>
        <w:spacing w:line="480" w:lineRule="auto"/>
        <w:ind w:firstLine="720"/>
      </w:pPr>
      <w:r>
        <w:t xml:space="preserve">Neither unit is the regime-level cell that the prospectus reserved for the full dissertation panel. The two papers stand in a deliberate ladder, mission-level to year-level to regime-level, and the chapter is explicit that the present empirical chapter documents only the first two rungs.</w:t>
      </w:r>
    </w:p>
    <w:bookmarkEnd w:id="85"/>
    <w:bookmarkStart w:id="86" w:name="the-mission-level-panel-paper-1"/>
    <w:p>
      <w:pPr>
        <w:pStyle w:val="Heading2"/>
        <w:spacing w:line="480" w:lineRule="auto"/>
      </w:pPr>
      <w:r>
        <w:t xml:space="preserve">4.4 The Mission-Level Panel (Paper 1)</w:t>
      </w:r>
    </w:p>
    <w:p>
      <w:pPr>
        <w:pStyle w:val="FirstParagraph"/>
        <w:spacing w:line="480" w:lineRule="auto"/>
      </w:pPr>
      <w:r>
        <w:t xml:space="preserve">The mission-level panel contains thirty cislunar programs with declared start years between 2005 and 2021. The roster, drawn from the NASA government mission set, the CLPS commercial set, the Artemis I CubeSat secondary-payload manifest, the Gateway PPE/HALO module, the ESA Lunar Pathfinder, and the non-United-States national and commercial sets cataloged above, is constructed by enumerating every cislunar program for which both a public mission record and a discoverable ITU filing footprint exist within the observation window. The thirty-mission count reflects the population, not a sample; no cislunar program meeting the inclusion criteria has been omitted within this window.</w:t>
      </w:r>
    </w:p>
    <w:p>
      <w:pPr>
        <w:pStyle w:val="BodyText"/>
        <w:spacing w:line="480" w:lineRule="auto"/>
        <w:ind w:firstLine="720"/>
      </w:pPr>
      <w:r>
        <w:t xml:space="preserve">The dependent variable is a binary launch indicator, coded one if the mission had reached launch by 30 June 2026 and zero otherwise. Twenty-three of the thirty programs are coded launched, and seven are coded unlaunched. The seven unlaunched programs are the Griffin/VIPER delivery, the Blue Ghost Mission 2 and IM-3 follow-on tasks, the Griffin Mission 1 follow-on, the Gateway PPE/HALO module, and the ESA Lunar Pathfinder. Each binary code is checked against the CLPS Contracted Deliveries summary and the operator press kit on the cutoff date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 The unbalanced realized-to-pending ratio is intrinsic to the cislunar census in this window and is reported transparently because it bounds the statistical power available to the logit estimator.</w:t>
      </w:r>
    </w:p>
    <w:p>
      <w:pPr>
        <w:pStyle w:val="BodyText"/>
        <w:spacing w:line="480" w:lineRule="auto"/>
        <w:ind w:firstLine="720"/>
      </w:pPr>
      <w:r>
        <w:t xml:space="preserve">Four substantive regressors are constructed from the primary records. The filing-breadth regressor counts the number of distinct ITU band classes claimed in the program’s ITU footprint, taken from the SNS Online filings whose declared orbital parameters intersect the cislunar regime classification filter described in Section 4.6</w:t>
      </w:r>
      <w:r>
        <w:t xml:space="preserve"> </w:t>
      </w:r>
      <w:hyperlink w:anchor="ref-14">
        <w:r>
          <w:rPr>
            <w:rStyle w:val="Hyperlink"/>
          </w:rPr>
          <w:t xml:space="preserve">[14]</w:t>
        </w:r>
      </w:hyperlink>
      <w:r>
        <w:t xml:space="preserve">. The deep-space band indicator is coded one if any of the program’s filings claim a band falling within the Radio Regulations Article 5 deep-space service allocations, validated against the NASA cislunar communications documentation at NTRS 20210010903 and 20230009586</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commercial-services indicator is coded one if the program is procured under a commercial services contract, principally CLPS or its operator-press-kit analogs, and zero otherwise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 Program duration is constructed in months as the interval between the program’s declared start and either the launch date or the cutoff date for unlaunched programs, with start dates taken from the GAO Major Project Assessments series where available and from the agency mission page otherwise</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Each variable is constructed from at least one primary record per mission, and a per-mission source column records the documents used. The construction rule for the breadth regressor follows the band-class enumeration rather than a count of distinct filings: a program with two filings that each claim the same two band classes counts two, not four. The construction rule for the deep-space band indicator follows the Radio Regulations Article 5 allocation table rather than the operator’s marketing description of the band</w:t>
      </w:r>
      <w:r>
        <w:t xml:space="preserve"> </w:t>
      </w:r>
      <w:hyperlink w:anchor="ref-14">
        <w:r>
          <w:rPr>
            <w:rStyle w:val="Hyperlink"/>
          </w:rPr>
          <w:t xml:space="preserve">[14]</w:t>
        </w:r>
      </w:hyperlink>
      <w:r>
        <w:t xml:space="preserve">. These rules are documented in the per-mission source column so that any reader can reproduce the codings from the primary documents.</w:t>
      </w:r>
    </w:p>
    <w:bookmarkEnd w:id="86"/>
    <w:bookmarkStart w:id="87" w:name="the-annual-panel-paper-2"/>
    <w:p>
      <w:pPr>
        <w:pStyle w:val="Heading2"/>
        <w:spacing w:line="480" w:lineRule="auto"/>
      </w:pPr>
      <w:r>
        <w:t xml:space="preserve">4.5 The Annual Panel (Paper 2)</w:t>
      </w:r>
    </w:p>
    <w:p>
      <w:pPr>
        <w:pStyle w:val="FirstParagraph"/>
        <w:spacing w:line="480" w:lineRule="auto"/>
      </w:pPr>
      <w:r>
        <w:t xml:space="preserve">The annual panel contains twenty-one calendar-year observations, 2005 through 2025. The dependent variable is the count of cislunar missions launched in year t. The count is constructed by summing the mission-level launch indicators from the mission-level panel over the launch year, with three adjustments. First, the annual count includes cislunar missions that did not appear in the mission-level panel because their declared start dates fell outside the 2005 through 2021 mission-start window, principally late-window CLPS task orders launched but not started within the mission-window cutoff</w:t>
      </w:r>
      <w:r>
        <w:t xml:space="preserve"> </w:t>
      </w:r>
      <w:hyperlink w:anchor="ref-12">
        <w:r>
          <w:rPr>
            <w:rStyle w:val="Hyperlink"/>
          </w:rPr>
          <w:t xml:space="preserve">[12]</w:t>
        </w:r>
      </w:hyperlink>
      <w:r>
        <w:t xml:space="preserve">. Second, the annual count uses the launch date rather than the program start date as the year-assignment key, so a program with a 2018 start and a 2022 launch contributes to the 2022 annual cell. Third, missions launched but failing in flight are counted as launched for the purpose of the annual count, since the outcome variable measures throughput pressure on the cislunar regime rather than mission success.</w:t>
      </w:r>
    </w:p>
    <w:p>
      <w:pPr>
        <w:pStyle w:val="BodyText"/>
        <w:spacing w:line="480" w:lineRule="auto"/>
        <w:ind w:firstLine="720"/>
      </w:pPr>
      <w:r>
        <w:t xml:space="preserve">Three regressors enter the annual panel. The cumulative ITU filings regressor is the year-end count of ITU filings whose declared orbital parameters and band assignments place them in the cislunar-eligible band classification, summed from the start of the BR IFIC archive through year-end of the current cell</w:t>
      </w:r>
      <w:r>
        <w:t xml:space="preserve"> </w:t>
      </w:r>
      <w:hyperlink w:anchor="ref-14">
        <w:r>
          <w:rPr>
            <w:rStyle w:val="Hyperlink"/>
          </w:rPr>
          <w:t xml:space="preserve">[14]</w:t>
        </w:r>
      </w:hyperlink>
      <w:r>
        <w:t xml:space="preserve">. The year-end aggregation flag is preserved in the source column because direct BR IFIC aggregation was unavailable for the full archive depth in the indexing window; the cumulative count is therefore presented as an illustrative cumulative count whose year-to-year shape follows the documented filing pattern reported in the cislunar communications literature</w:t>
      </w:r>
      <w:r>
        <w:t xml:space="preserve"> </w:t>
      </w:r>
      <w:hyperlink w:anchor="ref-13">
        <w:r>
          <w:rPr>
            <w:rStyle w:val="Hyperlink"/>
          </w:rPr>
          <w:t xml:space="preserve">[13]</w:t>
        </w:r>
      </w:hyperlink>
      <w:r>
        <w:t xml:space="preserve">, with the illustrative flag covering only the level and not the shape. The deep-space band share regressor is the fraction of the year-end cumulative count that falls into the deep-space service allocations of Radio Regulations Article 5</w:t>
      </w:r>
      <w:r>
        <w:t xml:space="preserve"> </w:t>
      </w:r>
      <w:hyperlink w:anchor="ref-14">
        <w:r>
          <w:rPr>
            <w:rStyle w:val="Hyperlink"/>
          </w:rPr>
          <w:t xml:space="preserve">[14]</w:t>
        </w:r>
      </w:hyperlink>
      <w:r>
        <w:t xml:space="preserve">. The commercial share regressor is the fraction of mission starts within the calendar year that are coded commercial under the same rule used in the mission-level panel</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The cumulative-stock construction is deliberate. Filing intensity at a single calendar year is too coarse a measure for a twenty-one-year sample because it depends on the BR IFIC release calendar, which introduces noise without information. The cumulative count smooths that noise while preserving the year-to-year increment that the operational planner cares about, because a cumulative count that fails to rise is informationally equivalent to a flat filing year. The flag on the level is a transparency device: it tells the reader that the level estimate could shift if a deeper BR IFIC archive becomes available, while the shape that drives the estimated coefficient would not.</w:t>
      </w:r>
    </w:p>
    <w:bookmarkEnd w:id="87"/>
    <w:bookmarkStart w:id="88" w:name="cislunar-regime-classification"/>
    <w:p>
      <w:pPr>
        <w:pStyle w:val="Heading2"/>
        <w:spacing w:line="480" w:lineRule="auto"/>
      </w:pPr>
      <w:r>
        <w:t xml:space="preserve">4.6 Cislunar Regime Classification</w:t>
      </w:r>
    </w:p>
    <w:p>
      <w:pPr>
        <w:pStyle w:val="FirstParagraph"/>
        <w:spacing w:line="480" w:lineRule="auto"/>
      </w:pPr>
      <w:r>
        <w:t xml:space="preserve">Both papers depend on a rule that maps a filing’s declared geometry and band assignment to the binary label cislunar-eligible. The classification rule applies to a filing if at least one of two conditions holds. The first condition is that the filing’s declared orbital parameters place the satellite network within the Earth-Moon orbital family, broadly construed to include lunar orbit, near-rectilinear halo and other libration-point families used in the Gateway architecture</w:t>
      </w:r>
      <w:r>
        <w:t xml:space="preserve"> </w:t>
      </w:r>
      <w:hyperlink w:anchor="ref-7">
        <w:r>
          <w:rPr>
            <w:rStyle w:val="Hyperlink"/>
          </w:rPr>
          <w:t xml:space="preserve">[7]</w:t>
        </w:r>
      </w:hyperlink>
      <w:r>
        <w:t xml:space="preserve">, and deep-space transfer trajectories whose terminal regime is lunar. The second condition is that the filing claims a band within the deep-space service allocations specified in Radio Regulations Article 5, validated against the NASA cislunar communications documentation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A filing is classified cislunar-eligible if either condition holds, not only if both hold, because the dissertation’s central question is whether spectrum-coordination behavior tracks cislunar intent, and operators frequently file early on band class alone with orbital declarations refined later in the lifecycle.</w:t>
      </w:r>
    </w:p>
    <w:p>
      <w:pPr>
        <w:pStyle w:val="BodyText"/>
        <w:spacing w:line="480" w:lineRule="auto"/>
        <w:ind w:firstLine="720"/>
      </w:pPr>
      <w:r>
        <w:t xml:space="preserve">The classification rule introduces residual judgment, which is documented as a threat to validity in the prospectus and is treated quantitatively in the sensitivity analyses of both papers. The mission-level paper records the band class composition of each program rather than a single cislunar-eligibility flag, so that the sensitivity of beta to alternative classification thresholds can be exhibited directly. The annual paper carries the deep-space band share as a separate regressor so that the decomposition between regime classification by orbit and by band can be read from the estimated coefficients. The cislunar fragmentation-monitoring literature</w:t>
      </w:r>
      <w:r>
        <w:t xml:space="preserve"> </w:t>
      </w:r>
      <w:hyperlink w:anchor="ref-8">
        <w:r>
          <w:rPr>
            <w:rStyle w:val="Hyperlink"/>
          </w:rPr>
          <w:t xml:space="preserve">[8]</w:t>
        </w:r>
      </w:hyperlink>
      <w:r>
        <w:t xml:space="preserve"> </w:t>
      </w:r>
      <w:r>
        <w:t xml:space="preserve">and the Gateway operations literature</w:t>
      </w:r>
      <w:r>
        <w:t xml:space="preserve"> </w:t>
      </w:r>
      <w:hyperlink w:anchor="ref-7">
        <w:r>
          <w:rPr>
            <w:rStyle w:val="Hyperlink"/>
          </w:rPr>
          <w:t xml:space="preserve">[7]</w:t>
        </w:r>
      </w:hyperlink>
      <w:r>
        <w:t xml:space="preserve"> </w:t>
      </w:r>
      <w:r>
        <w:t xml:space="preserve">supply the regime taxonomy against which boundary cases were resolved when a filing’s declared geometry was ambiguous.</w:t>
      </w:r>
    </w:p>
    <w:bookmarkEnd w:id="88"/>
    <w:bookmarkStart w:id="89" w:name="X9479ac1cf237f33927f15658aca6dbd9decc0bc"/>
    <w:p>
      <w:pPr>
        <w:pStyle w:val="Heading2"/>
        <w:spacing w:line="480" w:lineRule="auto"/>
      </w:pPr>
      <w:r>
        <w:t xml:space="preserve">4.7 Provenance, Documentation, and Reproducibility</w:t>
      </w:r>
    </w:p>
    <w:p>
      <w:pPr>
        <w:pStyle w:val="FirstParagraph"/>
        <w:spacing w:line="480" w:lineRule="auto"/>
      </w:pPr>
      <w:r>
        <w:t xml:space="preserve">Each row of the mission-level panel carries a provenance string composed of at least one NTRS document identifier, one agency mission page citation, or one operator press kit citation, together with the relevant ITU filing identifiers from the SNS Online register. Each cell of the annual panel carries an analogous provenance string for the launch-count summand list and a separate provenance flag for the cumulative-filing illustrative level. The annual panel is published as data.csv alongside Paper 2 with a per-row source column. The mission-level panel is published with a per-row source column inside the Paper 1 replication archive.</w:t>
      </w:r>
    </w:p>
    <w:p>
      <w:pPr>
        <w:pStyle w:val="BodyText"/>
        <w:spacing w:line="480" w:lineRule="auto"/>
        <w:ind w:firstLine="720"/>
      </w:pPr>
      <w:r>
        <w:t xml:space="preserve">The chain of custody from primary record to coefficient is therefore traceable for every observation in either paper. A reader who doubts the launched coding for a CLPS program checks the CLPS Contracted Deliveries summary</w:t>
      </w:r>
      <w:r>
        <w:t xml:space="preserve"> </w:t>
      </w:r>
      <w:hyperlink w:anchor="ref-12">
        <w:r>
          <w:rPr>
            <w:rStyle w:val="Hyperlink"/>
          </w:rPr>
          <w:t xml:space="preserve">[12]</w:t>
        </w:r>
      </w:hyperlink>
      <w:r>
        <w:t xml:space="preserve"> </w:t>
      </w:r>
      <w:r>
        <w:t xml:space="preserve">and the relevant operator press kit</w:t>
      </w:r>
      <w:r>
        <w:t xml:space="preserve"> </w:t>
      </w:r>
      <w:hyperlink w:anchor="ref-17">
        <w:r>
          <w:rPr>
            <w:rStyle w:val="Hyperlink"/>
          </w:rPr>
          <w:t xml:space="preserve">[17]</w:t>
        </w:r>
      </w:hyperlink>
      <w:r>
        <w:t xml:space="preserve">. A reader who doubts the deep-space band coding for a program checks the SNS Online filing identifier in the source column against the Radio Regulations Article 5 allocation table</w:t>
      </w:r>
      <w:r>
        <w:t xml:space="preserve"> </w:t>
      </w:r>
      <w:hyperlink w:anchor="ref-14">
        <w:r>
          <w:rPr>
            <w:rStyle w:val="Hyperlink"/>
          </w:rPr>
          <w:t xml:space="preserve">[14]</w:t>
        </w:r>
      </w:hyperlink>
      <w:r>
        <w:t xml:space="preserve"> </w:t>
      </w:r>
      <w:r>
        <w:t xml:space="preserve">and the NASA communications documentation</w:t>
      </w:r>
      <w:r>
        <w:t xml:space="preserve"> </w:t>
      </w:r>
      <w:hyperlink w:anchor="ref-13">
        <w:r>
          <w:rPr>
            <w:rStyle w:val="Hyperlink"/>
          </w:rPr>
          <w:t xml:space="preserve">[13]</w:t>
        </w:r>
      </w:hyperlink>
      <w:r>
        <w:t xml:space="preserve">. A reader who doubts the program duration control checks the GAO Major Project Assessments series for the relevant baseline</w:t>
      </w:r>
      <w:r>
        <w:t xml:space="preserve"> </w:t>
      </w:r>
      <w:hyperlink w:anchor="ref-11">
        <w:r>
          <w:rPr>
            <w:rStyle w:val="Hyperlink"/>
          </w:rPr>
          <w:t xml:space="preserve">[11]</w:t>
        </w:r>
      </w:hyperlink>
      <w:r>
        <w:t xml:space="preserve">. The data construction is reproducible from public sources without proprietary intermediation or non-redistributable data, which satisfies the COLLEGIUM data-provenance gate that the prospectus committed the candidate to before the analysis began.</w:t>
      </w:r>
    </w:p>
    <w:bookmarkEnd w:id="89"/>
    <w:bookmarkStart w:id="90" w:name="known-measurement-limitations"/>
    <w:p>
      <w:pPr>
        <w:pStyle w:val="Heading2"/>
        <w:spacing w:line="480" w:lineRule="auto"/>
      </w:pPr>
      <w:r>
        <w:t xml:space="preserve">4.8 Known Measurement Limitations</w:t>
      </w:r>
    </w:p>
    <w:p>
      <w:pPr>
        <w:pStyle w:val="FirstParagraph"/>
        <w:spacing w:line="480" w:lineRule="auto"/>
      </w:pPr>
      <w:r>
        <w:t xml:space="preserve">Four measurement limitations are documented here because they shape the interpretation of the empirical chapters that follow. The first is the illustrative flag on the cumulative-filings level in the annual panel. The flag bounds claims that can be made from the level of the cumulative count, but does not affect the year-to-year shape on which the estimated coefficient depends</w:t>
      </w:r>
      <w:r>
        <w:t xml:space="preserve"> </w:t>
      </w:r>
      <w:hyperlink w:anchor="ref-14">
        <w:r>
          <w:rPr>
            <w:rStyle w:val="Hyperlink"/>
          </w:rPr>
          <w:t xml:space="preserve">[14]</w:t>
        </w:r>
      </w:hyperlink>
      <w:r>
        <w:t xml:space="preserve">. The second is the public-catalog under-count of small or uncooperative cislunar objects and the residual uncertainty in Earth-Moon state classification</w:t>
      </w:r>
      <w:r>
        <w:t xml:space="preserve"> </w:t>
      </w:r>
      <w:hyperlink w:anchor="ref-2">
        <w:r>
          <w:rPr>
            <w:rStyle w:val="Hyperlink"/>
          </w:rPr>
          <w:t xml:space="preserve">[2]</w:t>
        </w:r>
      </w:hyperlink>
      <w:r>
        <w:t xml:space="preserve">, which inflates measurement error in the dependent variable and biases standard errors conservatively. The third is the residual subjectivity in the cislunar regime classification, which is treated quantitatively in the sensitivity analyses of both papers. The fourth is the program-duration conflation between planned baseline and elapsed time for unlaunched programs, which is intrinsic to the construction and is reported transparently.</w:t>
      </w:r>
    </w:p>
    <w:p>
      <w:pPr>
        <w:pStyle w:val="BodyText"/>
        <w:spacing w:line="480" w:lineRule="auto"/>
        <w:ind w:firstLine="720"/>
      </w:pPr>
      <w:r>
        <w:t xml:space="preserve">None of these limitations invalidates the constructed panels. Each bounds the generality of the estimates rather than their internal validity. The chapter records them here so that the reader of Chapters 5 and 6 can map each result back to the limitation that governs its interpretation, and so that future extensions of the dissertation can target the limitations that most constrain the regime-level inference the prospectus envisions.</w:t>
      </w:r>
    </w:p>
    <w:bookmarkEnd w:id="90"/>
    <w:bookmarkEnd w:id="91"/>
    <w:bookmarkStart w:id="101" w:name="chapter-5.-methods-and-identification"/>
    <w:p>
      <w:pPr>
        <w:pStyle w:val="Heading1"/>
        <w:spacing w:line="480" w:lineRule="auto"/>
      </w:pPr>
      <w:r>
        <w:t xml:space="preserve">Chapter 5. Methods and Identification</w:t>
      </w:r>
    </w:p>
    <w:bookmarkStart w:id="92" w:name="restatement-of-the-estimand"/>
    <w:p>
      <w:pPr>
        <w:pStyle w:val="Heading2"/>
        <w:spacing w:line="480" w:lineRule="auto"/>
      </w:pPr>
      <w:r>
        <w:t xml:space="preserve">5.1 Restatement of the Estimand</w:t>
      </w:r>
    </w:p>
    <w:p>
      <w:pPr>
        <w:pStyle w:val="FirstParagraph"/>
        <w:spacing w:line="480" w:lineRule="auto"/>
      </w:pPr>
      <w:r>
        <w:t xml:space="preserve">The dissertation estimates a single scalar quantity, the predictive elasticity of realized cislunar traffic with respect to lagged cislunar-relevant ITU spectrum-filing intensity, holding constant the secular expansion of launch capacity, programmatic announcements, and unit-specific heterogeneity. The estimand is intentionally narrower than a structural causal parameter. The dissertation does not claim that a filing physically produces a spacecraft. It claims that filings carry forward-looking information about the occupation of cislunar orbital regimes that exceeds what an autoregressive traffic baseline already encodes, and that this informational content is large enough, and stable enough across plausible specification choices, to enter a sensor-architecture optimization as a decision-grade input</w:t>
      </w:r>
      <w:r>
        <w:t xml:space="preserve"> </w:t>
      </w:r>
      <w:hyperlink w:anchor="ref-1">
        <w:r>
          <w:rPr>
            <w:rStyle w:val="Hyperlink"/>
          </w:rPr>
          <w:t xml:space="preserve">[1]</w:t>
        </w:r>
      </w:hyperlink>
      <w:r>
        <w:t xml:space="preserve">. Chapter 4 fixed the variables, the panel structure, and the pre-registered decision rule. This chapter specifies the estimators, the identification strategy, and the threats that bound how the resulting coefficient may be read.</w:t>
      </w:r>
    </w:p>
    <w:p>
      <w:pPr>
        <w:pStyle w:val="BodyText"/>
        <w:spacing w:line="480" w:lineRule="auto"/>
        <w:ind w:firstLine="720"/>
      </w:pPr>
      <w:r>
        <w:t xml:space="preserve">The estimand is partitioned into three nested layers that correspond to the three empirical instalments of the program. The mission-level layer asks whether the cross-sectional richness of a mission’s spectrum-coordination footprint, fixed early in its lifecycle, predicts whether that mission reaches launch within an observation window. The annual layer asks whether the time series of cislunar-eligible filings, aggregated to year-level intensity, tracks realized launch throughput contemporaneously and at short lags. The regime-panel layer asks whether the joint distribution of filings across orbital families and over time forecasts the occupation of those families net of common shocks. The three layers test the same underlying coupling claim at progressively higher altitude and with progressively tighter identification demands. This chapter develops the estimator for each layer, then defends a common identification strategy and a common menu of threats.</w:t>
      </w:r>
    </w:p>
    <w:bookmarkEnd w:id="92"/>
    <w:bookmarkStart w:id="93" w:name="estimator-at-the-mission-level"/>
    <w:p>
      <w:pPr>
        <w:pStyle w:val="Heading2"/>
        <w:spacing w:line="480" w:lineRule="auto"/>
      </w:pPr>
      <w:r>
        <w:t xml:space="preserve">5.2 Estimator at the Mission Level</w:t>
      </w:r>
    </w:p>
    <w:p>
      <w:pPr>
        <w:pStyle w:val="FirstParagraph"/>
        <w:spacing w:line="480" w:lineRule="auto"/>
      </w:pPr>
      <w:r>
        <w:t xml:space="preserve">The first instalment of the empirical program estimates a logit regression of a binary launch indicator on a parsimonious vector of spectrum-footprint covariates and a duration control. Maximum likelihood does the fitting, with a robust Hessian variance estimator. Logit is chosen over the linear probability model for three reasons: the small sample, the bounded outcome, and the requirement that predicted probabilities remain in the unit interval for use as priors in subsequent panel work. The specification regresses the launch indicator on the count of spectrum band classes claimed, a deep-space band indicator, a commercial-services procurement indicator, and program duration in months. The constant absorbs the baseline log-odds for the reference mission profile and is not interpreted substantively. The parameter count is constrained by degrees of freedom in the thirty-mission panel and by the principle that the mission-level model exists to test the sign and magnitude of the spectrum-footprint partials, not to maximize predictive fit.</w:t>
      </w:r>
    </w:p>
    <w:p>
      <w:pPr>
        <w:pStyle w:val="BodyText"/>
        <w:spacing w:line="480" w:lineRule="auto"/>
        <w:ind w:firstLine="720"/>
      </w:pPr>
      <w:r>
        <w:t xml:space="preserve">The mission-level estimator inherits two design choices from the prospectus that warrant restatement. First, band-class breadth and the deep-space band indicator enter the specification separately rather than as a single composite measure. The first empirical paper documented that the breadth coefficient and the deep-space band coefficient pull in opposite directions, with breadth negatively associated with realization and the deep-space band indicator positively associated. A composite covariate would absorb that composition shift silently. Disaggregation is therefore a methodological requirement, not a robustness flourish. Second, duration is entered linearly in months. A flexible spline in duration was considered and rejected because the thirty-mission sample cannot support the additional parameters, and because the linear duration term is sufficient to absorb the first-order risk that longer-baselined programs accumulate cancellation hazard.</w:t>
      </w:r>
    </w:p>
    <w:bookmarkEnd w:id="93"/>
    <w:bookmarkStart w:id="94" w:name="estimator-at-the-annual-layer"/>
    <w:p>
      <w:pPr>
        <w:pStyle w:val="Heading2"/>
        <w:spacing w:line="480" w:lineRule="auto"/>
      </w:pPr>
      <w:r>
        <w:t xml:space="preserve">5.3 Estimator at the Annual Layer</w:t>
      </w:r>
    </w:p>
    <w:p>
      <w:pPr>
        <w:pStyle w:val="FirstParagraph"/>
        <w:spacing w:line="480" w:lineRule="auto"/>
      </w:pPr>
      <w:r>
        <w:t xml:space="preserve">The second instalment estimates an ordinary least squares model of annual realized cislunar launch counts on cumulative cislunar-eligible filings, the deep-space band share of those filings, and the commercial share of mission starts, over the twenty-one-year window 2005 through 2025. Standard errors are heteroskedasticity-robust. This layer is deliberately small. With twenty-one annual observations and three regressors plus a constant, the goal is to identify the sign and approximate magnitude of the cumulative filings coefficient under a contemporaneous specification, and to establish a baseline against which the lagged regime-panel specifications can be benchmarked.</w:t>
      </w:r>
    </w:p>
    <w:p>
      <w:pPr>
        <w:pStyle w:val="BodyText"/>
        <w:spacing w:line="480" w:lineRule="auto"/>
        <w:ind w:firstLine="720"/>
      </w:pPr>
      <w:r>
        <w:t xml:space="preserve">Contemporaneity at this layer is a feature rather than a constraint. The ITU BR IFIC clears on a calendar-year cycle and the launch manifest publishes within the same year, so the contemporaneous specification reflects the operational reality that filings and launches resolve on overlapping administrative calendars. The contemporaneous estimate is not the identification target of the dissertation, but it is a necessary first support. If filings do not co-move with launches contemporaneously, the lagged predictive relationship that the regime-panel layer attempts to recover is implausible on its face. The annual layer therefore functions as a falsification gate. A null contemporaneous coefficient at this layer would weaken, though not by itself defeat, the regime-panel hypothesis. A signed and significant contemporaneous coefficient, by contrast, motivates the move to lags.</w:t>
      </w:r>
    </w:p>
    <w:bookmarkEnd w:id="94"/>
    <w:bookmarkStart w:id="95" w:name="estimator-at-the-regime-panel-layer"/>
    <w:p>
      <w:pPr>
        <w:pStyle w:val="Heading2"/>
        <w:spacing w:line="480" w:lineRule="auto"/>
      </w:pPr>
      <w:r>
        <w:t xml:space="preserve">5.4 Estimator at the Regime-Panel Layer</w:t>
      </w:r>
    </w:p>
    <w:p>
      <w:pPr>
        <w:pStyle w:val="FirstParagraph"/>
        <w:spacing w:line="480" w:lineRule="auto"/>
      </w:pPr>
      <w:r>
        <w:t xml:space="preserve">The third instalment, which the dissertation prosecutes most carefully, is a distributed-lag panel regression with the cislunar orbital regime, or alternatively the filing administration, as the panel unit and the year-quarter as the time index. Realized traffic into the regime is regressed on filing intensity at lags of one through several years, with unit fixed effects and time fixed effects. The unit fixed effects absorb time-invariant heterogeneity in the regime’s underlying mission attractiveness, such as the persistent over-representation of near-rectilinear halo orbits in the Gateway era</w:t>
      </w:r>
      <w:r>
        <w:t xml:space="preserve"> </w:t>
      </w:r>
      <w:hyperlink w:anchor="ref-7">
        <w:r>
          <w:rPr>
            <w:rStyle w:val="Hyperlink"/>
          </w:rPr>
          <w:t xml:space="preserve">[7]</w:t>
        </w:r>
      </w:hyperlink>
      <w:r>
        <w:t xml:space="preserve"> </w:t>
      </w:r>
      <w:r>
        <w:t xml:space="preserve">or the persistent role of low-lunar orbits in scientific reconnaissance. The time fixed effects absorb common shocks that move both filings and launches in a given period, such as a global launch-market expansion or a coordinated Artemis-aligned funding wave.</w:t>
      </w:r>
    </w:p>
    <w:p>
      <w:pPr>
        <w:pStyle w:val="BodyText"/>
        <w:spacing w:line="480" w:lineRule="auto"/>
        <w:ind w:firstLine="720"/>
      </w:pPr>
      <w:r>
        <w:t xml:space="preserve">The distributed-lag structure is the operational form of the leading-indicator claim. The dissertation tests whether the sum of lagged filing coefficients is positive and statistically significant. The lag length is selected on the basis of an information criterion within a pre-registered range of one through five years, the lower bound dictated by the ITU advance-publication-to-launch interval and the upper bound by the available sample window. Within that range, the lag-length choice is reported transparently and the sensitivity of the lag-sum estimand to alternative lag lengths is included in the robustness suite. Standard errors are clustered by panel unit to allow for arbitrary within-unit serial correlation in the residual.</w:t>
      </w:r>
    </w:p>
    <w:p>
      <w:pPr>
        <w:pStyle w:val="BodyText"/>
        <w:spacing w:line="480" w:lineRule="auto"/>
        <w:ind w:firstLine="720"/>
      </w:pPr>
      <w:r>
        <w:t xml:space="preserve">A Granger-style precedence test complements the distributed-lag specification. The test asks whether lagged filings improve forecast accuracy of realized traffic over an autoregressive baseline that contains lags of traffic alone. The test is interpreted in its weak, predictive sense, consistent with the estimand defined in section 5.1. The dissertation does not claim that Granger precedence is causal precedence. The dissertation claims that Granger precedence, where it holds, demonstrates that filings encode forecast-relevant information that the traffic series has not yet absorbed.</w:t>
      </w:r>
    </w:p>
    <w:bookmarkEnd w:id="95"/>
    <w:bookmarkStart w:id="96" w:name="identification-strategy"/>
    <w:p>
      <w:pPr>
        <w:pStyle w:val="Heading2"/>
        <w:spacing w:line="480" w:lineRule="auto"/>
      </w:pPr>
      <w:r>
        <w:t xml:space="preserve">5.5 Identification Strategy</w:t>
      </w:r>
    </w:p>
    <w:p>
      <w:pPr>
        <w:pStyle w:val="FirstParagraph"/>
        <w:spacing w:line="480" w:lineRule="auto"/>
      </w:pPr>
      <w:r>
        <w:t xml:space="preserve">Three pillars carry identification of the lagged predictive coefficient. Temporal precedence is the first. ITU advance-publication information and coordination-request filings are administratively required to precede operation, with cadence and content fixed by the Radio Regulations and the Bureau de Radiocommunications procedural framework</w:t>
      </w:r>
      <w:r>
        <w:t xml:space="preserve"> </w:t>
      </w:r>
      <w:hyperlink w:anchor="ref-14">
        <w:r>
          <w:rPr>
            <w:rStyle w:val="Hyperlink"/>
          </w:rPr>
          <w:t xml:space="preserve">[14]</w:t>
        </w:r>
      </w:hyperlink>
      <w:r>
        <w:t xml:space="preserve">. The lag direction is therefore institutional rather than analytical. A launch event in period t cannot generate a filing in period t minus k for k positive. The reverse-causation channel that ordinarily threatens a contemporaneous association is institutionally closed at sufficient lag.</w:t>
      </w:r>
    </w:p>
    <w:p>
      <w:pPr>
        <w:pStyle w:val="BodyText"/>
        <w:spacing w:line="480" w:lineRule="auto"/>
        <w:ind w:firstLine="720"/>
      </w:pPr>
      <w:r>
        <w:t xml:space="preserve">The second pillar is the dual fixed-effects structure. Unit fixed effects absorb time-invariant regime characteristics that could otherwise produce a spurious cross-regime correlation between filing intensity and traffic intensity, for example the persistent attractiveness of a particular orbital family for scientific instruments. Time fixed effects absorb common shocks that move filings and traffic together within a period, for example a step change in launch-vehicle availability or a high-profile programmatic announcement. The remaining variation is within-regime, within-period departures of filing intensity from its regime mean and period mean, which is the variation against which the lagged predictive coefficient is identified.</w:t>
      </w:r>
    </w:p>
    <w:p>
      <w:pPr>
        <w:pStyle w:val="BodyText"/>
        <w:spacing w:line="480" w:lineRule="auto"/>
        <w:ind w:firstLine="720"/>
      </w:pPr>
      <w:r>
        <w:t xml:space="preserve">The third pillar is the negative-control regime. The dissertation runs the identical estimator on a non-cislunar orbital band, chosen to share macro-level launch-capacity exposure with the cislunar regime but to be insulated from the specific deep-space and lunar-service band coordination that defines a cislunar filing. The expectation under the leading-indicator hypothesis is that the lagged predictive coefficient is concentrated in the cislunar specification and is small or null in the non-cislunar specification. A finding that the coefficient is similar in both specifications would imply that the cislunar coefficient is a generic space-activity signal rather than a regime-specific leading indicator, and would substantially weaken the dissertation’s contribution.</w:t>
      </w:r>
    </w:p>
    <w:p>
      <w:pPr>
        <w:pStyle w:val="BodyText"/>
        <w:spacing w:line="480" w:lineRule="auto"/>
        <w:ind w:firstLine="720"/>
      </w:pPr>
      <w:r>
        <w:t xml:space="preserve">The pre-registration of the decision rule on the lagged predictive coefficient sits behind all three pillars. The sign, the significance threshold, and the lag-length search range are fixed in writing before the realized-traffic outcome series is merged to the filing series. The pre-registration is itself a piece of identification, because it forecloses the specification search that would otherwise contaminate the standard errors. The first two empirical papers, which were specified and estimated before the regime-panel data merge, also function as locked-in priors on the sign and approximate magnitude of the relationship at lower altitudes.</w:t>
      </w:r>
    </w:p>
    <w:bookmarkEnd w:id="96"/>
    <w:bookmarkStart w:id="97" w:name="Xfba02e089a85fd73f97d8c6961434089425e8a3"/>
    <w:p>
      <w:pPr>
        <w:pStyle w:val="Heading2"/>
        <w:spacing w:line="480" w:lineRule="auto"/>
      </w:pPr>
      <w:r>
        <w:t xml:space="preserve">5.6 Threats to Validity and the Bounds on Each</w:t>
      </w:r>
    </w:p>
    <w:p>
      <w:pPr>
        <w:pStyle w:val="FirstParagraph"/>
        <w:spacing w:line="480" w:lineRule="auto"/>
      </w:pPr>
      <w:r>
        <w:t xml:space="preserve">Threats to validity fall into six families, each treated with a specific bound. The bounds do not eliminate the threats. They make the residual risk legible to a reader who has to decide whether the lagged predictive coefficient is decision-grade for sensor-architecture optimization</w:t>
      </w:r>
      <w:r>
        <w:t xml:space="preserve"> </w:t>
      </w:r>
      <w:hyperlink w:anchor="ref-1">
        <w:r>
          <w:rPr>
            <w:rStyle w:val="Hyperlink"/>
          </w:rPr>
          <w:t xml:space="preserve">[1]</w:t>
        </w:r>
      </w:hyperlink>
      <w:r>
        <w:t xml:space="preserve">.</w:t>
      </w:r>
    </w:p>
    <w:p>
      <w:pPr>
        <w:pStyle w:val="BodyText"/>
        <w:spacing w:line="480" w:lineRule="auto"/>
        <w:ind w:firstLine="720"/>
      </w:pPr>
      <w:r>
        <w:rPr>
          <w:b/>
          <w:bCs/>
        </w:rPr>
        <w:t xml:space="preserve">Common-cause confounding.</w:t>
      </w:r>
      <w:r>
        <w:t xml:space="preserve"> </w:t>
      </w:r>
      <w:r>
        <w:t xml:space="preserve">A programmatic surge could drive filings and traffic together without any forecasting content in filings. The time fixed effects absorb period-common shocks. Explicit programmatic-announcement controls absorb the portion of the surge that is dated and named, drawing on the public mission cadence record</w:t>
      </w:r>
      <w:r>
        <w:t xml:space="preserve"> </w:t>
      </w:r>
      <w:hyperlink w:anchor="ref-12">
        <w:r>
          <w:rPr>
            <w:rStyle w:val="Hyperlink"/>
          </w:rPr>
          <w:t xml:space="preserve">[12]</w:t>
        </w:r>
      </w:hyperlink>
      <w:r>
        <w:t xml:space="preserve">[15][16][17]. The non-cislunar negative-control regime tests whether the residual coefficient is regime-specific. The residual common-cause risk is the principal threat and is reported with the corresponding sensitivity intervals.</w:t>
      </w:r>
    </w:p>
    <w:p>
      <w:pPr>
        <w:pStyle w:val="BodyText"/>
        <w:spacing w:line="480" w:lineRule="auto"/>
        <w:ind w:firstLine="720"/>
      </w:pPr>
      <w:r>
        <w:rPr>
          <w:b/>
          <w:bCs/>
        </w:rPr>
        <w:t xml:space="preserve">Filing inflation and abandonment.</w:t>
      </w:r>
      <w:r>
        <w:t xml:space="preserve"> </w:t>
      </w:r>
      <w:r>
        <w:t xml:space="preserve">ITU filings include speculative and defensive submissions that never fly, and the inflation problem is acknowledged in adjacent GEO-regime work that documents the volume of filings relative to actual orbital occupation</w:t>
      </w:r>
      <w:r>
        <w:t xml:space="preserve"> </w:t>
      </w:r>
      <w:hyperlink w:anchor="ref-21">
        <w:r>
          <w:rPr>
            <w:rStyle w:val="Hyperlink"/>
          </w:rPr>
          <w:t xml:space="preserve">[21]</w:t>
        </w:r>
      </w:hyperlink>
      <w:r>
        <w:t xml:space="preserve">. Inflation attenuates the lagged predictive coefficient toward the null. The dissertation reports the unweighted estimate as the conservative baseline and a filing-completeness weighted estimate, in which administrations or networks with high historical abandonment receive lower weight, as the robustness layer. If both estimates carry the same sign and the weighted estimate is larger in magnitude, the inference that filings carry forecasting information is strengthened. If the unweighted estimate is significant but the weighted estimate is not, the finding is more fragile than its headline suggests and the dissertation reports it that way.</w:t>
      </w:r>
    </w:p>
    <w:p>
      <w:pPr>
        <w:pStyle w:val="BodyText"/>
        <w:spacing w:line="480" w:lineRule="auto"/>
        <w:ind w:firstLine="720"/>
      </w:pPr>
      <w:r>
        <w:rPr>
          <w:b/>
          <w:bCs/>
        </w:rPr>
        <w:t xml:space="preserve">Outcome measurement error.</w:t>
      </w:r>
      <w:r>
        <w:t xml:space="preserve"> </w:t>
      </w:r>
      <w:r>
        <w:t xml:space="preserve">The public catalogue undercounts small, uncooperative, or sub-resolution cislunar objects, and Earth-Moon state uncertainty is itself difficult to resolve</w:t>
      </w:r>
      <w:r>
        <w:t xml:space="preserve"> </w:t>
      </w:r>
      <w:hyperlink w:anchor="ref-2">
        <w:r>
          <w:rPr>
            <w:rStyle w:val="Hyperlink"/>
          </w:rPr>
          <w:t xml:space="preserve">[2]</w:t>
        </w:r>
      </w:hyperlink>
      <w:r>
        <w:t xml:space="preserve">. Measurement error in the dependent variable inflates standard errors and biases the lagged predictive coefficient toward zero. The bias direction is conservative for the H1 reading. The dissertation augments the catalogue with NASA Jet Propulsion Laboratory HORIZONS ephemerides and the public mission record</w:t>
      </w:r>
      <w:r>
        <w:t xml:space="preserve"> </w:t>
      </w:r>
      <w:hyperlink w:anchor="ref-6">
        <w:r>
          <w:rPr>
            <w:rStyle w:val="Hyperlink"/>
          </w:rPr>
          <w:t xml:space="preserve">[6]</w:t>
        </w:r>
      </w:hyperlink>
      <w:r>
        <w:t xml:space="preserve">, and supplements with the fragmentation-event record where catalogue coverage is sparse</w:t>
      </w:r>
      <w:r>
        <w:t xml:space="preserve"> </w:t>
      </w:r>
      <w:hyperlink w:anchor="ref-8">
        <w:r>
          <w:rPr>
            <w:rStyle w:val="Hyperlink"/>
          </w:rPr>
          <w:t xml:space="preserve">[8]</w:t>
        </w:r>
      </w:hyperlink>
      <w:r>
        <w:t xml:space="preserve">. The remaining undercount is reported transparently and the conservatism of the bias direction is invoked, not concealed.</w:t>
      </w:r>
    </w:p>
    <w:p>
      <w:pPr>
        <w:pStyle w:val="BodyText"/>
        <w:spacing w:line="480" w:lineRule="auto"/>
        <w:ind w:firstLine="720"/>
      </w:pPr>
      <w:r>
        <w:rPr>
          <w:b/>
          <w:bCs/>
        </w:rPr>
        <w:t xml:space="preserve">Regime-classification subjectivity.</w:t>
      </w:r>
      <w:r>
        <w:t xml:space="preserve"> </w:t>
      </w:r>
      <w:r>
        <w:t xml:space="preserve">Mapping a filing’s declared geometry and frequency assignment to the cislunar label involves judgment. Two analyst-blind classification protocols are pre-registered and the sensitivity of the lagged predictive coefficient to the alternative classifications is reported. The deep-space band finding in the first empirical paper is reassuring on this front, because the deep-space band is one of the least ambiguous classification anchors available under the ITU allocation table</w:t>
      </w:r>
      <w:r>
        <w:t xml:space="preserve"> </w:t>
      </w:r>
      <w:hyperlink w:anchor="ref-14">
        <w:r>
          <w:rPr>
            <w:rStyle w:val="Hyperlink"/>
          </w:rPr>
          <w:t xml:space="preserve">[14]</w:t>
        </w:r>
      </w:hyperlink>
      <w:r>
        <w:t xml:space="preserve">, and the partial that survives the most aggressive specification at the mission level is precisely the partial that depends on the least ambiguous classification rule.</w:t>
      </w:r>
    </w:p>
    <w:p>
      <w:pPr>
        <w:pStyle w:val="BodyText"/>
        <w:spacing w:line="480" w:lineRule="auto"/>
        <w:ind w:firstLine="720"/>
      </w:pPr>
      <w:r>
        <w:rPr>
          <w:b/>
          <w:bCs/>
        </w:rPr>
        <w:t xml:space="preserve">External validity and structural break.</w:t>
      </w:r>
      <w:r>
        <w:t xml:space="preserve"> </w:t>
      </w:r>
      <w:r>
        <w:t xml:space="preserve">The cislunar traffic record is short and dominated by a small number of programs</w:t>
      </w:r>
      <w:r>
        <w:t xml:space="preserve"> </w:t>
      </w:r>
      <w:hyperlink w:anchor="ref-6">
        <w:r>
          <w:rPr>
            <w:rStyle w:val="Hyperlink"/>
          </w:rPr>
          <w:t xml:space="preserve">[6]</w:t>
        </w:r>
      </w:hyperlink>
      <w:r>
        <w:t xml:space="preserve">. The estimated lagged elasticity may not generalize to a future regime in which large constellations, commercial relay architectures, or non-United-States national programs reshape the filing-to-traffic mapping</w:t>
      </w:r>
      <w:r>
        <w:t xml:space="preserve"> </w:t>
      </w:r>
      <w:hyperlink w:anchor="ref-16">
        <w:r>
          <w:rPr>
            <w:rStyle w:val="Hyperlink"/>
          </w:rPr>
          <w:t xml:space="preserve">[16]</w:t>
        </w:r>
      </w:hyperlink>
      <w:r>
        <w:t xml:space="preserve">[17]. The dissertation reports the estimation window explicitly and does not project the lagged predictive coefficient beyond the sample. Where projection is unavoidable, for example in the decision-grade input to capacity-based architecture optimization</w:t>
      </w:r>
      <w:r>
        <w:t xml:space="preserve"> </w:t>
      </w:r>
      <w:hyperlink w:anchor="ref-1">
        <w:r>
          <w:rPr>
            <w:rStyle w:val="Hyperlink"/>
          </w:rPr>
          <w:t xml:space="preserve">[1]</w:t>
        </w:r>
      </w:hyperlink>
      <w:r>
        <w:t xml:space="preserve">, the projection is bracketed by the sensitivity intervals from the lag-length and classification robustness layers, not by the point estimate alone.</w:t>
      </w:r>
    </w:p>
    <w:p>
      <w:pPr>
        <w:pStyle w:val="BodyText"/>
        <w:spacing w:line="480" w:lineRule="auto"/>
        <w:ind w:firstLine="720"/>
      </w:pPr>
      <w:r>
        <w:rPr>
          <w:b/>
          <w:bCs/>
        </w:rPr>
        <w:t xml:space="preserve">Specification search and degrees-of-freedom abuse.</w:t>
      </w:r>
      <w:r>
        <w:t xml:space="preserve"> </w:t>
      </w:r>
      <w:r>
        <w:t xml:space="preserve">The combination of a short panel and a flexible distributed-lag structure invites overfitting. The pre-registered lag-length search range, the pre-registered decision rule, and the public release of the three specifications, together with the negative-control regime, bound this threat. The mission-level and annual-layer instalments are reported in their original form, including the result that broader filings predict lower realization probability at the mission level, because the dissertation’s credibility depends on documenting the sign reversals as well as the confirmatory findings.</w:t>
      </w:r>
    </w:p>
    <w:bookmarkEnd w:id="97"/>
    <w:bookmarkStart w:id="98" w:name="X6da6ef7b75bb97f1bfc2c1c250492eb8cf3f199"/>
    <w:p>
      <w:pPr>
        <w:pStyle w:val="Heading2"/>
        <w:spacing w:line="480" w:lineRule="auto"/>
      </w:pPr>
      <w:r>
        <w:t xml:space="preserve">5.7 Statistical Inference and Pre-Registered Decision Rules</w:t>
      </w:r>
    </w:p>
    <w:p>
      <w:pPr>
        <w:pStyle w:val="FirstParagraph"/>
        <w:spacing w:line="480" w:lineRule="auto"/>
      </w:pPr>
      <w:r>
        <w:t xml:space="preserve">Inference at each layer uses heteroskedasticity-robust standard errors. At the regime-panel layer the standard errors are clustered by panel unit. The dissertation reports point estimates, robust standard errors, and the lag-sum estimand for the distributed-lag specification, together with the Granger precedence test statistic and its p-value. The pre-registered decision rule on the regime-panel layer is that the lag-sum estimand is judged to support H1 if its point estimate is positive, its robust standard error supports rejection of the zero-coefficient null at the conventional five percent level, and the negative-control regime returns a coefficient that is statistically indistinguishable from zero at the same threshold. The rule is conjunctive. A positive and significant cislunar coefficient that is matched by a positive and significant negative-control coefficient does not support H1, because it indicates that the apparent leading-indicator content is generic to space activity rather than specific to the cislunar regime.</w:t>
      </w:r>
    </w:p>
    <w:p>
      <w:pPr>
        <w:pStyle w:val="BodyText"/>
        <w:spacing w:line="480" w:lineRule="auto"/>
        <w:ind w:firstLine="720"/>
      </w:pPr>
      <w:r>
        <w:t xml:space="preserve">The mission-level and annual-layer instalments inherit weaker decision rules consistent with their narrower scope. At the mission level, H1a, H1b, and H1c are tested separately at the five percent level with robust standard errors. At the annual layer, the cumulative filings coefficient is tested at the five percent level under heteroskedasticity-robust inference, and the contemporaneous result is reported as a baseline rather than as the principal finding.</w:t>
      </w:r>
    </w:p>
    <w:bookmarkEnd w:id="98"/>
    <w:bookmarkStart w:id="99" w:name="Xeb6ed67176b4fd4710e4f6bd284a4cabe07af13"/>
    <w:p>
      <w:pPr>
        <w:pStyle w:val="Heading2"/>
        <w:spacing w:line="480" w:lineRule="auto"/>
      </w:pPr>
      <w:r>
        <w:t xml:space="preserve">5.8 Reproducibility and Provenance Discipline</w:t>
      </w:r>
    </w:p>
    <w:p>
      <w:pPr>
        <w:pStyle w:val="FirstParagraph"/>
        <w:spacing w:line="480" w:lineRule="auto"/>
      </w:pPr>
      <w:r>
        <w:t xml:space="preserve">Every variable in the three estimators is constructed from publicly obtainable sources with named provenance. The ITU filing series derives from the SNS Online and BR IFIC releases and from the public allocation table</w:t>
      </w:r>
      <w:r>
        <w:t xml:space="preserve"> </w:t>
      </w:r>
      <w:hyperlink w:anchor="ref-14">
        <w:r>
          <w:rPr>
            <w:rStyle w:val="Hyperlink"/>
          </w:rPr>
          <w:t xml:space="preserve">[14]</w:t>
        </w:r>
      </w:hyperlink>
      <w:r>
        <w:t xml:space="preserve">. The cislunar traffic series derives from the public catalogue, augmented by HORIZONS ephemerides and the public mission record</w:t>
      </w:r>
      <w:r>
        <w:t xml:space="preserve"> </w:t>
      </w:r>
      <w:hyperlink w:anchor="ref-6">
        <w:r>
          <w:rPr>
            <w:rStyle w:val="Hyperlink"/>
          </w:rPr>
          <w:t xml:space="preserve">[6]</w:t>
        </w:r>
      </w:hyperlink>
      <w:r>
        <w:t xml:space="preserve">[12][15][16][17]. The fragmentation augmentation derives from the cislunar event monitoring literature</w:t>
      </w:r>
      <w:r>
        <w:t xml:space="preserve"> </w:t>
      </w:r>
      <w:hyperlink w:anchor="ref-8">
        <w:r>
          <w:rPr>
            <w:rStyle w:val="Hyperlink"/>
          </w:rPr>
          <w:t xml:space="preserve">[8]</w:t>
        </w:r>
      </w:hyperlink>
      <w:r>
        <w:t xml:space="preserve">. The dataset, the per-row source column, the estimator code, and the pre-registration document are released together. A reader who wishes to replicate the lagged predictive coefficient, to substitute an alternative classification rule, or to extend the panel forward in time can do so from the released artefacts without recourse to proprietary data. The provenance discipline is itself part of the identification strategy, because it forecloses the silent reliance on non-redistributable data that would otherwise make the standard errors uninterpretable.</w:t>
      </w:r>
    </w:p>
    <w:bookmarkEnd w:id="99"/>
    <w:bookmarkStart w:id="100" w:name="summary"/>
    <w:p>
      <w:pPr>
        <w:pStyle w:val="Heading2"/>
        <w:spacing w:line="480" w:lineRule="auto"/>
      </w:pPr>
      <w:r>
        <w:t xml:space="preserve">5.9 Summary</w:t>
      </w:r>
    </w:p>
    <w:p>
      <w:pPr>
        <w:pStyle w:val="FirstParagraph"/>
        <w:spacing w:line="480" w:lineRule="auto"/>
      </w:pPr>
      <w:r>
        <w:t xml:space="preserve">The chapter has specified the three estimators, defended the three pillars of identification, and bounded the six families of threats. The mission-level logit, the annual-layer ordinary least squares model, and the regime-panel distributed-lag specification together prosecute the same coupling claim at three altitudes. Identification rests on the institutional temporal precedence of filings, on the dual fixed-effects structure that purges time-invariant regime heterogeneity and period-common shocks, and on the non-cislunar negative-control regime that disciplines the regime-specific interpretation of the lagged predictive coefficient. Threats are acknowledged and bounded, not eliminated. That distinction matters. The result is a research design whose central coefficient is falsifiable in the strong sense and whose decision-grade interpretation, if it survives the pre-registered decision rule, can be supplied directly to the capacity-based architecture optimization literature</w:t>
      </w:r>
      <w:r>
        <w:t xml:space="preserve"> </w:t>
      </w:r>
      <w:hyperlink w:anchor="ref-1">
        <w:r>
          <w:rPr>
            <w:rStyle w:val="Hyperlink"/>
          </w:rPr>
          <w:t xml:space="preserve">[1]</w:t>
        </w:r>
      </w:hyperlink>
      <w:r>
        <w:t xml:space="preserve"> </w:t>
      </w:r>
      <w:r>
        <w:t xml:space="preserve">and to the Earth-Moon uncertainty classification literature</w:t>
      </w:r>
      <w:r>
        <w:t xml:space="preserve"> </w:t>
      </w:r>
      <w:hyperlink w:anchor="ref-2">
        <w:r>
          <w:rPr>
            <w:rStyle w:val="Hyperlink"/>
          </w:rPr>
          <w:t xml:space="preserve">[2]</w:t>
        </w:r>
      </w:hyperlink>
      <w:r>
        <w:t xml:space="preserve"> </w:t>
      </w:r>
      <w:r>
        <w:t xml:space="preserve">as the leading-indicator input that those literatures presently lack.</w:t>
      </w:r>
    </w:p>
    <w:bookmarkEnd w:id="100"/>
    <w:bookmarkEnd w:id="101"/>
    <w:bookmarkStart w:id="116" w:name="chapter-6.-results"/>
    <w:p>
      <w:pPr>
        <w:pStyle w:val="Heading1"/>
        <w:spacing w:line="480" w:lineRule="auto"/>
      </w:pPr>
      <w:r>
        <w:t xml:space="preserve">Chapter 6. Results</w:t>
      </w:r>
    </w:p>
    <w:bookmarkStart w:id="102" w:name="orientation"/>
    <w:p>
      <w:pPr>
        <w:pStyle w:val="Heading2"/>
        <w:spacing w:line="480" w:lineRule="auto"/>
      </w:pPr>
      <w:r>
        <w:t xml:space="preserve">6.1 Orientation</w:t>
      </w:r>
    </w:p>
    <w:p>
      <w:pPr>
        <w:pStyle w:val="FirstParagraph"/>
        <w:spacing w:line="480" w:lineRule="auto"/>
      </w:pPr>
      <w:r>
        <w:t xml:space="preserve">This chapter reports the empirical findings of the two estimators that together test the dissertation’s core proposition, namely that the International Telecommunication Union spectrum coordination record carries forward-looking information about the realization of cislunar traffic. The first estimator, presented as Paper 1, is a mission-level logit of launch realization on a thirty-mission panel spanning declared program starts between 2005 and 2021. The second estimator, presented as Paper 2, is a year-level ordinary least squares regression of annual cislunar launch counts on cumulative cislunar-eligible ITU filings, deep-space band share, and commercial share across the twenty-one annual observations from 2005 through 2025. The two estimators are deliberately complementary. Paper 1 asks whether the spectrum footprint of an individual program predicts whether that specific program reaches launch. Paper 2 asks whether the cumulative volume of cislunar-eligible spectrum filings predicts the annual count of launches that the cislunar regime actually absorbs. The first is a falsification at the program altitude. The second is a falsification at the regime altitude. The chapter reports both at the level of exact coefficients, standard errors, p-values, model fit, and pre-registered sign conventions, and it then interprets each finding in light of the prospectus theory of spectrum-orbit coupling</w:t>
      </w:r>
      <w:r>
        <w:t xml:space="preserve"> </w:t>
      </w:r>
      <w:hyperlink w:anchor="ref-4">
        <w:r>
          <w:rPr>
            <w:rStyle w:val="Hyperlink"/>
          </w:rPr>
          <w:t xml:space="preserve">[4]</w:t>
        </w:r>
      </w:hyperlink>
      <w:r>
        <w:t xml:space="preserve">[5] and of the cislunar architecture literature that consumes the forecast as an input</w:t>
      </w:r>
      <w:r>
        <w:t xml:space="preserve"> </w:t>
      </w:r>
      <w:hyperlink w:anchor="ref-1">
        <w:r>
          <w:rPr>
            <w:rStyle w:val="Hyperlink"/>
          </w:rPr>
          <w:t xml:space="preserve">[1]</w:t>
        </w:r>
      </w:hyperlink>
      <w:r>
        <w:t xml:space="preserve">[2][6].</w:t>
      </w:r>
    </w:p>
    <w:p>
      <w:pPr>
        <w:pStyle w:val="BodyText"/>
        <w:spacing w:line="480" w:lineRule="auto"/>
        <w:ind w:firstLine="720"/>
      </w:pPr>
      <w:r>
        <w:t xml:space="preserve">The tables, regression-output blocks, scatter plots, and underlying data are reserved for Appendix A. The discussion that follows is written so that a reader who reaches the appendix afterward will find the numerical anchors confirming every statement made in this chapter. Where the two estimators disagree, the disagreement is reported plainly rather than smoothed over, because the dissertation’s contribution stands on falsifiability rather than on universal confirmation.</w:t>
      </w:r>
    </w:p>
    <w:bookmarkEnd w:id="102"/>
    <w:bookmarkStart w:id="108" w:name="paper-1-mission-level-logit-results"/>
    <w:p>
      <w:pPr>
        <w:pStyle w:val="Heading2"/>
        <w:spacing w:line="480" w:lineRule="auto"/>
      </w:pPr>
      <w:r>
        <w:t xml:space="preserve">6.2 Paper 1: Mission-Level Logit Results</w:t>
      </w:r>
    </w:p>
    <w:p>
      <w:pPr>
        <w:pStyle w:val="FirstParagraph"/>
        <w:spacing w:line="480" w:lineRule="auto"/>
      </w:pPr>
      <w:r>
        <w:t xml:space="preserve">The Paper 1 logit converges on the full thirty-mission panel. Its McFadden pseudo R-squared is 0.345, and the log-likelihood at convergence is negative 9.831. Twenty-three of the thirty programs in the sample had reached launch by the June 2026 observation cut. Four substantive regressors were fitted alongside a constant: filing breadth, the deep-space band indicator, the commercial services indicator, and the duration control in months. Each of the four substantive coefficients is reported individually below, with the pre-registered hypothesis attached, the realized sign and magnitude, and the inferential implication.</w:t>
      </w:r>
    </w:p>
    <w:bookmarkStart w:id="103" w:name="the-filing-breadth-coefficient"/>
    <w:p>
      <w:pPr>
        <w:pStyle w:val="Heading3"/>
        <w:spacing w:line="480" w:lineRule="auto"/>
      </w:pPr>
      <w:r>
        <w:t xml:space="preserve">6.2.1 The Filing-Breadth Coefficient</w:t>
      </w:r>
    </w:p>
    <w:p>
      <w:pPr>
        <w:pStyle w:val="FirstParagraph"/>
        <w:spacing w:line="480" w:lineRule="auto"/>
      </w:pPr>
      <w:r>
        <w:t xml:space="preserve">Filing breadth carries the empirical test of H1a, which predicted that missions whose ITU spectrum footprint claims a broader set of band classes will exhibit higher launch probability conditional on program duration and the other regressors. The estimated coefficient is negative 2.3643 with a standard error of 1.2295 and a p-value of 0.0545. The sign is the opposite of what H1a predicted, and the magnitude is large enough on the log-odds scale that a one-band increment in the filing footprint, holding duration and the band-composition indicators fixed, lowers the predicted launch probability materially within the observed range of the regressor. The p-value lies just above the conventional five percent threshold and squarely within a ten percent threshold, which the dissertation treats as marginally significant rather than as a confirmed effect.</w:t>
      </w:r>
    </w:p>
    <w:p>
      <w:pPr>
        <w:pStyle w:val="BodyText"/>
        <w:spacing w:line="480" w:lineRule="auto"/>
        <w:ind w:firstLine="720"/>
      </w:pPr>
      <w:r>
        <w:t xml:space="preserve">The honest reading of this result is that the prospectus form of H1a is not supported. A naive operator-behavior story in which broader spectrum claims signal a more mature, better-resourced, more flight-ready program is contradicted by the panel evidence within the observation window. Two substantive interpretations of the negative sign are consistent with the data and with the wider literature. First, broad-band filings disproportionately attach to ambitious commercial relay and infrastructure architectures whose realization is gated by non-spectrum risks that the duration regressor cannot fully absorb. A claim portfolio that touches many band classes is, in this reading, picking up an ambition selection effect rather than a flight-readiness signal. Second, the panel covers a window in which the cislunar manifest is dominated by mission types whose realization risk is decoupled from spectrum scope. Government science missions and small Artemis I CubeSats reach orbit on narrow filings, while the broad-filing programs in the pending column include Gateway Power and Propulsion Element with its Habitation and Logistics Outpost module and several commercial follow-on deliveries. Within the window, the breadth of the spectrum claim correlates with structural risk rather than with launch confidence.</w:t>
      </w:r>
    </w:p>
    <w:p>
      <w:pPr>
        <w:pStyle w:val="BodyText"/>
        <w:spacing w:line="480" w:lineRule="auto"/>
        <w:ind w:firstLine="720"/>
      </w:pPr>
      <w:r>
        <w:t xml:space="preserve">The Paper 1 result on breadth is therefore properly read as a refutation of the strong form of H1a, with the qualifier that the marginal significance leaves open a directional finding that the regime-level estimator is in a position to revisit.</w:t>
      </w:r>
    </w:p>
    <w:bookmarkEnd w:id="103"/>
    <w:bookmarkStart w:id="104" w:name="the-deep-space-band-coefficient"/>
    <w:p>
      <w:pPr>
        <w:pStyle w:val="Heading3"/>
        <w:spacing w:line="480" w:lineRule="auto"/>
      </w:pPr>
      <w:r>
        <w:t xml:space="preserve">6.2.2 The Deep-Space Band Coefficient</w:t>
      </w:r>
    </w:p>
    <w:p>
      <w:pPr>
        <w:pStyle w:val="FirstParagraph"/>
        <w:spacing w:line="480" w:lineRule="auto"/>
      </w:pPr>
      <w:r>
        <w:t xml:space="preserve">Here the deep-space band indicator carries the empirical test of H1b, which predicted that missions whose filings include a deep-space band assignment will exhibit higher launch probability conditional on the other regressors. The estimated coefficient is positive 13.4084 with a standard error of 7.1897 and a p-value of 0.0622. The sign is in the predicted direction, the magnitude on the log-odds scale is large, and the p-value lies marginally above the five percent threshold and within a ten percent threshold. The dissertation reads this as marginal directional support for H1b.</w:t>
      </w:r>
    </w:p>
    <w:p>
      <w:pPr>
        <w:pStyle w:val="BodyText"/>
        <w:spacing w:line="480" w:lineRule="auto"/>
        <w:ind w:firstLine="720"/>
      </w:pPr>
      <w:r>
        <w:t xml:space="preserve">The substantive interpretation is the central forecasting takeaway of Paper 1. The deep-space band allocations in the ITU Radio Regulations are narrow by design, and the link-budget characteristics that make them suitable for cislunar communications mean that an operator who has filed for a deep-space assignment has invested in a coordination process that is materially more onerous than an ordinary near-Earth filing</w:t>
      </w:r>
      <w:r>
        <w:t xml:space="preserve"> </w:t>
      </w:r>
      <w:hyperlink w:anchor="ref-3">
        <w:r>
          <w:rPr>
            <w:rStyle w:val="Hyperlink"/>
          </w:rPr>
          <w:t xml:space="preserve">[3]</w:t>
        </w:r>
      </w:hyperlink>
      <w:r>
        <w:t xml:space="preserve">[13]. The administrative cost of pursuing a deep-space band notification is itself a screening mechanism. Operators that file for these bands are signaling not only intent but also the engineering and budgetary commitment to a cislunar communications architecture that survives an extended coordination cycle. The large positive partial in the panel is consistent with that mechanism: the deep-space band indicator separates programs with credible cislunar communications design from programs whose filings are speculative or defensive.</w:t>
      </w:r>
    </w:p>
    <w:p>
      <w:pPr>
        <w:pStyle w:val="BodyText"/>
        <w:spacing w:line="480" w:lineRule="auto"/>
        <w:ind w:firstLine="720"/>
      </w:pPr>
      <w:r>
        <w:t xml:space="preserve">The marginal significance is a function of sample power rather than of effect size. With thirty observations and an unbalanced twenty-three-to-seven realized-to-pending ratio, the standard error on a binary indicator that splits the sample asymmetrically is necessarily wide. The directional finding survives that limitation in a manner that the breadth coefficient does not, and it is the disaggregated band-composition signal that the discussion in Paper 1 carried forward as the design lesson for the regime-level model in Paper 2.</w:t>
      </w:r>
    </w:p>
    <w:bookmarkEnd w:id="104"/>
    <w:bookmarkStart w:id="105" w:name="the-commercial-services-coefficient"/>
    <w:p>
      <w:pPr>
        <w:pStyle w:val="Heading3"/>
        <w:spacing w:line="480" w:lineRule="auto"/>
      </w:pPr>
      <w:r>
        <w:t xml:space="preserve">6.2.3 The Commercial Services Coefficient</w:t>
      </w:r>
    </w:p>
    <w:p>
      <w:pPr>
        <w:pStyle w:val="FirstParagraph"/>
        <w:spacing w:line="480" w:lineRule="auto"/>
      </w:pPr>
      <w:r>
        <w:t xml:space="preserve">The commercial services coefficient is the empirical test of H1c, which predicted that missions procured under a commercial services contract, principally the National Aeronautics and Space Administration Commercial Lunar Payload Services task orders, would exhibit an independent positive effect on launch probability. The estimated coefficient is negative 2.7194 with a standard error of 2.3310 and a p-value of 0.2434. The sign is the opposite of what H1c predicted, and the p-value is well outside conventional significance thresholds. The dissertation treats this coefficient as statistically indistinguishable from zero, and the sign is not interpreted substantively beyond noting that within the window the commercial services indicator does not carry independent positive forecasting weight after the spectrum regressors are included.</w:t>
      </w:r>
    </w:p>
    <w:p>
      <w:pPr>
        <w:pStyle w:val="BodyText"/>
        <w:spacing w:line="480" w:lineRule="auto"/>
        <w:ind w:firstLine="720"/>
      </w:pPr>
      <w:r>
        <w:t xml:space="preserve">The substantive context matters. The commercial services portfolio in this window includes both the successful Nova-C IM-1 and Blue Ghost Mission 1 deliveries and the cancelled, delayed, or unflown Peregrine, IM-3, Griffin Mission 1, and Blue Ghost Mission 2 awards. The portfolio is, internally, a mixture of realized and pending outcomes, and the indicator alone cannot resolve the heterogeneity within that mixture. The Paper 1 specification deliberately did not interact the commercial services indicator with the spectrum regressors, because the parameter budget on a thirty-observation logit does not support such an interaction. The null result is therefore correctly read as the absence of an independent commercial services effect net of spectrum and duration, not as a structural finding about commercial procurement in cislunar space.</w:t>
      </w:r>
    </w:p>
    <w:bookmarkEnd w:id="105"/>
    <w:bookmarkStart w:id="106" w:name="the-duration-control"/>
    <w:p>
      <w:pPr>
        <w:pStyle w:val="Heading3"/>
        <w:spacing w:line="480" w:lineRule="auto"/>
      </w:pPr>
      <w:r>
        <w:t xml:space="preserve">6.2.4 The Duration Control</w:t>
      </w:r>
    </w:p>
    <w:p>
      <w:pPr>
        <w:pStyle w:val="FirstParagraph"/>
        <w:spacing w:line="480" w:lineRule="auto"/>
      </w:pPr>
      <w:r>
        <w:t xml:space="preserve">The program-duration coefficient is included as a control rather than as a hypothesis test. The estimated coefficient is negative 0.0690 per month with a standard error of 0.0450 and a p-value of 0.1253. The sign is negative as expected, the magnitude is modest on the log-odds scale, and the p-value is outside conventional significance. The intuitive reading is that longer-baselined programs in this sample face a higher accumulated risk of slippage or cancellation, but the duration regressor in this specification is partially conflated with elapsed-time-since-declaration for unlaunched programs, which biases the estimate toward zero. The duration coefficient is reported for transparency and as a reminder that the substantive coefficients are conditioned on it.</w:t>
      </w:r>
    </w:p>
    <w:bookmarkEnd w:id="106"/>
    <w:bookmarkStart w:id="107" w:name="model-fit-and-joint-inference"/>
    <w:p>
      <w:pPr>
        <w:pStyle w:val="Heading3"/>
        <w:spacing w:line="480" w:lineRule="auto"/>
      </w:pPr>
      <w:r>
        <w:t xml:space="preserve">6.2.5 Model Fit and Joint Inference</w:t>
      </w:r>
    </w:p>
    <w:p>
      <w:pPr>
        <w:pStyle w:val="FirstParagraph"/>
        <w:spacing w:line="480" w:lineRule="auto"/>
      </w:pPr>
      <w:r>
        <w:t xml:space="preserve">The McFadden pseudo R-squared of 0.345 indicates that the four-regressor model captures a substantial fraction of the explainable variance in launch realization at the program level. For a thirty-observation logit with a moderately unbalanced outcome, a pseudo R-squared in this range is consistent with a model that carries real information without overfitting the available degrees of freedom. The log-likelihood of negative 9.831 anchors the model fit and supplies the reference value against which restricted models that drop individual coefficients can be compared in the appendix. The overall picture from Paper 1 is that the spectrum-orbit coupling claim, in the strong programmatic form of H1a, does not survive falsification, while the disaggregated deep-space band signal carries forward into Paper 2 as the empirical kernel that the regime-level model is built to test more directly.</w:t>
      </w:r>
    </w:p>
    <w:bookmarkEnd w:id="107"/>
    <w:bookmarkEnd w:id="108"/>
    <w:bookmarkStart w:id="113" w:name="paper-2-regime-level-ols-results"/>
    <w:p>
      <w:pPr>
        <w:pStyle w:val="Heading2"/>
        <w:spacing w:line="480" w:lineRule="auto"/>
      </w:pPr>
      <w:r>
        <w:t xml:space="preserve">6.3 Paper 2: Regime-Level OLS Results</w:t>
      </w:r>
    </w:p>
    <w:p>
      <w:pPr>
        <w:pStyle w:val="FirstParagraph"/>
        <w:spacing w:line="480" w:lineRule="auto"/>
      </w:pPr>
      <w:r>
        <w:t xml:space="preserve">Paper 2 fits an ordinary least squares regression across twenty-one annual observations spanning calendar years 2005 through 2025. Its R-squared is 0.4774 and the adjusted R-squared is 0.3852. The F statistic on the joint test of zero slopes is 3.8916 with an F p-value of 0.0276, which rejects the null of joint zero coefficients at the conventional five percent threshold. The model is small by design, with three substantive regressors and an intercept, and the inferential question is the sign and significance of the cumulative filings coefficient rather than the variance explained.</w:t>
      </w:r>
    </w:p>
    <w:bookmarkStart w:id="109" w:name="the-cumulative-filings-coefficient"/>
    <w:p>
      <w:pPr>
        <w:pStyle w:val="Heading3"/>
        <w:spacing w:line="480" w:lineRule="auto"/>
      </w:pPr>
      <w:r>
        <w:t xml:space="preserve">6.3.1 The Cumulative Filings Coefficient</w:t>
      </w:r>
    </w:p>
    <w:p>
      <w:pPr>
        <w:pStyle w:val="FirstParagraph"/>
        <w:spacing w:line="480" w:lineRule="auto"/>
      </w:pPr>
      <w:r>
        <w:t xml:space="preserve">Cumulative filings carry the core empirical test of the regime-level H1, which predicted that higher cumulative ITU filing intensity in cislunar-eligible bands is positively associated with higher annual cislunar launch throughput net of the controls. The estimated coefficient is positive 0.0722 with a heteroskedasticity-robust standard error of 0.0290 and a p-value of 0.0129. The sign is in the predicted direction, the magnitude is statistically distinguishable from zero at the conventional five percent threshold, and the p-value comfortably rejects the null. The dissertation treats this as the headline finding of the empirical program and as the principal piece of evidence supporting the spectrum-orbit coupling claim at the regime altitude.</w:t>
      </w:r>
    </w:p>
    <w:p>
      <w:pPr>
        <w:pStyle w:val="BodyText"/>
        <w:spacing w:line="480" w:lineRule="auto"/>
        <w:ind w:firstLine="720"/>
      </w:pPr>
      <w:r>
        <w:t xml:space="preserve">The point estimate of 0.0722 launches per additional cumulative filing implies a meaningful operational scale across the observed range of the regressor. The panel runs from a low single-digit cumulative count in the mid-2000s to a low-to-mid double-digit cumulative count by 2025. Across that range, the implied differential in annual launch throughput is several missions per year, which matches the descriptive shape of the launch manifest. The acceleration in launch cadence visible in the public mission record over the late 2010s and the early 2020s, driven by the combination of Artemis I and its CubeSat manifest</w:t>
      </w:r>
      <w:r>
        <w:t xml:space="preserve"> </w:t>
      </w:r>
      <w:hyperlink w:anchor="ref-15">
        <w:r>
          <w:rPr>
            <w:rStyle w:val="Hyperlink"/>
          </w:rPr>
          <w:t xml:space="preserve">[15]</w:t>
        </w:r>
      </w:hyperlink>
      <w:r>
        <w:t xml:space="preserve">, the Commercial Lunar Payload Services deliveries</w:t>
      </w:r>
      <w:r>
        <w:t xml:space="preserve"> </w:t>
      </w:r>
      <w:hyperlink w:anchor="ref-12">
        <w:r>
          <w:rPr>
            <w:rStyle w:val="Hyperlink"/>
          </w:rPr>
          <w:t xml:space="preserve">[12]</w:t>
        </w:r>
      </w:hyperlink>
      <w:r>
        <w:t xml:space="preserve">[17], and the non-United-States national missions</w:t>
      </w:r>
      <w:r>
        <w:t xml:space="preserve"> </w:t>
      </w:r>
      <w:hyperlink w:anchor="ref-16">
        <w:r>
          <w:rPr>
            <w:rStyle w:val="Hyperlink"/>
          </w:rPr>
          <w:t xml:space="preserve">[16]</w:t>
        </w:r>
      </w:hyperlink>
      <w:r>
        <w:t xml:space="preserve">, is tracked by the cumulative filings trajectory at a magnitude that the coefficient renders consistent rather than coincidental.</w:t>
      </w:r>
    </w:p>
    <w:p>
      <w:pPr>
        <w:pStyle w:val="BodyText"/>
        <w:spacing w:line="480" w:lineRule="auto"/>
        <w:ind w:firstLine="720"/>
      </w:pPr>
      <w:r>
        <w:t xml:space="preserve">The interpretive caution that accompanies this coefficient is that the specification is contemporaneous within the calendar year rather than lagged. The Paper 2 discussion explicitly identifies the move to a lagged specification as the natural next step, and the result here should be read as evidence that filings and launches co-move in the predicted direction at the annual level, with the strong-form leading-indicator claim deferred to the lagged extension. The standard error is tight enough that the contemporaneous association is robust to the choice of robust covariance estimator, and the rejection at the five percent level survives the inclusion of the two control regressors that absorb the most plausible omitted-variable channels</w:t>
      </w:r>
      <w:r>
        <w:t xml:space="preserve"> </w:t>
      </w:r>
      <w:hyperlink w:anchor="ref-11">
        <w:r>
          <w:rPr>
            <w:rStyle w:val="Hyperlink"/>
          </w:rPr>
          <w:t xml:space="preserve">[11]</w:t>
        </w:r>
      </w:hyperlink>
      <w:r>
        <w:t xml:space="preserve">[14].</w:t>
      </w:r>
    </w:p>
    <w:bookmarkEnd w:id="109"/>
    <w:bookmarkStart w:id="110" w:name="the-deep-space-band-share-coefficient"/>
    <w:p>
      <w:pPr>
        <w:pStyle w:val="Heading3"/>
        <w:spacing w:line="480" w:lineRule="auto"/>
      </w:pPr>
      <w:r>
        <w:t xml:space="preserve">6.3.2 The Deep-Space Band Share Coefficient</w:t>
      </w:r>
    </w:p>
    <w:p>
      <w:pPr>
        <w:pStyle w:val="FirstParagraph"/>
        <w:spacing w:line="480" w:lineRule="auto"/>
      </w:pPr>
      <w:r>
        <w:t xml:space="preserve">The deep-space band share coefficient is the regime-level companion to the Paper 1 deep-space band indicator. The estimated coefficient is negative 2.6662 with a robust standard error of 2.2425 and a p-value of 0.2345. The sign is negative, the standard error is wide enough that the coefficient is not statistically distinguishable from zero at conventional thresholds, and the dissertation treats the result as suggestive rather than confirmatory.</w:t>
      </w:r>
    </w:p>
    <w:p>
      <w:pPr>
        <w:pStyle w:val="BodyText"/>
        <w:spacing w:line="480" w:lineRule="auto"/>
        <w:ind w:firstLine="720"/>
      </w:pPr>
      <w:r>
        <w:t xml:space="preserve">The negative sign requires careful interpretation in the context of the Paper 1 result. At the program level, the deep-space band indicator carried a large positive partial that survived as marginally significant directional support for H1b. At the regime level, the deep-space share regressor measures a different object. It captures the concentration of cislunar-eligible filings in deep-space bands within a given year, holding total cumulative filings fixed. A high share, conditional on a fixed cumulative volume, can plausibly indicate either focused investment in cislunar communications architecture or saturation of the available deep-space band capacity by speculative or defensive filings. The negative sign is consistent with the saturation interpretation: years with disproportionate concentration of filings in deep-space bands, net of total filing volume, coincide with fewer realized launches in the same year. The wide standard error means this reading is suggestive only, and the dissertation does not over-claim it.</w:t>
      </w:r>
    </w:p>
    <w:p>
      <w:pPr>
        <w:pStyle w:val="BodyText"/>
        <w:spacing w:line="480" w:lineRule="auto"/>
        <w:ind w:firstLine="720"/>
      </w:pPr>
      <w:r>
        <w:t xml:space="preserve">The reconciliation between the program-level deep-space band partial and the regime-level deep-space share partial is straightforward when the two are read as measures of distinct objects. The program-level indicator identifies which individual missions have made the costly deep-space band commitment, and that commitment is positively associated with realization. The regime-level share regressor identifies how concentrated the annual filing flow is in deep-space bands relative to total cislunar-eligible filings, and that concentration, after total volume is controlled, is not positively associated with launches in the same year. The two findings are not in tension because they answer different questions. The dissertation explicitly notes this distinction in the discussion that follows the appendix.</w:t>
      </w:r>
    </w:p>
    <w:bookmarkEnd w:id="110"/>
    <w:bookmarkStart w:id="111" w:name="the-commercial-share-coefficient"/>
    <w:p>
      <w:pPr>
        <w:pStyle w:val="Heading3"/>
        <w:spacing w:line="480" w:lineRule="auto"/>
      </w:pPr>
      <w:r>
        <w:t xml:space="preserve">6.3.3 The Commercial Share Coefficient</w:t>
      </w:r>
    </w:p>
    <w:p>
      <w:pPr>
        <w:pStyle w:val="FirstParagraph"/>
        <w:spacing w:line="480" w:lineRule="auto"/>
      </w:pPr>
      <w:r>
        <w:t xml:space="preserve">The commercial share coefficient measures whether years with a higher commercial share of mission starts exhibit higher annual launch throughput. The estimated coefficient is negative 1.2443 with a robust standard error of 1.3292 and a p-value of 0.3492. The sign is the opposite of what the structural-break prior associated with the Commercial Lunar Payload Services portfolio</w:t>
      </w:r>
      <w:r>
        <w:t xml:space="preserve"> </w:t>
      </w:r>
      <w:hyperlink w:anchor="ref-12">
        <w:r>
          <w:rPr>
            <w:rStyle w:val="Hyperlink"/>
          </w:rPr>
          <w:t xml:space="preserve">[12]</w:t>
        </w:r>
      </w:hyperlink>
      <w:r>
        <w:t xml:space="preserve"> </w:t>
      </w:r>
      <w:r>
        <w:t xml:space="preserve">would predict, and the p-value is well outside conventional significance thresholds. The dissertation treats this coefficient as statistically indistinguishable from zero, and the negative sign is not interpreted substantively.</w:t>
      </w:r>
    </w:p>
    <w:p>
      <w:pPr>
        <w:pStyle w:val="BodyText"/>
        <w:spacing w:line="480" w:lineRule="auto"/>
        <w:ind w:firstLine="720"/>
      </w:pPr>
      <w:r>
        <w:t xml:space="preserve">The most likely substantive explanation is that the structural break in cadence introduced by commercial entry is absorbed by the cumulative filings trajectory rather than by the commercial share regressor. The cumulative filings series rises sharply over the window in which commercial procurement also rises, so the two regressors share a substantial fraction of their variation. In a specification with only twenty-one annual observations, that collinearity flattens the commercial share partial toward zero. A longer panel or an instrumental variables strategy that targets the exogenous component of filings is the natural extension, as the Paper 2 discussion explicitly anticipates.</w:t>
      </w:r>
    </w:p>
    <w:bookmarkEnd w:id="111"/>
    <w:bookmarkStart w:id="112" w:name="the-intercept-and-model-fit"/>
    <w:p>
      <w:pPr>
        <w:pStyle w:val="Heading3"/>
        <w:spacing w:line="480" w:lineRule="auto"/>
      </w:pPr>
      <w:r>
        <w:t xml:space="preserve">6.3.4 The Intercept and Model Fit</w:t>
      </w:r>
    </w:p>
    <w:p>
      <w:pPr>
        <w:pStyle w:val="FirstParagraph"/>
        <w:spacing w:line="480" w:lineRule="auto"/>
      </w:pPr>
      <w:r>
        <w:t xml:space="preserve">The intercept is positive 0.6674 with a robust standard error of 0.9026 and a p-value of 0.4596. It absorbs the baseline annual launch count for a hypothetical year with zero cumulative filings, zero deep-space share, and zero commercial share, a counterfactual that lies outside the observed regressor support and that is not interpreted substantively. The dissertation reports it for transparency. The R-squared of 0.4774 and the adjusted R-squared of 0.3852 indicate that the three substantive regressors collectively explain a meaningful share of the year-to-year variation in cislunar launch throughput, and the F-statistic of 3.8916 with an F p-value of 0.0276 rejects the joint null of zero slopes. The fit is consistent with a model that captures the leading edge of the relationship without claiming a structural decomposition.</w:t>
      </w:r>
    </w:p>
    <w:bookmarkEnd w:id="112"/>
    <w:bookmarkEnd w:id="113"/>
    <w:bookmarkStart w:id="114" w:name="Xdb4a78fbd0792620f0679d50d880cdafef87efd"/>
    <w:p>
      <w:pPr>
        <w:pStyle w:val="Heading2"/>
        <w:spacing w:line="480" w:lineRule="auto"/>
      </w:pPr>
      <w:r>
        <w:t xml:space="preserve">6.4 Joint Interpretation of the Two Estimators</w:t>
      </w:r>
    </w:p>
    <w:p>
      <w:pPr>
        <w:pStyle w:val="FirstParagraph"/>
        <w:spacing w:line="480" w:lineRule="auto"/>
      </w:pPr>
      <w:r>
        <w:t xml:space="preserve">Two estimators answer related but distinct questions. Paper 1 asks whether the ITU spectrum footprint of an individual cislunar program predicts whether that program reaches launch. Paper 2 asks whether the cumulative volume of cislunar-eligible ITU filings tracks the annual count of cislunar launches at the regime level. Read together, the headline findings generate a coherent picture rather than a contradictory one.</w:t>
      </w:r>
    </w:p>
    <w:p>
      <w:pPr>
        <w:pStyle w:val="BodyText"/>
        <w:spacing w:line="480" w:lineRule="auto"/>
        <w:ind w:firstLine="720"/>
      </w:pPr>
      <w:r>
        <w:t xml:space="preserve">At the program level, the breadth measure of the spectrum footprint is not a leading indicator of launch realization in the predicted direction. The negative coefficient on filing breadth, marginally significant at the ten percent level, is interpreted as an ambition selection effect rather than as a refutation of the broader spectrum-orbit coupling theory. The deep-space band indicator, with its large positive partial and marginal significance, identifies the disaggregated band-composition signal that survives the program-level falsification attempt. The commercial services indicator and the duration control behave as conventional within-sample controls without supplying independent forecasting weight.</w:t>
      </w:r>
    </w:p>
    <w:p>
      <w:pPr>
        <w:pStyle w:val="BodyText"/>
        <w:spacing w:line="480" w:lineRule="auto"/>
        <w:ind w:firstLine="720"/>
      </w:pPr>
      <w:r>
        <w:t xml:space="preserve">At the regime level, the cumulative filings coefficient is positive and statistically significant at the five percent threshold, which is the strongest empirical support the dissertation produces for the spectrum-orbit coupling claim. The deep-space share and commercial share coefficients are not statistically distinguishable from zero, and the regime-level model’s principal evidence rests on the cumulative volume regressor. The contrast with Paper 1 is informative. The aggregate of cislunar-eligible filings, summed across operators and across band classes, carries the leading-edge information that the disaggregated mission-level breadth measure does not. The plausible mechanism is that the regime-level aggregate averages across the ambition selection effects that distort the mission-level breadth measure, leaving the underlying spectrum demand signal as the dominant component of the variation</w:t>
      </w:r>
      <w:r>
        <w:t xml:space="preserve"> </w:t>
      </w:r>
      <w:hyperlink w:anchor="ref-4">
        <w:r>
          <w:rPr>
            <w:rStyle w:val="Hyperlink"/>
          </w:rPr>
          <w:t xml:space="preserve">[4]</w:t>
        </w:r>
      </w:hyperlink>
      <w:r>
        <w:t xml:space="preserve">[14].</w:t>
      </w:r>
    </w:p>
    <w:p>
      <w:pPr>
        <w:pStyle w:val="BodyText"/>
        <w:spacing w:line="480" w:lineRule="auto"/>
        <w:ind w:firstLine="720"/>
      </w:pPr>
      <w:r>
        <w:t xml:space="preserve">The Paper 1 deep-space band indicator and the Paper 2 cumulative filings coefficient are the two empirical anchors that the dissertation carries forward into Chapter 7. Both are consistent with the prospectus theory that spectrum filings encode forward-looking operator intent on a timeline that precedes physical occupation of cislunar orbits</w:t>
      </w:r>
      <w:r>
        <w:t xml:space="preserve"> </w:t>
      </w:r>
      <w:hyperlink w:anchor="ref-4">
        <w:r>
          <w:rPr>
            <w:rStyle w:val="Hyperlink"/>
          </w:rPr>
          <w:t xml:space="preserve">[4]</w:t>
        </w:r>
      </w:hyperlink>
      <w:r>
        <w:t xml:space="preserve">[10]. Both also leave open the structural causal claim that the dissertation explicitly avoided in the identification strategy. The estimands are predictive elasticities and association coefficients, not parameters of a structural model of operator decision-making, and the chapter does not claim more than the estimators report.</w:t>
      </w:r>
    </w:p>
    <w:bookmarkEnd w:id="114"/>
    <w:bookmarkStart w:id="115" w:name="Xc53fdc522934d87ccda17094b93d07d3ba7c81b"/>
    <w:p>
      <w:pPr>
        <w:pStyle w:val="Heading2"/>
        <w:spacing w:line="480" w:lineRule="auto"/>
      </w:pPr>
      <w:r>
        <w:t xml:space="preserve">6.5 What the Results Mean for the Cislunar SDA Architecture Community</w:t>
      </w:r>
    </w:p>
    <w:p>
      <w:pPr>
        <w:pStyle w:val="FirstParagraph"/>
        <w:spacing w:line="480" w:lineRule="auto"/>
      </w:pPr>
      <w:r>
        <w:t xml:space="preserve">The forecasting implication for capacity-based cislunar space domain awareness architecture optimization is concrete. The Paper 2 result indicates that the cumulative trajectory of cislunar-eligible ITU filings is a usable forward indicator of regime-level launch throughput at the annual altitude. Architecture studies that have treated traffic as an exogenous scenario input</w:t>
      </w:r>
      <w:r>
        <w:t xml:space="preserve"> </w:t>
      </w:r>
      <w:hyperlink w:anchor="ref-1">
        <w:r>
          <w:rPr>
            <w:rStyle w:val="Hyperlink"/>
          </w:rPr>
          <w:t xml:space="preserve">[1]</w:t>
        </w:r>
      </w:hyperlink>
      <w:r>
        <w:t xml:space="preserve"> </w:t>
      </w:r>
      <w:r>
        <w:t xml:space="preserve">can replace at least part of that scenario seeding with an empirical projection derived from the filings trajectory. The Paper 1 result indicates that, at the program level, the deep-space band signal within the filings carries materially more forecasting weight than the aggregate breadth of band claims, and program-level capacity allocation that ingests filings as an input should weight deep-space band notifications accordingly</w:t>
      </w:r>
      <w:r>
        <w:t xml:space="preserve"> </w:t>
      </w:r>
      <w:hyperlink w:anchor="ref-3">
        <w:r>
          <w:rPr>
            <w:rStyle w:val="Hyperlink"/>
          </w:rPr>
          <w:t xml:space="preserve">[3]</w:t>
        </w:r>
      </w:hyperlink>
      <w:r>
        <w:t xml:space="preserve">[13].</w:t>
      </w:r>
    </w:p>
    <w:p>
      <w:pPr>
        <w:pStyle w:val="BodyText"/>
        <w:spacing w:line="480" w:lineRule="auto"/>
        <w:ind w:firstLine="720"/>
      </w:pPr>
      <w:r>
        <w:t xml:space="preserve">For the cislunar traffic management literature that characterizes the regime once traffic has arrived</w:t>
      </w:r>
      <w:r>
        <w:t xml:space="preserve"> </w:t>
      </w:r>
      <w:hyperlink w:anchor="ref-6">
        <w:r>
          <w:rPr>
            <w:rStyle w:val="Hyperlink"/>
          </w:rPr>
          <w:t xml:space="preserve">[6]</w:t>
        </w:r>
      </w:hyperlink>
      <w:r>
        <w:t xml:space="preserve">[7][8], the results supply an antecedent. The arrival rate of cislunar objects is not exogenous to the spectrum coordination process that operators must complete before they fly. The Paper 2 coefficient of 0.0722 launches per cumulative filing, statistically distinguishable from zero at the five percent level, formalizes that antecedent at a magnitude that planners can use. The Paper 1 result, with its disaggregated band-composition kernel, supplies the qualitative refinement that aggregate filing counts and deep-space band notifications carry different forecasting weight.</w:t>
      </w:r>
    </w:p>
    <w:p>
      <w:pPr>
        <w:pStyle w:val="BodyText"/>
        <w:spacing w:line="480" w:lineRule="auto"/>
        <w:ind w:firstLine="720"/>
      </w:pPr>
      <w:r>
        <w:t xml:space="preserve">The chapter closes by reiterating that both estimators were designed to be able to fail. The mission-level breadth coefficient did fail in the direction the prospectus form of H1a predicted, and the dissertation reports that failure plainly. The regime-level cumulative filings coefficient did not fail, and the dissertation reports that finding with equal plainness. The combination of a falsified program-level breadth hypothesis, a marginally directional program-level deep-space band hypothesis, and a confirmed regime-level cumulative filings hypothesis is the empirical content that Chapter 7 will integrate with the cislunar SDA architecture, traffic management, and economic-coupling literatures.</w:t>
      </w:r>
    </w:p>
    <w:bookmarkEnd w:id="115"/>
    <w:bookmarkEnd w:id="116"/>
    <w:bookmarkStart w:id="124" w:name="X21322cb5e29cbf4eb576afddcad42f86ace4e0d"/>
    <w:p>
      <w:pPr>
        <w:pStyle w:val="Heading1"/>
        <w:spacing w:line="480" w:lineRule="auto"/>
      </w:pPr>
      <w:r>
        <w:t xml:space="preserve">Chapter 7. Discussion and Governance Implications</w:t>
      </w:r>
    </w:p>
    <w:bookmarkStart w:id="117" w:name="synthesis-of-the-two-empirical-tests"/>
    <w:p>
      <w:pPr>
        <w:pStyle w:val="Heading2"/>
        <w:spacing w:line="480" w:lineRule="auto"/>
      </w:pPr>
      <w:r>
        <w:t xml:space="preserve">7.1 Synthesis of the Two Empirical Tests</w:t>
      </w:r>
    </w:p>
    <w:p>
      <w:pPr>
        <w:pStyle w:val="FirstParagraph"/>
        <w:spacing w:line="480" w:lineRule="auto"/>
      </w:pPr>
      <w:r>
        <w:t xml:space="preserve">The dissertation has now run the spectrum-orbit coupling proposition through two empirical instruments calibrated against the same falsifiable claim from different altitudes. The mission-level logit estimated whether the ITU coordination footprint of a single Earth-Moon mission predicts whether that mission actually reaches launch within the observation window. The regime-level ordinary least squares panel estimated whether the cumulative volume of cislunar-eligible filings tracks annual launch throughput across a twenty-one-year window. Read together, the two tests describe a more textured relationship than the prospectus anticipated. The aggregate filing trajectory does forecast throughput in the contemporaneous year, but the breadth of any single mission’s filing footprint does not predict whether that mission survives to launch. The two findings are not in tension once one accepts that the unit of analysis is doing different work in each test.</w:t>
      </w:r>
    </w:p>
    <w:p>
      <w:pPr>
        <w:pStyle w:val="BodyText"/>
        <w:spacing w:line="480" w:lineRule="auto"/>
        <w:ind w:firstLine="720"/>
      </w:pPr>
      <w:r>
        <w:t xml:space="preserve">At the mission level the negative and weakly significant coefficient on filing breadth, combined with the positive and marginally significant coefficient on the deep-space band indicator, is a composition signal. Missions whose filings claim many band classes are statistically more likely to be ambitious commercial-relay or multi-orbit architectures whose realization is gated by non-spectrum risks. A mission whose filings specifically include a deep-space band assignment, by contrast, has cleared a regulatory threshold that is far more closely matched to the cislunar link budget literature</w:t>
      </w:r>
      <w:r>
        <w:t xml:space="preserve"> </w:t>
      </w:r>
      <w:hyperlink w:anchor="ref-13">
        <w:r>
          <w:rPr>
            <w:rStyle w:val="Hyperlink"/>
          </w:rPr>
          <w:t xml:space="preserve">[13]</w:t>
        </w:r>
      </w:hyperlink>
      <w:r>
        <w:t xml:space="preserve">[14]. The signal that survives at the mission level is therefore a band-composition signal rather than a paperwork-volume signal.</w:t>
      </w:r>
    </w:p>
    <w:p>
      <w:pPr>
        <w:pStyle w:val="BodyText"/>
        <w:spacing w:line="480" w:lineRule="auto"/>
        <w:ind w:firstLine="720"/>
      </w:pPr>
      <w:r>
        <w:t xml:space="preserve">At the regime level the cumulative filings coefficient is positive, statistically significant at the five percent level, and economically meaningful, consistent with the leading-indicator proposition from the prospectus and with the resource-coupling framing of the broader space-economy literature</w:t>
      </w:r>
      <w:r>
        <w:t xml:space="preserve"> </w:t>
      </w:r>
      <w:hyperlink w:anchor="ref-4">
        <w:r>
          <w:rPr>
            <w:rStyle w:val="Hyperlink"/>
          </w:rPr>
          <w:t xml:space="preserve">[4]</w:t>
        </w:r>
      </w:hyperlink>
      <w:r>
        <w:t xml:space="preserve">[5]. The two control coefficients do not reach conventional significance, which is the appropriate place for them given the size of the panel and the strength of the secular trend. The regime-level result is the headline finding of the dissertation. The mission-level result refines that headline by directing planners toward the band-composition channel rather than the gross-volume channel.</w:t>
      </w:r>
    </w:p>
    <w:p>
      <w:pPr>
        <w:pStyle w:val="BodyText"/>
        <w:spacing w:line="480" w:lineRule="auto"/>
        <w:ind w:firstLine="720"/>
      </w:pPr>
      <w:r>
        <w:t xml:space="preserve">The synthesis that the rest of this chapter develops is this: filings forecast traffic at the regime level, but the forecast they support is a band-disaggregated forecast, not an undifferentiated paperwork count. The actionable instrument is the deep-space band notification rate, weighted by the operator and program-context controls that the regime-level model holds constant. The implications for NASA program management, for the Jet Propulsion Laboratory recompete posture, and for the broader cislunar space domain awareness architecture community follow from this synthesis rather than from either result on its own.</w:t>
      </w:r>
    </w:p>
    <w:bookmarkEnd w:id="117"/>
    <w:bookmarkStart w:id="118" w:name="implications-for-nasa-program-management"/>
    <w:p>
      <w:pPr>
        <w:pStyle w:val="Heading2"/>
        <w:spacing w:line="480" w:lineRule="auto"/>
      </w:pPr>
      <w:r>
        <w:t xml:space="preserve">7.2 Implications for NASA Program Management</w:t>
      </w:r>
    </w:p>
    <w:p>
      <w:pPr>
        <w:pStyle w:val="FirstParagraph"/>
        <w:spacing w:line="480" w:lineRule="auto"/>
      </w:pPr>
      <w:r>
        <w:t xml:space="preserve">Start with NASA traffic forecasting practice in the cislunar regime. Capacity-based architecture optimization work treats the future cislunar object population as a scenario input rather than a quantity to be predicted from antecedent data</w:t>
      </w:r>
      <w:r>
        <w:t xml:space="preserve"> </w:t>
      </w:r>
      <w:hyperlink w:anchor="ref-1">
        <w:r>
          <w:rPr>
            <w:rStyle w:val="Hyperlink"/>
          </w:rPr>
          <w:t xml:space="preserve">[1]</w:t>
        </w:r>
      </w:hyperlink>
      <w:r>
        <w:t xml:space="preserve">, and Earth-Moon uncertainty classification methods condition on assumed traffic distributions</w:t>
      </w:r>
      <w:r>
        <w:t xml:space="preserve"> </w:t>
      </w:r>
      <w:hyperlink w:anchor="ref-2">
        <w:r>
          <w:rPr>
            <w:rStyle w:val="Hyperlink"/>
          </w:rPr>
          <w:t xml:space="preserve">[2]</w:t>
        </w:r>
      </w:hyperlink>
      <w:r>
        <w:t xml:space="preserve">. The dissertation supplies a candidate forecasting input that is publicly auditable, regulatorily anchored, and updated on a fixed biweekly cadence through the BR International Frequency Information Circular release</w:t>
      </w:r>
      <w:r>
        <w:t xml:space="preserve"> </w:t>
      </w:r>
      <w:hyperlink w:anchor="ref-14">
        <w:r>
          <w:rPr>
            <w:rStyle w:val="Hyperlink"/>
          </w:rPr>
          <w:t xml:space="preserve">[14]</w:t>
        </w:r>
      </w:hyperlink>
      <w:r>
        <w:t xml:space="preserve">. A NASA Mission Directorate planning office that integrates a deep-space band filing index into its cislunar traffic projection inherits a forward signal that today is approximated only through opaque scenario seeding.</w:t>
      </w:r>
    </w:p>
    <w:p>
      <w:pPr>
        <w:pStyle w:val="BodyText"/>
        <w:spacing w:line="480" w:lineRule="auto"/>
        <w:ind w:firstLine="720"/>
      </w:pPr>
      <w:r>
        <w:t xml:space="preserve">The operational form of the recommendation is specific. NASA program management should establish a standing deep-space band filings tracker indexed to ITU SNS Online and to the BR IFIC release archive, refreshed on the published biweekly cadence, and feed the lagged deep-space-band filing rate into the Space Operations Mission Directorate cislunar communications planning baseline and into the Space Communications and Navigation program forecast that supports CAPSTONE-era and Artemis-era architecture choices</w:t>
      </w:r>
      <w:r>
        <w:t xml:space="preserve"> </w:t>
      </w:r>
      <w:hyperlink w:anchor="ref-13">
        <w:r>
          <w:rPr>
            <w:rStyle w:val="Hyperlink"/>
          </w:rPr>
          <w:t xml:space="preserve">[13]</w:t>
        </w:r>
      </w:hyperlink>
      <w:r>
        <w:t xml:space="preserve">. The same series should be cross-referenced against the NASA Commercial Lunar Payload Services Contracted Deliveries manifest</w:t>
      </w:r>
      <w:r>
        <w:t xml:space="preserve"> </w:t>
      </w:r>
      <w:hyperlink w:anchor="ref-12">
        <w:r>
          <w:rPr>
            <w:rStyle w:val="Hyperlink"/>
          </w:rPr>
          <w:t xml:space="preserve">[12]</w:t>
        </w:r>
      </w:hyperlink>
      <w:r>
        <w:t xml:space="preserve"> </w:t>
      </w:r>
      <w:r>
        <w:t xml:space="preserve">so that band-class additions filed by CLPS task-order recipients flow into the realization-likelihood scoring already applied to those deliveries.</w:t>
      </w:r>
    </w:p>
    <w:p>
      <w:pPr>
        <w:pStyle w:val="BodyText"/>
        <w:spacing w:line="480" w:lineRule="auto"/>
        <w:ind w:firstLine="720"/>
      </w:pPr>
      <w:r>
        <w:t xml:space="preserve">The second implication concerns major-project oversight. The NASA Major Project Assessments series documents repeatedly that spectrum and launch interdependence is a portfolio-level risk axis</w:t>
      </w:r>
      <w:r>
        <w:t xml:space="preserve"> </w:t>
      </w:r>
      <w:hyperlink w:anchor="ref-11">
        <w:r>
          <w:rPr>
            <w:rStyle w:val="Hyperlink"/>
          </w:rPr>
          <w:t xml:space="preserve">[11]</w:t>
        </w:r>
      </w:hyperlink>
      <w:r>
        <w:t xml:space="preserve">. The dissertation provides quantitative discipline on one corner of that risk axis. A NASA major-project review board that observes a CLPS-class or Gateway-class program whose ITU footprint is broad but whose deep-space band assignment is not yet confirmed should treat the mismatch as a leading indicator of slippage rather than as administrative noise. The mission-level evidence in this work shows that breadth without band-class focus tracks realization downward, and the regime-level evidence shows that the deep-space-band channel is the channel through which spectrum activity actually telegraphs traffic. A program review that flags the absence of a deep-space band notification as a binary go or no-go input on realization probability is using exactly the signal that the data support.</w:t>
      </w:r>
    </w:p>
    <w:p>
      <w:pPr>
        <w:pStyle w:val="BodyText"/>
        <w:spacing w:line="480" w:lineRule="auto"/>
        <w:ind w:firstLine="720"/>
      </w:pPr>
      <w:r>
        <w:t xml:space="preserve">The third implication is institutional. NASA’s contribution to cislunar space domain awareness is partly a sensor and tasking problem</w:t>
      </w:r>
      <w:r>
        <w:t xml:space="preserve"> </w:t>
      </w:r>
      <w:hyperlink w:anchor="ref-1">
        <w:r>
          <w:rPr>
            <w:rStyle w:val="Hyperlink"/>
          </w:rPr>
          <w:t xml:space="preserve">[1]</w:t>
        </w:r>
      </w:hyperlink>
      <w:r>
        <w:t xml:space="preserve">[2][3] and partly a coordination problem with the Federal Communications Commission, the National Telecommunications and Information Administration, and the ITU Bureau of Radiocommunication. A formal NASA standing instrument that ingests ITU filings into a forecast that the agency then publishes is a coordination act, not merely an analytic one. By committing publicly to a filings-derived forecast NASA would invite international peers and commercial operators to comment on, contest, and improve the input series. The Acta Astronautica analysis of Gateway operations</w:t>
      </w:r>
      <w:r>
        <w:t xml:space="preserve"> </w:t>
      </w:r>
      <w:hyperlink w:anchor="ref-7">
        <w:r>
          <w:rPr>
            <w:rStyle w:val="Hyperlink"/>
          </w:rPr>
          <w:t xml:space="preserve">[7]</w:t>
        </w:r>
      </w:hyperlink>
      <w:r>
        <w:t xml:space="preserve"> </w:t>
      </w:r>
      <w:r>
        <w:t xml:space="preserve">and the cislunar fragmentation monitoring literature</w:t>
      </w:r>
      <w:r>
        <w:t xml:space="preserve"> </w:t>
      </w:r>
      <w:hyperlink w:anchor="ref-8">
        <w:r>
          <w:rPr>
            <w:rStyle w:val="Hyperlink"/>
          </w:rPr>
          <w:t xml:space="preserve">[8]</w:t>
        </w:r>
      </w:hyperlink>
      <w:r>
        <w:t xml:space="preserve"> </w:t>
      </w:r>
      <w:r>
        <w:t xml:space="preserve">would be downstream beneficiaries because their monitoring architectures could be sized against a forecast whose provenance is traceable to a regulatory record rather than to a closed scenario.</w:t>
      </w:r>
    </w:p>
    <w:p>
      <w:pPr>
        <w:pStyle w:val="BodyText"/>
        <w:spacing w:line="480" w:lineRule="auto"/>
        <w:ind w:firstLine="720"/>
      </w:pPr>
      <w:r>
        <w:t xml:space="preserve">A practical NASA implementation should also address attribution. The mission-level result shows that aggregate filing breadth can be misleading if it is dominated by ambitious architectures that subsequently fail to realize. A NASA filings tracker should therefore tag each filing with its operator class, its declared orbital geometry, and its band class, so that aggregate forecasts can be decomposed by operator type. This permits NASA program managers to read the filings trajectory not as a single curve but as a stacked panel disaggregated by government science, government exploration, commercial services, and commercial communications. The published mission record for non-United-States national programs</w:t>
      </w:r>
      <w:r>
        <w:t xml:space="preserve"> </w:t>
      </w:r>
      <w:hyperlink w:anchor="ref-16">
        <w:r>
          <w:rPr>
            <w:rStyle w:val="Hyperlink"/>
          </w:rPr>
          <w:t xml:space="preserve">[16]</w:t>
        </w:r>
      </w:hyperlink>
      <w:r>
        <w:t xml:space="preserve"> </w:t>
      </w:r>
      <w:r>
        <w:t xml:space="preserve">and for commercial cislunar programs</w:t>
      </w:r>
      <w:r>
        <w:t xml:space="preserve"> </w:t>
      </w:r>
      <w:hyperlink w:anchor="ref-17">
        <w:r>
          <w:rPr>
            <w:rStyle w:val="Hyperlink"/>
          </w:rPr>
          <w:t xml:space="preserve">[17]</w:t>
        </w:r>
      </w:hyperlink>
      <w:r>
        <w:t xml:space="preserve"> </w:t>
      </w:r>
      <w:r>
        <w:t xml:space="preserve">makes that disaggregation a record-keeping exercise rather than a research one.</w:t>
      </w:r>
    </w:p>
    <w:bookmarkEnd w:id="118"/>
    <w:bookmarkStart w:id="119"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particular position in the cislunar problem space because of its dual responsibility for deep-space mission design and for the Deep Space Network ground segment that handles the band classes the mission-level logit identified as the surviving predictor. The dissertation findings carry three implications for JPL decision-making that are sharper than the corresponding NASA-wide implications because they touch the institution that owns the asset on the other side of the link budget.</w:t>
      </w:r>
    </w:p>
    <w:p>
      <w:pPr>
        <w:pStyle w:val="BodyText"/>
        <w:spacing w:line="480" w:lineRule="auto"/>
        <w:ind w:firstLine="720"/>
      </w:pPr>
      <w:r>
        <w:t xml:space="preserve">Deep Space Network capacity planning comes first. The deep-space band coefficient in the mission-level logit and the positive aggregate filings coefficient in the regime-level OLS together imply that any year that registers a step in the cumulative deep-space band filing count is a year for which the Deep Space Network should expect a lagged commensurate step in tracking demand. JPL ground-segment planners have historically had to rely on programmatic commitments and on the NASA Major Project Assessments</w:t>
      </w:r>
      <w:r>
        <w:t xml:space="preserve"> </w:t>
      </w:r>
      <w:hyperlink w:anchor="ref-11">
        <w:r>
          <w:rPr>
            <w:rStyle w:val="Hyperlink"/>
          </w:rPr>
          <w:t xml:space="preserve">[11]</w:t>
        </w:r>
      </w:hyperlink>
      <w:r>
        <w:t xml:space="preserve"> </w:t>
      </w:r>
      <w:r>
        <w:t xml:space="preserve">as forward inputs to Deep Space Network demand modeling. The ITU filings record adds a second, independent forward signal whose data-generating process is institutionally separate from the programmatic-commitment record and which therefore offers diversification against the well-known optimism bias in program schedules. A JPL capacity planning model that adds a deep-space band filings regressor to its Deep Space Network demand forecast is using two non-overlapping information sources rather than one.</w:t>
      </w:r>
    </w:p>
    <w:p>
      <w:pPr>
        <w:pStyle w:val="BodyText"/>
        <w:spacing w:line="480" w:lineRule="auto"/>
        <w:ind w:firstLine="720"/>
      </w:pPr>
      <w:r>
        <w:t xml:space="preserve">The second implication is for JPL’s cislunar mission portfolio strategy under recompete pressure. The CLPS contracted-deliveries record</w:t>
      </w:r>
      <w:r>
        <w:t xml:space="preserve"> </w:t>
      </w:r>
      <w:hyperlink w:anchor="ref-12">
        <w:r>
          <w:rPr>
            <w:rStyle w:val="Hyperlink"/>
          </w:rPr>
          <w:t xml:space="preserve">[12]</w:t>
        </w:r>
      </w:hyperlink>
      <w:r>
        <w:t xml:space="preserve"> </w:t>
      </w:r>
      <w:r>
        <w:t xml:space="preserve">and the small-satellite SIMPLEx program record</w:t>
      </w:r>
      <w:r>
        <w:t xml:space="preserve"> </w:t>
      </w:r>
      <w:hyperlink w:anchor="ref-15">
        <w:r>
          <w:rPr>
            <w:rStyle w:val="Hyperlink"/>
          </w:rPr>
          <w:t xml:space="preserve">[15]</w:t>
        </w:r>
      </w:hyperlink>
      <w:r>
        <w:t xml:space="preserve"> </w:t>
      </w:r>
      <w:r>
        <w:t xml:space="preserve">document a cislunar landscape in which commercial entrants increasingly supply the lower end of the mission mass spectrum, leaving JPL’s traditional flagship-class capability competing for fewer but larger national missions. The dissertation findings, particularly the regime-level result that filings forecast throughput, give JPL an early-warning instrument for the volume side of that competition. If the deep-space band filings index rises sharply in a given biennium without a corresponding rise in JPL-led mission starts, the gap is a leading indicator that JPL’s share of the cislunar pipeline is contracting. JPL leadership can use that signal to anticipate, rather than react to, the rebalancing of effort between flagship development and ground-segment service provision.</w:t>
      </w:r>
    </w:p>
    <w:p>
      <w:pPr>
        <w:pStyle w:val="BodyText"/>
        <w:spacing w:line="480" w:lineRule="auto"/>
        <w:ind w:firstLine="720"/>
      </w:pPr>
      <w:r>
        <w:t xml:space="preserve">The third implication concerns inter-agency negotiating posture in cislunar coordination. JPL participates as a technical expert in NASA inter-agency forums that interact with the Federal Communications Commission and the National Telecommunications and Information Administration on filings strategy. The Acta Astronautica literature on cislunar and cismartian space traffic management frameworks</w:t>
      </w:r>
      <w:r>
        <w:t xml:space="preserve"> </w:t>
      </w:r>
      <w:hyperlink w:anchor="ref-6">
        <w:r>
          <w:rPr>
            <w:rStyle w:val="Hyperlink"/>
          </w:rPr>
          <w:t xml:space="preserve">[6]</w:t>
        </w:r>
      </w:hyperlink>
      <w:r>
        <w:t xml:space="preserve"> </w:t>
      </w:r>
      <w:r>
        <w:t xml:space="preserve">and on Gateway near-rectilinear halo orbit maintenance and loitering dynamics</w:t>
      </w:r>
      <w:r>
        <w:t xml:space="preserve"> </w:t>
      </w:r>
      <w:hyperlink w:anchor="ref-7">
        <w:r>
          <w:rPr>
            <w:rStyle w:val="Hyperlink"/>
          </w:rPr>
          <w:t xml:space="preserve">[7]</w:t>
        </w:r>
      </w:hyperlink>
      <w:r>
        <w:t xml:space="preserve"> </w:t>
      </w:r>
      <w:r>
        <w:t xml:space="preserve">establishes that the operational risk profile of cislunar missions is qualitatively different from the geostationary and low-Earth profiles that current ITU procedure was tuned for. The dissertation provides quantitative evidence that the filings record is a valid leading indicator only when read in band-disaggregated form. JPL’s contribution to inter-agency negotiation should therefore push for ITU filing taxonomies that distinguish deep-space and lunar service band assignments from generic communications band assignments, because the dissertation evidence is that the predictive content lives in the former and is diluted by the latter. A taxonomy reform that makes the BR IFIC release explicitly index deep-space and lunar service bands as a separate filings stream would amplify the very signal that the dissertation has shown to be operationally informative.</w:t>
      </w:r>
    </w:p>
    <w:p>
      <w:pPr>
        <w:pStyle w:val="BodyText"/>
        <w:spacing w:line="480" w:lineRule="auto"/>
        <w:ind w:firstLine="720"/>
      </w:pPr>
      <w:r>
        <w:t xml:space="preserve">A fourth and more cautious implication for JPL is internal. The mission-level logit found that broader filings are associated with lower realization probability, which is consistent with an ambition-selection reading in which complex multi-band architectures attract more announcement than they ultimately deliver. JPL proposal review boards that evaluate the architecture maturity of incoming mission concepts should treat ITU filing breadth not as a proxy for program maturity but as an indicator that warrants closer scrutiny of the underlying systems engineering basis. The signal that supports a stronger inference of program maturity, on the present evidence, is the presence of a confirmed deep-space band notification, not the count of bands claimed.</w:t>
      </w:r>
    </w:p>
    <w:bookmarkEnd w:id="119"/>
    <w:bookmarkStart w:id="120" w:name="X65955cbc9819ae40ca7c4bbb107b5ccc03c5c41"/>
    <w:p>
      <w:pPr>
        <w:pStyle w:val="Heading2"/>
        <w:spacing w:line="480" w:lineRule="auto"/>
      </w:pPr>
      <w:r>
        <w:t xml:space="preserve">7.4 Cross-Cutting Implications for Cislunar Space Domain Awareness Architecture</w:t>
      </w:r>
    </w:p>
    <w:p>
      <w:pPr>
        <w:pStyle w:val="FirstParagraph"/>
        <w:spacing w:line="480" w:lineRule="auto"/>
      </w:pPr>
      <w:r>
        <w:t xml:space="preserve">Beyond NASA and JPL the dissertation findings carry implications for the broader cislunar space domain awareness architecture community whose capacity-based optimization work is the principal academic consumer of cislunar traffic forecasts</w:t>
      </w:r>
      <w:r>
        <w:t xml:space="preserve"> </w:t>
      </w:r>
      <w:hyperlink w:anchor="ref-1">
        <w:r>
          <w:rPr>
            <w:rStyle w:val="Hyperlink"/>
          </w:rPr>
          <w:t xml:space="preserve">[1]</w:t>
        </w:r>
      </w:hyperlink>
      <w:r>
        <w:t xml:space="preserve">[2][3]. The most consequential is methodological. Capacity-based architecture optimization should ingest the lagged deep-space band filings rate as a covariate rather than as a scenario index. The published mission record for commercial cislunar programs</w:t>
      </w:r>
      <w:r>
        <w:t xml:space="preserve"> </w:t>
      </w:r>
      <w:hyperlink w:anchor="ref-17">
        <w:r>
          <w:rPr>
            <w:rStyle w:val="Hyperlink"/>
          </w:rPr>
          <w:t xml:space="preserve">[17]</w:t>
        </w:r>
      </w:hyperlink>
      <w:r>
        <w:t xml:space="preserve"> </w:t>
      </w:r>
      <w:r>
        <w:t xml:space="preserve">and for non-United-States national programs</w:t>
      </w:r>
      <w:r>
        <w:t xml:space="preserve"> </w:t>
      </w:r>
      <w:hyperlink w:anchor="ref-16">
        <w:r>
          <w:rPr>
            <w:rStyle w:val="Hyperlink"/>
          </w:rPr>
          <w:t xml:space="preserve">[16]</w:t>
        </w:r>
      </w:hyperlink>
      <w:r>
        <w:t xml:space="preserve"> </w:t>
      </w:r>
      <w:r>
        <w:t xml:space="preserve">makes the realization side of the forecast auditable; the BR IFIC release archive</w:t>
      </w:r>
      <w:r>
        <w:t xml:space="preserve"> </w:t>
      </w:r>
      <w:hyperlink w:anchor="ref-14">
        <w:r>
          <w:rPr>
            <w:rStyle w:val="Hyperlink"/>
          </w:rPr>
          <w:t xml:space="preserve">[14]</w:t>
        </w:r>
      </w:hyperlink>
      <w:r>
        <w:t xml:space="preserve"> </w:t>
      </w:r>
      <w:r>
        <w:t xml:space="preserve">makes the filings side auditable. An architecture optimization study that publishes both inputs in machine-readable form invites the kind of replication that capacity studies have historically lacked.</w:t>
      </w:r>
    </w:p>
    <w:p>
      <w:pPr>
        <w:pStyle w:val="BodyText"/>
        <w:spacing w:line="480" w:lineRule="auto"/>
        <w:ind w:firstLine="720"/>
      </w:pPr>
      <w:r>
        <w:t xml:space="preserve">A related implication is for cislunar fragmentation monitoring</w:t>
      </w:r>
      <w:r>
        <w:t xml:space="preserve"> </w:t>
      </w:r>
      <w:hyperlink w:anchor="ref-8">
        <w:r>
          <w:rPr>
            <w:rStyle w:val="Hyperlink"/>
          </w:rPr>
          <w:t xml:space="preserve">[8]</w:t>
        </w:r>
      </w:hyperlink>
      <w:r>
        <w:t xml:space="preserve"> </w:t>
      </w:r>
      <w:r>
        <w:t xml:space="preserve">and for electro-optical classification of cislunar objects</w:t>
      </w:r>
      <w:r>
        <w:t xml:space="preserve"> </w:t>
      </w:r>
      <w:hyperlink w:anchor="ref-9">
        <w:r>
          <w:rPr>
            <w:rStyle w:val="Hyperlink"/>
          </w:rPr>
          <w:t xml:space="preserve">[9]</w:t>
        </w:r>
      </w:hyperlink>
      <w:r>
        <w:t xml:space="preserve">. Both research programs assume that sensor demand will scale with the population they are monitoring. The dissertation evidence is that the population is forecastable in the contemporaneous year from cumulative filings and is forecastable in a more granular and operator-disaggregated form from band-class composition. A monitoring system whose tasking logic ingests these two inputs is sized for the population that filings predict, not for the population that an unconditioned scenario assumes.</w:t>
      </w:r>
    </w:p>
    <w:p>
      <w:pPr>
        <w:pStyle w:val="BodyText"/>
        <w:spacing w:line="480" w:lineRule="auto"/>
        <w:ind w:firstLine="720"/>
      </w:pPr>
      <w:r>
        <w:t xml:space="preserve">The architectural-norms literature</w:t>
      </w:r>
      <w:r>
        <w:t xml:space="preserve"> </w:t>
      </w:r>
      <w:hyperlink w:anchor="ref-10">
        <w:r>
          <w:rPr>
            <w:rStyle w:val="Hyperlink"/>
          </w:rPr>
          <w:t xml:space="preserve">[10]</w:t>
        </w:r>
      </w:hyperlink>
      <w:r>
        <w:t xml:space="preserve"> </w:t>
      </w:r>
      <w:r>
        <w:t xml:space="preserve">frames cislunar space as a regime in which the institutional architecture of coordination is still being negotiated. The dissertation findings reinforce that frame. If the ITU filings record predicts traffic well enough to be useful to NASA program management, JPL Deep Space Network planning, and AMOS-community architecture optimization, then strengthening the filings record is itself a coordination intervention. The recommendation that flows from this is to support ITU procedural reforms that make the cislunar filing channel more transparent, more granular by band class, and more current. The combined NASA, JPL, and academic constituency for such reform is broader than any single institution’s mandate, which is precisely the kind of cross-cutting coordination problem the architectural-norms framing anticipates.</w:t>
      </w:r>
    </w:p>
    <w:bookmarkEnd w:id="120"/>
    <w:bookmarkStart w:id="121" w:name="limitations"/>
    <w:p>
      <w:pPr>
        <w:pStyle w:val="Heading2"/>
        <w:spacing w:line="480" w:lineRule="auto"/>
      </w:pPr>
      <w:r>
        <w:t xml:space="preserve">7.5 Limitations</w:t>
      </w:r>
    </w:p>
    <w:p>
      <w:pPr>
        <w:pStyle w:val="FirstParagraph"/>
        <w:spacing w:line="480" w:lineRule="auto"/>
      </w:pPr>
      <w:r>
        <w:t xml:space="preserve">A small sample at both levels of analysis constrains the dissertation findings, and a set of identification assumptions deserves explicit limitation statements rather than mention in passing. The mission-level logit converges on thirty observations, of which seven are pending and twenty-three are realized, and the regime-level OLS spans twenty-one annual observations. Sample-size considerations limit statistical power, widen confidence intervals, and constrain the complexity of any specification that the data can support. The deliberately parsimonious model specifications in both papers are a response to that constraint and not a stylistic choice.</w:t>
      </w:r>
    </w:p>
    <w:p>
      <w:pPr>
        <w:pStyle w:val="BodyText"/>
        <w:spacing w:line="480" w:lineRule="auto"/>
        <w:ind w:firstLine="720"/>
      </w:pPr>
      <w:r>
        <w:t xml:space="preserve">A second limitation concerns the construction of the filings series. The regime-level paper carries an illustrative flag on the cumulative filings level series because direct BR IFIC aggregation was not available across the full indexing window. The year-to-year shape of the filings series follows the documented filing pattern in the cislunar communications literature</w:t>
      </w:r>
      <w:r>
        <w:t xml:space="preserve"> </w:t>
      </w:r>
      <w:hyperlink w:anchor="ref-13">
        <w:r>
          <w:rPr>
            <w:rStyle w:val="Hyperlink"/>
          </w:rPr>
          <w:t xml:space="preserve">[13]</w:t>
        </w:r>
      </w:hyperlink>
      <w:r>
        <w:t xml:space="preserve"> </w:t>
      </w:r>
      <w:r>
        <w:t xml:space="preserve">and the ITU Radio Regulations Article 5 allocation record</w:t>
      </w:r>
      <w:r>
        <w:t xml:space="preserve"> </w:t>
      </w:r>
      <w:hyperlink w:anchor="ref-14">
        <w:r>
          <w:rPr>
            <w:rStyle w:val="Hyperlink"/>
          </w:rPr>
          <w:t xml:space="preserve">[14]</w:t>
        </w:r>
      </w:hyperlink>
      <w:r>
        <w:t xml:space="preserve">, but the absolute level should be treated as indicative until a full BR IFIC reconstruction is available. The estimated coefficient on cumulative filings is therefore best read as the sign and order of magnitude of an elasticity rather than as a precise structural estimate.</w:t>
      </w:r>
    </w:p>
    <w:p>
      <w:pPr>
        <w:pStyle w:val="BodyText"/>
        <w:spacing w:line="480" w:lineRule="auto"/>
        <w:ind w:firstLine="720"/>
      </w:pPr>
      <w:r>
        <w:t xml:space="preserve">A third limitation is the mission-level binary outcome window. The launched-or-not classification is fixed at June 2026. Seven missions are pending in that snapshot, including Gateway PPE/HALO, Griffin Mission 1, Blue Ghost Mission 2, IM-3, and ESA Lunar Pathfinder. Some of those missions will realize after the observation window closes, which means the present estimates conservatively over-count non-realization for programs whose actual slippage is to a later year rather than to cancellation. This is a measurement-error problem in the dependent variable that biases the estimates toward the null and toward the negative signs observed on filing breadth.</w:t>
      </w:r>
    </w:p>
    <w:p>
      <w:pPr>
        <w:pStyle w:val="BodyText"/>
        <w:spacing w:line="480" w:lineRule="auto"/>
        <w:ind w:firstLine="720"/>
      </w:pPr>
      <w:r>
        <w:t xml:space="preserve">A fourth limitation is the identification structure. The prospectus disclaimed any structural causal interpretation of the elasticity coefficient and limited the claim to lagged predictive association. The empirical papers are faithful to that disclaimer. The dissertation cannot rule out common-cause confounders such as Artemis-aligned funding waves that drive both filings and launches without either being the cause of the other. The regime-level paper does not run a placebo regression on a non-cislunar regime, an instrumental variables strategy for filing exogeneity, or a structural break test, all of which are flagged as natural next steps. The strength of the inference is what the data and the design can support, and no more.</w:t>
      </w:r>
    </w:p>
    <w:p>
      <w:pPr>
        <w:pStyle w:val="BodyText"/>
        <w:spacing w:line="480" w:lineRule="auto"/>
        <w:ind w:firstLine="720"/>
      </w:pPr>
      <w:r>
        <w:t xml:space="preserve">A fifth limitation is regime classification. The mapping from a filing’s declared orbital geometry to a cislunar label involves judgment, and the mapping from a mission’s communications subsystem to a band class likewise carries residual discretion. Sensitivity analyses on these mappings are partial. A future replication that disaggregates the filings series by band class using a published taxonomy would tighten this layer of the analysis materially.</w:t>
      </w:r>
    </w:p>
    <w:p>
      <w:pPr>
        <w:pStyle w:val="BodyText"/>
        <w:spacing w:line="480" w:lineRule="auto"/>
        <w:ind w:firstLine="720"/>
      </w:pPr>
      <w:r>
        <w:t xml:space="preserve">A sixth limitation is external validity. The cislunar traffic record is short, is dominated by a small number of programs</w:t>
      </w:r>
      <w:r>
        <w:t xml:space="preserve"> </w:t>
      </w:r>
      <w:hyperlink w:anchor="ref-6">
        <w:r>
          <w:rPr>
            <w:rStyle w:val="Hyperlink"/>
          </w:rPr>
          <w:t xml:space="preserve">[6]</w:t>
        </w:r>
      </w:hyperlink>
      <w:r>
        <w:t xml:space="preserve">, and is in the midst of a structural transition driven by commercial entry</w:t>
      </w:r>
      <w:r>
        <w:t xml:space="preserve"> </w:t>
      </w:r>
      <w:hyperlink w:anchor="ref-12">
        <w:r>
          <w:rPr>
            <w:rStyle w:val="Hyperlink"/>
          </w:rPr>
          <w:t xml:space="preserve">[12]</w:t>
        </w:r>
      </w:hyperlink>
      <w:r>
        <w:t xml:space="preserve">[17]. An elasticity estimated in the 2005 to 2025 window may not extrapolate to a 2026 to 2040 window in which the institutional architecture of cislunar coordination is itself changing under the architectural-norms pressure that the dissertation flags</w:t>
      </w:r>
      <w:r>
        <w:t xml:space="preserve"> </w:t>
      </w:r>
      <w:hyperlink w:anchor="ref-10">
        <w:r>
          <w:rPr>
            <w:rStyle w:val="Hyperlink"/>
          </w:rPr>
          <w:t xml:space="preserve">[10]</w:t>
        </w:r>
      </w:hyperlink>
      <w:r>
        <w:t xml:space="preserve">. The findings should be read as conditional on the institutional configuration of the estimation period.</w:t>
      </w:r>
    </w:p>
    <w:p>
      <w:pPr>
        <w:pStyle w:val="BodyText"/>
        <w:spacing w:line="480" w:lineRule="auto"/>
        <w:ind w:firstLine="720"/>
      </w:pPr>
      <w:r>
        <w:t xml:space="preserve">Finally, the dissertation makes no claim about interference, harmful interference assessment, or compliance monitoring, all of which are important and separate research programs in the geostationary and broadcast satellite uplink literatures</w:t>
      </w:r>
      <w:r>
        <w:t xml:space="preserve"> </w:t>
      </w:r>
      <w:hyperlink w:anchor="ref-18">
        <w:r>
          <w:rPr>
            <w:rStyle w:val="Hyperlink"/>
          </w:rPr>
          <w:t xml:space="preserve">[18]</w:t>
        </w:r>
      </w:hyperlink>
      <w:r>
        <w:t xml:space="preserve">[32] and increasingly in the low-Earth broadband competition literature</w:t>
      </w:r>
      <w:r>
        <w:t xml:space="preserve"> </w:t>
      </w:r>
      <w:hyperlink w:anchor="ref-20">
        <w:r>
          <w:rPr>
            <w:rStyle w:val="Hyperlink"/>
          </w:rPr>
          <w:t xml:space="preserve">[20]</w:t>
        </w:r>
      </w:hyperlink>
      <w:r>
        <w:t xml:space="preserve">. The leading-indicator question and the interference-compliance question are linked through the ITU filing record but are not the same question. Confounding the two would be an analytic error.</w:t>
      </w:r>
    </w:p>
    <w:bookmarkEnd w:id="121"/>
    <w:bookmarkStart w:id="122" w:name="future-research"/>
    <w:p>
      <w:pPr>
        <w:pStyle w:val="Heading2"/>
        <w:spacing w:line="480" w:lineRule="auto"/>
      </w:pPr>
      <w:r>
        <w:t xml:space="preserve">7.6 Future Research</w:t>
      </w:r>
    </w:p>
    <w:p>
      <w:pPr>
        <w:pStyle w:val="FirstParagraph"/>
        <w:spacing w:line="480" w:lineRule="auto"/>
      </w:pPr>
      <w:r>
        <w:t xml:space="preserve">Four research directions follow directly from the limitations and would strengthen the empirical base for cislunar traffic forecasting in the next dissertation cycle.</w:t>
      </w:r>
    </w:p>
    <w:p>
      <w:pPr>
        <w:pStyle w:val="BodyText"/>
        <w:spacing w:line="480" w:lineRule="auto"/>
        <w:ind w:firstLine="720"/>
      </w:pPr>
      <w:r>
        <w:t xml:space="preserve">The first is a band-class-disaggregated panel reconstruction of the regime-level filings series. The mission-level result that band-class composition matters more than gross volume is a hypothesis the regime-level paper does not yet test. A full BR IFIC reconstruction that codes each filing by band class and by declared orbital geometry would permit a panel specification in which deep-space band filings enter as one regressor and generic communications band filings enter as a second. The expectation under the present evidence is that the deep-space-band regressor would carry a positive significant coefficient while the generic-band regressor would carry a smaller and likely insignificant coefficient. Such a finding would close the loop between the mission-level and regime-level falsification attempts.</w:t>
      </w:r>
    </w:p>
    <w:p>
      <w:pPr>
        <w:pStyle w:val="BodyText"/>
        <w:spacing w:line="480" w:lineRule="auto"/>
        <w:ind w:firstLine="720"/>
      </w:pPr>
      <w:r>
        <w:t xml:space="preserve">The second direction is a properly lagged distributed-lag specification with a non-cislunar negative-control regime. The prospectus identified Granger-style precedence testing and a negative-control regime as planned robustness layers. The current empirical papers do not implement these. A follow-on study that regresses cislunar launches on filings lagged by one to five years, with the geostationary or low-Earth regime as a negative control to absorb generic space-activity trend, would test the leading-indicator claim on its strongest terrain. Recent forecasting work that models satellite launch traffic against macroeconomic and constellation-plan variables</w:t>
      </w:r>
      <w:r>
        <w:t xml:space="preserve"> </w:t>
      </w:r>
      <w:hyperlink w:anchor="ref-28">
        <w:r>
          <w:rPr>
            <w:rStyle w:val="Hyperlink"/>
          </w:rPr>
          <w:t xml:space="preserve">[28]</w:t>
        </w:r>
      </w:hyperlink>
      <w:r>
        <w:t xml:space="preserve"> </w:t>
      </w:r>
      <w:r>
        <w:t xml:space="preserve">supplies a methodological template for the lag structure and the control set.</w:t>
      </w:r>
    </w:p>
    <w:p>
      <w:pPr>
        <w:pStyle w:val="BodyText"/>
        <w:spacing w:line="480" w:lineRule="auto"/>
        <w:ind w:firstLine="720"/>
      </w:pPr>
      <w:r>
        <w:t xml:space="preserve">The third direction is an instrumental variables strategy for filing exogeneity. The principal residual identification threat is common-cause confounding from programmatic announcements that drive both filings and launches. A plausible instrument is the calendar of ITU World Radiocommunication Conference decisions, which alter the available band allocations on a fixed schedule that is plausibly exogenous to any single nation’s lunar program timeline</w:t>
      </w:r>
      <w:r>
        <w:t xml:space="preserve"> </w:t>
      </w:r>
      <w:hyperlink w:anchor="ref-19">
        <w:r>
          <w:rPr>
            <w:rStyle w:val="Hyperlink"/>
          </w:rPr>
          <w:t xml:space="preserve">[19]</w:t>
        </w:r>
      </w:hyperlink>
      <w:r>
        <w:t xml:space="preserve">. Conference cycles affect filing intensity by changing the menu of bands an operator can claim, and they do so on a schedule that is set by international negotiation rather than by any one operator’s launch plan. The exclusion restriction is that conference decisions affect launches only through filings, which is defensible for cislunar missions whose link budgets depend on deep-space band availability.</w:t>
      </w:r>
    </w:p>
    <w:p>
      <w:pPr>
        <w:pStyle w:val="BodyText"/>
        <w:spacing w:line="480" w:lineRule="auto"/>
        <w:ind w:firstLine="720"/>
      </w:pPr>
      <w:r>
        <w:t xml:space="preserve">The fourth direction is to bring interference, compliance, and operator-behavior literatures into contact with the leading-indicator analysis. The transparency and compliance assessment methods developed for the geostationary regime</w:t>
      </w:r>
      <w:r>
        <w:t xml:space="preserve"> </w:t>
      </w:r>
      <w:hyperlink w:anchor="ref-18">
        <w:r>
          <w:rPr>
            <w:rStyle w:val="Hyperlink"/>
          </w:rPr>
          <w:t xml:space="preserve">[18]</w:t>
        </w:r>
      </w:hyperlink>
      <w:r>
        <w:t xml:space="preserve">, the radio-astronomy and broadcast satellite uplink interference literature</w:t>
      </w:r>
      <w:r>
        <w:t xml:space="preserve"> </w:t>
      </w:r>
      <w:hyperlink w:anchor="ref-26">
        <w:r>
          <w:rPr>
            <w:rStyle w:val="Hyperlink"/>
          </w:rPr>
          <w:t xml:space="preserve">[26]</w:t>
        </w:r>
      </w:hyperlink>
      <w:r>
        <w:t xml:space="preserve">[32], and the operator-behavior models implicit in the low-Earth broadband race</w:t>
      </w:r>
      <w:r>
        <w:t xml:space="preserve"> </w:t>
      </w:r>
      <w:hyperlink w:anchor="ref-20">
        <w:r>
          <w:rPr>
            <w:rStyle w:val="Hyperlink"/>
          </w:rPr>
          <w:t xml:space="preserve">[20]</w:t>
        </w:r>
      </w:hyperlink>
      <w:r>
        <w:t xml:space="preserve"> </w:t>
      </w:r>
      <w:r>
        <w:t xml:space="preserve">together describe the downstream consequences of filings that the present dissertation treats only as antecedents. A follow-on study that links the cislunar filings trajectory not only to launch realization but to subsequent interference events and to coordination disputes would test whether the leading-indicator property of filings extends from launch counts to operational consequences. Sustainability and planetary-boundary framings for outer-space activity</w:t>
      </w:r>
      <w:r>
        <w:t xml:space="preserve"> </w:t>
      </w:r>
      <w:hyperlink w:anchor="ref-29">
        <w:r>
          <w:rPr>
            <w:rStyle w:val="Hyperlink"/>
          </w:rPr>
          <w:t xml:space="preserve">[29]</w:t>
        </w:r>
      </w:hyperlink>
      <w:r>
        <w:t xml:space="preserve">[30] and large-constellation traffic-management work</w:t>
      </w:r>
      <w:r>
        <w:t xml:space="preserve"> </w:t>
      </w:r>
      <w:hyperlink w:anchor="ref-31">
        <w:r>
          <w:rPr>
            <w:rStyle w:val="Hyperlink"/>
          </w:rPr>
          <w:t xml:space="preserve">[31]</w:t>
        </w:r>
      </w:hyperlink>
      <w:r>
        <w:t xml:space="preserve"> </w:t>
      </w:r>
      <w:r>
        <w:t xml:space="preserve">supply the policy backdrop against which such an extension would be evaluated. The space weather literature on uncertainty propagation in conjunction analysis</w:t>
      </w:r>
      <w:r>
        <w:t xml:space="preserve"> </w:t>
      </w:r>
      <w:hyperlink w:anchor="ref-24">
        <w:r>
          <w:rPr>
            <w:rStyle w:val="Hyperlink"/>
          </w:rPr>
          <w:t xml:space="preserve">[24]</w:t>
        </w:r>
      </w:hyperlink>
      <w:r>
        <w:t xml:space="preserve"> </w:t>
      </w:r>
      <w:r>
        <w:t xml:space="preserve">and the GEO-survey baseline on space-station license applications</w:t>
      </w:r>
      <w:r>
        <w:t xml:space="preserve"> </w:t>
      </w:r>
      <w:hyperlink w:anchor="ref-21">
        <w:r>
          <w:rPr>
            <w:rStyle w:val="Hyperlink"/>
          </w:rPr>
          <w:t xml:space="preserve">[21]</w:t>
        </w:r>
      </w:hyperlink>
      <w:r>
        <w:t xml:space="preserve"> </w:t>
      </w:r>
      <w:r>
        <w:t xml:space="preserve">together provide methodological scaffolding for that next step. Reference-scenario development for space environment modeling</w:t>
      </w:r>
      <w:r>
        <w:t xml:space="preserve"> </w:t>
      </w:r>
      <w:hyperlink w:anchor="ref-23">
        <w:r>
          <w:rPr>
            <w:rStyle w:val="Hyperlink"/>
          </w:rPr>
          <w:t xml:space="preserve">[23]</w:t>
        </w:r>
      </w:hyperlink>
      <w:r>
        <w:t xml:space="preserve"> </w:t>
      </w:r>
      <w:r>
        <w:t xml:space="preserve">and the architectural-norms framing</w:t>
      </w:r>
      <w:r>
        <w:t xml:space="preserve"> </w:t>
      </w:r>
      <w:hyperlink w:anchor="ref-10">
        <w:r>
          <w:rPr>
            <w:rStyle w:val="Hyperlink"/>
          </w:rPr>
          <w:t xml:space="preserve">[10]</w:t>
        </w:r>
      </w:hyperlink>
      <w:r>
        <w:t xml:space="preserve"> </w:t>
      </w:r>
      <w:r>
        <w:t xml:space="preserve">complete the policy frame.</w:t>
      </w:r>
    </w:p>
    <w:p>
      <w:pPr>
        <w:pStyle w:val="BodyText"/>
        <w:spacing w:line="480" w:lineRule="auto"/>
        <w:ind w:firstLine="720"/>
      </w:pPr>
      <w:r>
        <w:t xml:space="preserve">A fifth and more speculative direction would extend the analysis into adjacent regimes whose institutional treatment is still under negotiation. The sub-orbital domain, for example, sits in a twilight between air and space law in which filing and licensing data may carry quite different leading-indicator properties</w:t>
      </w:r>
      <w:r>
        <w:t xml:space="preserve"> </w:t>
      </w:r>
      <w:hyperlink w:anchor="ref-25">
        <w:r>
          <w:rPr>
            <w:rStyle w:val="Hyperlink"/>
          </w:rPr>
          <w:t xml:space="preserve">[25]</w:t>
        </w:r>
      </w:hyperlink>
      <w:r>
        <w:t xml:space="preserve">, and the cumulative knowledge from commercial situational-awareness concepts developed for the geostationary regime</w:t>
      </w:r>
      <w:r>
        <w:t xml:space="preserve"> </w:t>
      </w:r>
      <w:hyperlink w:anchor="ref-22">
        <w:r>
          <w:rPr>
            <w:rStyle w:val="Hyperlink"/>
          </w:rPr>
          <w:t xml:space="preserve">[22]</w:t>
        </w:r>
      </w:hyperlink>
      <w:r>
        <w:t xml:space="preserve"> </w:t>
      </w:r>
      <w:r>
        <w:t xml:space="preserve">suggests that the methodology developed here could be transported and tested in other regulatory contexts. The cislunar case is the strongest because the deep-space band channel is narrow and operationally critical, but the methodological pattern, observing the regulatory paper trail as a leading indicator of the operational record, is portable. Digital-transformation and new-entrant framings of space activity</w:t>
      </w:r>
      <w:r>
        <w:t xml:space="preserve"> </w:t>
      </w:r>
      <w:hyperlink w:anchor="ref-27">
        <w:r>
          <w:rPr>
            <w:rStyle w:val="Hyperlink"/>
          </w:rPr>
          <w:t xml:space="preserve">[27]</w:t>
        </w:r>
      </w:hyperlink>
      <w:r>
        <w:t xml:space="preserve"> </w:t>
      </w:r>
      <w:r>
        <w:t xml:space="preserve">suggest that the same pattern would apply with appropriate calibration to commercial new entrants in adjacent regimes.</w:t>
      </w:r>
    </w:p>
    <w:p>
      <w:pPr>
        <w:pStyle w:val="BodyText"/>
        <w:spacing w:line="480" w:lineRule="auto"/>
        <w:ind w:firstLine="720"/>
      </w:pPr>
      <w:r>
        <w:t xml:space="preserve">Taken together, these directions describe a research program in which the spectrum-orbit coupling proposition is tested progressively against richer specifications, against negative controls, against instrumental variables, and against downstream operational outcomes. The present dissertation establishes the leading-indicator claim at one altitude with one falsification design. The program of follow-on work would establish, or refute, the robustness of that claim across the full space of specifications a sceptical reviewer would demand.</w:t>
      </w:r>
    </w:p>
    <w:bookmarkEnd w:id="122"/>
    <w:bookmarkStart w:id="123" w:name="closing-synthesis"/>
    <w:p>
      <w:pPr>
        <w:pStyle w:val="Heading2"/>
        <w:spacing w:line="480" w:lineRule="auto"/>
      </w:pPr>
      <w:r>
        <w:t xml:space="preserve">7.7 Closing Synthesis</w:t>
      </w:r>
    </w:p>
    <w:p>
      <w:pPr>
        <w:pStyle w:val="FirstParagraph"/>
        <w:spacing w:line="480" w:lineRule="auto"/>
      </w:pPr>
      <w:r>
        <w:t xml:space="preserve">The dissertation set out to test a single falsifiable proposition: that the ITU spectrum coordination record is a measurable leading indicator of cislunar traffic. After two empirical instruments at two altitudes the answer is qualified but affirmative. Aggregate filings forecast aggregate throughput at the regime level. Band-class composition, not paperwork volume, is the channel through which mission-level filings carry information about realization. The implications for NASA program management run through a standing deep-space band filings tracker and through major-project review boards that read band-class composition as a maturity signal. The implications for JPL run through Deep Space Network capacity planning, through cislunar mission portfolio strategy, and through inter-agency negotiating posture on ITU filing taxonomy reform. The implications for the broader cislunar space domain awareness architecture community run through ingestion of the filings index into capacity-based optimization studies and through architectural-norms-level support for taxonomy reform at the ITU. The limitations are explicit and the future research directions follow from them rather than from rhetorical convention. The estimated elasticity is one coefficient. What it supports is a coordination instrument that NASA, JPL, and the cislunar architecture community can use today and improve tomorrow.</w:t>
      </w:r>
    </w:p>
    <w:bookmarkEnd w:id="123"/>
    <w:bookmarkEnd w:id="124"/>
    <w:bookmarkStart w:id="179" w:name="chapter-8.-conclusion"/>
    <w:p>
      <w:pPr>
        <w:pStyle w:val="Heading1"/>
        <w:spacing w:line="480" w:lineRule="auto"/>
      </w:pPr>
      <w:r>
        <w:t xml:space="preserve">Chapter 8. Conclusion</w:t>
      </w:r>
    </w:p>
    <w:bookmarkStart w:id="125" w:name="restatement-of-the-problem"/>
    <w:p>
      <w:pPr>
        <w:pStyle w:val="Heading2"/>
        <w:spacing w:line="480" w:lineRule="auto"/>
      </w:pPr>
      <w:r>
        <w:t xml:space="preserve">8.1 Restatement of the Problem</w:t>
      </w:r>
    </w:p>
    <w:p>
      <w:pPr>
        <w:pStyle w:val="FirstParagraph"/>
        <w:spacing w:line="480" w:lineRule="auto"/>
      </w:pPr>
      <w:r>
        <w:t xml:space="preserve">This dissertation opened from a precise dissatisfaction with the state of cislunar space domain awareness planning. Capacity-based architecture studies, estimation-theoretic uncertainty work, and emerging electro-optical classification methods all share a common analytic posture in which the future population of cislunar objects is treated as an exogenous input rather than as a quantity to be predicted from antecedent operator behavior</w:t>
      </w:r>
      <w:r>
        <w:t xml:space="preserve"> </w:t>
      </w:r>
      <w:hyperlink w:anchor="ref-1">
        <w:r>
          <w:rPr>
            <w:rStyle w:val="Hyperlink"/>
          </w:rPr>
          <w:t xml:space="preserve">[1]</w:t>
        </w:r>
      </w:hyperlink>
      <w:r>
        <w:t xml:space="preserve">[2][9]. Architecture optimization that ingests a scenario-seeded traffic forecast inherits whatever specification error sits in the seed</w:t>
      </w:r>
      <w:r>
        <w:t xml:space="preserve"> </w:t>
      </w:r>
      <w:hyperlink w:anchor="ref-1">
        <w:r>
          <w:rPr>
            <w:rStyle w:val="Hyperlink"/>
          </w:rPr>
          <w:t xml:space="preserve">[1]</w:t>
        </w:r>
      </w:hyperlink>
      <w:r>
        <w:t xml:space="preserve">, and trajectory-uncertainty classification likewise conditions on an assumed distribution of where traffic will appear</w:t>
      </w:r>
      <w:r>
        <w:t xml:space="preserve"> </w:t>
      </w:r>
      <w:hyperlink w:anchor="ref-2">
        <w:r>
          <w:rPr>
            <w:rStyle w:val="Hyperlink"/>
          </w:rPr>
          <w:t xml:space="preserve">[2]</w:t>
        </w:r>
      </w:hyperlink>
      <w:r>
        <w:t xml:space="preserve">. The recurring weakness in the literature was not the analytic machinery, which is mature, but the demand signal feeding that machinery. The motivating intuition was that the spectrum-coordination paper trail filed with the International Telecommunication Union, recorded in advance of flight as an administrative precondition of communicating from orbit, encodes operator intent on a timeline that precedes launch by years and is therefore a candidate leading indicator of cislunar traffic. The dissertation set out to test whether that candidate survives confrontation with the data.</w:t>
      </w:r>
    </w:p>
    <w:bookmarkEnd w:id="125"/>
    <w:bookmarkStart w:id="126" w:name="synthesis-of-the-argument"/>
    <w:p>
      <w:pPr>
        <w:pStyle w:val="Heading2"/>
        <w:spacing w:line="480" w:lineRule="auto"/>
      </w:pPr>
      <w:r>
        <w:t xml:space="preserve">8.2 Synthesis of the Argument</w:t>
      </w:r>
    </w:p>
    <w:p>
      <w:pPr>
        <w:pStyle w:val="FirstParagraph"/>
        <w:spacing w:line="480" w:lineRule="auto"/>
      </w:pPr>
      <w:r>
        <w:t xml:space="preserve">Three connected layers carried the argument. At the conceptual layer, the space-economy literature already names orbit and spectrum as coupled finite resources that operators must claim simultaneously, and architecture-of-norms scholarship treats coordination as a constituent layer of any meaningful situational awareness</w:t>
      </w:r>
      <w:r>
        <w:t xml:space="preserve"> </w:t>
      </w:r>
      <w:hyperlink w:anchor="ref-4">
        <w:r>
          <w:rPr>
            <w:rStyle w:val="Hyperlink"/>
          </w:rPr>
          <w:t xml:space="preserve">[4]</w:t>
        </w:r>
      </w:hyperlink>
      <w:r>
        <w:t xml:space="preserve">[10]. That coupling is the theoretical foundation the dissertation operationalizes. Carrying-capacity studies treat the binding constraint on orbital occupation as a safety metric whose value shifts as collision-avoidance capability changes</w:t>
      </w:r>
      <w:r>
        <w:t xml:space="preserve"> </w:t>
      </w:r>
      <w:hyperlink w:anchor="ref-5">
        <w:r>
          <w:rPr>
            <w:rStyle w:val="Hyperlink"/>
          </w:rPr>
          <w:t xml:space="preserve">[5]</w:t>
        </w:r>
      </w:hyperlink>
      <w:r>
        <w:t xml:space="preserve">, which means a forward-looking traffic forecast is not an academic nicety; it is the input that determines whether the safety margin is correctly sized. Cislunar-specific characterizations of Gateway loitering</w:t>
      </w:r>
      <w:r>
        <w:t xml:space="preserve"> </w:t>
      </w:r>
      <w:hyperlink w:anchor="ref-7">
        <w:r>
          <w:rPr>
            <w:rStyle w:val="Hyperlink"/>
          </w:rPr>
          <w:t xml:space="preserve">[7]</w:t>
        </w:r>
      </w:hyperlink>
      <w:r>
        <w:t xml:space="preserve"> </w:t>
      </w:r>
      <w:r>
        <w:t xml:space="preserve">and of fragmentation-event monitoring</w:t>
      </w:r>
      <w:r>
        <w:t xml:space="preserve"> </w:t>
      </w:r>
      <w:hyperlink w:anchor="ref-8">
        <w:r>
          <w:rPr>
            <w:rStyle w:val="Hyperlink"/>
          </w:rPr>
          <w:t xml:space="preserve">[8]</w:t>
        </w:r>
      </w:hyperlink>
      <w:r>
        <w:t xml:space="preserve"> </w:t>
      </w:r>
      <w:r>
        <w:t xml:space="preserve">describe what happens once traffic is there, but neither models the arrival rate from upstream behavior. The conceptual claim that orbit and spectrum are jointly claimed thus stood unoperationalized until this dissertation supplied a falsifiable predictive form for it.</w:t>
      </w:r>
    </w:p>
    <w:p>
      <w:pPr>
        <w:pStyle w:val="BodyText"/>
        <w:spacing w:line="480" w:lineRule="auto"/>
        <w:ind w:firstLine="720"/>
      </w:pPr>
      <w:r>
        <w:t xml:space="preserve">At the empirical layer, the dissertation tested the spectrum-orbit coupling claim at two altitudes. The mission-level paper estimated a logit model on a hand-compiled panel of thirty cislunar missions from 2005 through 2026, regressing the binary outcome of launch realization on three facets of each mission’s ITU footprint and on program duration. The result was deliberately uncomfortable. The breadth of bands claimed entered the launch-probability equation with a negative coefficient that was weakly significant, the deep-space band indicator entered with a large positive coefficient that was marginally significant, and the commercial-services indicator failed to reach significance. The simplest version of the leading-indicator hypothesis, that more filing breadth tracks higher realization, did not survive. The disaggregated version, that deep-space band assignments specifically track realization upward, did survive in sign and approached conventional significance. The mission-level evidence therefore refuted the aggregate breadth proxy and conserved the composition-specific signal.</w:t>
      </w:r>
    </w:p>
    <w:p>
      <w:pPr>
        <w:pStyle w:val="BodyText"/>
        <w:spacing w:line="480" w:lineRule="auto"/>
        <w:ind w:firstLine="720"/>
      </w:pPr>
      <w:r>
        <w:t xml:space="preserve">The annual-throughput paper raised the altitude. It estimated an ordinary least squares model relating the count of cislunar missions launched in each calendar year from 2005 through 2025 to the cumulative count of ITU filings in cislunar-eligible bands, controlling for the deep-space band share of those filings and for the commercial share of mission starts. The cumulative filings coefficient was positive at 0.0722 with a p-value of 0.0129, significant at the conventional five percent level. The joint F test rejected the null of zero coefficients at the same level. The two control coefficients did not attain significance and were not over-read. The throughput-level evidence therefore returned a sign-positive, significant association between filing intensity and realized launches, in the direction predicted by the spectrum-orbit coupling claim, after the mission-level evidence had already disciplined the aggregate-breadth interpretation by showing that band composition matters more than band count.</w:t>
      </w:r>
    </w:p>
    <w:p>
      <w:pPr>
        <w:pStyle w:val="BodyText"/>
        <w:spacing w:line="480" w:lineRule="auto"/>
        <w:ind w:firstLine="720"/>
      </w:pPr>
      <w:r>
        <w:t xml:space="preserve">Read together, the two empirical chapters tell a more disciplined story than either tells alone. Filing intensity is informative about cislunar throughput at the regime-year level, while filing composition rather than filing breadth is informative about realization at the mission level. The aggregate signal that planners can read off the ITU register is real, but the mechanism beneath it is not that any operator who files will fly. It is that the population of filings in cislunar-eligible bands grows in step with the population of missions that actually reach launch, with the deep-space band subset carrying the credible-intent content within the filing stream. The composition-conditioned reading reconciles the two papers and explains why an unconditional aggregate-breadth proxy fails at the mission level while a cumulative count succeeds at the year level.</w:t>
      </w:r>
    </w:p>
    <w:bookmarkEnd w:id="126"/>
    <w:bookmarkStart w:id="127" w:name="contribution-to-knowledge"/>
    <w:p>
      <w:pPr>
        <w:pStyle w:val="Heading2"/>
        <w:spacing w:line="480" w:lineRule="auto"/>
      </w:pPr>
      <w:r>
        <w:t xml:space="preserve">8.3 Contribution to Knowledge</w:t>
      </w:r>
    </w:p>
    <w:p>
      <w:pPr>
        <w:pStyle w:val="FirstParagraph"/>
        <w:spacing w:line="480" w:lineRule="auto"/>
      </w:pPr>
      <w:r>
        <w:t xml:space="preserve">Consider first the cislunar space domain awareness architecture literature. Capacity-based optimization studies have been candid that their traffic input is scenario-seeded</w:t>
      </w:r>
      <w:r>
        <w:t xml:space="preserve"> </w:t>
      </w:r>
      <w:hyperlink w:anchor="ref-1">
        <w:r>
          <w:rPr>
            <w:rStyle w:val="Hyperlink"/>
          </w:rPr>
          <w:t xml:space="preserve">[1]</w:t>
        </w:r>
      </w:hyperlink>
      <w:r>
        <w:t xml:space="preserve"> </w:t>
      </w:r>
      <w:r>
        <w:t xml:space="preserve">and that sensor capacity decisions are therefore exposed to the seed’s specification error. This dissertation supplies a publicly observable, dated, administratively prior data series that can replace or augment the scenario seed. It also supplies a calibrated specification rule: the relevant forecasting input is not the gross volume of filings but the deep-space band signal within them, with the aggregate count entering the year-level regression as a positive throughput predictor and the deep-space subset entering the mission-level logit as the partial that conserves the leading-indicator thesis. Earth-Moon uncertainty classification, which conditions on a traffic distribution rather than predicting it</w:t>
      </w:r>
      <w:r>
        <w:t xml:space="preserve"> </w:t>
      </w:r>
      <w:hyperlink w:anchor="ref-2">
        <w:r>
          <w:rPr>
            <w:rStyle w:val="Hyperlink"/>
          </w:rPr>
          <w:t xml:space="preserve">[2]</w:t>
        </w:r>
      </w:hyperlink>
      <w:r>
        <w:t xml:space="preserve">, can read the same input as a prior over where future objects will appear. Electro-optical classification work on cislunar objects</w:t>
      </w:r>
      <w:r>
        <w:t xml:space="preserve"> </w:t>
      </w:r>
      <w:hyperlink w:anchor="ref-9">
        <w:r>
          <w:rPr>
            <w:rStyle w:val="Hyperlink"/>
          </w:rPr>
          <w:t xml:space="preserve">[9]</w:t>
        </w:r>
      </w:hyperlink>
      <w:r>
        <w:t xml:space="preserve"> </w:t>
      </w:r>
      <w:r>
        <w:t xml:space="preserve">gains a tasking heuristic: missions whose filings disclose deep-space band assignments are the population most likely to materialize in the observation queue.</w:t>
      </w:r>
    </w:p>
    <w:p>
      <w:pPr>
        <w:pStyle w:val="BodyText"/>
        <w:spacing w:line="480" w:lineRule="auto"/>
        <w:ind w:firstLine="720"/>
      </w:pPr>
      <w:r>
        <w:t xml:space="preserve">The second contribution is to the space traffic management and cislunar governance literature. Recent work has characterized the operational challenge of managing Earth-Moon traffic and Gateway logistics</w:t>
      </w:r>
      <w:r>
        <w:t xml:space="preserve"> </w:t>
      </w:r>
      <w:hyperlink w:anchor="ref-6">
        <w:r>
          <w:rPr>
            <w:rStyle w:val="Hyperlink"/>
          </w:rPr>
          <w:t xml:space="preserve">[6]</w:t>
        </w:r>
      </w:hyperlink>
      <w:r>
        <w:t xml:space="preserve">[7] and the monitoring of cislunar fragmentation events</w:t>
      </w:r>
      <w:r>
        <w:t xml:space="preserve"> </w:t>
      </w:r>
      <w:hyperlink w:anchor="ref-8">
        <w:r>
          <w:rPr>
            <w:rStyle w:val="Hyperlink"/>
          </w:rPr>
          <w:t xml:space="preserve">[8]</w:t>
        </w:r>
      </w:hyperlink>
      <w:r>
        <w:t xml:space="preserve"> </w:t>
      </w:r>
      <w:r>
        <w:t xml:space="preserve">once they happen, but the literature has not previously offered a forward indicator that survives a falsification attempt. The dissertation supplies one. It also clarifies the interpretive ceiling. The estimated coefficient is a predictive elasticity, not a structural causal parameter. Filings do not produce spacecraft. The leading-indicator status rests on the temporal precedence baked into ITU procedure, and the contribution to knowledge is the demonstration that this precedence carries statistical information at conventional thresholds rather than only conceptual force.</w:t>
      </w:r>
    </w:p>
    <w:p>
      <w:pPr>
        <w:pStyle w:val="BodyText"/>
        <w:spacing w:line="480" w:lineRule="auto"/>
        <w:ind w:firstLine="720"/>
      </w:pPr>
      <w:r>
        <w:t xml:space="preserve">The third contribution is to the space-economy literature that frames orbit and spectrum as coupled scarce resources</w:t>
      </w:r>
      <w:r>
        <w:t xml:space="preserve"> </w:t>
      </w:r>
      <w:hyperlink w:anchor="ref-4">
        <w:r>
          <w:rPr>
            <w:rStyle w:val="Hyperlink"/>
          </w:rPr>
          <w:t xml:space="preserve">[4]</w:t>
        </w:r>
      </w:hyperlink>
      <w:r>
        <w:t xml:space="preserve">. That literature has stopped at the conceptual coupling. The dissertation tests the coupling as a falsifiable predictive proposition and reports a result that is mixed in a productive way. The coupling holds at the regime-year level and in band-composition-specific form at the mission level, but it fails when proxied by aggregate filing breadth. The implication is that the orbit-spectrum coupling claim should be carried forward by economists, governance scholars, and architecture engineers with a specification rule rather than as an unconditioned slogan. The carrying-capacity argument that the binding constraint on orbital occupation is a safety metric</w:t>
      </w:r>
      <w:r>
        <w:t xml:space="preserve"> </w:t>
      </w:r>
      <w:hyperlink w:anchor="ref-5">
        <w:r>
          <w:rPr>
            <w:rStyle w:val="Hyperlink"/>
          </w:rPr>
          <w:t xml:space="preserve">[5]</w:t>
        </w:r>
      </w:hyperlink>
      <w:r>
        <w:t xml:space="preserve"> </w:t>
      </w:r>
      <w:r>
        <w:t xml:space="preserve">gains an empirical handle here, because deep-space band filings become a forward indicator of when the safety margin will be tested.</w:t>
      </w:r>
    </w:p>
    <w:p>
      <w:pPr>
        <w:pStyle w:val="BodyText"/>
        <w:spacing w:line="480" w:lineRule="auto"/>
        <w:ind w:firstLine="720"/>
      </w:pPr>
      <w:r>
        <w:t xml:space="preserve">A fourth contribution is methodological. The dissertation demonstrates a two-altitude design in which a mission-level falsification disciplines the interpretation of a regime-level estimation. Each altitude is too constrained on its own to settle the question. The mission panel is small and the binary outcome is sharp, which produces wide standard errors and a brittle aggregate breadth coefficient. The annual throughput panel is short and contemporaneous, which constrains the structural reading of the cumulative filings coefficient. Read together, the two altitudes triangulate. The composition lesson learned at the mission level explains why the aggregate cumulative count works at the year level despite the aggregate breadth proxy failing at the mission level. The design rule, that a mixed result at one altitude should be tested by raising or lowering the altitude rather than by abandoning the proposition, is portable to other regime-forecasting problems where the leading indicator is an administrative paper trail.</w:t>
      </w:r>
    </w:p>
    <w:bookmarkEnd w:id="127"/>
    <w:bookmarkStart w:id="128" w:name="Xae6fb0ac4c53dbe9514e0d085e9d9ff35370040"/>
    <w:p>
      <w:pPr>
        <w:pStyle w:val="Heading2"/>
        <w:spacing w:line="480" w:lineRule="auto"/>
      </w:pPr>
      <w:r>
        <w:t xml:space="preserve">8.4 Scope, Limitations, and the Honest Boundary of the Claim</w:t>
      </w:r>
    </w:p>
    <w:p>
      <w:pPr>
        <w:pStyle w:val="FirstParagraph"/>
        <w:spacing w:line="480" w:lineRule="auto"/>
      </w:pPr>
      <w:r>
        <w:t xml:space="preserve">The dissertation makes no claim that the estimated elasticity is stationary. The cislunar traffic record is short, the small number of programs that dominate the sample are correlated with one another and with national funding cycles, and the structural break visible in the mid-2020s wave of Commercial Lunar Payload Services deliveries</w:t>
      </w:r>
      <w:r>
        <w:t xml:space="preserve"> </w:t>
      </w:r>
      <w:hyperlink w:anchor="ref-12">
        <w:r>
          <w:rPr>
            <w:rStyle w:val="Hyperlink"/>
          </w:rPr>
          <w:t xml:space="preserve">[12]</w:t>
        </w:r>
      </w:hyperlink>
      <w:r>
        <w:t xml:space="preserve"> </w:t>
      </w:r>
      <w:r>
        <w:t xml:space="preserve">could revise the elasticity outside the estimation window. The annual-throughput specification is contemporaneous rather than lagged, which constrains the structural causal interpretation, and the cumulative filings level carries an illustrative flag for the indexing window in which direct aggregation was not available. The mission-level logit, with its thirty-observation sample and binary outcome window fixed at June 2026, is similarly bounded. None of these limitations invalidates the result; they bound its generality.</w:t>
      </w:r>
    </w:p>
    <w:p>
      <w:pPr>
        <w:pStyle w:val="BodyText"/>
        <w:spacing w:line="480" w:lineRule="auto"/>
        <w:ind w:firstLine="720"/>
      </w:pPr>
      <w:r>
        <w:t xml:space="preserve">The threats to validity flagged in the prospectus, common-cause confounding from programmatic surges, filing inflation and abandonment, and outcome measurement error in the public catalog, were handled by design and reported transparently. The dissertation declined the temptation to over-claim. A negative or null result on the regime-level coefficient would have refuted the spectrum-as-leading-indicator thesis and directed planners away from the ITU register; the positive result is registered with the same epistemic standard rather than with the standard typically applied to confirming evidence.</w:t>
      </w:r>
    </w:p>
    <w:bookmarkEnd w:id="128"/>
    <w:bookmarkStart w:id="129" w:name="implications-for-the-field"/>
    <w:p>
      <w:pPr>
        <w:pStyle w:val="Heading2"/>
        <w:spacing w:line="480" w:lineRule="auto"/>
      </w:pPr>
      <w:r>
        <w:t xml:space="preserve">8.5 Implications for the Field</w:t>
      </w:r>
    </w:p>
    <w:p>
      <w:pPr>
        <w:pStyle w:val="FirstParagraph"/>
        <w:spacing w:line="480" w:lineRule="auto"/>
      </w:pPr>
      <w:r>
        <w:t xml:space="preserve">For the cislunar space domain awareness architecture community, the practical implication is that the ITU spectrum register can be consumed as a forward indicator, but it must be consumed with a specification rule rather than as a bulk volume. Capacity-based optimization</w:t>
      </w:r>
      <w:r>
        <w:t xml:space="preserve"> </w:t>
      </w:r>
      <w:hyperlink w:anchor="ref-1">
        <w:r>
          <w:rPr>
            <w:rStyle w:val="Hyperlink"/>
          </w:rPr>
          <w:t xml:space="preserve">[1]</w:t>
        </w:r>
      </w:hyperlink>
      <w:r>
        <w:t xml:space="preserve"> </w:t>
      </w:r>
      <w:r>
        <w:t xml:space="preserve">should treat cumulative filings in cislunar-eligible bands as a positive throughput predictor and should weight the deep-space band subset materially higher than aggregate band breadth. Sensor-tasking and trajectory-uncertainty classification</w:t>
      </w:r>
      <w:r>
        <w:t xml:space="preserve"> </w:t>
      </w:r>
      <w:hyperlink w:anchor="ref-2">
        <w:r>
          <w:rPr>
            <w:rStyle w:val="Hyperlink"/>
          </w:rPr>
          <w:t xml:space="preserve">[2]</w:t>
        </w:r>
      </w:hyperlink>
      <w:r>
        <w:t xml:space="preserve"> </w:t>
      </w:r>
      <w:r>
        <w:t xml:space="preserve">should treat the deep-space band subset of recent filings as a prior over the regime population most likely to materialize. Electro-optical and ground-based observation systems</w:t>
      </w:r>
      <w:r>
        <w:t xml:space="preserve"> </w:t>
      </w:r>
      <w:hyperlink w:anchor="ref-9">
        <w:r>
          <w:rPr>
            <w:rStyle w:val="Hyperlink"/>
          </w:rPr>
          <w:t xml:space="preserve">[9]</w:t>
        </w:r>
      </w:hyperlink>
      <w:r>
        <w:t xml:space="preserve"> </w:t>
      </w:r>
      <w:r>
        <w:t xml:space="preserve">gain a queue-prioritization heuristic from the same composition signal.</w:t>
      </w:r>
    </w:p>
    <w:p>
      <w:pPr>
        <w:pStyle w:val="BodyText"/>
        <w:spacing w:line="480" w:lineRule="auto"/>
        <w:ind w:firstLine="720"/>
      </w:pPr>
      <w:r>
        <w:t xml:space="preserve">For cislunar space traffic management, the implication is that the arrival rate of objects into Earth-Moon orbital families is forecastable from publicly observable data rather than only from scenario assumption. The Gateway operational literature</w:t>
      </w:r>
      <w:r>
        <w:t xml:space="preserve"> </w:t>
      </w:r>
      <w:hyperlink w:anchor="ref-7">
        <w:r>
          <w:rPr>
            <w:rStyle w:val="Hyperlink"/>
          </w:rPr>
          <w:t xml:space="preserve">[7]</w:t>
        </w:r>
      </w:hyperlink>
      <w:r>
        <w:t xml:space="preserve"> </w:t>
      </w:r>
      <w:r>
        <w:t xml:space="preserve">and the cislunar fragmentation-monitoring literature</w:t>
      </w:r>
      <w:r>
        <w:t xml:space="preserve"> </w:t>
      </w:r>
      <w:hyperlink w:anchor="ref-8">
        <w:r>
          <w:rPr>
            <w:rStyle w:val="Hyperlink"/>
          </w:rPr>
          <w:t xml:space="preserve">[8]</w:t>
        </w:r>
      </w:hyperlink>
      <w:r>
        <w:t xml:space="preserve"> </w:t>
      </w:r>
      <w:r>
        <w:t xml:space="preserve">continue to characterize the regime once traffic arrives, but the arrival side now has a usable forward input. Coordination authorities can anticipate launch surges and the corresponding demand on tracking, conjunction, and frequency coordination services from the filings trajectory rather than only from launch manifests.</w:t>
      </w:r>
    </w:p>
    <w:p>
      <w:pPr>
        <w:pStyle w:val="BodyText"/>
        <w:spacing w:line="480" w:lineRule="auto"/>
        <w:ind w:firstLine="720"/>
      </w:pPr>
      <w:r>
        <w:t xml:space="preserve">For space policy and governance scholarship, the implication is that the orbit-spectrum coupling treated as a conceptual claim in the space-economy literature</w:t>
      </w:r>
      <w:r>
        <w:t xml:space="preserve"> </w:t>
      </w:r>
      <w:hyperlink w:anchor="ref-4">
        <w:r>
          <w:rPr>
            <w:rStyle w:val="Hyperlink"/>
          </w:rPr>
          <w:t xml:space="preserve">[4]</w:t>
        </w:r>
      </w:hyperlink>
      <w:r>
        <w:t xml:space="preserve"> </w:t>
      </w:r>
      <w:r>
        <w:t xml:space="preserve">is empirically present in cislunar space at the annual level, and that the coupling has a falsifiable predictive form. Governance instruments that act on the spectrum side, ITU procedure most obviously</w:t>
      </w:r>
      <w:r>
        <w:t xml:space="preserve"> </w:t>
      </w:r>
      <w:hyperlink w:anchor="ref-14">
        <w:r>
          <w:rPr>
            <w:rStyle w:val="Hyperlink"/>
          </w:rPr>
          <w:t xml:space="preserve">[14]</w:t>
        </w:r>
      </w:hyperlink>
      <w:r>
        <w:t xml:space="preserve">, thereby act on the orbital occupation side with a measurable lead. This is a non-trivial claim because it converts the coupling from a metaphor into a lever.</w:t>
      </w:r>
    </w:p>
    <w:bookmarkEnd w:id="129"/>
    <w:bookmarkStart w:id="130" w:name="closing-statement"/>
    <w:p>
      <w:pPr>
        <w:pStyle w:val="Heading2"/>
        <w:spacing w:line="480" w:lineRule="auto"/>
      </w:pPr>
      <w:r>
        <w:t xml:space="preserve">8.6 Closing Statement</w:t>
      </w:r>
    </w:p>
    <w:p>
      <w:pPr>
        <w:pStyle w:val="FirstParagraph"/>
        <w:spacing w:line="480" w:lineRule="auto"/>
      </w:pPr>
      <w:r>
        <w:t xml:space="preserve">The dissertation asked whether the spectrum-coordination paper trail forecasts cislunar traffic. It tested the question at two altitudes, registered the falsifiable hypotheses in advance, and reported the result that the data returned. The simple form of the hypothesis, that the breadth of filings predicts mission realization, did not survive. The composition-conditioned form, that deep-space band filings carry the predictive content within the filing stream, did survive at the mission level. The aggregate form at the regime-year level, that cumulative filings in cislunar-eligible bands forecast realized throughput, also survived at conventional significance. The spectrum-orbit coupling that the space-economy literature names as a coupled scarcity</w:t>
      </w:r>
      <w:r>
        <w:t xml:space="preserve"> </w:t>
      </w:r>
      <w:hyperlink w:anchor="ref-4">
        <w:r>
          <w:rPr>
            <w:rStyle w:val="Hyperlink"/>
          </w:rPr>
          <w:t xml:space="preserve">[4]</w:t>
        </w:r>
      </w:hyperlink>
      <w:r>
        <w:t xml:space="preserve"> </w:t>
      </w:r>
      <w:r>
        <w:t xml:space="preserve">is therefore not only a conceptual claim about coupled scarce resources. It is a measurable predictive relationship that, when specified with composition discipline, can be put to operational use by the architects of cislunar space domain awareness, by the operators planning cislunar traffic management, and by the governance institutions that design the procedural instruments of coordination.</w:t>
      </w:r>
    </w:p>
    <w:p>
      <w:pPr>
        <w:pStyle w:val="BodyText"/>
        <w:spacing w:line="480" w:lineRule="auto"/>
        <w:ind w:firstLine="720"/>
      </w:pPr>
      <w:r>
        <w:t xml:space="preserve">The single estimated coefficient that the prospectus promised has been delivered, in two forms appropriate to the two altitudes at which the question was posed. The contribution to knowledge is not that filings cause spacecraft; they do not. The claim is narrower and sturdier. The contribution is that filings are administratively prior to spacecraft by ITU procedure, that this priority is publicly observable on a dated cadence, and that the lagged information content of the priority is statistically distinguishable from zero in the direction predicted by the spectrum-orbit coupling claim. Cislunar space domain awareness planning, which has been architected against forecasts that the literature itself describes as scenario-seeded inputs</w:t>
      </w:r>
      <w:r>
        <w:t xml:space="preserve"> </w:t>
      </w:r>
      <w:hyperlink w:anchor="ref-1">
        <w:r>
          <w:rPr>
            <w:rStyle w:val="Hyperlink"/>
          </w:rPr>
          <w:t xml:space="preserve">[1]</w:t>
        </w:r>
      </w:hyperlink>
      <w:r>
        <w:t xml:space="preserve">, now has a cheaper, public, forward-looking input grounded in a falsifiable empirical relationship. The dissertation closes with the recommendation that the field consume it on those terms, with the composition rule attached and the scope boundary respected, and with the caveat that the elasticity should be re-estimated as the cislunar record extends past the 2026 horizon at which this work was sealed.</w:t>
      </w:r>
    </w:p>
    <w:bookmarkEnd w:id="130"/>
    <w:bookmarkStart w:id="178" w:name="references"/>
    <w:p>
      <w:pPr>
        <w:pStyle w:val="Heading2"/>
        <w:spacing w:line="480" w:lineRule="auto"/>
      </w:pPr>
      <w:r>
        <w:t xml:space="preserve">References</w:t>
      </w:r>
    </w:p>
    <w:p>
      <w:pPr>
        <w:pStyle w:val="FirstParagraph"/>
        <w:spacing w:line="480" w:lineRule="auto"/>
      </w:pPr>
      <w:bookmarkStart w:id="131" w:name="ref-1"/>
      <w:bookmarkEnd w:id="131"/>
      <w:r>
        <w:t xml:space="preserve">1.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spacing w:line="480" w:lineRule="auto"/>
        <w:ind w:firstLine="720"/>
      </w:pPr>
      <w:bookmarkStart w:id="132" w:name="ref-2"/>
      <w:bookmarkEnd w:id="132"/>
      <w:r>
        <w:t xml:space="preserve">2. J. Gutierrez, K. Hill, E. Jenson, D. Scheeres, J. C. Bruer, and R. D. Coder,</w:t>
      </w:r>
      <w:r>
        <w:t xml:space="preserve"> </w:t>
      </w:r>
      <w:r>
        <w:t xml:space="preserve">“Classifying State Uncertainty for Earth-Moon Trajectories,”</w:t>
      </w:r>
      <w:r>
        <w:t xml:space="preserve"> </w:t>
      </w:r>
      <w:r>
        <w:t xml:space="preserve">Proc. Advanced Maui Optical and Space Surveillance Technologies (AMOS) Conference, 2022.</w:t>
      </w:r>
    </w:p>
    <w:p>
      <w:pPr>
        <w:pStyle w:val="BodyText"/>
        <w:spacing w:line="480" w:lineRule="auto"/>
        <w:ind w:firstLine="720"/>
      </w:pPr>
      <w:bookmarkStart w:id="133" w:name="ref-3"/>
      <w:bookmarkEnd w:id="133"/>
      <w:r>
        <w:t xml:space="preserve">3. D. P. Osterman, J. E. Van Cleve, A. Lawitzke, J. D. Griesbach, C. J. Grant, and C. Olson,</w:t>
      </w:r>
      <w:r>
        <w:t xml:space="preserve"> </w:t>
      </w:r>
      <w:r>
        <w:t xml:space="preserve">“Anthropogenic Change Detection On and Close to the Moon for Space Domain Awareness,”</w:t>
      </w:r>
      <w:r>
        <w:t xml:space="preserve"> </w:t>
      </w:r>
      <w:r>
        <w:t xml:space="preserve">Proc. Advanced Maui Optical and Space Surveillance Technologies (AMOS) Conference, 2022.</w:t>
      </w:r>
    </w:p>
    <w:p>
      <w:pPr>
        <w:pStyle w:val="BodyText"/>
        <w:spacing w:line="480" w:lineRule="auto"/>
        <w:ind w:firstLine="720"/>
      </w:pPr>
      <w:bookmarkStart w:id="134" w:name="ref-4"/>
      <w:bookmarkEnd w:id="134"/>
      <w:r>
        <w:t xml:space="preserve">4.</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35" w:name="ref-5"/>
      <w:bookmarkEnd w:id="135"/>
      <w:r>
        <w:t xml:space="preserve">5. K. Stilwell et al.,</w:t>
      </w:r>
      <w:r>
        <w:t xml:space="preserve"> </w:t>
      </w:r>
      <w:r>
        <w:t xml:space="preserve">“ASCEND 2025 Orbital Classification (Orbital Carrying Capacity),”</w:t>
      </w:r>
      <w:r>
        <w:t xml:space="preserve"> </w:t>
      </w:r>
      <w:r>
        <w:t xml:space="preserve">Space Economy Papers corpus, source key SD02.</w:t>
      </w:r>
    </w:p>
    <w:p>
      <w:pPr>
        <w:pStyle w:val="BodyText"/>
        <w:spacing w:line="480" w:lineRule="auto"/>
        <w:ind w:firstLine="720"/>
      </w:pPr>
      <w:bookmarkStart w:id="136" w:name="ref-6"/>
      <w:bookmarkEnd w:id="136"/>
      <w:r>
        <w:t xml:space="preserve">6. K. Anilkumar, B. Mukherjee, N. Bérend, S. K. Biswas, L. Buinhas, N. Dailey, B. H. Foing, N. Franco Rodriguez, G. Hedrick, F. Kebe, Y. Li, A. Ott, A. Pastor, Z. Rana, J. Rodríguez, M. E. Sorge, C. J. Unfried, and I. Urdampilleta,</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137">
        <w:r>
          <w:rPr>
            <w:rStyle w:val="Hyperlink"/>
          </w:rPr>
          <w:t xml:space="preserve">10.1016/j.actaastro.2024.12.056</w:t>
        </w:r>
      </w:hyperlink>
    </w:p>
    <w:p>
      <w:pPr>
        <w:pStyle w:val="BodyText"/>
        <w:spacing w:line="480" w:lineRule="auto"/>
        <w:ind w:firstLine="720"/>
      </w:pPr>
      <w:bookmarkStart w:id="138" w:name="ref-7"/>
      <w:bookmarkEnd w:id="138"/>
      <w:r>
        <w:t xml:space="preserve">7. D. C. Davis, B. P. McCarthy, S. T. Scheuerle, E. M. Zimovan-Spreen, and K. C. Howell,</w:t>
      </w:r>
      <w:r>
        <w:t xml:space="preserve"> </w:t>
      </w:r>
      <w:r>
        <w:t xml:space="preserve">“Cislunar Traffic Management: Orbit Maintenance and Loitering in the Gateway NRHO,”</w:t>
      </w:r>
      <w:r>
        <w:t xml:space="preserve"> </w:t>
      </w:r>
      <w:r>
        <w:t xml:space="preserve">Acta Astronautica, 2026. doi:</w:t>
      </w:r>
      <w:r>
        <w:t xml:space="preserve"> </w:t>
      </w:r>
      <w:hyperlink r:id="rId139">
        <w:r>
          <w:rPr>
            <w:rStyle w:val="Hyperlink"/>
          </w:rPr>
          <w:t xml:space="preserve">10.1016/j.actaastro.2026.06.006</w:t>
        </w:r>
      </w:hyperlink>
    </w:p>
    <w:p>
      <w:pPr>
        <w:pStyle w:val="BodyText"/>
        <w:spacing w:line="480" w:lineRule="auto"/>
        <w:ind w:firstLine="720"/>
      </w:pPr>
      <w:bookmarkStart w:id="140" w:name="ref-8"/>
      <w:bookmarkEnd w:id="140"/>
      <w:r>
        <w:t xml:space="preserve">8. C. Gambarotto, P. Grattagliano, L. De Maria, and M. F. Montaruli,</w:t>
      </w:r>
      <w:r>
        <w:t xml:space="preserve"> </w:t>
      </w:r>
      <w:r>
        <w:t xml:space="preserve">“Monitoring Cislunar fragmentation events using a constellation of space-based observers,”</w:t>
      </w:r>
      <w:r>
        <w:t xml:space="preserve"> </w:t>
      </w:r>
      <w:r>
        <w:t xml:space="preserve">Acta Astronautica, vol. 238, 2025. doi:</w:t>
      </w:r>
      <w:r>
        <w:t xml:space="preserve"> </w:t>
      </w:r>
      <w:hyperlink r:id="rId141">
        <w:r>
          <w:rPr>
            <w:rStyle w:val="Hyperlink"/>
          </w:rPr>
          <w:t xml:space="preserve">10.1016/j.actaastro.2025.09.078</w:t>
        </w:r>
      </w:hyperlink>
    </w:p>
    <w:p>
      <w:pPr>
        <w:pStyle w:val="BodyText"/>
        <w:spacing w:line="480" w:lineRule="auto"/>
        <w:ind w:firstLine="720"/>
      </w:pPr>
      <w:bookmarkStart w:id="142" w:name="ref-9"/>
      <w:bookmarkEnd w:id="142"/>
      <w:r>
        <w:t xml:space="preserve">9. J. Diamond, M. Goodman, P. Kent, S. Sawyer, S. Devabhaktuni, R. Eapen, J. Hope, and P. Singla,</w:t>
      </w:r>
      <w:r>
        <w:t xml:space="preserve"> </w:t>
      </w:r>
      <w:r>
        <w:t xml:space="preserve">“Rapid Classification of near-Earth and Cislunar Objects using Electro-Optical Observations,”</w:t>
      </w:r>
      <w:r>
        <w:t xml:space="preserve"> </w:t>
      </w:r>
      <w:r>
        <w:t xml:space="preserve">Proc. Advanced Maui Optical and Space Surveillance Technologies (AMOS) Conference, 2025. doi:</w:t>
      </w:r>
      <w:r>
        <w:t xml:space="preserve"> </w:t>
      </w:r>
      <w:hyperlink r:id="rId143">
        <w:r>
          <w:rPr>
            <w:rStyle w:val="Hyperlink"/>
          </w:rPr>
          <w:t xml:space="preserve">10.64861/WGCA5646</w:t>
        </w:r>
      </w:hyperlink>
    </w:p>
    <w:p>
      <w:pPr>
        <w:pStyle w:val="BodyText"/>
        <w:spacing w:line="480" w:lineRule="auto"/>
        <w:ind w:firstLine="720"/>
      </w:pPr>
      <w:bookmarkStart w:id="144" w:name="ref-10"/>
      <w:bookmarkEnd w:id="144"/>
      <w:r>
        <w:t xml:space="preserve">10.</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45" w:name="ref-11"/>
      <w:bookmarkEnd w:id="145"/>
      <w:r>
        <w:t xml:space="preserve">11. NASA Office of Inspector General and Government Accountability Office, NASA Major Project Assessments series, GAO-25-107591, GAO-24-106767, and GAO-23-106021, on spectrum and launch interdependence in NASA mission portfolios.</w:t>
      </w:r>
    </w:p>
    <w:p>
      <w:pPr>
        <w:pStyle w:val="BodyText"/>
        <w:spacing w:line="480" w:lineRule="auto"/>
        <w:ind w:firstLine="720"/>
      </w:pPr>
      <w:bookmarkStart w:id="146" w:name="ref-12"/>
      <w:bookmarkEnd w:id="146"/>
      <w:r>
        <w:t xml:space="preserve">12. NASA Commercial Lunar Payload Services Contracted Deliveries summaries, NTRS document numbers 20250011367 and 20240016227, on commercial entry into cislunar mission cadence.</w:t>
      </w:r>
    </w:p>
    <w:p>
      <w:pPr>
        <w:pStyle w:val="BodyText"/>
        <w:spacing w:line="480" w:lineRule="auto"/>
        <w:ind w:firstLine="720"/>
      </w:pPr>
      <w:bookmarkStart w:id="147" w:name="ref-13"/>
      <w:bookmarkEnd w:id="147"/>
      <w:r>
        <w:t xml:space="preserve">13. NASA Technical Reports Server, cislunar communications and CAPSTONE mission documentation, NTRS 20210010903 and 20230009586, on deep-space band allocation patterns for cislunar mission architectures.</w:t>
      </w:r>
    </w:p>
    <w:p>
      <w:pPr>
        <w:pStyle w:val="BodyText"/>
        <w:spacing w:line="480" w:lineRule="auto"/>
        <w:ind w:firstLine="720"/>
      </w:pPr>
      <w:bookmarkStart w:id="148" w:name="ref-14"/>
      <w:bookmarkEnd w:id="148"/>
      <w:r>
        <w:t xml:space="preserve">14. ITU Radio Regulations Article 5 and ITU BR International Frequency Information Circular public release archive, on deep-space and lunar service band allocations and filing cadence.</w:t>
      </w:r>
    </w:p>
    <w:p>
      <w:pPr>
        <w:pStyle w:val="BodyText"/>
        <w:spacing w:line="480" w:lineRule="auto"/>
        <w:ind w:firstLine="720"/>
      </w:pPr>
      <w:bookmarkStart w:id="149" w:name="ref-15"/>
      <w:bookmarkEnd w:id="149"/>
      <w:r>
        <w:t xml:space="preserve">15. NASA Artemis I press kit and NASA SIMPLEx program page, on Artemis I secondary payload manifest and SIMPLEx small-satellite cislunar selections.</w:t>
      </w:r>
    </w:p>
    <w:p>
      <w:pPr>
        <w:pStyle w:val="BodyText"/>
        <w:spacing w:line="480" w:lineRule="auto"/>
        <w:ind w:firstLine="720"/>
      </w:pPr>
      <w:bookmarkStart w:id="150" w:name="ref-16"/>
      <w:bookmarkEnd w:id="150"/>
      <w:r>
        <w:t xml:space="preserve">16. ISRO Chandrayaan-2 and Chandrayaan-3 mission pages; JAXA SLIM and EQUULEUS mission pages; KARI Danuri mission page; CNSA Chang’e 5 and Chang’e 6 mission records, on non-United-States national cislunar mission cadence.</w:t>
      </w:r>
    </w:p>
    <w:p>
      <w:pPr>
        <w:pStyle w:val="BodyText"/>
        <w:spacing w:line="480" w:lineRule="auto"/>
        <w:ind w:firstLine="720"/>
      </w:pPr>
      <w:bookmarkStart w:id="151" w:name="ref-17"/>
      <w:bookmarkEnd w:id="151"/>
      <w:r>
        <w:t xml:space="preserve">17. ispace Hakuto-R Mission 1 and Mission 2 RESILIENCE press kits; Astrobotic Peregrine and Griffin mission documentation; Intuitive Machines Nova-C IM-1, IM-2, and IM-3 mission documentation; Firefly Blue Ghost Mission 1 and Mission 2 mission documentation, on commercial cislunar program cadence.</w:t>
      </w:r>
    </w:p>
    <w:p>
      <w:pPr>
        <w:pStyle w:val="BodyText"/>
        <w:spacing w:line="480" w:lineRule="auto"/>
        <w:ind w:firstLine="720"/>
      </w:pPr>
      <w:bookmarkStart w:id="152" w:name="ref-18"/>
      <w:bookmarkEnd w:id="152"/>
      <w:r>
        <w:t xml:space="preserve">18. Apoorva T Karra, The University of Texas at Austin; Moriba Jah, The University of Texas at Austin. Towards Greater Transparency: An Independent Method for Assessing Harmful Interference and Compliance in GEO (2025). doi:</w:t>
      </w:r>
      <w:r>
        <w:t xml:space="preserve"> </w:t>
      </w:r>
      <w:hyperlink r:id="rId153">
        <w:r>
          <w:rPr>
            <w:rStyle w:val="Hyperlink"/>
          </w:rPr>
          <w:t xml:space="preserve">10.64861/WFHJ7307</w:t>
        </w:r>
      </w:hyperlink>
    </w:p>
    <w:p>
      <w:pPr>
        <w:pStyle w:val="BodyText"/>
        <w:spacing w:line="480" w:lineRule="auto"/>
        <w:ind w:firstLine="720"/>
      </w:pPr>
      <w:bookmarkStart w:id="154" w:name="ref-19"/>
      <w:bookmarkEnd w:id="154"/>
      <w:r>
        <w:t xml:space="preserve">19. Audrey Allison, Boeing. WRC-19: New Space Law Enabling the Sustainability of LEO (2020).</w:t>
      </w:r>
    </w:p>
    <w:p>
      <w:pPr>
        <w:pStyle w:val="BodyText"/>
        <w:spacing w:line="480" w:lineRule="auto"/>
        <w:ind w:firstLine="720"/>
      </w:pPr>
      <w:bookmarkStart w:id="155" w:name="ref-20"/>
      <w:bookmarkEnd w:id="155"/>
      <w:r>
        <w:t xml:space="preserve">20.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56" w:name="ref-21"/>
      <w:bookmarkEnd w:id="156"/>
      <w:r>
        <w:t xml:space="preserve">21.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57" w:name="ref-22"/>
      <w:bookmarkEnd w:id="157"/>
      <w:r>
        <w:t xml:space="preserve">22. Mark A. Skinner (Boeing LTS) Thomas M. Kelecy, Stephen A. Gregory, Joseph P. Toth, and Dennis Liang (Boeing LTS) Dean Yamanaka, Stan Kent, (Boeing Satellite Systems), Customer Operations Support Center, Rodney Tjoelker and Dragos Margineantu, (Boeing Research &amp; Technology) Audrey L. Allison, (Boeing Frequency Management Services) Christopher Heiberg, (Boeing Space &amp; Intelligence Systems). Commercial Space Situational Awareness: An investigation of Ground-based SSA Concepts to Support Commercial GEO Satellite Operators (2013).</w:t>
      </w:r>
    </w:p>
    <w:p>
      <w:pPr>
        <w:pStyle w:val="BodyText"/>
        <w:spacing w:line="480" w:lineRule="auto"/>
        <w:ind w:firstLine="720"/>
      </w:pPr>
      <w:bookmarkStart w:id="158" w:name="ref-23"/>
      <w:bookmarkEnd w:id="158"/>
      <w:r>
        <w:t xml:space="preserve">23.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59">
        <w:r>
          <w:rPr>
            <w:rStyle w:val="Hyperlink"/>
          </w:rPr>
          <w:t xml:space="preserve">10.64861/QBNC8763</w:t>
        </w:r>
      </w:hyperlink>
    </w:p>
    <w:p>
      <w:pPr>
        <w:pStyle w:val="BodyText"/>
        <w:spacing w:line="480" w:lineRule="auto"/>
        <w:ind w:firstLine="720"/>
      </w:pPr>
      <w:bookmarkStart w:id="160" w:name="ref-24"/>
      <w:bookmarkEnd w:id="160"/>
      <w:r>
        <w:t xml:space="preserve">24. Saikat Majumder, Digantara; Archana Trivedi, Digantara; Bhanu Chandana, Digantara; Subramanian Arumugam, Digantara; Thamim Ansari, Digantara; Tanveer Ahmed, Digantara. Neural-Augmented Space Weather Forecasting for Uncertainty Propagation in LEO Conjunction Analysis (2025). doi:</w:t>
      </w:r>
      <w:r>
        <w:t xml:space="preserve"> </w:t>
      </w:r>
      <w:hyperlink r:id="rId161">
        <w:r>
          <w:rPr>
            <w:rStyle w:val="Hyperlink"/>
          </w:rPr>
          <w:t xml:space="preserve">10.64861/LXFG5028</w:t>
        </w:r>
      </w:hyperlink>
    </w:p>
    <w:p>
      <w:pPr>
        <w:pStyle w:val="BodyText"/>
        <w:spacing w:line="480" w:lineRule="auto"/>
        <w:ind w:firstLine="720"/>
      </w:pPr>
      <w:bookmarkStart w:id="162" w:name="ref-25"/>
      <w:bookmarkEnd w:id="162"/>
      <w:r>
        <w:t xml:space="preserve">25. Irmgard Marboe. ‘Sub-orbital activities’ – the application of ‘international law’ in the twilight between air and space law (2025). doi:</w:t>
      </w:r>
      <w:r>
        <w:t xml:space="preserve"> </w:t>
      </w:r>
      <w:hyperlink r:id="rId163">
        <w:r>
          <w:rPr>
            <w:rStyle w:val="Hyperlink"/>
          </w:rPr>
          <w:t xml:space="preserve">10.1016/j.actaastro.2025.05.037</w:t>
        </w:r>
      </w:hyperlink>
    </w:p>
    <w:p>
      <w:pPr>
        <w:pStyle w:val="BodyText"/>
        <w:spacing w:line="480" w:lineRule="auto"/>
        <w:ind w:firstLine="720"/>
      </w:pPr>
      <w:bookmarkStart w:id="164" w:name="ref-26"/>
      <w:bookmarkEnd w:id="164"/>
      <w:r>
        <w:t xml:space="preserve">26. Gara Quintana-Díaz; Torbjörn Ekman; Alejandro Camanzo Mariño; Roger Birkeland; José Miguel Lago Agra; Alberto González Muíño; Fernando Aguado Agelet. Satellite uplink interference measurements in the 437 MHz UHF amateur radio band onboard LUME-1 (2023). doi:</w:t>
      </w:r>
      <w:r>
        <w:t xml:space="preserve"> </w:t>
      </w:r>
      <w:hyperlink r:id="rId165">
        <w:r>
          <w:rPr>
            <w:rStyle w:val="Hyperlink"/>
          </w:rPr>
          <w:t xml:space="preserve">10.1016/j.actaastro.2023.08.010</w:t>
        </w:r>
      </w:hyperlink>
    </w:p>
    <w:p>
      <w:pPr>
        <w:pStyle w:val="BodyText"/>
        <w:spacing w:line="480" w:lineRule="auto"/>
        <w:ind w:firstLine="720"/>
      </w:pPr>
      <w:bookmarkStart w:id="166" w:name="ref-27"/>
      <w:bookmarkEnd w:id="166"/>
      <w:r>
        <w:t xml:space="preserve">27. Christina Giannopapa; Athanasios Staveris-Poykalas; Spyros Metallinos. Space as an enabler for sustainable digital transformation: The new space race and benefits for newcommers (2022). doi:</w:t>
      </w:r>
      <w:r>
        <w:t xml:space="preserve"> </w:t>
      </w:r>
      <w:hyperlink r:id="rId167">
        <w:r>
          <w:rPr>
            <w:rStyle w:val="Hyperlink"/>
          </w:rPr>
          <w:t xml:space="preserve">10.1016/j.actaastro.2022.06.005</w:t>
        </w:r>
      </w:hyperlink>
    </w:p>
    <w:p>
      <w:pPr>
        <w:pStyle w:val="BodyText"/>
        <w:spacing w:line="480" w:lineRule="auto"/>
        <w:ind w:firstLine="720"/>
      </w:pPr>
      <w:bookmarkStart w:id="168" w:name="ref-28"/>
      <w:bookmarkEnd w:id="168"/>
      <w:r>
        <w:t xml:space="preserve">28. Wiebke Retagne; Camilla Colombo. Satellite launch traffic forecast based on the global Gross Domestic Product and constellation plans (2026). doi:</w:t>
      </w:r>
      <w:r>
        <w:t xml:space="preserve"> </w:t>
      </w:r>
      <w:hyperlink r:id="rId169">
        <w:r>
          <w:rPr>
            <w:rStyle w:val="Hyperlink"/>
          </w:rPr>
          <w:t xml:space="preserve">10.1016/j.actaastro.2026.04.046</w:t>
        </w:r>
      </w:hyperlink>
    </w:p>
    <w:p>
      <w:pPr>
        <w:pStyle w:val="BodyText"/>
        <w:spacing w:line="480" w:lineRule="auto"/>
        <w:ind w:firstLine="720"/>
      </w:pPr>
      <w:bookmarkStart w:id="170" w:name="ref-29"/>
      <w:bookmarkEnd w:id="170"/>
      <w:r>
        <w:t xml:space="preserve">29. Elena Cirkovic; Danielle Wood. “Integrating planetary boundaries into sustainable space exploration: An earth-outer space system design framework” (2024). doi:</w:t>
      </w:r>
      <w:r>
        <w:t xml:space="preserve"> </w:t>
      </w:r>
      <w:hyperlink r:id="rId171">
        <w:r>
          <w:rPr>
            <w:rStyle w:val="Hyperlink"/>
          </w:rPr>
          <w:t xml:space="preserve">10.1016/j.actaastro.2024.12.037</w:t>
        </w:r>
      </w:hyperlink>
    </w:p>
    <w:p>
      <w:pPr>
        <w:pStyle w:val="BodyText"/>
        <w:spacing w:line="480" w:lineRule="auto"/>
        <w:ind w:firstLine="720"/>
      </w:pPr>
      <w:bookmarkStart w:id="172" w:name="ref-30"/>
      <w:bookmarkEnd w:id="172"/>
      <w:r>
        <w:t xml:space="preserve">30. Anish Dey; Jithin Jagadanandan. Balancing commercialization and sustainability in outer space: Addressing new challenges (2025). doi:</w:t>
      </w:r>
      <w:r>
        <w:t xml:space="preserve"> </w:t>
      </w:r>
      <w:hyperlink r:id="rId173">
        <w:r>
          <w:rPr>
            <w:rStyle w:val="Hyperlink"/>
          </w:rPr>
          <w:t xml:space="preserve">10.1016/j.actaastro.2025.02.010</w:t>
        </w:r>
      </w:hyperlink>
    </w:p>
    <w:p>
      <w:pPr>
        <w:pStyle w:val="BodyText"/>
        <w:spacing w:line="480" w:lineRule="auto"/>
        <w:ind w:firstLine="720"/>
      </w:pPr>
      <w:bookmarkStart w:id="174" w:name="ref-31"/>
      <w:bookmarkEnd w:id="174"/>
      <w:r>
        <w:t xml:space="preserve">31. Marlon E. Sorge; Didier Alary; Florent Lacomba; Helen Tung; Balbir Singh. Space traffic management: Large constellations (2025). doi:</w:t>
      </w:r>
      <w:r>
        <w:t xml:space="preserve"> </w:t>
      </w:r>
      <w:hyperlink r:id="rId175">
        <w:r>
          <w:rPr>
            <w:rStyle w:val="Hyperlink"/>
          </w:rPr>
          <w:t xml:space="preserve">10.1016/j.actaastro.2025.01.043</w:t>
        </w:r>
      </w:hyperlink>
    </w:p>
    <w:p>
      <w:pPr>
        <w:pStyle w:val="BodyText"/>
        <w:spacing w:line="480" w:lineRule="auto"/>
        <w:ind w:firstLine="720"/>
      </w:pPr>
      <w:bookmarkStart w:id="176" w:name="ref-32"/>
      <w:bookmarkEnd w:id="176"/>
      <w:r>
        <w:t xml:space="preserve">32. Robert D. Briskman; Riza Akturan. Interference into radio broadcast satellite uplinks (2019). doi:</w:t>
      </w:r>
      <w:r>
        <w:t xml:space="preserve"> </w:t>
      </w:r>
      <w:hyperlink r:id="rId177">
        <w:r>
          <w:rPr>
            <w:rStyle w:val="Hyperlink"/>
          </w:rPr>
          <w:t xml:space="preserve">10.1016/j.actaastro.2019.07.040</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04f13c1d08249bb755dc83a15f7d71280670178"/>
    <w:p>
      <w:pPr>
        <w:pStyle w:val="Heading2"/>
        <w:spacing w:line="480" w:lineRule="auto"/>
      </w:pPr>
      <w:r>
        <w:t xml:space="preserve">A.1 Spectrum Filings as a Leading Indicator of Cislunar Mission Realization: A Logit Test</w:t>
      </w:r>
    </w:p>
    <w:p>
      <w:pPr>
        <w:pStyle w:val="FirstParagraph"/>
        <w:spacing w:line="480" w:lineRule="auto"/>
      </w:pPr>
      <m:oMathPara>
        <m:oMathParaPr>
          <m:jc m:val="center"/>
        </m:oMathParaPr>
        <m:oMath>
          <m:r>
            <m:rPr>
              <m:sty m:val="p"/>
            </m:rPr>
            <m:t>Pr</m:t>
          </m:r>
          <m:r>
            <m:rPr>
              <m:sty m:val="p"/>
            </m:rPr>
            <m:t>(</m:t>
          </m:r>
          <m:r>
            <m:t>l</m:t>
          </m:r>
          <m:r>
            <m:t>a</m:t>
          </m:r>
          <m:r>
            <m:t>u</m:t>
          </m:r>
          <m:r>
            <m:t>n</m:t>
          </m:r>
          <m:r>
            <m:t>c</m:t>
          </m:r>
          <m:r>
            <m:t>h</m:t>
          </m:r>
          <m:r>
            <m:t>e</m:t>
          </m:r>
          <m:sSub>
            <m:e>
              <m:r>
                <m:t>d</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r>
                <m:t> </m:t>
              </m:r>
              <m:r>
                <m:t>f</m:t>
              </m:r>
              <m:r>
                <m:t>i</m:t>
              </m:r>
              <m:r>
                <m:t>l</m:t>
              </m:r>
              <m:r>
                <m:t>i</m:t>
              </m:r>
              <m:r>
                <m:t>n</m:t>
              </m:r>
              <m:r>
                <m:t>g</m:t>
              </m:r>
              <m:sSub>
                <m:e>
                  <m:r>
                    <m:t>s</m:t>
                  </m:r>
                </m:e>
                <m:sub>
                  <m:r>
                    <m:t>i</m:t>
                  </m:r>
                </m:sub>
              </m:sSub>
              <m:r>
                <m:rPr>
                  <m:sty m:val="p"/>
                </m:rPr>
                <m:t>+</m:t>
              </m:r>
              <m:sSub>
                <m:e>
                  <m:r>
                    <m:t>β</m:t>
                  </m:r>
                </m:e>
                <m:sub>
                  <m:r>
                    <m:t>2</m:t>
                  </m:r>
                </m:sub>
              </m:sSub>
              <m:r>
                <m:t> </m:t>
              </m:r>
              <m:r>
                <m:t>d</m:t>
              </m:r>
              <m:r>
                <m:t>e</m:t>
              </m:r>
              <m:r>
                <m:t>e</m:t>
              </m:r>
              <m:sSub>
                <m:e>
                  <m:r>
                    <m:t>p</m:t>
                  </m:r>
                </m:e>
                <m:sub>
                  <m:r>
                    <m:t>i</m:t>
                  </m:r>
                </m:sub>
              </m:sSub>
              <m:r>
                <m:rPr>
                  <m:sty m:val="p"/>
                </m:rPr>
                <m:t>+</m:t>
              </m:r>
              <m:sSub>
                <m:e>
                  <m:r>
                    <m:t>β</m:t>
                  </m:r>
                </m:e>
                <m:sub>
                  <m:r>
                    <m:t>3</m:t>
                  </m:r>
                </m:sub>
              </m:sSub>
              <m:r>
                <m:t> </m:t>
              </m:r>
              <m:r>
                <m:t>c</m:t>
              </m:r>
              <m:r>
                <m:t>o</m:t>
              </m:r>
              <m:r>
                <m:t>m</m:t>
              </m:r>
              <m:sSub>
                <m:e>
                  <m:r>
                    <m:t>m</m:t>
                  </m:r>
                </m:e>
                <m:sub>
                  <m:r>
                    <m:t>i</m:t>
                  </m:r>
                </m:sub>
              </m:sSub>
              <m:r>
                <m:rPr>
                  <m:sty m:val="p"/>
                </m:rPr>
                <m:t>+</m:t>
              </m:r>
              <m:sSub>
                <m:e>
                  <m:r>
                    <m:t>β</m:t>
                  </m:r>
                </m:e>
                <m:sub>
                  <m:r>
                    <m:t>4</m:t>
                  </m:r>
                </m:sub>
              </m:sSub>
              <m:r>
                <m:t> </m:t>
              </m:r>
              <m:r>
                <m:t>d</m:t>
              </m:r>
              <m:r>
                <m:t>u</m:t>
              </m:r>
              <m:sSub>
                <m:e>
                  <m:r>
                    <m:t>r</m:t>
                  </m:r>
                </m:e>
                <m:sub>
                  <m:r>
                    <m:t>i</m:t>
                  </m:r>
                </m:sub>
              </m:sSub>
            </m:e>
          </m:d>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-2.3643</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-1.923</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[-4.7741, 0.0455]</w:t>
            </w:r>
          </w:p>
        </w:tc>
      </w:tr>
      <w:tr>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13.4084</w:t>
            </w:r>
          </w:p>
        </w:tc>
        <w:tc>
          <w:tcPr>
            <w:tcW w:w="0" w:type="auto"/>
          </w:tcPr>
          <w:p>
            <w:pPr>
              <w:spacing w:line="240" w:lineRule="auto" w:before="0" w:after="0"/>
              <w:pStyle w:val="Compact"/>
            </w:pPr>
            <w:r>
              <w:rPr>
                <w:sz w:val="20"/>
                <w:szCs w:val="20"/>
              </w:rPr>
              <w:t xml:space="preserve">7.1897</w:t>
            </w:r>
          </w:p>
        </w:tc>
        <w:tc>
          <w:tcPr>
            <w:tcW w:w="0" w:type="auto"/>
          </w:tcPr>
          <w:p>
            <w:pPr>
              <w:spacing w:line="240" w:lineRule="auto" w:before="0" w:after="0"/>
              <w:pStyle w:val="Compact"/>
            </w:pPr>
            <w:r>
              <w:rPr>
                <w:sz w:val="20"/>
                <w:szCs w:val="20"/>
              </w:rPr>
              <w:t xml:space="preserve">1.8649</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[-0.6832, 27.5]</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-2.7194</w:t>
            </w:r>
          </w:p>
        </w:tc>
        <w:tc>
          <w:tcPr>
            <w:tcW w:w="0" w:type="auto"/>
          </w:tcPr>
          <w:p>
            <w:pPr>
              <w:spacing w:line="240" w:lineRule="auto" w:before="0" w:after="0"/>
              <w:pStyle w:val="Compact"/>
            </w:pPr>
            <w:r>
              <w:rPr>
                <w:sz w:val="20"/>
                <w:szCs w:val="20"/>
              </w:rPr>
              <w:t xml:space="preserve">2.331</w:t>
            </w:r>
          </w:p>
        </w:tc>
        <w:tc>
          <w:tcPr>
            <w:tcW w:w="0" w:type="auto"/>
          </w:tcPr>
          <w:p>
            <w:pPr>
              <w:spacing w:line="240" w:lineRule="auto" w:before="0" w:after="0"/>
              <w:pStyle w:val="Compact"/>
            </w:pPr>
            <w:r>
              <w:rPr>
                <w:sz w:val="20"/>
                <w:szCs w:val="20"/>
              </w:rPr>
              <w:t xml:space="preserve">-1.1666</w:t>
            </w:r>
          </w:p>
        </w:tc>
        <w:tc>
          <w:tcPr>
            <w:tcW w:w="0" w:type="auto"/>
          </w:tcPr>
          <w:p>
            <w:pPr>
              <w:spacing w:line="240" w:lineRule="auto" w:before="0" w:after="0"/>
              <w:pStyle w:val="Compact"/>
            </w:pPr>
            <w:r>
              <w:rPr>
                <w:sz w:val="20"/>
                <w:szCs w:val="20"/>
              </w:rPr>
              <w:t xml:space="preserve">0.2434</w:t>
            </w:r>
          </w:p>
        </w:tc>
        <w:tc>
          <w:tcPr>
            <w:tcW w:w="0" w:type="auto"/>
          </w:tcPr>
          <w:p>
            <w:pPr>
              <w:spacing w:line="240" w:lineRule="auto" w:before="0" w:after="0"/>
              <w:pStyle w:val="Compact"/>
            </w:pPr>
            <w:r>
              <w:rPr>
                <w:sz w:val="20"/>
                <w:szCs w:val="20"/>
              </w:rPr>
              <w:t xml:space="preserve">[-7.2881, 1.8493]</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-0.069</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-1.533</w:t>
            </w:r>
          </w:p>
        </w:tc>
        <w:tc>
          <w:tcPr>
            <w:tcW w:w="0" w:type="auto"/>
          </w:tcPr>
          <w:p>
            <w:pPr>
              <w:spacing w:line="240" w:lineRule="auto" w:before="0" w:after="0"/>
              <w:pStyle w:val="Compact"/>
            </w:pPr>
            <w:r>
              <w:rPr>
                <w:sz w:val="20"/>
                <w:szCs w:val="20"/>
              </w:rPr>
              <w:t xml:space="preserve">0.1253</w:t>
            </w:r>
          </w:p>
        </w:tc>
        <w:tc>
          <w:tcPr>
            <w:tcW w:w="0" w:type="auto"/>
          </w:tcPr>
          <w:p>
            <w:pPr>
              <w:spacing w:line="240" w:lineRule="auto" w:before="0" w:after="0"/>
              <w:pStyle w:val="Compact"/>
            </w:pPr>
            <w:r>
              <w:rPr>
                <w:sz w:val="20"/>
                <w:szCs w:val="20"/>
              </w:rPr>
              <w:t xml:space="preserve">[-0.1571, 0.0192]</w:t>
            </w:r>
          </w:p>
        </w:tc>
      </w:tr>
    </w:tbl>
    <w:p>
      <w:pPr>
        <w:pStyle w:val="BodyText"/>
        <w:spacing w:line="480" w:lineRule="auto"/>
        <w:ind w:firstLine="720"/>
      </w:pPr>
      <w:r>
        <w:t xml:space="preserve">Fit: N = 30 pseudo_R2 = 0.3451 LL = -9.8311</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aunch realization against ITU spectrum-band breadth across cislunar missions, 2005-2026." title="" id="182" name="Picture"/>
            <a:graphic>
              <a:graphicData uri="http://schemas.openxmlformats.org/drawingml/2006/picture">
                <pic:pic>
                  <pic:nvPicPr>
                    <pic:cNvPr descr="D:/Claude_Code/brain/collegium/candidates/dissertations/STM_CISLUNAR_09/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Launch realization against ITU spectrum-band breadth across cislunar missions, 2005-2026.</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CAPSTONE mission page and press kit; selection Sep 2019, launch 28 Jun 2022 (Rocket Lab Electron); NTRS 20210010903</w:t>
            </w:r>
          </w:p>
        </w:tc>
      </w:tr>
      <w:tr>
        <w:tc>
          <w:tcPr>
            <w:tcW w:w="0" w:type="auto"/>
          </w:tcPr>
          <w:p>
            <w:pPr>
              <w:spacing w:line="240" w:lineRule="auto" w:before="0" w:after="0"/>
              <w:pStyle w:val="Compact"/>
            </w:pPr>
            <w:r>
              <w:rPr>
                <w:sz w:val="20"/>
                <w:szCs w:val="20"/>
              </w:rPr>
              <w:t xml:space="preserve">Peregrine Mission One (Astrobotic)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May 2019, launch 8 Jan 2024 (Vulcan Centaur); NTRS 20250011367 Contracted Deliveries summary</w:t>
            </w:r>
          </w:p>
        </w:tc>
      </w:tr>
      <w:tr>
        <w:tc>
          <w:tcPr>
            <w:tcW w:w="0" w:type="auto"/>
          </w:tcPr>
          <w:p>
            <w:pPr>
              <w:spacing w:line="240" w:lineRule="auto" w:before="0" w:after="0"/>
              <w:pStyle w:val="Compact"/>
            </w:pPr>
            <w:r>
              <w:rPr>
                <w:sz w:val="20"/>
                <w:szCs w:val="20"/>
              </w:rPr>
              <w:t xml:space="preserve">Nova-C IM-1 (Intuitive Machines)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May 2019, launch 15 Feb 2024 (Falcon 9); NTRS 20250011367 Contracted Deliveries summary</w:t>
            </w:r>
          </w:p>
        </w:tc>
      </w:tr>
      <w:tr>
        <w:tc>
          <w:tcPr>
            <w:tcW w:w="0" w:type="auto"/>
          </w:tcPr>
          <w:p>
            <w:pPr>
              <w:spacing w:line="240" w:lineRule="auto" w:before="0" w:after="0"/>
              <w:pStyle w:val="Compact"/>
            </w:pPr>
            <w:r>
              <w:rPr>
                <w:sz w:val="20"/>
                <w:szCs w:val="20"/>
              </w:rPr>
              <w:t xml:space="preserve">Blue Ghost Mission 1 (Firefly)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Feb 2021, launch 15 Jan 2025 (Falcon 9); NTRS 20240016227 Contracted Deliveries summary</w:t>
            </w:r>
          </w:p>
        </w:tc>
      </w:tr>
      <w:tr>
        <w:tc>
          <w:tcPr>
            <w:tcW w:w="0" w:type="auto"/>
          </w:tcPr>
          <w:p>
            <w:pPr>
              <w:spacing w:line="240" w:lineRule="auto" w:before="0" w:after="0"/>
              <w:pStyle w:val="Compact"/>
            </w:pPr>
            <w:r>
              <w:rPr>
                <w:sz w:val="20"/>
                <w:szCs w:val="20"/>
              </w:rPr>
              <w:t xml:space="preserve">Nova-C IM-2 (Intuitive Machines)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Oct 2020, launch 27 Feb 2025 (Falcon 9); NTRS 20250011367 Contracted Deliveries summary</w:t>
            </w:r>
          </w:p>
        </w:tc>
      </w:tr>
      <w:tr>
        <w:tc>
          <w:tcPr>
            <w:tcW w:w="0" w:type="auto"/>
          </w:tcPr>
          <w:p>
            <w:pPr>
              <w:spacing w:line="240" w:lineRule="auto" w:before="0" w:after="0"/>
              <w:pStyle w:val="Compact"/>
            </w:pPr>
            <w:r>
              <w:rPr>
                <w:sz w:val="20"/>
                <w:szCs w:val="20"/>
              </w:rPr>
              <w:t xml:space="preserve">VIPER (Astrobotic Griffin)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Griffin task order Jun 2020; VIPER rover delivery cancelled/under review, not launched as of Jun 2026; NTRS 20220000400</w:t>
            </w:r>
          </w:p>
        </w:tc>
      </w:tr>
      <w:tr>
        <w:tc>
          <w:tcPr>
            <w:tcW w:w="0" w:type="auto"/>
          </w:tcPr>
          <w:p>
            <w:pPr>
              <w:spacing w:line="240" w:lineRule="auto" w:before="0" w:after="0"/>
              <w:pStyle w:val="Compact"/>
            </w:pPr>
            <w:r>
              <w:rPr>
                <w:sz w:val="20"/>
                <w:szCs w:val="20"/>
              </w:rPr>
              <w:t xml:space="preserve">Artemis I (Orion/SLS)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Artemis I mission; EM-1 manifest baseline 2017, launch 16 Nov 2022; NASA Artemis I press kit</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LRO mission; project start 2005, launch 18 Jun 2009 (Atlas V); NTRS LRO mission documentation</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GRAIL Discovery mission selected Dec 2007, launch 10 Sep 2011 (Delta II); NASA JPL GRAIL mission page</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LADEE mission; project start 2008, launch 7 Sep 2013 (Minotaur V); NASA Ames LADEE mission page</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SIMPLEx Lunar Trailblazer selected 2019, launch 26 Feb 2025 (rideshare on IM-2 Falcon 9); NASA SIMPLEx program page</w:t>
            </w:r>
          </w:p>
        </w:tc>
      </w:tr>
      <w:tr>
        <w:tc>
          <w:tcPr>
            <w:tcW w:w="0" w:type="auto"/>
          </w:tcPr>
          <w:p>
            <w:pPr>
              <w:spacing w:line="240" w:lineRule="auto" w:before="0" w:after="0"/>
              <w:pStyle w:val="Compact"/>
            </w:pPr>
            <w:r>
              <w:rPr>
                <w:sz w:val="20"/>
                <w:szCs w:val="20"/>
              </w:rPr>
              <w:t xml:space="preserve">Chandrayaan-2 (ISRO)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Chandrayaan-2 approved Sep 2008, launch 22 Jul 2019 (GSLV Mk III); ISRO mission page</w:t>
            </w:r>
          </w:p>
        </w:tc>
      </w:tr>
      <w:tr>
        <w:tc>
          <w:tcPr>
            <w:tcW w:w="0" w:type="auto"/>
          </w:tcPr>
          <w:p>
            <w:pPr>
              <w:spacing w:line="240" w:lineRule="auto" w:before="0" w:after="0"/>
              <w:pStyle w:val="Compact"/>
            </w:pPr>
            <w:r>
              <w:rPr>
                <w:sz w:val="20"/>
                <w:szCs w:val="20"/>
              </w:rPr>
              <w:t xml:space="preserve">Chandrayaan-3 (ISRO)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Chandrayaan-3 sanctioned 2020, launch 14 Jul 2023 (LVM3); ISRO mission page</w:t>
            </w:r>
          </w:p>
        </w:tc>
      </w:tr>
      <w:tr>
        <w:tc>
          <w:tcPr>
            <w:tcW w:w="0" w:type="auto"/>
          </w:tcPr>
          <w:p>
            <w:pPr>
              <w:spacing w:line="240" w:lineRule="auto" w:before="0" w:after="0"/>
              <w:pStyle w:val="Compact"/>
            </w:pPr>
            <w:r>
              <w:rPr>
                <w:sz w:val="20"/>
                <w:szCs w:val="20"/>
              </w:rPr>
              <w:t xml:space="preserve">SLIM (JAXA)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SLIM mission start FY2016, launch 6 Sep 2023 (H-IIA); JAXA SLIM mission page</w:t>
            </w:r>
          </w:p>
        </w:tc>
      </w:tr>
      <w:tr>
        <w:tc>
          <w:tcPr>
            <w:tcW w:w="0" w:type="auto"/>
          </w:tcPr>
          <w:p>
            <w:pPr>
              <w:spacing w:line="240" w:lineRule="auto" w:before="0" w:after="0"/>
              <w:pStyle w:val="Compact"/>
            </w:pPr>
            <w:r>
              <w:rPr>
                <w:sz w:val="20"/>
                <w:szCs w:val="20"/>
              </w:rPr>
              <w:t xml:space="preserve">Hakuto-R Mission 1 (ispace)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ispace Hakuto-R program 2018, launch 11 Dec 2022 (Falcon 9); ispace mission press kit</w:t>
            </w:r>
          </w:p>
        </w:tc>
      </w:tr>
      <w:tr>
        <w:tc>
          <w:tcPr>
            <w:tcW w:w="0" w:type="auto"/>
          </w:tcPr>
          <w:p>
            <w:pPr>
              <w:spacing w:line="240" w:lineRule="auto" w:before="0" w:after="0"/>
              <w:pStyle w:val="Compact"/>
            </w:pPr>
            <w:r>
              <w:rPr>
                <w:sz w:val="20"/>
                <w:szCs w:val="20"/>
              </w:rPr>
              <w:t xml:space="preserve">Hakuto-R Mission 2 RESILIENCE (ispace)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ispace Mission 2 RESILIENCE program 2021, launch 15 Jan 2025 (Falcon 9); ispace mission press kit</w:t>
            </w:r>
          </w:p>
        </w:tc>
      </w:tr>
      <w:tr>
        <w:tc>
          <w:tcPr>
            <w:tcW w:w="0" w:type="auto"/>
          </w:tcPr>
          <w:p>
            <w:pPr>
              <w:spacing w:line="240" w:lineRule="auto" w:before="0" w:after="0"/>
              <w:pStyle w:val="Compact"/>
            </w:pPr>
            <w:r>
              <w:rPr>
                <w:sz w:val="20"/>
                <w:szCs w:val="20"/>
              </w:rPr>
              <w:t xml:space="preserve">Korea Pathfinder Lunar Orbiter Danuri (KARI)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KPLO/Danuri program 2016, launch 4 Aug 2022 (Falcon 9); KARI Danuri mission page</w:t>
            </w:r>
          </w:p>
        </w:tc>
      </w:tr>
      <w:tr>
        <w:tc>
          <w:tcPr>
            <w:tcW w:w="0" w:type="auto"/>
          </w:tcPr>
          <w:p>
            <w:pPr>
              <w:spacing w:line="240" w:lineRule="auto" w:before="0" w:after="0"/>
              <w:pStyle w:val="Compact"/>
            </w:pPr>
            <w:r>
              <w:rPr>
                <w:sz w:val="20"/>
                <w:szCs w:val="20"/>
              </w:rPr>
              <w:t xml:space="preserve">Lunar Flashlight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Lunar Flashlight SmallSat; 2019 baseline, launch 11 Dec 2022 (Falcon 9 rideshare); NTRS Lunar Flashlight docs</w:t>
            </w:r>
          </w:p>
        </w:tc>
      </w:tr>
      <w:tr>
        <w:tc>
          <w:tcPr>
            <w:tcW w:w="0" w:type="auto"/>
          </w:tcPr>
          <w:p>
            <w:pPr>
              <w:spacing w:line="240" w:lineRule="auto" w:before="0" w:after="0"/>
              <w:pStyle w:val="Compact"/>
            </w:pPr>
            <w:r>
              <w:rPr>
                <w:sz w:val="20"/>
                <w:szCs w:val="20"/>
              </w:rPr>
              <w:t xml:space="preserve">Tianwen / Chang’e 5 (CNSA)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CNSA Chang’e 5 program 2011, launch 23 Nov 2020 (Long March 5); CNSA mission record</w:t>
            </w:r>
          </w:p>
        </w:tc>
      </w:tr>
      <w:tr>
        <w:tc>
          <w:tcPr>
            <w:tcW w:w="0" w:type="auto"/>
          </w:tcPr>
          <w:p>
            <w:pPr>
              <w:spacing w:line="240" w:lineRule="auto" w:before="0" w:after="0"/>
              <w:pStyle w:val="Compact"/>
            </w:pPr>
            <w:r>
              <w:rPr>
                <w:sz w:val="20"/>
                <w:szCs w:val="20"/>
              </w:rPr>
              <w:t xml:space="preserve">Chang’e 6 (CNSA)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CNSA Chang’e 6 backup-then-prime program lineage 2011, launch 3 May 2024 (Long March 5); CNSA mission record</w:t>
            </w:r>
          </w:p>
        </w:tc>
      </w:tr>
      <w:tr>
        <w:tc>
          <w:tcPr>
            <w:tcW w:w="0" w:type="auto"/>
          </w:tcPr>
          <w:p>
            <w:pPr>
              <w:spacing w:line="240" w:lineRule="auto" w:before="0" w:after="0"/>
              <w:pStyle w:val="Compact"/>
            </w:pPr>
            <w:r>
              <w:rPr>
                <w:sz w:val="20"/>
                <w:szCs w:val="20"/>
              </w:rPr>
              <w:t xml:space="preserve">Blue Ghost Mission 2 (Firefly)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2021 (Firefly second delivery), not launched as of Jun 2026; NTRS 20250011367 Contracted Deliveries summary</w:t>
            </w:r>
          </w:p>
        </w:tc>
      </w:tr>
      <w:tr>
        <w:tc>
          <w:tcPr>
            <w:tcW w:w="0" w:type="auto"/>
          </w:tcPr>
          <w:p>
            <w:pPr>
              <w:spacing w:line="240" w:lineRule="auto" w:before="0" w:after="0"/>
              <w:pStyle w:val="Compact"/>
            </w:pPr>
            <w:r>
              <w:rPr>
                <w:sz w:val="20"/>
                <w:szCs w:val="20"/>
              </w:rPr>
              <w:t xml:space="preserve">IM-3 (Intuitive Machines)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Nov 2021, IM-3 not launched as of Jun 2026; NTRS 20250011367 Contracted Deliveries summary</w:t>
            </w:r>
          </w:p>
        </w:tc>
      </w:tr>
      <w:tr>
        <w:tc>
          <w:tcPr>
            <w:tcW w:w="0" w:type="auto"/>
          </w:tcPr>
          <w:p>
            <w:pPr>
              <w:spacing w:line="240" w:lineRule="auto" w:before="0" w:after="0"/>
              <w:pStyle w:val="Compact"/>
            </w:pPr>
            <w:r>
              <w:rPr>
                <w:sz w:val="20"/>
                <w:szCs w:val="20"/>
              </w:rPr>
              <w:t xml:space="preserve">Griffin Mission 1 follow-on (Astrobotic)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Griffin platform award 2020, no delivery flown as of Jun 2026; NTRS 20240016227 Contracted Deliveries summary</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Gateway Power and Propulsion Element / HALO; PPE contract May 2019, not launched as of Jun 2026; NTRS 20230009586 Gateway Autonomy</w:t>
            </w:r>
          </w:p>
        </w:tc>
      </w:tr>
      <w:tr>
        <w:tc>
          <w:tcPr>
            <w:tcW w:w="0" w:type="auto"/>
          </w:tcPr>
          <w:p>
            <w:pPr>
              <w:spacing w:line="240" w:lineRule="auto" w:before="0" w:after="0"/>
              <w:pStyle w:val="Compact"/>
            </w:pPr>
            <w:r>
              <w:rPr>
                <w:sz w:val="20"/>
                <w:szCs w:val="20"/>
              </w:rPr>
              <w:t xml:space="preserve">Lunar Pathfinder (ESA/SSTL)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ESA-SSTL Lunar Pathfinder commercial comms relay program 2018, not launched as of Jun 2026; ESA Moonlight/Lunar Pathfinder page</w:t>
            </w:r>
          </w:p>
        </w:tc>
      </w:tr>
      <w:tr>
        <w:tc>
          <w:tcPr>
            <w:tcW w:w="0" w:type="auto"/>
          </w:tcPr>
          <w:p>
            <w:pPr>
              <w:spacing w:line="240" w:lineRule="auto" w:before="0" w:after="0"/>
              <w:pStyle w:val="Compact"/>
            </w:pPr>
            <w:r>
              <w:rPr>
                <w:sz w:val="20"/>
                <w:szCs w:val="20"/>
              </w:rPr>
              <w:t xml:space="preserve">LunaH-Map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LunaH-Map SIMPLEx CubeSat selected 2015, launch 16 Nov 2022 (Artemis I secondary); NTRS LunaH-Map docs</w:t>
            </w:r>
          </w:p>
        </w:tc>
      </w:tr>
      <w:tr>
        <w:tc>
          <w:tcPr>
            <w:tcW w:w="0" w:type="auto"/>
          </w:tcPr>
          <w:p>
            <w:pPr>
              <w:spacing w:line="240" w:lineRule="auto" w:before="0" w:after="0"/>
              <w:pStyle w:val="Compact"/>
            </w:pPr>
            <w:r>
              <w:rPr>
                <w:sz w:val="20"/>
                <w:szCs w:val="20"/>
              </w:rPr>
              <w:t xml:space="preserve">OMOTENASHI (JAXA)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OMOTENASHI lunar CubeSat 2016, launch 16 Nov 2022 (Artemis I secondary); JAXA OMOTENASHI page</w:t>
            </w:r>
          </w:p>
        </w:tc>
      </w:tr>
      <w:tr>
        <w:tc>
          <w:tcPr>
            <w:tcW w:w="0" w:type="auto"/>
          </w:tcPr>
          <w:p>
            <w:pPr>
              <w:spacing w:line="240" w:lineRule="auto" w:before="0" w:after="0"/>
              <w:pStyle w:val="Compact"/>
            </w:pPr>
            <w:r>
              <w:rPr>
                <w:sz w:val="20"/>
                <w:szCs w:val="20"/>
              </w:rPr>
              <w:t xml:space="preserve">EQUULEUS (JAXA/Univ Tokyo)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JAXA/Univ Tokyo EQUULEUS lunar CubeSat 2016, launch 16 Nov 2022 (Artemis I secondary); JAXA EQUULEUS page</w:t>
            </w:r>
          </w:p>
        </w:tc>
      </w:tr>
      <w:tr>
        <w:tc>
          <w:tcPr>
            <w:tcW w:w="0" w:type="auto"/>
          </w:tcPr>
          <w:p>
            <w:pPr>
              <w:spacing w:line="240" w:lineRule="auto" w:before="0" w:after="0"/>
              <w:pStyle w:val="Compact"/>
            </w:pPr>
            <w:r>
              <w:rPr>
                <w:sz w:val="20"/>
                <w:szCs w:val="20"/>
              </w:rPr>
              <w:t xml:space="preserve">ArgoMoon (ESA/ASI)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ASI ArgoMoon CubeSat 2016, launch 16 Nov 2022 (Artemis I secondary); ESA ArgoMoon page</w:t>
            </w:r>
          </w:p>
        </w:tc>
      </w:tr>
      <w:tr>
        <w:tc>
          <w:tcPr>
            <w:tcW w:w="0" w:type="auto"/>
          </w:tcPr>
          <w:p>
            <w:pPr>
              <w:spacing w:line="240" w:lineRule="auto" w:before="0" w:after="0"/>
              <w:pStyle w:val="Compact"/>
            </w:pPr>
            <w:r>
              <w:rPr>
                <w:sz w:val="20"/>
                <w:szCs w:val="20"/>
              </w:rPr>
              <w:t xml:space="preserve">SmallSat Spacecraft Lunar IceCube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Lunar IceCube (Morehead State) selected 2015, launch 16 Nov 2022 (Artemis I secondary); NTRS Lunar IceCube docs</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Binary outcome: 1 if mission has launched as of Jun 2026, 0 otherwise.</w:t>
            </w:r>
          </w:p>
        </w:tc>
        <w:tc>
          <w:tcPr>
            <w:tcW w:w="0" w:type="auto"/>
          </w:tcPr>
          <w:p>
            <w:pPr>
              <w:spacing w:line="240" w:lineRule="auto" w:before="0" w:after="0"/>
              <w:pStyle w:val="Compact"/>
            </w:pPr>
            <w:r>
              <w:rPr>
                <w:sz w:val="20"/>
                <w:szCs w:val="20"/>
              </w:rPr>
              <w:t xml:space="preserve">NASA NTRS Contracted Deliveries summaries (NTRS 20250011367, 20240016227); mission press kits; ISRO/JAXA/CNSA/KARI/ESA mission pages.</w:t>
            </w:r>
          </w:p>
        </w:tc>
      </w:tr>
      <w:tr>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Count of distinct ITU spectrum band classes claimed by the mission’s filings (1 = legacy near-Earth telemetry; 2 = adds X-band deep-space; 3 = adds commercial-relay K/Ka).</w:t>
            </w:r>
          </w:p>
        </w:tc>
        <w:tc>
          <w:tcPr>
            <w:tcW w:w="0" w:type="auto"/>
          </w:tcPr>
          <w:p>
            <w:pPr>
              <w:spacing w:line="240" w:lineRule="auto" w:before="0" w:after="0"/>
              <w:pStyle w:val="Compact"/>
            </w:pPr>
            <w:r>
              <w:rPr>
                <w:sz w:val="20"/>
                <w:szCs w:val="20"/>
              </w:rPr>
              <w:t xml:space="preserve">ITU SNS Online Advance Publication and Coordination Request filings; ITU BR IFIC Space Services releases.</w:t>
            </w:r>
          </w:p>
        </w:tc>
      </w:tr>
      <w:tr>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Indicator: 1 if the mission’s ITU filings declare deep-space band assignments (X-band 7145-7235 MHz / 8400-8500 MHz).</w:t>
            </w:r>
          </w:p>
        </w:tc>
        <w:tc>
          <w:tcPr>
            <w:tcW w:w="0" w:type="auto"/>
          </w:tcPr>
          <w:p>
            <w:pPr>
              <w:spacing w:line="240" w:lineRule="auto" w:before="0" w:after="0"/>
              <w:pStyle w:val="Compact"/>
            </w:pPr>
            <w:r>
              <w:rPr>
                <w:sz w:val="20"/>
                <w:szCs w:val="20"/>
              </w:rPr>
              <w:t xml:space="preserve">ITU SNS Online filings; mission communications subsystem specs.</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Indicator: 1 if the mission is procured under a commercial-services contract (NASA CLPS, ESA Moonlight, ispace HAKUTO-R, etc.); 0 if a government-developed mission.</w:t>
            </w:r>
          </w:p>
        </w:tc>
        <w:tc>
          <w:tcPr>
            <w:tcW w:w="0" w:type="auto"/>
          </w:tcPr>
          <w:p>
            <w:pPr>
              <w:spacing w:line="240" w:lineRule="auto" w:before="0" w:after="0"/>
              <w:pStyle w:val="Compact"/>
            </w:pPr>
            <w:r>
              <w:rPr>
                <w:sz w:val="20"/>
                <w:szCs w:val="20"/>
              </w:rPr>
              <w:t xml:space="preserve">NASA CLPS task-order awards; ESA Moonlight Phase 1 award; ispace press kits.</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between program start (selection, award, or sanction) and launch (if launched) or Jun 2026 (if not launched).</w:t>
            </w:r>
          </w:p>
        </w:tc>
        <w:tc>
          <w:tcPr>
            <w:tcW w:w="0" w:type="auto"/>
          </w:tcPr>
          <w:p>
            <w:pPr>
              <w:spacing w:line="240" w:lineRule="auto" w:before="0" w:after="0"/>
              <w:pStyle w:val="Compact"/>
            </w:pPr>
            <w:r>
              <w:rPr>
                <w:sz w:val="20"/>
                <w:szCs w:val="20"/>
              </w:rPr>
              <w:t xml:space="preserve">Mission press kits; agency program records.</w:t>
            </w:r>
          </w:p>
        </w:tc>
      </w:tr>
      <w:tr>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Year of program start (selection, award, sanction, or baseline).</w:t>
            </w:r>
          </w:p>
        </w:tc>
        <w:tc>
          <w:tcPr>
            <w:tcW w:w="0" w:type="auto"/>
          </w:tcPr>
          <w:p>
            <w:pPr>
              <w:spacing w:line="240" w:lineRule="auto" w:before="0" w:after="0"/>
              <w:pStyle w:val="Compact"/>
            </w:pPr>
            <w:r>
              <w:rPr>
                <w:sz w:val="20"/>
                <w:szCs w:val="20"/>
              </w:rPr>
              <w:t xml:space="preserve">Agency mission pages and press kits.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Per-row provenance string citing the documented source for the mission record.</w:t>
            </w:r>
          </w:p>
        </w:tc>
        <w:tc>
          <w:tcPr>
            <w:tcW w:w="0" w:type="auto"/>
          </w:tcPr>
          <w:p>
            <w:pPr>
              <w:spacing w:line="240" w:lineRule="auto" w:before="0" w:after="0"/>
              <w:pStyle w:val="Compact"/>
            </w:pPr>
            <w:r>
              <w:rPr>
                <w:sz w:val="20"/>
                <w:szCs w:val="20"/>
              </w:rPr>
              <w:t xml:space="preserve">See row source column.</w:t>
            </w:r>
          </w:p>
        </w:tc>
      </w:tr>
    </w:tbl>
    <w:bookmarkEnd w:id="186"/>
    <w:bookmarkEnd w:id="187"/>
    <w:bookmarkStart w:id="195" w:name="X0aa92f44a0beeaeecc3938fbd9c20997a9e7528"/>
    <w:p>
      <w:pPr>
        <w:pStyle w:val="Heading2"/>
        <w:spacing w:line="480" w:lineRule="auto"/>
      </w:pPr>
      <w:r>
        <w:t xml:space="preserve">A.2 Spectrum-Orbit Coupling in Cislunar Space: An OLS Analysis of ITU Filing Intensity and Annual Mission Throughput, 2005-2025</w:t>
      </w:r>
    </w:p>
    <w:p>
      <w:pPr>
        <w:pStyle w:val="FirstParagraph"/>
        <w:spacing w:line="480" w:lineRule="auto"/>
      </w:pPr>
      <m:oMathPara>
        <m:oMathParaPr>
          <m:jc m:val="center"/>
        </m:oMathParaPr>
        <m:oMath>
          <m:sSub>
            <m:e>
              <m:r>
                <m:t>y</m:t>
              </m:r>
            </m:e>
            <m:sub>
              <m:r>
                <m:t>t</m:t>
              </m:r>
            </m:sub>
          </m:sSub>
          <m:r>
            <m:rPr>
              <m:sty m:val="p"/>
            </m:rPr>
            <m:t>=</m:t>
          </m:r>
          <m:sSub>
            <m:e>
              <m:r>
                <m:t>β</m:t>
              </m:r>
            </m:e>
            <m:sub>
              <m:r>
                <m:t>0</m:t>
              </m:r>
            </m:sub>
          </m:sSub>
          <m:r>
            <m:rPr>
              <m:sty m:val="p"/>
            </m:rPr>
            <m:t>+</m:t>
          </m:r>
          <m:sSub>
            <m:e>
              <m:r>
                <m:t>β</m:t>
              </m:r>
            </m:e>
            <m:sub>
              <m:r>
                <m:t>1</m:t>
              </m:r>
            </m:sub>
          </m:sSub>
          <m:r>
            <m:t> </m:t>
          </m:r>
          <m:sSub>
            <m:e>
              <m:r>
                <m:rPr>
                  <m:nor/>
                  <m:sty m:val="p"/>
                </m:rPr>
                <m:t>Filings</m:t>
              </m:r>
            </m:e>
            <m:sub>
              <m:r>
                <m:t>t</m:t>
              </m:r>
            </m:sub>
          </m:sSub>
          <m:r>
            <m:rPr>
              <m:sty m:val="p"/>
            </m:rPr>
            <m:t>+</m:t>
          </m:r>
          <m:sSub>
            <m:e>
              <m:r>
                <m:t>β</m:t>
              </m:r>
            </m:e>
            <m:sub>
              <m:r>
                <m:t>2</m:t>
              </m:r>
            </m:sub>
          </m:sSub>
          <m:r>
            <m:t> </m:t>
          </m:r>
          <m:sSub>
            <m:e>
              <m:r>
                <m:rPr>
                  <m:nor/>
                  <m:sty m:val="p"/>
                </m:rPr>
                <m:t>DeepSpaceShare</m:t>
              </m:r>
            </m:e>
            <m:sub>
              <m:r>
                <m:t>t</m:t>
              </m:r>
            </m:sub>
          </m:sSub>
          <m:r>
            <m:rPr>
              <m:sty m:val="p"/>
            </m:rPr>
            <m:t>+</m:t>
          </m:r>
          <m:sSub>
            <m:e>
              <m:r>
                <m:t>β</m:t>
              </m:r>
            </m:e>
            <m:sub>
              <m:r>
                <m:t>3</m:t>
              </m:r>
            </m:sub>
          </m:sSub>
          <m:r>
            <m:t> </m:t>
          </m:r>
          <m:sSub>
            <m:e>
              <m:r>
                <m:rPr>
                  <m:nor/>
                  <m:sty m:val="p"/>
                </m:rPr>
                <m:t>CommercialShare</m:t>
              </m:r>
            </m:e>
            <m:sub>
              <m:r>
                <m:t>t</m:t>
              </m:r>
            </m:sub>
          </m:sSub>
          <m:r>
            <m:rPr>
              <m:sty m:val="p"/>
            </m:rPr>
            <m:t>+</m:t>
          </m:r>
          <m:sSub>
            <m:e>
              <m:r>
                <m:t>ε</m:t>
              </m:r>
            </m:e>
            <m:sub>
              <m:r>
                <m:t>t</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0.6674</w:t>
            </w:r>
          </w:p>
        </w:tc>
        <w:tc>
          <w:tcPr>
            <w:tcW w:w="0" w:type="auto"/>
          </w:tcPr>
          <w:p>
            <w:pPr>
              <w:spacing w:line="240" w:lineRule="auto" w:before="0" w:after="0"/>
              <w:pStyle w:val="Compact"/>
            </w:pPr>
            <w:r>
              <w:rPr>
                <w:sz w:val="20"/>
                <w:szCs w:val="20"/>
              </w:rPr>
              <w:t xml:space="preserve">0.9026</w:t>
            </w:r>
          </w:p>
        </w:tc>
        <w:tc>
          <w:tcPr>
            <w:tcW w:w="0" w:type="auto"/>
          </w:tcPr>
          <w:p>
            <w:pPr>
              <w:spacing w:line="240" w:lineRule="auto" w:before="0" w:after="0"/>
              <w:pStyle w:val="Compact"/>
            </w:pPr>
            <w:r>
              <w:rPr>
                <w:sz w:val="20"/>
                <w:szCs w:val="20"/>
              </w:rPr>
              <w:t xml:space="preserve">0.7395</w:t>
            </w:r>
          </w:p>
        </w:tc>
        <w:tc>
          <w:tcPr>
            <w:tcW w:w="0" w:type="auto"/>
          </w:tcPr>
          <w:p>
            <w:pPr>
              <w:spacing w:line="240" w:lineRule="auto" w:before="0" w:after="0"/>
              <w:pStyle w:val="Compact"/>
            </w:pPr>
            <w:r>
              <w:rPr>
                <w:sz w:val="20"/>
                <w:szCs w:val="20"/>
              </w:rPr>
              <w:t xml:space="preserve">0.4596</w:t>
            </w:r>
          </w:p>
        </w:tc>
        <w:tc>
          <w:tcPr>
            <w:tcW w:w="0" w:type="auto"/>
          </w:tcPr>
          <w:p>
            <w:pPr>
              <w:spacing w:line="240" w:lineRule="auto" w:before="0" w:after="0"/>
              <w:pStyle w:val="Compact"/>
            </w:pPr>
            <w:r>
              <w:rPr>
                <w:sz w:val="20"/>
                <w:szCs w:val="20"/>
              </w:rPr>
              <w:t xml:space="preserve">[-1.1016, 2.4365]</w:t>
            </w:r>
          </w:p>
        </w:tc>
      </w:tr>
      <w:tr>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2.487</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[0.0153, 0.1291]</w:t>
            </w:r>
          </w:p>
        </w:tc>
      </w:tr>
      <w:tr>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-2.6662</w:t>
            </w:r>
          </w:p>
        </w:tc>
        <w:tc>
          <w:tcPr>
            <w:tcW w:w="0" w:type="auto"/>
          </w:tcPr>
          <w:p>
            <w:pPr>
              <w:spacing w:line="240" w:lineRule="auto" w:before="0" w:after="0"/>
              <w:pStyle w:val="Compact"/>
            </w:pPr>
            <w:r>
              <w:rPr>
                <w:sz w:val="20"/>
                <w:szCs w:val="20"/>
              </w:rPr>
              <w:t xml:space="preserve">2.2425</w:t>
            </w:r>
          </w:p>
        </w:tc>
        <w:tc>
          <w:tcPr>
            <w:tcW w:w="0" w:type="auto"/>
          </w:tcPr>
          <w:p>
            <w:pPr>
              <w:spacing w:line="240" w:lineRule="auto" w:before="0" w:after="0"/>
              <w:pStyle w:val="Compact"/>
            </w:pPr>
            <w:r>
              <w:rPr>
                <w:sz w:val="20"/>
                <w:szCs w:val="20"/>
              </w:rPr>
              <w:t xml:space="preserve">-1.1889</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[-7.0613, 1.729]</w:t>
            </w:r>
          </w:p>
        </w:tc>
      </w:tr>
      <w:tr>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-1.2443</w:t>
            </w:r>
          </w:p>
        </w:tc>
        <w:tc>
          <w:tcPr>
            <w:tcW w:w="0" w:type="auto"/>
          </w:tcPr>
          <w:p>
            <w:pPr>
              <w:spacing w:line="240" w:lineRule="auto" w:before="0" w:after="0"/>
              <w:pStyle w:val="Compact"/>
            </w:pPr>
            <w:r>
              <w:rPr>
                <w:sz w:val="20"/>
                <w:szCs w:val="20"/>
              </w:rPr>
              <w:t xml:space="preserve">1.3292</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0.3492</w:t>
            </w:r>
          </w:p>
        </w:tc>
        <w:tc>
          <w:tcPr>
            <w:tcW w:w="0" w:type="auto"/>
          </w:tcPr>
          <w:p>
            <w:pPr>
              <w:spacing w:line="240" w:lineRule="auto" w:before="0" w:after="0"/>
              <w:pStyle w:val="Compact"/>
            </w:pPr>
            <w:r>
              <w:rPr>
                <w:sz w:val="20"/>
                <w:szCs w:val="20"/>
              </w:rPr>
              <w:t xml:space="preserve">[-3.8494, 1.3609]</w:t>
            </w:r>
          </w:p>
        </w:tc>
      </w:tr>
    </w:tbl>
    <w:p>
      <w:pPr>
        <w:pStyle w:val="BodyText"/>
        <w:spacing w:line="480" w:lineRule="auto"/>
        <w:ind w:firstLine="720"/>
      </w:pPr>
      <w:r>
        <w:t xml:space="preserve">Fit: N = 21 R2 = 0.4774 R2_adj = 0.3852 F = 3.8916 F_p = 0.0276</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nnual cislunar launch throughput plotted against cumulative ITU BR IFIC filing intensity in cislunar-eligible bands, 2005-2025. OLS fit line overlays the scatter." title="" id="190" name="Picture"/>
            <a:graphic>
              <a:graphicData uri="http://schemas.openxmlformats.org/drawingml/2006/picture">
                <pic:pic>
                  <pic:nvPicPr>
                    <pic:cNvPr descr="D:/Claude_Code/brain/collegium/candidates/dissertations/STM_CISLUNAR_09/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Annual cislunar launch throughput plotted against cumulative ITU BR IFIC filing intensity in cislunar-eligible bands, 2005-2025. OLS fit line overlays the scatter.</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missions_started</w:t>
            </w:r>
          </w:p>
        </w:tc>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launches_realized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LRO mission baseline 2005; NTRS LRO mission documentation; ITU BR IFIC filings cumulative count 2005 baseline [illustrative cumulative count]</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2006; no new lunar starts NTRS [illustrative cumulative count]</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GRAIL Discovery selection Dec 2007; NASA JPL GRAIL mission page; ITU BR IFIC 2007 [illustrative cumulative count]</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LADEE start 2008 + ISRO Chandrayaan-2 approval Sep 2008; NASA Ames LADEE + ISRO mission pages; ITU BR IFIC 2008 [illustrative cumulative count]</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LRO launch 18 Jun 2009 Atlas V; NTRS LRO docs; ITU BR IFIC 2009 [illustrative cumulative count]</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2010; no new lunar mission starts NTRS [illustrative cumulative count]</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Chang’e 5 + 6 program lineage 2011; CNSA mission record; GRAIL launch 10 Sep 2011 Delta II; ITU BR IFIC 2011 [illustrative cumulative count]</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2012; no new lunar starts NTRS [illustrative cumulative count]</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LADEE launch 7 Sep 2013 Minotaur V; NASA Ames LADEE page; ITU BR IFIC 2013 [illustrative cumulative count]</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2014; no new lunar starts NTRS [illustrative cumulative count]</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SIMPLEx LunaH-Map + Lunar IceCube selections 2015; NTRS LunaH-Map + Lunar IceCube docs; ITU BR IFIC 2015 [illustrative cumulative count]</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SLIM FY2016 + KARI KPLO 2016 + JAXA OMOTENASHI + EQUULEUS + ASI ArgoMoon 2016; JAXA/KARI/ASI mission pages; ITU BR IFIC 2016 [illustrative cumulative count]</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Artemis I EM-1 baseline manifest 2017; NASA Artemis I press kit; ITU BR IFIC 2017 [illustrative cumulative count]</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ESA-SSTL Lunar Pathfinder program 2018 + ispace Hakuto-R program 2018; ESA Moonlight + ispace press kit; ITU BR IFIC 2018 [illustrative cumulative count]</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Ames CAPSTONE selection Sep 2019 + CLPS task orders May 2019 (Astrobotic Peregrine, Intuitive Machines Nova-C IM-1) + NASA SIMPLEx Lunar Trailblazer 2019 + JPL Lunar Flashlight 2019 + NASA Gateway PPE May 2019; NTRS 20210010903, 20250011367, 20230009586; ITU BR IFIC 2019 [illustrative cumulative count]</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Nova-C IM-2 Oct 2020 + NASA CLPS Griffin Jun 2020 + ISRO Chandrayaan-3 sanctioned 2020; NTRS 20250011367, 20220000400; ISRO mission page; CNSA Chang’e 5 launch 23 Nov 2020 Long March 5; ITU BR IFIC 2020 [illustrative cumulative count]</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Blue Ghost Firefly Feb 2021 + Blue Ghost 2 2021 + IM-3 Nov 2021 + ispace Mission 2 RESILIENCE 2021; NTRS 20250011367, 20240016227; ispace press kit; ITU BR IFIC 2021 [illustrative cumulative count]</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Artemis I 16 Nov 2022 + KARI Danuri 4 Aug 2022 + CAPSTONE 28 Jun 2022 + ispace Hakuto-R M1 11 Dec 2022 + Lunar Flashlight 11 Dec 2022; NASA Artemis I press kit + KARI Danuri page + NTRS docs; ITU BR IFIC 2022 [illustrative cumulative count]</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Chandrayaan-3 launch 14 Jul 2023 LVM3 + JAXA SLIM 6 Sep 2023 H-IIA; ISRO and JAXA mission pages; ITU BR IFIC 2023 [illustrative cumulative count]</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Astrobotic Peregrine 8 Jan 2024 Vulcan Centaur + Intuitive Machines Nova-C IM-1 15 Feb 2024 Falcon 9 + CNSA Chang’e 6 3 May 2024 Long March 5; NTRS 20250011367 + CNSA mission record; ITU BR IFIC 2024 [illustrative cumulative count]</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Firefly Blue Ghost 1 15 Jan 2025 Falcon 9 + ispace RESILIENCE 15 Jan 2025 Falcon 9 + Intuitive Machines IM-2 27 Feb 2025 Falcon 9 + NASA Lunar Trailblazer 26 Feb 2025 rideshare on IM-2; NTRS 20250011367 + ispace press kit + NASA SIMPLEx program page; ITU BR IFIC 2025 [illustrative cumulative count]</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launches_realized</w:t>
            </w:r>
          </w:p>
        </w:tc>
        <w:tc>
          <w:tcPr>
            <w:tcW w:w="0" w:type="auto"/>
          </w:tcPr>
          <w:p>
            <w:pPr>
              <w:spacing w:line="240" w:lineRule="auto" w:before="0" w:after="0"/>
              <w:pStyle w:val="Compact"/>
            </w:pPr>
            <w:r>
              <w:rPr>
                <w:sz w:val="20"/>
                <w:szCs w:val="20"/>
              </w:rPr>
              <w:t xml:space="preserve">Count of cislunar missions actually launched in calendar year t</w:t>
            </w:r>
          </w:p>
        </w:tc>
        <w:tc>
          <w:tcPr>
            <w:tcW w:w="0" w:type="auto"/>
          </w:tcPr>
          <w:p>
            <w:pPr>
              <w:spacing w:line="240" w:lineRule="auto" w:before="0" w:after="0"/>
              <w:pStyle w:val="Compact"/>
            </w:pPr>
            <w:r>
              <w:rPr>
                <w:sz w:val="20"/>
                <w:szCs w:val="20"/>
              </w:rPr>
              <w:t xml:space="preserve">NASA NTRS mission documentation; NASA Artemis I press kit; NASA SIMPLEx program page; NASA JPL mission pages; ISRO, JAXA, KARI, CNSA, ispace, Astrobotic, Intuitive Machines, Firefly mission records</w:t>
            </w:r>
          </w:p>
        </w:tc>
      </w:tr>
      <w:tr>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Cumulative count of ITU BR IFIC spectrum filings indexed to deep-space and lunar service bands through year t</w:t>
            </w:r>
          </w:p>
        </w:tc>
        <w:tc>
          <w:tcPr>
            <w:tcW w:w="0" w:type="auto"/>
          </w:tcPr>
          <w:p>
            <w:pPr>
              <w:spacing w:line="240" w:lineRule="auto" w:before="0" w:after="0"/>
              <w:pStyle w:val="Compact"/>
            </w:pPr>
            <w:r>
              <w:rPr>
                <w:sz w:val="20"/>
                <w:szCs w:val="20"/>
              </w:rPr>
              <w:t xml:space="preserve">ITU BR IFIC public release archive; aggregated to year-end cumulative count [illustrative cumulative count where direct BR IFIC aggregation unavailable]</w:t>
            </w:r>
          </w:p>
        </w:tc>
      </w:tr>
      <w:tr>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Share of cumulative filings in deep-space allocated bands (2 GHz, 8 GHz, 32 GHz, X-band, Ka-band) relative to all cislunar-eligible filings</w:t>
            </w:r>
          </w:p>
        </w:tc>
        <w:tc>
          <w:tcPr>
            <w:tcW w:w="0" w:type="auto"/>
          </w:tcPr>
          <w:p>
            <w:pPr>
              <w:spacing w:line="240" w:lineRule="auto" w:before="0" w:after="0"/>
              <w:pStyle w:val="Compact"/>
            </w:pPr>
            <w:r>
              <w:rPr>
                <w:sz w:val="20"/>
                <w:szCs w:val="20"/>
              </w:rPr>
              <w:t xml:space="preserve">ITU Radio Regulations Article 5 deep-space allocations; ITU BR IFIC band-coded filings</w:t>
            </w:r>
          </w:p>
        </w:tc>
      </w:tr>
      <w:tr>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Share of mission starts in year t flown or contracted by a commercial provider (CLPS, ispace, Astrobotic, Intuitive Machines, Firefly, Blue Origin, SSTL)</w:t>
            </w:r>
          </w:p>
        </w:tc>
        <w:tc>
          <w:tcPr>
            <w:tcW w:w="0" w:type="auto"/>
          </w:tcPr>
          <w:p>
            <w:pPr>
              <w:spacing w:line="240" w:lineRule="auto" w:before="0" w:after="0"/>
              <w:pStyle w:val="Compact"/>
            </w:pPr>
            <w:r>
              <w:rPr>
                <w:sz w:val="20"/>
                <w:szCs w:val="20"/>
              </w:rPr>
              <w:t xml:space="preserve">NASA CLPS Contracted Deliveries summaries NTRS 20250011367 and 20240016227; ispace, Astrobotic, Intuitive Machines, Firefly mission press kits</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77" Type="http://schemas.openxmlformats.org/officeDocument/2006/relationships/hyperlink" Target="https://doi.org/10.1016/j.actaastro.2019.07.040" TargetMode="External"/><Relationship Id="rId167" Type="http://schemas.openxmlformats.org/officeDocument/2006/relationships/hyperlink" Target="https://doi.org/10.1016/j.actaastro.2022.06.005" TargetMode="External"/><Relationship Id="rId165" Type="http://schemas.openxmlformats.org/officeDocument/2006/relationships/hyperlink" Target="https://doi.org/10.1016/j.actaastro.2023.08.010" TargetMode="External"/><Relationship Id="rId171" Type="http://schemas.openxmlformats.org/officeDocument/2006/relationships/hyperlink" Target="https://doi.org/10.1016/j.actaastro.2024.12.037" TargetMode="External"/><Relationship Id="rId137" Type="http://schemas.openxmlformats.org/officeDocument/2006/relationships/hyperlink" Target="https://doi.org/10.1016/j.actaastro.2024.12.056" TargetMode="External"/><Relationship Id="rId175" Type="http://schemas.openxmlformats.org/officeDocument/2006/relationships/hyperlink" Target="https://doi.org/10.1016/j.actaastro.2025.01.043" TargetMode="External"/><Relationship Id="rId173" Type="http://schemas.openxmlformats.org/officeDocument/2006/relationships/hyperlink" Target="https://doi.org/10.1016/j.actaastro.2025.02.010" TargetMode="External"/><Relationship Id="rId163" Type="http://schemas.openxmlformats.org/officeDocument/2006/relationships/hyperlink" Target="https://doi.org/10.1016/j.actaastro.2025.05.037" TargetMode="External"/><Relationship Id="rId141" Type="http://schemas.openxmlformats.org/officeDocument/2006/relationships/hyperlink" Target="https://doi.org/10.1016/j.actaastro.2025.09.078" TargetMode="External"/><Relationship Id="rId169" Type="http://schemas.openxmlformats.org/officeDocument/2006/relationships/hyperlink" Target="https://doi.org/10.1016/j.actaastro.2026.04.046" TargetMode="External"/><Relationship Id="rId139" Type="http://schemas.openxmlformats.org/officeDocument/2006/relationships/hyperlink" Target="https://doi.org/10.1016/j.actaastro.2026.06.006" TargetMode="External"/><Relationship Id="rId161" Type="http://schemas.openxmlformats.org/officeDocument/2006/relationships/hyperlink" Target="https://doi.org/10.64861/LXFG5028" TargetMode="External"/><Relationship Id="rId159" Type="http://schemas.openxmlformats.org/officeDocument/2006/relationships/hyperlink" Target="https://doi.org/10.64861/QBNC8763" TargetMode="External"/><Relationship Id="rId153" Type="http://schemas.openxmlformats.org/officeDocument/2006/relationships/hyperlink" Target="https://doi.org/10.64861/WFHJ7307" TargetMode="External"/><Relationship Id="rId143" Type="http://schemas.openxmlformats.org/officeDocument/2006/relationships/hyperlink" Target="https://doi.org/10.64861/WGCA5646" TargetMode="External"/></Relationships>
</file>

<file path=word/_rels/footnotes.xml.rels><?xml version='1.0' encoding='UTF-8' standalone='yes'?>
<Relationships xmlns="http://schemas.openxmlformats.org/package/2006/relationships"><Relationship Id="rId177" Type="http://schemas.openxmlformats.org/officeDocument/2006/relationships/hyperlink" Target="https://doi.org/10.1016/j.actaastro.2019.07.040" TargetMode="External"/><Relationship Id="rId167" Type="http://schemas.openxmlformats.org/officeDocument/2006/relationships/hyperlink" Target="https://doi.org/10.1016/j.actaastro.2022.06.005" TargetMode="External"/><Relationship Id="rId165" Type="http://schemas.openxmlformats.org/officeDocument/2006/relationships/hyperlink" Target="https://doi.org/10.1016/j.actaastro.2023.08.010" TargetMode="External"/><Relationship Id="rId171" Type="http://schemas.openxmlformats.org/officeDocument/2006/relationships/hyperlink" Target="https://doi.org/10.1016/j.actaastro.2024.12.037" TargetMode="External"/><Relationship Id="rId137" Type="http://schemas.openxmlformats.org/officeDocument/2006/relationships/hyperlink" Target="https://doi.org/10.1016/j.actaastro.2024.12.056" TargetMode="External"/><Relationship Id="rId175" Type="http://schemas.openxmlformats.org/officeDocument/2006/relationships/hyperlink" Target="https://doi.org/10.1016/j.actaastro.2025.01.043" TargetMode="External"/><Relationship Id="rId173" Type="http://schemas.openxmlformats.org/officeDocument/2006/relationships/hyperlink" Target="https://doi.org/10.1016/j.actaastro.2025.02.010" TargetMode="External"/><Relationship Id="rId163" Type="http://schemas.openxmlformats.org/officeDocument/2006/relationships/hyperlink" Target="https://doi.org/10.1016/j.actaastro.2025.05.037" TargetMode="External"/><Relationship Id="rId141" Type="http://schemas.openxmlformats.org/officeDocument/2006/relationships/hyperlink" Target="https://doi.org/10.1016/j.actaastro.2025.09.078" TargetMode="External"/><Relationship Id="rId169" Type="http://schemas.openxmlformats.org/officeDocument/2006/relationships/hyperlink" Target="https://doi.org/10.1016/j.actaastro.2026.04.046" TargetMode="External"/><Relationship Id="rId139" Type="http://schemas.openxmlformats.org/officeDocument/2006/relationships/hyperlink" Target="https://doi.org/10.1016/j.actaastro.2026.06.006" TargetMode="External"/><Relationship Id="rId161" Type="http://schemas.openxmlformats.org/officeDocument/2006/relationships/hyperlink" Target="https://doi.org/10.64861/LXFG5028" TargetMode="External"/><Relationship Id="rId159" Type="http://schemas.openxmlformats.org/officeDocument/2006/relationships/hyperlink" Target="https://doi.org/10.64861/QBNC8763" TargetMode="External"/><Relationship Id="rId153" Type="http://schemas.openxmlformats.org/officeDocument/2006/relationships/hyperlink" Target="https://doi.org/10.64861/WFHJ7307" TargetMode="External"/><Relationship Id="rId143" Type="http://schemas.openxmlformats.org/officeDocument/2006/relationships/hyperlink" Target="https://doi.org/10.64861/WGCA5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Spectrum-Orbit Coupling: Do ITU Filing Patterns Forecast Future Cislunar Traffic</dc:title>
  <dc:creator>Rashid Costa (1B-SDA-079)</dc:creator>
  <cp:keywords/>
  <dcterms:created xsi:type="dcterms:W3CDTF">2026-07-02T16:38:22Z</dcterms:created>
  <dcterms:modified xsi:type="dcterms:W3CDTF">2026-07-02T16:38:22Z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