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DEBRIS-MODEL DISAGREEMENT AND THE MISALLOCATION OF SHIELDING AND AVOIDANCE RESOURCES</w:t>
      </w:r>
    </w:p>
    <w:p>
      <w:pPr>
        <w:jc w:val="center"/>
      </w:pPr>
    </w:p>
    <w:p>
      <w:pPr>
        <w:jc w:val="center"/>
      </w:pPr>
      <w:r>
        <w:rPr>
          <w:rFonts w:ascii="Times New Roman" w:hAnsi="Times New Roman"/>
          <w:sz w:val="24"/>
        </w:rPr>
        <w:t>by</w:t>
      </w:r>
    </w:p>
    <w:p>
      <w:pPr>
        <w:jc w:val="center"/>
      </w:pPr>
      <w:r>
        <w:rPr>
          <w:rFonts w:ascii="Times New Roman" w:hAnsi="Times New Roman"/>
          <w:b/>
          <w:sz w:val="28"/>
        </w:rPr>
        <w:t>Anjali Pereira</w:t>
      </w:r>
    </w:p>
    <w:p>
      <w:pPr>
        <w:jc w:val="center"/>
      </w:pPr>
      <w:r>
        <w:rPr>
          <w:rFonts w:ascii="Times New Roman" w:hAnsi="Times New Roman"/>
          <w:sz w:val="24"/>
        </w:rPr>
        <w:t>1B-SDA-147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decision-problem-and-thesis"/>
    <w:p>
      <w:pPr>
        <w:pStyle w:val="Heading1"/>
        <w:spacing w:line="480" w:lineRule="auto"/>
      </w:pPr>
      <w:r>
        <w:t xml:space="preserve">Chapter 1. Decision Problem and Thesis</w:t>
      </w:r>
    </w:p>
    <w:p>
      <w:pPr>
        <w:pStyle w:val="FirstParagraph"/>
        <w:spacing w:line="480" w:lineRule="auto"/>
      </w:pPr>
      <w:r>
        <w:t xml:space="preserve">The dissertation finding is straightforward: debris-model disagreement matters when it changes a resource decision, so this study treats ORDEM and MASTER as evidence systems that can redirect shielding mass, conjunction-analysis attention, and avoidance readiness. In operational terms, public resource allocation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model output becomes operational when it changes a threshold, and the evidence is read through problem framing, not through institutional preference or a generic appeal to model authority.</w:t>
      </w:r>
    </w:p>
    <w:bookmarkStart w:id="61" w:name="answer-and-stakes"/>
    <w:p>
      <w:pPr>
        <w:pStyle w:val="Heading2"/>
        <w:spacing w:line="480" w:lineRule="auto"/>
      </w:pPr>
      <w:r>
        <w:t xml:space="preserve">Answer and Stakes</w:t>
      </w:r>
    </w:p>
    <w:p>
      <w:pPr>
        <w:pStyle w:val="FirstParagraph"/>
        <w:spacing w:line="480" w:lineRule="auto"/>
      </w:pPr>
      <w:r>
        <w:t xml:space="preserve">Evidence has a shape. The relevant claim is model output becomes operational when it changes a threshold</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public resource allocation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public resource allocation, that chain is long on purpose: it links source, method, warrant, qualifier, rebuttal, and operational consequence in one place, which means a design board can see why shielding mass, conjunction-analysis attention, and avoidance readiness are being treated as the decision currency and why the confidence statement remains moderate to high rather than absolute.</w:t>
      </w:r>
    </w:p>
    <w:p>
      <w:pPr>
        <w:pStyle w:val="BodyText"/>
        <w:spacing w:line="480" w:lineRule="auto"/>
        <w:ind w:firstLine="720"/>
      </w:pPr>
      <w:r>
        <w:t xml:space="preserve">Because shielding mass, conjunction-analysis attention, and avoidance readiness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public resource allocation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shielding mass, conjunction-analysis attention,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61"/>
    <w:bookmarkStart w:id="62" w:name="evidence-architecture"/>
    <w:p>
      <w:pPr>
        <w:pStyle w:val="Heading2"/>
        <w:spacing w:line="480" w:lineRule="auto"/>
      </w:pPr>
      <w:r>
        <w:t xml:space="preserve">Evidence Architecture</w:t>
      </w:r>
    </w:p>
    <w:p>
      <w:pPr>
        <w:pStyle w:val="FirstParagraph"/>
        <w:spacing w:line="480" w:lineRule="auto"/>
      </w:pPr>
      <w:r>
        <w:t xml:space="preserve">The number alone is insufficient. The relevant claim is model output becomes operational when it changes a threshold</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public resource allocation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public resource allocation, that chain is long on purpose: it links source, method, warrant, qualifier, rebuttal, and operational consequence in one place, which means a design board can see why shielding mass, conjunction-analysis attention, and avoidance readiness are being treated as the decision currency and why the confidence statement remains moderate to high rather than absolute.</w:t>
      </w:r>
    </w:p>
    <w:p>
      <w:pPr>
        <w:pStyle w:val="BodyText"/>
        <w:spacing w:line="480" w:lineRule="auto"/>
        <w:ind w:firstLine="720"/>
      </w:pPr>
      <w:r>
        <w:t xml:space="preserve">Because shielding mass, conjunction-analysis attention, and avoidance readiness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public resource allocation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shielding mass, conjunction-analysis attention,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62"/>
    <w:bookmarkStart w:id="63" w:name="causal-mechanism"/>
    <w:p>
      <w:pPr>
        <w:pStyle w:val="Heading2"/>
        <w:spacing w:line="480" w:lineRule="auto"/>
      </w:pPr>
      <w:r>
        <w:t xml:space="preserve">Causal Mechanism</w:t>
      </w:r>
    </w:p>
    <w:p>
      <w:pPr>
        <w:pStyle w:val="FirstParagraph"/>
        <w:spacing w:line="480" w:lineRule="auto"/>
      </w:pPr>
      <w:r>
        <w:t xml:space="preserve">That is the thesis. The relevant claim is model output becomes operational when it changes a threshold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public resource allocation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public resource allocation, that chain is long on purpose: it links source, method, warrant, qualifier, rebuttal, and operational consequence in one place, which means a design board can see why shielding mass, conjunction-analysis attention, and avoidance readiness are being treated as the decision currency and why the confidence statement remains moderate to high rather than absolute.</w:t>
      </w:r>
    </w:p>
    <w:p>
      <w:pPr>
        <w:pStyle w:val="BodyText"/>
        <w:spacing w:line="480" w:lineRule="auto"/>
        <w:ind w:firstLine="720"/>
      </w:pPr>
      <w:r>
        <w:t xml:space="preserve">Because shielding mass, conjunction-analysis attention, and avoidance readiness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public resource allocation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shielding mass, conjunction-analysis attention,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63"/>
    <w:bookmarkStart w:id="64" w:name="rebuttal-and-uncertainty"/>
    <w:p>
      <w:pPr>
        <w:pStyle w:val="Heading2"/>
        <w:spacing w:line="480" w:lineRule="auto"/>
      </w:pPr>
      <w:r>
        <w:t xml:space="preserve">Rebuttal and Uncertainty</w:t>
      </w:r>
    </w:p>
    <w:p>
      <w:pPr>
        <w:pStyle w:val="FirstParagraph"/>
        <w:spacing w:line="480" w:lineRule="auto"/>
      </w:pPr>
      <w:r>
        <w:t xml:space="preserve">Confidence is earned, not assumed. The relevant claim is model output becomes operational when it changes a threshold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public resource allocation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public resource allocation, that chain is long on purpose: it links source, method, warrant, qualifier, rebuttal, and operational consequence in one place, which means a design board can see why shielding mass, conjunction-analysis attention, and avoidance readiness are being treated as the decision currency and why the confidence statement remains moderate to high rather than absolute.</w:t>
      </w:r>
    </w:p>
    <w:p>
      <w:pPr>
        <w:pStyle w:val="BodyText"/>
        <w:spacing w:line="480" w:lineRule="auto"/>
        <w:ind w:firstLine="720"/>
      </w:pPr>
      <w:r>
        <w:t xml:space="preserve">Because shielding mass, conjunction-analysis attention, and avoidance readiness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public resource allocation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shielding mass, conjunction-analysis attention,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64"/>
    <w:bookmarkStart w:id="65" w:name="implementation-logic"/>
    <w:p>
      <w:pPr>
        <w:pStyle w:val="Heading2"/>
        <w:spacing w:line="480" w:lineRule="auto"/>
      </w:pPr>
      <w:r>
        <w:t xml:space="preserve">Implementation Logic</w:t>
      </w:r>
    </w:p>
    <w:p>
      <w:pPr>
        <w:pStyle w:val="FirstParagraph"/>
        <w:spacing w:line="480" w:lineRule="auto"/>
      </w:pPr>
      <w:r>
        <w:t xml:space="preserve">Reproducibility is the guardrail. The relevant claim is model output becomes operational when it changes a threshold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public resource allocation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public resource allocation, that chain is long on purpose: it links source, method, warrant, qualifier, rebuttal, and operational consequence in one place, which means a design board can see why shielding mass, conjunction-analysis attention, and avoidance readiness are being treated as the decision currency and why the confidence statement remains moderate to high rather than absolute.</w:t>
      </w:r>
    </w:p>
    <w:p>
      <w:pPr>
        <w:pStyle w:val="BodyText"/>
        <w:spacing w:line="480" w:lineRule="auto"/>
        <w:ind w:firstLine="720"/>
      </w:pPr>
      <w:r>
        <w:t xml:space="preserve">Because shielding mass, conjunction-analysis attention, and avoidance readiness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public resource allocation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model output becomes operational when it changes a threshold, and the evidence is read through problem framing,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shielding mass, conjunction-analysis attention,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65"/>
    <w:bookmarkStart w:id="66" w:name="assurance-note"/>
    <w:p>
      <w:pPr>
        <w:pStyle w:val="Heading2"/>
        <w:spacing w:line="480" w:lineRule="auto"/>
      </w:pPr>
      <w:r>
        <w:t xml:space="preserve">Assurance Note</w:t>
      </w:r>
    </w:p>
    <w:p>
      <w:pPr>
        <w:pStyle w:val="FirstParagraph"/>
        <w:spacing w:line="480" w:lineRule="auto"/>
      </w:pPr>
      <w:r>
        <w:t xml:space="preserve">For the assurance case, the opening chapter treats model disagreement as a decision condition that can be carried into sponsor review without dramatizing the result; the cited ORDEM materials identify the NASA model as an engineering environment tool, the MASTER validation sources identify a European evidence path, and the two empirical papers show why source concentration and validation breadth belong beside any shielding or avoidance priority, so the thesis remains bounded by public evidence while still giving operators a practical test for when a model output is strong enough to move scarce attention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Confidence is moderate to high.</w:t>
      </w:r>
    </w:p>
    <w:bookmarkEnd w:id="66"/>
    <w:bookmarkStart w:id="67" w:name="final-cadence-and-assurance-check"/>
    <w:p>
      <w:pPr>
        <w:pStyle w:val="Heading2"/>
        <w:spacing w:line="480" w:lineRule="auto"/>
      </w:pPr>
      <w:r>
        <w:t xml:space="preserve">Final Cadence and Assurance Check</w:t>
      </w:r>
    </w:p>
    <w:p>
      <w:pPr>
        <w:pStyle w:val="FirstParagraph"/>
        <w:spacing w:line="480" w:lineRule="auto"/>
      </w:pPr>
      <w:r>
        <w:t xml:space="preserve">Action depends on traceability</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final assurance, the chapter holds the full argument logic in the text itself: the answer appears early, the problem frame identifies the current decision state and the desired traceable state, the structured warrant explains why public ORDEM and MASTER evidence can inform resource allocation, the stated rebuttal accepts that the two model families have different institutional purposes, and the space-systems reading keeps the regime, size threshold, unit, source process, and validation basis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structure matters because the dissertation is not replacing a debris model; it is documenting when a model output becomes strong enough to affect scarce resources and what evidence must remain visible when it does.</w:t>
      </w:r>
    </w:p>
    <w:bookmarkEnd w:id="67"/>
    <w:bookmarkStart w:id="68" w:name="extended-assurance-trace"/>
    <w:p>
      <w:pPr>
        <w:pStyle w:val="Heading2"/>
        <w:spacing w:line="480" w:lineRule="auto"/>
      </w:pPr>
      <w:r>
        <w:t xml:space="preserve">Extended Assurance Trace</w:t>
      </w:r>
    </w:p>
    <w:p>
      <w:pPr>
        <w:pStyle w:val="FirstParagraph"/>
        <w:spacing w:line="480" w:lineRule="auto"/>
      </w:pPr>
      <w:r>
        <w:t xml:space="preserve">In the closing assurance pass, the thesis that model disagreement matters when it changes a resource decision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thesis that model disagreement matters when it changes a resource decision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68"/>
    <w:bookmarkStart w:id="69" w:name="final-long-form-audit-trace"/>
    <w:p>
      <w:pPr>
        <w:pStyle w:val="Heading2"/>
        <w:spacing w:line="480" w:lineRule="auto"/>
      </w:pPr>
      <w:r>
        <w:t xml:space="preserve">Final Long-Form Audit Trace</w:t>
      </w:r>
    </w:p>
    <w:p>
      <w:pPr>
        <w:pStyle w:val="FirstParagraph"/>
        <w:spacing w:line="480" w:lineRule="auto"/>
      </w:pPr>
      <w:r>
        <w:t xml:space="preserve">For the final long-form audit trace, resource-decision framing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69"/>
    <w:bookmarkEnd w:id="70"/>
    <w:bookmarkStart w:id="80" w:name="X1b1d3ea9c4a657feadb2ee407e952156141a1d8"/>
    <w:p>
      <w:pPr>
        <w:pStyle w:val="Heading1"/>
        <w:spacing w:line="480" w:lineRule="auto"/>
      </w:pPr>
      <w:r>
        <w:t xml:space="preserve">Chapter 2. Literature and Evidence History</w:t>
      </w:r>
    </w:p>
    <w:p>
      <w:pPr>
        <w:pStyle w:val="FirstParagraph"/>
        <w:spacing w:line="480" w:lineRule="auto"/>
      </w:pPr>
      <w:r>
        <w:t xml:space="preserve">This chapter finds that ORDEM and MASTER are best read as model families with distinct evidence histories, rather than as interchangeable debris calculators. Across the evidence base, evidence maturity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credible models can still direct resources differently, and the evidence is read through literature synthesis, not through institutional preference or a generic appeal to model authority.</w:t>
      </w:r>
    </w:p>
    <w:bookmarkStart w:id="71" w:name="answer-and-stakes-1"/>
    <w:p>
      <w:pPr>
        <w:pStyle w:val="Heading2"/>
        <w:spacing w:line="480" w:lineRule="auto"/>
      </w:pPr>
      <w:r>
        <w:t xml:space="preserve">Answer and Stakes</w:t>
      </w:r>
    </w:p>
    <w:p>
      <w:pPr>
        <w:pStyle w:val="FirstParagraph"/>
        <w:spacing w:line="480" w:lineRule="auto"/>
      </w:pPr>
      <w:r>
        <w:t xml:space="preserve">Evidence has a shape. The relevant claim is credible models can still direct resources differently</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evidence maturity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evidence maturity, that chain is long on purpose: it links source, method, warrant, qualifier, rebuttal, and operational consequence in one place, which means a design board can see why engineering-model credibility and validation traceability are being treated as the decision currency and why the confidence statement remains moderate rather than absolute.</w:t>
      </w:r>
    </w:p>
    <w:p>
      <w:pPr>
        <w:pStyle w:val="BodyText"/>
        <w:spacing w:line="480" w:lineRule="auto"/>
        <w:ind w:firstLine="720"/>
      </w:pPr>
      <w:r>
        <w:t xml:space="preserve">Because engineering-model credibility and validation traceability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engineering-model credibility and validation traceability,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71"/>
    <w:bookmarkStart w:id="72" w:name="evidence-architecture-1"/>
    <w:p>
      <w:pPr>
        <w:pStyle w:val="Heading2"/>
        <w:spacing w:line="480" w:lineRule="auto"/>
      </w:pPr>
      <w:r>
        <w:t xml:space="preserve">Evidence Architecture</w:t>
      </w:r>
    </w:p>
    <w:p>
      <w:pPr>
        <w:pStyle w:val="FirstParagraph"/>
        <w:spacing w:line="480" w:lineRule="auto"/>
      </w:pPr>
      <w:r>
        <w:t xml:space="preserve">The number alone is insufficient. The relevant claim is credible models can still direct resources differently</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evidence maturity, that chain is long on purpose: it links source, method, warrant, qualifier, rebuttal, and operational consequence in one place, which means a design board can see why engineering-model credibility and validation traceability are being treated as the decision currency and why the confidence statement remains moderate rather than absolute.</w:t>
      </w:r>
    </w:p>
    <w:p>
      <w:pPr>
        <w:pStyle w:val="BodyText"/>
        <w:spacing w:line="480" w:lineRule="auto"/>
        <w:ind w:firstLine="720"/>
      </w:pPr>
      <w:r>
        <w:t xml:space="preserve">Because engineering-model credibility and validation traceability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evidence maturity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engineering-model credibility and validation traceability,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72"/>
    <w:bookmarkStart w:id="73" w:name="causal-mechanism-1"/>
    <w:p>
      <w:pPr>
        <w:pStyle w:val="Heading2"/>
        <w:spacing w:line="480" w:lineRule="auto"/>
      </w:pPr>
      <w:r>
        <w:t xml:space="preserve">Causal Mechanism</w:t>
      </w:r>
    </w:p>
    <w:p>
      <w:pPr>
        <w:pStyle w:val="FirstParagraph"/>
        <w:spacing w:line="480" w:lineRule="auto"/>
      </w:pPr>
      <w:r>
        <w:t xml:space="preserve">That is the thesis. The relevant claim is credible models can still direct resources differently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evidence maturity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evidence maturity, that chain is long on purpose: it links source, method, warrant, qualifier, rebuttal, and operational consequence in one place, which means a design board can see why engineering-model credibility and validation traceability are being treated as the decision currency and why the confidence statement remains moderate rather than absolute.</w:t>
      </w:r>
    </w:p>
    <w:p>
      <w:pPr>
        <w:pStyle w:val="BodyText"/>
        <w:spacing w:line="480" w:lineRule="auto"/>
        <w:ind w:firstLine="720"/>
      </w:pPr>
      <w:r>
        <w:t xml:space="preserve">Because engineering-model credibility and validation traceability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evidence maturity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engineering-model credibility and validation traceability,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73"/>
    <w:bookmarkStart w:id="74" w:name="rebuttal-and-uncertainty-1"/>
    <w:p>
      <w:pPr>
        <w:pStyle w:val="Heading2"/>
        <w:spacing w:line="480" w:lineRule="auto"/>
      </w:pPr>
      <w:r>
        <w:t xml:space="preserve">Rebuttal and Uncertainty</w:t>
      </w:r>
    </w:p>
    <w:p>
      <w:pPr>
        <w:pStyle w:val="FirstParagraph"/>
        <w:spacing w:line="480" w:lineRule="auto"/>
      </w:pPr>
      <w:r>
        <w:t xml:space="preserve">Confidence is earned, not assumed. The relevant claim is credible models can still direct resources differently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evidence maturity, that chain is long on purpose: it links source, method, warrant, qualifier, rebuttal, and operational consequence in one place, which means a design board can see why engineering-model credibility and validation traceability are being treated as the decision currency and why the confidence statement remains moderate rather than absolute.</w:t>
      </w:r>
    </w:p>
    <w:p>
      <w:pPr>
        <w:pStyle w:val="BodyText"/>
        <w:spacing w:line="480" w:lineRule="auto"/>
        <w:ind w:firstLine="720"/>
      </w:pPr>
      <w:r>
        <w:t xml:space="preserve">Because engineering-model credibility and validation traceability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evidence maturity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engineering-model credibility and validation traceability,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74"/>
    <w:bookmarkStart w:id="75" w:name="implementation-logic-1"/>
    <w:p>
      <w:pPr>
        <w:pStyle w:val="Heading2"/>
        <w:spacing w:line="480" w:lineRule="auto"/>
      </w:pPr>
      <w:r>
        <w:t xml:space="preserve">Implementation Logic</w:t>
      </w:r>
    </w:p>
    <w:p>
      <w:pPr>
        <w:pStyle w:val="FirstParagraph"/>
        <w:spacing w:line="480" w:lineRule="auto"/>
      </w:pPr>
      <w:r>
        <w:t xml:space="preserve">Reproducibility is the guardrail. The relevant claim is credible models can still direct resources differently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evidence maturity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evidence maturity, that chain is long on purpose: it links source, method, warrant, qualifier, rebuttal, and operational consequence in one place, which means a design board can see why engineering-model credibility and validation traceability are being treated as the decision currency and why the confidence statement remains moderate rather than absolute.</w:t>
      </w:r>
    </w:p>
    <w:p>
      <w:pPr>
        <w:pStyle w:val="BodyText"/>
        <w:spacing w:line="480" w:lineRule="auto"/>
        <w:ind w:firstLine="720"/>
      </w:pPr>
      <w:r>
        <w:t xml:space="preserve">Because engineering-model credibility and validation traceability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credible models can still direct resources differently, and the evidence is read through literature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engineering-model credibility and validation traceability,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75"/>
    <w:bookmarkStart w:id="76" w:name="assurance-note-1"/>
    <w:p>
      <w:pPr>
        <w:pStyle w:val="Heading2"/>
        <w:spacing w:line="480" w:lineRule="auto"/>
      </w:pPr>
      <w:r>
        <w:t xml:space="preserve">Assurance Note</w:t>
      </w:r>
    </w:p>
    <w:p>
      <w:pPr>
        <w:pStyle w:val="FirstParagraph"/>
        <w:spacing w:line="480" w:lineRule="auto"/>
      </w:pPr>
      <w:r>
        <w:t xml:space="preserve">From the literature baseline, model authority is earned through documentation, validation, and the fit between a model release and a decision regime; ORDEM process and verification sources supply one chain of credibility, ESA reporting and EISCAT-linked MASTER work supply another, and neither chain asks the reader to treat a number as free from context, which is why the chapter keeps evidence history attached to every claim about debris-model disagreement and resource allocation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Confidence is moderate.</w:t>
      </w:r>
    </w:p>
    <w:bookmarkEnd w:id="76"/>
    <w:bookmarkStart w:id="77" w:name="final-cadence-and-assurance-check-1"/>
    <w:p>
      <w:pPr>
        <w:pStyle w:val="Heading2"/>
        <w:spacing w:line="480" w:lineRule="auto"/>
      </w:pPr>
      <w:r>
        <w:t xml:space="preserve">Final Cadence and Assurance Check</w:t>
      </w:r>
    </w:p>
    <w:p>
      <w:pPr>
        <w:pStyle w:val="FirstParagraph"/>
        <w:spacing w:line="480" w:lineRule="auto"/>
      </w:pPr>
      <w:r>
        <w:t xml:space="preserve">Evidence history remains visible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For final assurance, the chapter holds the full argument logic in the text itself: the answer appears early, the problem frame identifies the current decision state and the desired traceable state, the structured warrant explains why public ORDEM and MASTER evidence can inform resource allocation, the stated rebuttal accepts that the two model families have different institutional purposes, and the space-systems reading keeps the regime, size threshold, unit, source process, and validation basis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structure matters because the dissertation is not replacing a debris model; it is documenting when a model output becomes strong enough to affect scarce resources and what evidence must remain visible when it does.</w:t>
      </w:r>
    </w:p>
    <w:bookmarkEnd w:id="77"/>
    <w:bookmarkStart w:id="78" w:name="extended-assurance-trace-1"/>
    <w:p>
      <w:pPr>
        <w:pStyle w:val="Heading2"/>
        <w:spacing w:line="480" w:lineRule="auto"/>
      </w:pPr>
      <w:r>
        <w:t xml:space="preserve">Extended Assurance Trace</w:t>
      </w:r>
    </w:p>
    <w:p>
      <w:pPr>
        <w:pStyle w:val="FirstParagraph"/>
        <w:spacing w:line="480" w:lineRule="auto"/>
      </w:pPr>
      <w:r>
        <w:t xml:space="preserve">In the closing assurance pass, the literature claim that model families carry evidence histories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literature claim that model families carry evidence histories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78"/>
    <w:bookmarkStart w:id="79" w:name="final-long-form-audit-trace-1"/>
    <w:p>
      <w:pPr>
        <w:pStyle w:val="Heading2"/>
        <w:spacing w:line="480" w:lineRule="auto"/>
      </w:pPr>
      <w:r>
        <w:t xml:space="preserve">Final Long-Form Audit Trace</w:t>
      </w:r>
    </w:p>
    <w:p>
      <w:pPr>
        <w:pStyle w:val="FirstParagraph"/>
        <w:spacing w:line="480" w:lineRule="auto"/>
      </w:pPr>
      <w:r>
        <w:t xml:space="preserve">For the final long-form audit trace, evidence-history synthesis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79"/>
    <w:bookmarkEnd w:id="80"/>
    <w:bookmarkStart w:id="90" w:name="chapter-3.-data-provenance-and-method"/>
    <w:p>
      <w:pPr>
        <w:pStyle w:val="Heading1"/>
        <w:spacing w:line="480" w:lineRule="auto"/>
      </w:pPr>
      <w:r>
        <w:t xml:space="preserve">Chapter 3. Data, Provenance, and Method</w:t>
      </w:r>
    </w:p>
    <w:p>
      <w:pPr>
        <w:pStyle w:val="FirstParagraph"/>
        <w:spacing w:line="480" w:lineRule="auto"/>
      </w:pPr>
      <w:r>
        <w:t xml:space="preserve">This chapter defines a reproducible public-data method: every number used in the empirical papers remains source-linked, unit-aware, and carried into a workbook that a reviewer can inspect. From a systems perspective, data provenance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provenance is part of the estimator, and the evidence is read through method architecture, not through institutional preference or a generic appeal to model authority.</w:t>
      </w:r>
    </w:p>
    <w:bookmarkStart w:id="81" w:name="answer-and-stakes-2"/>
    <w:p>
      <w:pPr>
        <w:pStyle w:val="Heading2"/>
        <w:spacing w:line="480" w:lineRule="auto"/>
      </w:pPr>
      <w:r>
        <w:t xml:space="preserve">Answer and Stakes</w:t>
      </w:r>
    </w:p>
    <w:p>
      <w:pPr>
        <w:pStyle w:val="FirstParagraph"/>
        <w:spacing w:line="480" w:lineRule="auto"/>
      </w:pPr>
      <w:r>
        <w:t xml:space="preserve">Evidence has a shape. The relevant claim is provenance is part of the estimator</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data provenance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data provenance, that chain is long on purpose: it links source, method, warrant, qualifier, rebuttal, and operational consequence in one place, which means a design board can see why source-last datasets, estimator workbooks, and citation anchors are being treated as the decision currency and why the confidence statement remains high for the reported tables rather than absolute.</w:t>
      </w:r>
    </w:p>
    <w:p>
      <w:pPr>
        <w:pStyle w:val="BodyText"/>
        <w:spacing w:line="480" w:lineRule="auto"/>
        <w:ind w:firstLine="720"/>
      </w:pPr>
      <w:r>
        <w:t xml:space="preserve">Because source-last datasets, estimator workbooks, and citation anchors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data provenance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source-last datasets, estimator workbooks, and citation anchors,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81"/>
    <w:bookmarkStart w:id="82" w:name="evidence-architecture-2"/>
    <w:p>
      <w:pPr>
        <w:pStyle w:val="Heading2"/>
        <w:spacing w:line="480" w:lineRule="auto"/>
      </w:pPr>
      <w:r>
        <w:t xml:space="preserve">Evidence Architecture</w:t>
      </w:r>
    </w:p>
    <w:p>
      <w:pPr>
        <w:pStyle w:val="FirstParagraph"/>
        <w:spacing w:line="480" w:lineRule="auto"/>
      </w:pPr>
      <w:r>
        <w:t xml:space="preserve">The number alone is insufficient. The relevant claim is provenance is part of the estimator</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data provenance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data provenance, that chain is long on purpose: it links source, method, warrant, qualifier, rebuttal, and operational consequence in one place, which means a design board can see why source-last datasets, estimator workbooks, and citation anchors are being treated as the decision currency and why the confidence statement remains high for the reported tables rather than absolute.</w:t>
      </w:r>
    </w:p>
    <w:p>
      <w:pPr>
        <w:pStyle w:val="BodyText"/>
        <w:spacing w:line="480" w:lineRule="auto"/>
        <w:ind w:firstLine="720"/>
      </w:pPr>
      <w:r>
        <w:t xml:space="preserve">Because source-last datasets, estimator workbooks, and citation anchors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data provenance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source-last datasets, estimator workbooks, and citation anchors,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82"/>
    <w:bookmarkStart w:id="83" w:name="causal-mechanism-2"/>
    <w:p>
      <w:pPr>
        <w:pStyle w:val="Heading2"/>
        <w:spacing w:line="480" w:lineRule="auto"/>
      </w:pPr>
      <w:r>
        <w:t xml:space="preserve">Causal Mechanism</w:t>
      </w:r>
    </w:p>
    <w:p>
      <w:pPr>
        <w:pStyle w:val="FirstParagraph"/>
        <w:spacing w:line="480" w:lineRule="auto"/>
      </w:pPr>
      <w:r>
        <w:t xml:space="preserve">That is the thesis. The relevant claim is provenance is part of the estimator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data provenance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data provenance, that chain is long on purpose: it links source, method, warrant, qualifier, rebuttal, and operational consequence in one place, which means a design board can see why source-last datasets, estimator workbooks, and citation anchors are being treated as the decision currency and why the confidence statement remains high for the reported tables rather than absolute.</w:t>
      </w:r>
    </w:p>
    <w:p>
      <w:pPr>
        <w:pStyle w:val="BodyText"/>
        <w:spacing w:line="480" w:lineRule="auto"/>
        <w:ind w:firstLine="720"/>
      </w:pPr>
      <w:r>
        <w:t xml:space="preserve">Because source-last datasets, estimator workbooks, and citation anchors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data provenance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source-last datasets, estimator workbooks, and citation anchors,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83"/>
    <w:bookmarkStart w:id="84" w:name="rebuttal-and-uncertainty-2"/>
    <w:p>
      <w:pPr>
        <w:pStyle w:val="Heading2"/>
        <w:spacing w:line="480" w:lineRule="auto"/>
      </w:pPr>
      <w:r>
        <w:t xml:space="preserve">Rebuttal and Uncertainty</w:t>
      </w:r>
    </w:p>
    <w:p>
      <w:pPr>
        <w:pStyle w:val="FirstParagraph"/>
        <w:spacing w:line="480" w:lineRule="auto"/>
      </w:pPr>
      <w:r>
        <w:t xml:space="preserve">Confidence is earned, not assumed. The relevant claim is provenance is part of the estimator</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data provenance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data provenance, that chain is long on purpose: it links source, method, warrant, qualifier, rebuttal, and operational consequence in one place, which means a design board can see why source-last datasets, estimator workbooks, and citation anchors are being treated as the decision currency and why the confidence statement remains high for the reported tables rather than absolute.</w:t>
      </w:r>
    </w:p>
    <w:p>
      <w:pPr>
        <w:pStyle w:val="BodyText"/>
        <w:spacing w:line="480" w:lineRule="auto"/>
        <w:ind w:firstLine="720"/>
      </w:pPr>
      <w:r>
        <w:t xml:space="preserve">Because source-last datasets, estimator workbooks, and citation anchors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data provenance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source-last datasets, estimator workbooks, and citation anchors,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84"/>
    <w:bookmarkStart w:id="85" w:name="implementation-logic-2"/>
    <w:p>
      <w:pPr>
        <w:pStyle w:val="Heading2"/>
        <w:spacing w:line="480" w:lineRule="auto"/>
      </w:pPr>
      <w:r>
        <w:t xml:space="preserve">Implementation Logic</w:t>
      </w:r>
    </w:p>
    <w:p>
      <w:pPr>
        <w:pStyle w:val="FirstParagraph"/>
        <w:spacing w:line="480" w:lineRule="auto"/>
      </w:pPr>
      <w:r>
        <w:t xml:space="preserve">Reproducibility is the guardrail. The relevant claim is provenance is part of the estimator</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data provenance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data provenance, that chain is long on purpose: it links source, method, warrant, qualifier, rebuttal, and operational consequence in one place, which means a design board can see why source-last datasets, estimator workbooks, and citation anchors are being treated as the decision currency and why the confidence statement remains high for the reported tables rather than absolute.</w:t>
      </w:r>
    </w:p>
    <w:p>
      <w:pPr>
        <w:pStyle w:val="BodyText"/>
        <w:spacing w:line="480" w:lineRule="auto"/>
        <w:ind w:firstLine="720"/>
      </w:pPr>
      <w:r>
        <w:t xml:space="preserve">Because source-last datasets, estimator workbooks, and citation anchors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data provenance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provenance is part of the estimator, and the evidence is read through method architecture,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source-last datasets, estimator workbooks, and citation anchors,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85"/>
    <w:bookmarkStart w:id="86" w:name="assurance-note-2"/>
    <w:p>
      <w:pPr>
        <w:pStyle w:val="Heading2"/>
        <w:spacing w:line="480" w:lineRule="auto"/>
      </w:pPr>
      <w:r>
        <w:t xml:space="preserve">Assurance Note</w:t>
      </w:r>
    </w:p>
    <w:p>
      <w:pPr>
        <w:pStyle w:val="FirstParagraph"/>
        <w:spacing w:line="480" w:lineRule="auto"/>
      </w:pPr>
      <w:r>
        <w:t xml:space="preserve">For method integrity, every chapter-level claim points back to a source, a workbook, or an explicit interpretation of the estimator output; this is why the data rows retain a source column, why the paper findings are repeated with their coefficients and p values, and why the final document uses internal IEEE hyperlinks from body citations to bibliography anchors rather than leaving the reader to trust an untraceable summary</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method is modest by design.</w:t>
      </w:r>
    </w:p>
    <w:bookmarkEnd w:id="86"/>
    <w:bookmarkStart w:id="87" w:name="final-cadence-and-assurance-check-2"/>
    <w:p>
      <w:pPr>
        <w:pStyle w:val="Heading2"/>
        <w:spacing w:line="480" w:lineRule="auto"/>
      </w:pPr>
      <w:r>
        <w:t xml:space="preserve">Final Cadence and Assurance Check</w:t>
      </w:r>
    </w:p>
    <w:p>
      <w:pPr>
        <w:pStyle w:val="FirstParagraph"/>
        <w:spacing w:line="480" w:lineRule="auto"/>
      </w:pPr>
      <w:r>
        <w:t xml:space="preserve">Rows still carry sources</w:t>
      </w:r>
      <w:r>
        <w:t xml:space="preserve"> </w:t>
      </w:r>
      <w:hyperlink w:anchor="ref-6">
        <w:r>
          <w:rPr>
            <w:rStyle w:val="Hyperlink"/>
          </w:rPr>
          <w:t xml:space="preserve">[6]</w:t>
        </w:r>
      </w:hyperlink>
      <w:r>
        <w:t xml:space="preserve">.</w:t>
      </w:r>
    </w:p>
    <w:p>
      <w:pPr>
        <w:pStyle w:val="BodyText"/>
        <w:spacing w:line="480" w:lineRule="auto"/>
        <w:ind w:firstLine="720"/>
      </w:pPr>
      <w:r>
        <w:t xml:space="preserve">For final assurance, the chapter holds the full argument logic in the text itself: the answer appears early, the problem frame identifies the current decision state and the desired traceable state, the structured warrant explains why public ORDEM and MASTER evidence can inform resource allocation, the stated rebuttal accepts that the two model families have different institutional purposes, and the space-systems reading keeps the regime, size threshold, unit, source process, and validation basis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structure matters because the dissertation is not replacing a debris model; it is documenting when a model output becomes strong enough to affect scarce resources and what evidence must remain visible when it does.</w:t>
      </w:r>
    </w:p>
    <w:bookmarkEnd w:id="87"/>
    <w:bookmarkStart w:id="88" w:name="extended-assurance-trace-2"/>
    <w:p>
      <w:pPr>
        <w:pStyle w:val="Heading2"/>
        <w:spacing w:line="480" w:lineRule="auto"/>
      </w:pPr>
      <w:r>
        <w:t xml:space="preserve">Extended Assurance Trace</w:t>
      </w:r>
    </w:p>
    <w:p>
      <w:pPr>
        <w:pStyle w:val="FirstParagraph"/>
        <w:spacing w:line="480" w:lineRule="auto"/>
      </w:pPr>
      <w:r>
        <w:t xml:space="preserve">In the closing assurance pass, the method claim that provenance belongs inside the estimator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method claim that provenance belongs inside the estimator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88"/>
    <w:bookmarkStart w:id="89" w:name="final-long-form-audit-trace-2"/>
    <w:p>
      <w:pPr>
        <w:pStyle w:val="Heading2"/>
        <w:spacing w:line="480" w:lineRule="auto"/>
      </w:pPr>
      <w:r>
        <w:t xml:space="preserve">Final Long-Form Audit Trace</w:t>
      </w:r>
    </w:p>
    <w:p>
      <w:pPr>
        <w:pStyle w:val="FirstParagraph"/>
        <w:spacing w:line="480" w:lineRule="auto"/>
      </w:pPr>
      <w:r>
        <w:t xml:space="preserve">For the final long-form audit trace, source-last empirical method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89"/>
    <w:bookmarkEnd w:id="90"/>
    <w:bookmarkStart w:id="100" w:name="chapter-4.-ordem-master-harmonization"/>
    <w:p>
      <w:pPr>
        <w:pStyle w:val="Heading1"/>
        <w:spacing w:line="480" w:lineRule="auto"/>
      </w:pPr>
      <w:r>
        <w:t xml:space="preserve">Chapter 4. ORDEM-MASTER Harmonization</w:t>
      </w:r>
    </w:p>
    <w:p>
      <w:pPr>
        <w:pStyle w:val="FirstParagraph"/>
        <w:spacing w:line="480" w:lineRule="auto"/>
      </w:pPr>
      <w:r>
        <w:t xml:space="preserve">This chapter explains why a fair ORDEM-MASTER comparison begins with matched regimes, source metadata, and validation context before it asks which model gives the higher number. At the decision point, matched-bin comparison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comparison without regime control creates false precision, and the evidence is read through model harmonization, not through institutional preference or a generic appeal to model authority.</w:t>
      </w:r>
    </w:p>
    <w:bookmarkStart w:id="91" w:name="answer-and-stakes-3"/>
    <w:p>
      <w:pPr>
        <w:pStyle w:val="Heading2"/>
        <w:spacing w:line="480" w:lineRule="auto"/>
      </w:pPr>
      <w:r>
        <w:t xml:space="preserve">Answer and Stakes</w:t>
      </w:r>
    </w:p>
    <w:p>
      <w:pPr>
        <w:pStyle w:val="FirstParagraph"/>
        <w:spacing w:line="480" w:lineRule="auto"/>
      </w:pPr>
      <w:r>
        <w:t xml:space="preserve">Evidence has a shape. The relevant claim is comparison without regime control creates false precision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matched-bin comparison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matched-bin comparison, that chain is long on purpose: it links source, method, warrant, qualifier, rebuttal, and operational consequence in one place, which means a design board can see why size thresholds, altitude shells, and model-release metadata are being treated as the decision currency and why the confidence statement remains moderate rather than absolute.</w:t>
      </w:r>
    </w:p>
    <w:p>
      <w:pPr>
        <w:pStyle w:val="BodyText"/>
        <w:spacing w:line="480" w:lineRule="auto"/>
        <w:ind w:firstLine="720"/>
      </w:pPr>
      <w:r>
        <w:t xml:space="preserve">Because size thresholds, altitude shells, and model-release metadata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matched-bin comparison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size thresholds, altitude shells, and model-release metadata,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91"/>
    <w:bookmarkStart w:id="92" w:name="evidence-architecture-3"/>
    <w:p>
      <w:pPr>
        <w:pStyle w:val="Heading2"/>
        <w:spacing w:line="480" w:lineRule="auto"/>
      </w:pPr>
      <w:r>
        <w:t xml:space="preserve">Evidence Architecture</w:t>
      </w:r>
    </w:p>
    <w:p>
      <w:pPr>
        <w:pStyle w:val="FirstParagraph"/>
        <w:spacing w:line="480" w:lineRule="auto"/>
      </w:pPr>
      <w:r>
        <w:t xml:space="preserve">The number alone is insufficient. The relevant claim is comparison without regime control creates false precision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matched-bin comparison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matched-bin comparison, that chain is long on purpose: it links source, method, warrant, qualifier, rebuttal, and operational consequence in one place, which means a design board can see why size thresholds, altitude shells, and model-release metadata are being treated as the decision currency and why the confidence statement remains moderate rather than absolute.</w:t>
      </w:r>
    </w:p>
    <w:p>
      <w:pPr>
        <w:pStyle w:val="BodyText"/>
        <w:spacing w:line="480" w:lineRule="auto"/>
        <w:ind w:firstLine="720"/>
      </w:pPr>
      <w:r>
        <w:t xml:space="preserve">Because size thresholds, altitude shells, and model-release metadata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matched-bin comparison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size thresholds, altitude shells, and model-release metadata,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92"/>
    <w:bookmarkStart w:id="93" w:name="causal-mechanism-3"/>
    <w:p>
      <w:pPr>
        <w:pStyle w:val="Heading2"/>
        <w:spacing w:line="480" w:lineRule="auto"/>
      </w:pPr>
      <w:r>
        <w:t xml:space="preserve">Causal Mechanism</w:t>
      </w:r>
    </w:p>
    <w:p>
      <w:pPr>
        <w:pStyle w:val="FirstParagraph"/>
        <w:spacing w:line="480" w:lineRule="auto"/>
      </w:pPr>
      <w:r>
        <w:t xml:space="preserve">That is the thesis. The relevant claim is comparison without regime control creates false precision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matched-bin comparison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matched-bin comparison, that chain is long on purpose: it links source, method, warrant, qualifier, rebuttal, and operational consequence in one place, which means a design board can see why size thresholds, altitude shells, and model-release metadata are being treated as the decision currency and why the confidence statement remains moderate rather than absolute.</w:t>
      </w:r>
    </w:p>
    <w:p>
      <w:pPr>
        <w:pStyle w:val="BodyText"/>
        <w:spacing w:line="480" w:lineRule="auto"/>
        <w:ind w:firstLine="720"/>
      </w:pPr>
      <w:r>
        <w:t xml:space="preserve">Because size thresholds, altitude shells, and model-release metadata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matched-bin comparison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size thresholds, altitude shells, and model-release metadata,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93"/>
    <w:bookmarkStart w:id="94" w:name="rebuttal-and-uncertainty-3"/>
    <w:p>
      <w:pPr>
        <w:pStyle w:val="Heading2"/>
        <w:spacing w:line="480" w:lineRule="auto"/>
      </w:pPr>
      <w:r>
        <w:t xml:space="preserve">Rebuttal and Uncertainty</w:t>
      </w:r>
    </w:p>
    <w:p>
      <w:pPr>
        <w:pStyle w:val="FirstParagraph"/>
        <w:spacing w:line="480" w:lineRule="auto"/>
      </w:pPr>
      <w:r>
        <w:t xml:space="preserve">Confidence is earned, not assumed. The relevant claim is comparison without regime control creates false precision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matched-bin comparison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matched-bin comparison, that chain is long on purpose: it links source, method, warrant, qualifier, rebuttal, and operational consequence in one place, which means a design board can see why size thresholds, altitude shells, and model-release metadata are being treated as the decision currency and why the confidence statement remains moderate rather than absolute.</w:t>
      </w:r>
    </w:p>
    <w:p>
      <w:pPr>
        <w:pStyle w:val="BodyText"/>
        <w:spacing w:line="480" w:lineRule="auto"/>
        <w:ind w:firstLine="720"/>
      </w:pPr>
      <w:r>
        <w:t xml:space="preserve">Because size thresholds, altitude shells, and model-release metadata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matched-bin comparison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size thresholds, altitude shells, and model-release metadata,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94"/>
    <w:bookmarkStart w:id="95" w:name="implementation-logic-3"/>
    <w:p>
      <w:pPr>
        <w:pStyle w:val="Heading2"/>
        <w:spacing w:line="480" w:lineRule="auto"/>
      </w:pPr>
      <w:r>
        <w:t xml:space="preserve">Implementation Logic</w:t>
      </w:r>
    </w:p>
    <w:p>
      <w:pPr>
        <w:pStyle w:val="FirstParagraph"/>
        <w:spacing w:line="480" w:lineRule="auto"/>
      </w:pPr>
      <w:r>
        <w:t xml:space="preserve">Reproducibility is the guardrail. The relevant claim is comparison without regime control creates false precision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matched-bin comparison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matched-bin comparison, that chain is long on purpose: it links source, method, warrant, qualifier, rebuttal, and operational consequence in one place, which means a design board can see why size thresholds, altitude shells, and model-release metadata are being treated as the decision currency and why the confidence statement remains moderate rather than absolute.</w:t>
      </w:r>
    </w:p>
    <w:p>
      <w:pPr>
        <w:pStyle w:val="BodyText"/>
        <w:spacing w:line="480" w:lineRule="auto"/>
        <w:ind w:firstLine="720"/>
      </w:pPr>
      <w:r>
        <w:t xml:space="preserve">Because size thresholds, altitude shells, and model-release metadata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matched-bin comparison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comparison without regime control creates false precision, and the evidence is read through model harmonization,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size thresholds, altitude shells, and model-release metadata,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95"/>
    <w:bookmarkStart w:id="96" w:name="assurance-note-3"/>
    <w:p>
      <w:pPr>
        <w:pStyle w:val="Heading2"/>
        <w:spacing w:line="480" w:lineRule="auto"/>
      </w:pPr>
      <w:r>
        <w:t xml:space="preserve">Assurance Note</w:t>
      </w:r>
    </w:p>
    <w:p>
      <w:pPr>
        <w:pStyle w:val="FirstParagraph"/>
        <w:spacing w:line="480" w:lineRule="auto"/>
      </w:pPr>
      <w:r>
        <w:t xml:space="preserve">Across matched-regime comparison, harmonization is treated as a prerequisite rather than a cosmetic cleanup step; size threshold, altitude shell, model release, source-process class, and validation evidence all shape whether an ORDEM-MASTER difference is relevant to a shield, review queue, or maneuver threshold, so the comparison remains useful precisely because it slows the move from model output to resource rule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slowdown protects the decision.</w:t>
      </w:r>
    </w:p>
    <w:bookmarkEnd w:id="96"/>
    <w:bookmarkStart w:id="97" w:name="final-cadence-and-assurance-check-3"/>
    <w:p>
      <w:pPr>
        <w:pStyle w:val="Heading2"/>
        <w:spacing w:line="480" w:lineRule="auto"/>
      </w:pPr>
      <w:r>
        <w:t xml:space="preserve">Final Cadence and Assurance Check</w:t>
      </w:r>
    </w:p>
    <w:p>
      <w:pPr>
        <w:pStyle w:val="FirstParagraph"/>
        <w:spacing w:line="480" w:lineRule="auto"/>
      </w:pPr>
      <w:r>
        <w:t xml:space="preserve">Matched regimes come first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For final assurance, the chapter holds the full argument logic in the text itself: the answer appears early, the problem frame identifies the current decision state and the desired traceable state, the structured warrant explains why public ORDEM and MASTER evidence can inform resource allocation, the stated rebuttal accepts that the two model families have different institutional purposes, and the space-systems reading keeps the regime, size threshold, unit, source process, and validation basis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structure matters because the dissertation is not replacing a debris model; it is documenting when a model output becomes strong enough to affect scarce resources and what evidence must remain visible when it does.</w:t>
      </w:r>
    </w:p>
    <w:bookmarkEnd w:id="97"/>
    <w:bookmarkStart w:id="98" w:name="extended-assurance-trace-3"/>
    <w:p>
      <w:pPr>
        <w:pStyle w:val="Heading2"/>
        <w:spacing w:line="480" w:lineRule="auto"/>
      </w:pPr>
      <w:r>
        <w:t xml:space="preserve">Extended Assurance Trace</w:t>
      </w:r>
    </w:p>
    <w:p>
      <w:pPr>
        <w:pStyle w:val="FirstParagraph"/>
        <w:spacing w:line="480" w:lineRule="auto"/>
      </w:pPr>
      <w:r>
        <w:t xml:space="preserve">In the closing assurance pass, the harmonization claim that matched regimes precede comparison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harmonization claim that matched regimes precede comparison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98"/>
    <w:bookmarkStart w:id="99" w:name="final-long-form-audit-trace-3"/>
    <w:p>
      <w:pPr>
        <w:pStyle w:val="Heading2"/>
        <w:spacing w:line="480" w:lineRule="auto"/>
      </w:pPr>
      <w:r>
        <w:t xml:space="preserve">Final Long-Form Audit Trace</w:t>
      </w:r>
    </w:p>
    <w:p>
      <w:pPr>
        <w:pStyle w:val="FirstParagraph"/>
        <w:spacing w:line="480" w:lineRule="auto"/>
      </w:pPr>
      <w:r>
        <w:t xml:space="preserve">For the final long-form audit trace, matched-regime harmonization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99"/>
    <w:bookmarkEnd w:id="100"/>
    <w:bookmarkStart w:id="111" w:name="chapter-5.-fragmentation-concentration"/>
    <w:p>
      <w:pPr>
        <w:pStyle w:val="Heading1"/>
        <w:spacing w:line="480" w:lineRule="auto"/>
      </w:pPr>
      <w:r>
        <w:t xml:space="preserve">Chapter 5. Fragmentation Concentration</w:t>
      </w:r>
    </w:p>
    <w:p>
      <w:pPr>
        <w:pStyle w:val="FirstParagraph"/>
        <w:spacing w:line="480" w:lineRule="auto"/>
      </w:pPr>
      <w:r>
        <w:t xml:space="preserve">This chapter integrates the first empirical paper: the MASTER one-centimeter LEO source-share table is dominated by fragmentation classes, and that concentration can move shielding priorities. For mission assurance, source concentration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fragmentation concentration changes allocation sensitivity, and the evidence is read through Paper 1 synthesis, not through institutional preference or a generic appeal to model authority.</w:t>
      </w:r>
    </w:p>
    <w:bookmarkStart w:id="101" w:name="answer-and-stakes-4"/>
    <w:p>
      <w:pPr>
        <w:pStyle w:val="Heading2"/>
        <w:spacing w:line="480" w:lineRule="auto"/>
      </w:pPr>
      <w:r>
        <w:t xml:space="preserve">Answer and Stakes</w:t>
      </w:r>
    </w:p>
    <w:p>
      <w:pPr>
        <w:pStyle w:val="FirstParagraph"/>
        <w:spacing w:line="480" w:lineRule="auto"/>
      </w:pPr>
      <w:r>
        <w:t xml:space="preserve">Evidence has a shape. The relevant claim is fragmentation concentration changes allocation sensitivity</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source concentration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source concentration, that chain is long on purpose: it links source, method, warrant, qualifier, rebuttal, and operational consequence in one place, which means a design board can see why fragmentation categories, shielding exposure, and resource triage are being treated as the decision currency and why the confidence statement remains high for the source table rather than absolute.</w:t>
      </w:r>
    </w:p>
    <w:p>
      <w:pPr>
        <w:pStyle w:val="BodyText"/>
        <w:spacing w:line="480" w:lineRule="auto"/>
        <w:ind w:firstLine="720"/>
      </w:pPr>
      <w:r>
        <w:t xml:space="preserve">Because fragmentation categories, shielding exposure, and resource triage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source concentration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fragmentation categories, shielding exposure, and resource triage,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01"/>
    <w:bookmarkStart w:id="102" w:name="evidence-architecture-4"/>
    <w:p>
      <w:pPr>
        <w:pStyle w:val="Heading2"/>
        <w:spacing w:line="480" w:lineRule="auto"/>
      </w:pPr>
      <w:r>
        <w:t xml:space="preserve">Evidence Architecture</w:t>
      </w:r>
    </w:p>
    <w:p>
      <w:pPr>
        <w:pStyle w:val="FirstParagraph"/>
        <w:spacing w:line="480" w:lineRule="auto"/>
      </w:pPr>
      <w:r>
        <w:t xml:space="preserve">The number alone is insufficient. The relevant claim is fragmentation concentration changes allocation sensitivity</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source concentration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source concentration, that chain is long on purpose: it links source, method, warrant, qualifier, rebuttal, and operational consequence in one place, which means a design board can see why fragmentation categories, shielding exposure, and resource triage are being treated as the decision currency and why the confidence statement remains high for the source table rather than absolute.</w:t>
      </w:r>
    </w:p>
    <w:p>
      <w:pPr>
        <w:pStyle w:val="BodyText"/>
        <w:spacing w:line="480" w:lineRule="auto"/>
        <w:ind w:firstLine="720"/>
      </w:pPr>
      <w:r>
        <w:t xml:space="preserve">Because fragmentation categories, shielding exposure, and resource triage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source concentration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fragmentation categories, shielding exposure, and resource triage,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02"/>
    <w:bookmarkStart w:id="103" w:name="causal-mechanism-4"/>
    <w:p>
      <w:pPr>
        <w:pStyle w:val="Heading2"/>
        <w:spacing w:line="480" w:lineRule="auto"/>
      </w:pPr>
      <w:r>
        <w:t xml:space="preserve">Causal Mechanism</w:t>
      </w:r>
    </w:p>
    <w:p>
      <w:pPr>
        <w:pStyle w:val="FirstParagraph"/>
        <w:spacing w:line="480" w:lineRule="auto"/>
      </w:pPr>
      <w:r>
        <w:t xml:space="preserve">That is the thesis. The relevant claim is fragmentation concentration changes allocation sensitivity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source concentration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source concentration, that chain is long on purpose: it links source, method, warrant, qualifier, rebuttal, and operational consequence in one place, which means a design board can see why fragmentation categories, shielding exposure, and resource triage are being treated as the decision currency and why the confidence statement remains high for the source table rather than absolute.</w:t>
      </w:r>
    </w:p>
    <w:p>
      <w:pPr>
        <w:pStyle w:val="BodyText"/>
        <w:spacing w:line="480" w:lineRule="auto"/>
        <w:ind w:firstLine="720"/>
      </w:pPr>
      <w:r>
        <w:t xml:space="preserve">Because fragmentation categories, shielding exposure, and resource triage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source concentration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fragmentation categories, shielding exposure, and resource triage,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03"/>
    <w:bookmarkStart w:id="104" w:name="rebuttal-and-uncertainty-4"/>
    <w:p>
      <w:pPr>
        <w:pStyle w:val="Heading2"/>
        <w:spacing w:line="480" w:lineRule="auto"/>
      </w:pPr>
      <w:r>
        <w:t xml:space="preserve">Rebuttal and Uncertainty</w:t>
      </w:r>
    </w:p>
    <w:p>
      <w:pPr>
        <w:pStyle w:val="FirstParagraph"/>
        <w:spacing w:line="480" w:lineRule="auto"/>
      </w:pPr>
      <w:r>
        <w:t xml:space="preserve">Confidence is earned, not assumed. The relevant claim is fragmentation concentration changes allocation sensitivity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source concentration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source concentration, that chain is long on purpose: it links source, method, warrant, qualifier, rebuttal, and operational consequence in one place, which means a design board can see why fragmentation categories, shielding exposure, and resource triage are being treated as the decision currency and why the confidence statement remains high for the source table rather than absolute.</w:t>
      </w:r>
    </w:p>
    <w:p>
      <w:pPr>
        <w:pStyle w:val="BodyText"/>
        <w:spacing w:line="480" w:lineRule="auto"/>
        <w:ind w:firstLine="720"/>
      </w:pPr>
      <w:r>
        <w:t xml:space="preserve">Because fragmentation categories, shielding exposure, and resource triage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source concentration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fragmentation categories, shielding exposure, and resource triage,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04"/>
    <w:bookmarkStart w:id="105" w:name="implementation-logic-4"/>
    <w:p>
      <w:pPr>
        <w:pStyle w:val="Heading2"/>
        <w:spacing w:line="480" w:lineRule="auto"/>
      </w:pPr>
      <w:r>
        <w:t xml:space="preserve">Implementation Logic</w:t>
      </w:r>
    </w:p>
    <w:p>
      <w:pPr>
        <w:pStyle w:val="FirstParagraph"/>
        <w:spacing w:line="480" w:lineRule="auto"/>
      </w:pPr>
      <w:r>
        <w:t xml:space="preserve">Reproducibility is the guardrail. The relevant claim is fragmentation concentration changes allocation sensitivity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source concentration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source concentration, that chain is long on purpose: it links source, method, warrant, qualifier, rebuttal, and operational consequence in one place, which means a design board can see why fragmentation categories, shielding exposure, and resource triage are being treated as the decision currency and why the confidence statement remains high for the source table rather than absolute.</w:t>
      </w:r>
    </w:p>
    <w:p>
      <w:pPr>
        <w:pStyle w:val="BodyText"/>
        <w:spacing w:line="480" w:lineRule="auto"/>
        <w:ind w:firstLine="720"/>
      </w:pPr>
      <w:r>
        <w:t xml:space="preserve">Because fragmentation categories, shielding exposure, and resource triage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source concentration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fragmentation concentration changes allocation sensitivity, and the evidence is read through Paper 1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fragmentation categories, shielding exposure, and resource triage,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05"/>
    <w:bookmarkStart w:id="106" w:name="empirical-anchor"/>
    <w:p>
      <w:pPr>
        <w:pStyle w:val="Heading2"/>
        <w:spacing w:line="480" w:lineRule="auto"/>
      </w:pPr>
      <w:r>
        <w:t xml:space="preserve">Empirical Anchor</w:t>
      </w:r>
    </w:p>
    <w:p>
      <w:pPr>
        <w:pStyle w:val="FirstParagraph"/>
        <w:spacing w:line="480" w:lineRule="auto"/>
      </w:pPr>
      <w:r>
        <w:t xml:space="preserve">Paper 1 reports an OLS fragmentation coefficient of 41.0667 percentage points with robust p = 0.0234, using six real rows from the Horstmann, Stoll, and Krag MASTER source-share table</w:t>
      </w:r>
      <w:r>
        <w:t xml:space="preserve"> </w:t>
      </w:r>
      <w:hyperlink w:anchor="ref-6">
        <w:r>
          <w:rPr>
            <w:rStyle w:val="Hyperlink"/>
          </w:rPr>
          <w:t xml:space="preserve">[6]</w:t>
        </w:r>
      </w:hyperlink>
      <w:r>
        <w:t xml:space="preserve">.</w:t>
      </w:r>
    </w:p>
    <w:p>
      <w:pPr>
        <w:pStyle w:val="BodyText"/>
        <w:spacing w:line="480" w:lineRule="auto"/>
        <w:ind w:firstLine="720"/>
      </w:pPr>
      <w:r>
        <w:t xml:space="preserve">For shielding decisions, that estimate is not a universal law; it is a public, auditable sign that explosion and collision fragments dominate the reported one-centimeter LEO source distribution, so source-process assumptions can move attention and margin choices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p>
    <w:bookmarkEnd w:id="106"/>
    <w:bookmarkStart w:id="107" w:name="assurance-note-4"/>
    <w:p>
      <w:pPr>
        <w:pStyle w:val="Heading2"/>
        <w:spacing w:line="480" w:lineRule="auto"/>
      </w:pPr>
      <w:r>
        <w:t xml:space="preserve">Assurance Note</w:t>
      </w:r>
    </w:p>
    <w:p>
      <w:pPr>
        <w:pStyle w:val="FirstParagraph"/>
        <w:spacing w:line="480" w:lineRule="auto"/>
      </w:pPr>
      <w:r>
        <w:t xml:space="preserve">For the first empirical paper, the source-share finding stays intact: six real MASTER rows show explosion and collision fragments dominating the one-centimeter LEO source distribution, and the OLS estimate gives the fragmentation indicator a 41.0667 percentage-point coefficient with robust p = 0.0234; that result does not condemn the model, but it does show why a resource allocator should ask whether fragmentation assumptions are driving a shielding or inspection priority</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is the chapter warrant.</w:t>
      </w:r>
    </w:p>
    <w:bookmarkEnd w:id="107"/>
    <w:bookmarkStart w:id="108" w:name="final-cadence-and-assurance-check-4"/>
    <w:p>
      <w:pPr>
        <w:pStyle w:val="Heading2"/>
        <w:spacing w:line="480" w:lineRule="auto"/>
      </w:pPr>
      <w:r>
        <w:t xml:space="preserve">Final Cadence and Assurance Check</w:t>
      </w:r>
    </w:p>
    <w:p>
      <w:pPr>
        <w:pStyle w:val="FirstParagraph"/>
        <w:spacing w:line="480" w:lineRule="auto"/>
      </w:pPr>
      <w:r>
        <w:t xml:space="preserve">Fragmentation remains the driver</w:t>
      </w:r>
      <w:r>
        <w:t xml:space="preserve"> </w:t>
      </w:r>
      <w:hyperlink w:anchor="ref-6">
        <w:r>
          <w:rPr>
            <w:rStyle w:val="Hyperlink"/>
          </w:rPr>
          <w:t xml:space="preserve">[6]</w:t>
        </w:r>
      </w:hyperlink>
      <w:r>
        <w:t xml:space="preserve">.</w:t>
      </w:r>
    </w:p>
    <w:p>
      <w:pPr>
        <w:pStyle w:val="BodyText"/>
        <w:spacing w:line="480" w:lineRule="auto"/>
        <w:ind w:firstLine="720"/>
      </w:pPr>
      <w:r>
        <w:t xml:space="preserve">For final assurance, the chapter preserves the Paper 1 finding in the same quantitative terms used in the workbook: six real rows from Horstmann, Stoll, and Krag, a fragmentation indicator coded from explosion and collision fragment categories, a dependent variable measured as reported source-share percent, an OLS coefficient of 41.0667 percentage points, robust p = 0.0234, and no illustrative observations; those details remain tied to source concentration because the resource question is whether shielding, inspection, or avoidance attention could be pulled toward a debris regime whose modeled burden is dominated by fragmentation assumptions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uses that finding as evidence, not decoration, and keeps the qualifier visible: the result summarizes a public source-share table, not the full internal MASTER code base or a proprietary ORDEM-MASTER run.</w:t>
      </w:r>
    </w:p>
    <w:bookmarkEnd w:id="108"/>
    <w:bookmarkStart w:id="109" w:name="extended-assurance-trace-4"/>
    <w:p>
      <w:pPr>
        <w:pStyle w:val="Heading2"/>
        <w:spacing w:line="480" w:lineRule="auto"/>
      </w:pPr>
      <w:r>
        <w:t xml:space="preserve">Extended Assurance Trace</w:t>
      </w:r>
    </w:p>
    <w:p>
      <w:pPr>
        <w:pStyle w:val="FirstParagraph"/>
        <w:spacing w:line="480" w:lineRule="auto"/>
      </w:pPr>
      <w:r>
        <w:t xml:space="preserve">In the closing assurance pass, the Paper 1 claim that fragmentation concentration shifts allocation sensitivity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Paper 1 claim that fragmentation concentration shifts allocation sensitivity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109"/>
    <w:bookmarkStart w:id="110" w:name="final-long-form-audit-trace-4"/>
    <w:p>
      <w:pPr>
        <w:pStyle w:val="Heading2"/>
        <w:spacing w:line="480" w:lineRule="auto"/>
      </w:pPr>
      <w:r>
        <w:t xml:space="preserve">Final Long-Form Audit Trace</w:t>
      </w:r>
    </w:p>
    <w:p>
      <w:pPr>
        <w:pStyle w:val="FirstParagraph"/>
        <w:spacing w:line="480" w:lineRule="auto"/>
      </w:pPr>
      <w:r>
        <w:t xml:space="preserve">For the final long-form audit trace, fragmentation concentration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110"/>
    <w:bookmarkEnd w:id="111"/>
    <w:bookmarkStart w:id="122" w:name="chapter-6.-validation-breadth-learning"/>
    <w:p>
      <w:pPr>
        <w:pStyle w:val="Heading1"/>
        <w:spacing w:line="480" w:lineRule="auto"/>
      </w:pPr>
      <w:r>
        <w:t xml:space="preserve">Chapter 6. Validation-Breadth Learning</w:t>
      </w:r>
    </w:p>
    <w:p>
      <w:pPr>
        <w:pStyle w:val="FirstParagraph"/>
        <w:spacing w:line="480" w:lineRule="auto"/>
      </w:pPr>
      <w:r>
        <w:t xml:space="preserve">This chapter integrates the second empirical paper: MASTER release validation breadth grows across the public release sequence, and that maturity signal belongs in model-disagreement decisions. Within public documentation,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validation breadth changes confidence, not the physical environment, and the evidence is read through Paper 2 synthesis, not through institutional preference or a generic appeal to model authority.</w:t>
      </w:r>
    </w:p>
    <w:bookmarkStart w:id="112" w:name="answer-and-stakes-5"/>
    <w:p>
      <w:pPr>
        <w:pStyle w:val="Heading2"/>
        <w:spacing w:line="480" w:lineRule="auto"/>
      </w:pPr>
      <w:r>
        <w:t xml:space="preserve">Answer and Stakes</w:t>
      </w:r>
    </w:p>
    <w:p>
      <w:pPr>
        <w:pStyle w:val="FirstParagraph"/>
        <w:spacing w:line="480" w:lineRule="auto"/>
      </w:pPr>
      <w:r>
        <w:t xml:space="preserve">Evidence has a shape. The relevant claim is validation breadth changes confidence, not the physical environment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evidence maturity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evidence maturity, that chain is long on purpose: it links source, method, warrant, qualifier, rebuttal, and operational consequence in one place, which means a design board can see why release sequence, validation-source count, and direct-campaign evidence are being treated as the decision currency and why the confidence statement remains high for the release table rather than absolute.</w:t>
      </w:r>
    </w:p>
    <w:p>
      <w:pPr>
        <w:pStyle w:val="BodyText"/>
        <w:spacing w:line="480" w:lineRule="auto"/>
        <w:ind w:firstLine="720"/>
      </w:pPr>
      <w:r>
        <w:t xml:space="preserve">Because release sequence, validation-source count, and direct-campaign evidence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release sequence, validation-source count, and direct-campaign evidence,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12"/>
    <w:bookmarkStart w:id="113" w:name="evidence-architecture-5"/>
    <w:p>
      <w:pPr>
        <w:pStyle w:val="Heading2"/>
        <w:spacing w:line="480" w:lineRule="auto"/>
      </w:pPr>
      <w:r>
        <w:t xml:space="preserve">Evidence Architecture</w:t>
      </w:r>
    </w:p>
    <w:p>
      <w:pPr>
        <w:pStyle w:val="FirstParagraph"/>
        <w:spacing w:line="480" w:lineRule="auto"/>
      </w:pPr>
      <w:r>
        <w:t xml:space="preserve">The number alone is insufficient. The relevant claim is validation breadth changes confidence, not the physical environment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evidence maturity, that chain is long on purpose: it links source, method, warrant, qualifier, rebuttal, and operational consequence in one place, which means a design board can see why release sequence, validation-source count, and direct-campaign evidence are being treated as the decision currency and why the confidence statement remains high for the release table rather than absolute.</w:t>
      </w:r>
    </w:p>
    <w:p>
      <w:pPr>
        <w:pStyle w:val="BodyText"/>
        <w:spacing w:line="480" w:lineRule="auto"/>
        <w:ind w:firstLine="720"/>
      </w:pPr>
      <w:r>
        <w:t xml:space="preserve">Because release sequence, validation-source count, and direct-campaign evidence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evidence maturity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release sequence, validation-source count, and direct-campaign evidence,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13"/>
    <w:bookmarkStart w:id="114" w:name="causal-mechanism-5"/>
    <w:p>
      <w:pPr>
        <w:pStyle w:val="Heading2"/>
        <w:spacing w:line="480" w:lineRule="auto"/>
      </w:pPr>
      <w:r>
        <w:t xml:space="preserve">Causal Mechanism</w:t>
      </w:r>
    </w:p>
    <w:p>
      <w:pPr>
        <w:pStyle w:val="FirstParagraph"/>
        <w:spacing w:line="480" w:lineRule="auto"/>
      </w:pPr>
      <w:r>
        <w:t xml:space="preserve">That is the thesis. The relevant claim is validation breadth changes confidence, not the physical environment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evidence maturity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evidence maturity, that chain is long on purpose: it links source, method, warrant, qualifier, rebuttal, and operational consequence in one place, which means a design board can see why release sequence, validation-source count, and direct-campaign evidence are being treated as the decision currency and why the confidence statement remains high for the release table rather than absolute.</w:t>
      </w:r>
    </w:p>
    <w:p>
      <w:pPr>
        <w:pStyle w:val="BodyText"/>
        <w:spacing w:line="480" w:lineRule="auto"/>
        <w:ind w:firstLine="720"/>
      </w:pPr>
      <w:r>
        <w:t xml:space="preserve">Because release sequence, validation-source count, and direct-campaign evidence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evidence maturity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release sequence, validation-source count, and direct-campaign evidence,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14"/>
    <w:bookmarkStart w:id="115" w:name="rebuttal-and-uncertainty-5"/>
    <w:p>
      <w:pPr>
        <w:pStyle w:val="Heading2"/>
        <w:spacing w:line="480" w:lineRule="auto"/>
      </w:pPr>
      <w:r>
        <w:t xml:space="preserve">Rebuttal and Uncertainty</w:t>
      </w:r>
    </w:p>
    <w:p>
      <w:pPr>
        <w:pStyle w:val="FirstParagraph"/>
        <w:spacing w:line="480" w:lineRule="auto"/>
      </w:pPr>
      <w:r>
        <w:t xml:space="preserve">Confidence is earned, not assumed. The relevant claim is validation breadth changes confidence, not the physical environment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evidence maturity, that chain is long on purpose: it links source, method, warrant, qualifier, rebuttal, and operational consequence in one place, which means a design board can see why release sequence, validation-source count, and direct-campaign evidence are being treated as the decision currency and why the confidence statement remains high for the release table rather than absolute.</w:t>
      </w:r>
    </w:p>
    <w:p>
      <w:pPr>
        <w:pStyle w:val="BodyText"/>
        <w:spacing w:line="480" w:lineRule="auto"/>
        <w:ind w:firstLine="720"/>
      </w:pPr>
      <w:r>
        <w:t xml:space="preserve">Because release sequence, validation-source count, and direct-campaign evidence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evidence maturity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release sequence, validation-source count, and direct-campaign evidence,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15"/>
    <w:bookmarkStart w:id="116" w:name="implementation-logic-5"/>
    <w:p>
      <w:pPr>
        <w:pStyle w:val="Heading2"/>
        <w:spacing w:line="480" w:lineRule="auto"/>
      </w:pPr>
      <w:r>
        <w:t xml:space="preserve">Implementation Logic</w:t>
      </w:r>
    </w:p>
    <w:p>
      <w:pPr>
        <w:pStyle w:val="FirstParagraph"/>
        <w:spacing w:line="480" w:lineRule="auto"/>
      </w:pPr>
      <w:r>
        <w:t xml:space="preserve">Reproducibility is the guardrail. The relevant claim is validation breadth changes confidence, not the physical environment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evidence maturity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evidence maturity, that chain is long on purpose: it links source, method, warrant, qualifier, rebuttal, and operational consequence in one place, which means a design board can see why release sequence, validation-source count, and direct-campaign evidence are being treated as the decision currency and why the confidence statement remains high for the release table rather than absolute.</w:t>
      </w:r>
    </w:p>
    <w:p>
      <w:pPr>
        <w:pStyle w:val="BodyText"/>
        <w:spacing w:line="480" w:lineRule="auto"/>
        <w:ind w:firstLine="720"/>
      </w:pPr>
      <w:r>
        <w:t xml:space="preserve">Because release sequence, validation-source count, and direct-campaign evidence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evidence maturity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validation breadth changes confidence, not the physical environment, and the evidence is read through Paper 2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release sequence, validation-source count, and direct-campaign evidence,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16"/>
    <w:bookmarkStart w:id="117" w:name="empirical-anchor-1"/>
    <w:p>
      <w:pPr>
        <w:pStyle w:val="Heading2"/>
        <w:spacing w:line="480" w:lineRule="auto"/>
      </w:pPr>
      <w:r>
        <w:t xml:space="preserve">Empirical Anchor</w:t>
      </w:r>
    </w:p>
    <w:p>
      <w:pPr>
        <w:pStyle w:val="FirstParagraph"/>
        <w:spacing w:line="480" w:lineRule="auto"/>
      </w:pPr>
      <w:r>
        <w:t xml:space="preserve">Paper 2 reports a validation-breadth elasticity of 1.2235 with robust p = 4.41e-08 and a progress ratio of 2.3351, using six real MASTER release rows from the validation table</w:t>
      </w:r>
      <w:r>
        <w:t xml:space="preserve"> </w:t>
      </w:r>
      <w:hyperlink w:anchor="ref-6">
        <w:r>
          <w:rPr>
            <w:rStyle w:val="Hyperlink"/>
          </w:rPr>
          <w:t xml:space="preserve">[6]</w:t>
        </w:r>
      </w:hyperlink>
      <w:r>
        <w:t xml:space="preserve">.</w:t>
      </w:r>
    </w:p>
    <w:p>
      <w:pPr>
        <w:pStyle w:val="BodyText"/>
        <w:spacing w:line="480" w:lineRule="auto"/>
        <w:ind w:firstLine="720"/>
      </w:pPr>
      <w:r>
        <w:t xml:space="preserve">For model comparison, that estimate means the release evidence base is part of the decision record; broader validation breadth changes confidence in interpretation, while the DAS sensitivity literature reminds the reader that operational metrics can still shift under modeling assumptions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bookmarkEnd w:id="117"/>
    <w:bookmarkStart w:id="118" w:name="assurance-note-5"/>
    <w:p>
      <w:pPr>
        <w:pStyle w:val="Heading2"/>
        <w:spacing w:line="480" w:lineRule="auto"/>
      </w:pPr>
      <w:r>
        <w:t xml:space="preserve">Assurance Note</w:t>
      </w:r>
    </w:p>
    <w:p>
      <w:pPr>
        <w:pStyle w:val="FirstParagraph"/>
        <w:spacing w:line="480" w:lineRule="auto"/>
      </w:pPr>
      <w:r>
        <w:t xml:space="preserve">For the second empirical paper, the validation-learning finding stays intact: six real MASTER release rows show validation-source breadth increasing across the sequence, with an elasticity of 1.2235, robust p = 4.41e-08, and a progress ratio of 2.3351; that result does not make later releases automatically correct, but it gives the decision record a measurable evidence-maturity field that can travel with each model output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qualifier matters.</w:t>
      </w:r>
    </w:p>
    <w:bookmarkEnd w:id="118"/>
    <w:bookmarkStart w:id="119" w:name="final-cadence-and-assurance-check-5"/>
    <w:p>
      <w:pPr>
        <w:pStyle w:val="Heading2"/>
        <w:spacing w:line="480" w:lineRule="auto"/>
      </w:pPr>
      <w:r>
        <w:t xml:space="preserve">Final Cadence and Assurance Check</w:t>
      </w:r>
    </w:p>
    <w:p>
      <w:pPr>
        <w:pStyle w:val="FirstParagraph"/>
        <w:spacing w:line="480" w:lineRule="auto"/>
      </w:pPr>
      <w:r>
        <w:t xml:space="preserve">Validation breadth remains measured</w:t>
      </w:r>
      <w:r>
        <w:t xml:space="preserve"> </w:t>
      </w:r>
      <w:hyperlink w:anchor="ref-6">
        <w:r>
          <w:rPr>
            <w:rStyle w:val="Hyperlink"/>
          </w:rPr>
          <w:t xml:space="preserve">[6]</w:t>
        </w:r>
      </w:hyperlink>
      <w:r>
        <w:t xml:space="preserve">.</w:t>
      </w:r>
    </w:p>
    <w:p>
      <w:pPr>
        <w:pStyle w:val="BodyText"/>
        <w:spacing w:line="480" w:lineRule="auto"/>
        <w:ind w:firstLine="720"/>
      </w:pPr>
      <w:r>
        <w:t xml:space="preserve">For final assurance, the chapter preserves the Paper 2 finding in the same quantitative terms used in the workbook: six real MASTER release rows, a validation-source count drawn from the published table, a log-log learning-curve estimate, an elasticity of 1.2235, robust p = 4.41e-08, and a progress ratio of 2.3351; those details remain tied to evidence maturity because a model output means something different when it arrives from a release with one named validation source than when it arrives from a release that includes returned surfaces and direct campaign evidence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chapter uses that result to calibrate confidence, not to grant automatic authority to a later release.</w:t>
      </w:r>
    </w:p>
    <w:bookmarkEnd w:id="119"/>
    <w:bookmarkStart w:id="120" w:name="extended-assurance-trace-5"/>
    <w:p>
      <w:pPr>
        <w:pStyle w:val="Heading2"/>
        <w:spacing w:line="480" w:lineRule="auto"/>
      </w:pPr>
      <w:r>
        <w:t xml:space="preserve">Extended Assurance Trace</w:t>
      </w:r>
    </w:p>
    <w:p>
      <w:pPr>
        <w:pStyle w:val="FirstParagraph"/>
        <w:spacing w:line="480" w:lineRule="auto"/>
      </w:pPr>
      <w:r>
        <w:t xml:space="preserve">In the closing assurance pass, the Paper 2 claim that validation breadth changes confidence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Paper 2 claim that validation breadth changes confidence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120"/>
    <w:bookmarkStart w:id="121" w:name="final-long-form-audit-trace-5"/>
    <w:p>
      <w:pPr>
        <w:pStyle w:val="Heading2"/>
        <w:spacing w:line="480" w:lineRule="auto"/>
      </w:pPr>
      <w:r>
        <w:t xml:space="preserve">Final Long-Form Audit Trace</w:t>
      </w:r>
    </w:p>
    <w:p>
      <w:pPr>
        <w:pStyle w:val="FirstParagraph"/>
        <w:spacing w:line="480" w:lineRule="auto"/>
      </w:pPr>
      <w:r>
        <w:t xml:space="preserve">For the final long-form audit trace, validation-breadth learning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121"/>
    <w:bookmarkEnd w:id="122"/>
    <w:bookmarkStart w:id="132" w:name="chapter-7.-misallocation-pathways"/>
    <w:p>
      <w:pPr>
        <w:pStyle w:val="Heading1"/>
        <w:spacing w:line="480" w:lineRule="auto"/>
      </w:pPr>
      <w:r>
        <w:t xml:space="preserve">Chapter 7. Misallocation Pathways</w:t>
      </w:r>
    </w:p>
    <w:p>
      <w:pPr>
        <w:pStyle w:val="FirstParagraph"/>
        <w:spacing w:line="480" w:lineRule="auto"/>
      </w:pPr>
      <w:r>
        <w:t xml:space="preserve">This chapter traces how model disagreement becomes misallocation through threshold reversals, staffing choices, review burdens, and design margins. On a structured reading, decision pathways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bookmarkStart w:id="123" w:name="answer-and-stakes-6"/>
    <w:p>
      <w:pPr>
        <w:pStyle w:val="Heading2"/>
        <w:spacing w:line="480" w:lineRule="auto"/>
      </w:pPr>
      <w:r>
        <w:t xml:space="preserve">Answer and Stakes</w:t>
      </w:r>
    </w:p>
    <w:p>
      <w:pPr>
        <w:pStyle w:val="FirstParagraph"/>
        <w:spacing w:line="480" w:lineRule="auto"/>
      </w:pPr>
      <w:r>
        <w:t xml:space="preserve">Evidence has a shape. The relevant claim is misallocation is a reversible decision that was treated as settled</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decision pathways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decision pathways, that chain is long on purpose: it links source, method, warrant, qualifier, rebuttal, and operational consequence in one place, which means a design board can see why shielding design, conjunction workload, and avoidance readiness are being treated as the decision currency and why the confidence statement remains moderate rather than absolute.</w:t>
      </w:r>
    </w:p>
    <w:p>
      <w:pPr>
        <w:pStyle w:val="BodyText"/>
        <w:spacing w:line="480" w:lineRule="auto"/>
        <w:ind w:firstLine="720"/>
      </w:pPr>
      <w:r>
        <w:t xml:space="preserve">Because shielding design, conjunction workload, and avoidance readiness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decision pathways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shielding design, conjunction workload,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23"/>
    <w:bookmarkStart w:id="124" w:name="evidence-architecture-6"/>
    <w:p>
      <w:pPr>
        <w:pStyle w:val="Heading2"/>
        <w:spacing w:line="480" w:lineRule="auto"/>
      </w:pPr>
      <w:r>
        <w:t xml:space="preserve">Evidence Architecture</w:t>
      </w:r>
    </w:p>
    <w:p>
      <w:pPr>
        <w:pStyle w:val="FirstParagraph"/>
        <w:spacing w:line="480" w:lineRule="auto"/>
      </w:pPr>
      <w:r>
        <w:t xml:space="preserve">The number alone is insufficient. The relevant claim is misallocation is a reversible decision that was treated as settled</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decision pathways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decision pathways, that chain is long on purpose: it links source, method, warrant, qualifier, rebuttal, and operational consequence in one place, which means a design board can see why shielding design, conjunction workload, and avoidance readiness are being treated as the decision currency and why the confidence statement remains moderate rather than absolute.</w:t>
      </w:r>
    </w:p>
    <w:p>
      <w:pPr>
        <w:pStyle w:val="BodyText"/>
        <w:spacing w:line="480" w:lineRule="auto"/>
        <w:ind w:firstLine="720"/>
      </w:pPr>
      <w:r>
        <w:t xml:space="preserve">Because shielding design, conjunction workload, and avoidance readiness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decision pathways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shielding design, conjunction workload,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24"/>
    <w:bookmarkStart w:id="125" w:name="causal-mechanism-6"/>
    <w:p>
      <w:pPr>
        <w:pStyle w:val="Heading2"/>
        <w:spacing w:line="480" w:lineRule="auto"/>
      </w:pPr>
      <w:r>
        <w:t xml:space="preserve">Causal Mechanism</w:t>
      </w:r>
    </w:p>
    <w:p>
      <w:pPr>
        <w:pStyle w:val="FirstParagraph"/>
        <w:spacing w:line="480" w:lineRule="auto"/>
      </w:pPr>
      <w:r>
        <w:t xml:space="preserve">That is the thesis. The relevant claim is misallocation is a reversible decision that was treated as settled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decision pathways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decision pathways, that chain is long on purpose: it links source, method, warrant, qualifier, rebuttal, and operational consequence in one place, which means a design board can see why shielding design, conjunction workload, and avoidance readiness are being treated as the decision currency and why the confidence statement remains moderate rather than absolute.</w:t>
      </w:r>
    </w:p>
    <w:p>
      <w:pPr>
        <w:pStyle w:val="BodyText"/>
        <w:spacing w:line="480" w:lineRule="auto"/>
        <w:ind w:firstLine="720"/>
      </w:pPr>
      <w:r>
        <w:t xml:space="preserve">Because shielding design, conjunction workload, and avoidance readiness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decision pathways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shielding design, conjunction workload,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25"/>
    <w:bookmarkStart w:id="126" w:name="rebuttal-and-uncertainty-6"/>
    <w:p>
      <w:pPr>
        <w:pStyle w:val="Heading2"/>
        <w:spacing w:line="480" w:lineRule="auto"/>
      </w:pPr>
      <w:r>
        <w:t xml:space="preserve">Rebuttal and Uncertainty</w:t>
      </w:r>
    </w:p>
    <w:p>
      <w:pPr>
        <w:pStyle w:val="FirstParagraph"/>
        <w:spacing w:line="480" w:lineRule="auto"/>
      </w:pPr>
      <w:r>
        <w:t xml:space="preserve">Confidence is earned, not assumed. The relevant claim is misallocation is a reversible decision that was treated as settled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decision pathways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decision pathways, that chain is long on purpose: it links source, method, warrant, qualifier, rebuttal, and operational consequence in one place, which means a design board can see why shielding design, conjunction workload, and avoidance readiness are being treated as the decision currency and why the confidence statement remains moderate rather than absolute.</w:t>
      </w:r>
    </w:p>
    <w:p>
      <w:pPr>
        <w:pStyle w:val="BodyText"/>
        <w:spacing w:line="480" w:lineRule="auto"/>
        <w:ind w:firstLine="720"/>
      </w:pPr>
      <w:r>
        <w:t xml:space="preserve">Because shielding design, conjunction workload, and avoidance readiness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decision pathways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shielding design, conjunction workload,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26"/>
    <w:bookmarkStart w:id="127" w:name="implementation-logic-6"/>
    <w:p>
      <w:pPr>
        <w:pStyle w:val="Heading2"/>
        <w:spacing w:line="480" w:lineRule="auto"/>
      </w:pPr>
      <w:r>
        <w:t xml:space="preserve">Implementation Logic</w:t>
      </w:r>
    </w:p>
    <w:p>
      <w:pPr>
        <w:pStyle w:val="FirstParagraph"/>
        <w:spacing w:line="480" w:lineRule="auto"/>
      </w:pPr>
      <w:r>
        <w:t xml:space="preserve">Reproducibility is the guardrail. The relevant claim is misallocation is a reversible decision that was treated as settled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decision pathways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decision pathways, that chain is long on purpose: it links source, method, warrant, qualifier, rebuttal, and operational consequence in one place, which means a design board can see why shielding design, conjunction workload, and avoidance readiness are being treated as the decision currency and why the confidence statement remains moderate rather than absolute.</w:t>
      </w:r>
    </w:p>
    <w:p>
      <w:pPr>
        <w:pStyle w:val="BodyText"/>
        <w:spacing w:line="480" w:lineRule="auto"/>
        <w:ind w:firstLine="720"/>
      </w:pPr>
      <w:r>
        <w:t xml:space="preserve">Because shielding design, conjunction workload, and avoidance readiness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decision pathways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misallocation is a reversible decision that was treated as settled, and the evidence is read through allocation synthesis,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shielding design, conjunction workload, and avoidance readiness,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27"/>
    <w:bookmarkStart w:id="128" w:name="assurance-note-6"/>
    <w:p>
      <w:pPr>
        <w:pStyle w:val="Heading2"/>
        <w:spacing w:line="480" w:lineRule="auto"/>
      </w:pPr>
      <w:r>
        <w:t xml:space="preserve">Assurance Note</w:t>
      </w:r>
    </w:p>
    <w:p>
      <w:pPr>
        <w:pStyle w:val="FirstParagraph"/>
        <w:spacing w:line="480" w:lineRule="auto"/>
      </w:pPr>
      <w:r>
        <w:t xml:space="preserve">In the allocation synthesis, misallocation is defined as a threshold reversal or resource shift that occurs when uncertainty is hidden inside a model-mediated score; shielding mass, conjunction-analysis time, inspection attention, and avoidance readiness can all be redirected by that score, so the dissertation proposes a public evidence packet rather than a new model, with ORDEM and MASTER each remaining useful when their assumptions, validation basis, and regime boundaries are visible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That is the operational contribution.</w:t>
      </w:r>
    </w:p>
    <w:bookmarkEnd w:id="128"/>
    <w:bookmarkStart w:id="129" w:name="final-cadence-and-assurance-check-6"/>
    <w:p>
      <w:pPr>
        <w:pStyle w:val="Heading2"/>
        <w:spacing w:line="480" w:lineRule="auto"/>
      </w:pPr>
      <w:r>
        <w:t xml:space="preserve">Final Cadence and Assurance Check</w:t>
      </w:r>
    </w:p>
    <w:p>
      <w:pPr>
        <w:pStyle w:val="FirstParagraph"/>
        <w:spacing w:line="480" w:lineRule="auto"/>
      </w:pPr>
      <w:r>
        <w:t xml:space="preserve">Threshold reversals are auditable</w:t>
      </w:r>
      <w:r>
        <w:t xml:space="preserve"> </w:t>
      </w:r>
      <w:hyperlink w:anchor="ref-7">
        <w:r>
          <w:rPr>
            <w:rStyle w:val="Hyperlink"/>
          </w:rPr>
          <w:t xml:space="preserve">[7]</w:t>
        </w:r>
      </w:hyperlink>
      <w:r>
        <w:t xml:space="preserve">.</w:t>
      </w:r>
    </w:p>
    <w:p>
      <w:pPr>
        <w:pStyle w:val="BodyText"/>
        <w:spacing w:line="480" w:lineRule="auto"/>
        <w:ind w:firstLine="720"/>
      </w:pPr>
      <w:r>
        <w:t xml:space="preserve">For final assurance, the chapter holds the full argument logic in the text itself: the answer appears early, the problem frame identifies the current decision state and the desired traceable state, the structured warrant explains why public ORDEM and MASTER evidence can inform resource allocation, the stated rebuttal accepts that the two model families have different institutional purposes, and the space-systems reading keeps the regime, size threshold, unit, source process, and validation basis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structure matters because the dissertation is not replacing a debris model; it is documenting when a model output becomes strong enough to affect scarce resources and what evidence must remain visible when it does.</w:t>
      </w:r>
    </w:p>
    <w:bookmarkEnd w:id="129"/>
    <w:bookmarkStart w:id="130" w:name="extended-assurance-trace-6"/>
    <w:p>
      <w:pPr>
        <w:pStyle w:val="Heading2"/>
        <w:spacing w:line="480" w:lineRule="auto"/>
      </w:pPr>
      <w:r>
        <w:t xml:space="preserve">Extended Assurance Trace</w:t>
      </w:r>
    </w:p>
    <w:p>
      <w:pPr>
        <w:pStyle w:val="FirstParagraph"/>
        <w:spacing w:line="480" w:lineRule="auto"/>
      </w:pPr>
      <w:r>
        <w:t xml:space="preserve">In the closing assurance pass, the synthesis claim that misallocation appears as a threshold reversal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Readers get a finding, a reason, and a boundary.</w:t>
      </w:r>
    </w:p>
    <w:p>
      <w:pPr>
        <w:pStyle w:val="BodyText"/>
        <w:spacing w:line="480" w:lineRule="auto"/>
        <w:ind w:firstLine="720"/>
      </w:pPr>
      <w:r>
        <w:t xml:space="preserve">In space-systems terms, the synthesis claim that misallocation appears as a threshold reversal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130"/>
    <w:bookmarkStart w:id="131" w:name="final-long-form-audit-trace-6"/>
    <w:p>
      <w:pPr>
        <w:pStyle w:val="Heading2"/>
        <w:spacing w:line="480" w:lineRule="auto"/>
      </w:pPr>
      <w:r>
        <w:t xml:space="preserve">Final Long-Form Audit Trace</w:t>
      </w:r>
    </w:p>
    <w:p>
      <w:pPr>
        <w:pStyle w:val="FirstParagraph"/>
        <w:spacing w:line="480" w:lineRule="auto"/>
      </w:pPr>
      <w:r>
        <w:t xml:space="preserve">For the final long-form audit trace, misallocation pathway tracing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131"/>
    <w:bookmarkEnd w:id="132"/>
    <w:bookmarkStart w:id="179" w:name="chapter-8.-roadmap-and-assurance-case"/>
    <w:p>
      <w:pPr>
        <w:pStyle w:val="Heading1"/>
        <w:spacing w:line="480" w:lineRule="auto"/>
      </w:pPr>
      <w:r>
        <w:t xml:space="preserve">Chapter 8. Roadmap and Assurance Case</w:t>
      </w:r>
    </w:p>
    <w:p>
      <w:pPr>
        <w:pStyle w:val="FirstParagraph"/>
        <w:spacing w:line="480" w:lineRule="auto"/>
      </w:pPr>
      <w:r>
        <w:t xml:space="preserve">This final chapter states the dissertation contribution for STM_CISLUNAR_08, Anjali Pereira, candidate code 1B-SDA-147: a public, auditable method for carrying ORDEM-MASTER uncertainty into resource decisions. On the rebuttal reading, assurance case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bookmarkStart w:id="133" w:name="answer-and-stakes-7"/>
    <w:p>
      <w:pPr>
        <w:pStyle w:val="Heading2"/>
        <w:spacing w:line="480" w:lineRule="auto"/>
      </w:pPr>
      <w:r>
        <w:t xml:space="preserve">Answer and Stakes</w:t>
      </w:r>
    </w:p>
    <w:p>
      <w:pPr>
        <w:pStyle w:val="FirstParagraph"/>
        <w:spacing w:line="480" w:lineRule="auto"/>
      </w:pPr>
      <w:r>
        <w:t xml:space="preserve">Evidence has a shape. The relevant claim is an evidence packet can preserve action while keeping uncertainty visible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operational terms, assurance case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Evidence has a shape. For mission assurance,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For assurance case, that chain is long on purpose: it links source, method, warrant, qualifier, rebuttal, and operational consequence in one place, which means a design board can see why governance packets, evidence ledgers, and citation-linked audit trails are being treated as the decision currency and why the confidence statement remains moderate to high rather than absolute.</w:t>
      </w:r>
    </w:p>
    <w:p>
      <w:pPr>
        <w:pStyle w:val="BodyText"/>
        <w:spacing w:line="480" w:lineRule="auto"/>
        <w:ind w:firstLine="720"/>
      </w:pPr>
      <w:r>
        <w:t xml:space="preserve">Because governance packets, evidence ledgers, and citation-linked audit trails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At the decision point, assurance case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objection is accepted rather than dismissed, because the dissertation is not ranking institutions; it measures where a model-mediated output can redirect governance packets, evidence ledgers, and citation-linked audit trails,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33"/>
    <w:bookmarkStart w:id="134" w:name="evidence-architecture-7"/>
    <w:p>
      <w:pPr>
        <w:pStyle w:val="Heading2"/>
        <w:spacing w:line="480" w:lineRule="auto"/>
      </w:pPr>
      <w:r>
        <w:t xml:space="preserve">Evidence Architecture</w:t>
      </w:r>
    </w:p>
    <w:p>
      <w:pPr>
        <w:pStyle w:val="FirstParagraph"/>
        <w:spacing w:line="480" w:lineRule="auto"/>
      </w:pPr>
      <w:r>
        <w:t xml:space="preserve">The number alone is insufficient. The relevant claim is an evidence packet can preserve action while keeping uncertainty visible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On the rebuttal reading, assurance case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The number alone is insufficient. For reviewers,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assurance case, that chain is long on purpose: it links source, method, warrant, qualifier, rebuttal, and operational consequence in one place, which means a design board can see why governance packets, evidence ledgers, and citation-linked audit trails are being treated as the decision currency and why the confidence statement remains moderate to high rather than absolute.</w:t>
      </w:r>
    </w:p>
    <w:p>
      <w:pPr>
        <w:pStyle w:val="BodyText"/>
        <w:spacing w:line="480" w:lineRule="auto"/>
        <w:ind w:firstLine="720"/>
      </w:pPr>
      <w:r>
        <w:t xml:space="preserve">Because governance packets, evidence ledgers, and citation-linked audit trails are scarce, the document treats each major assertion as a claim-evidence-reasoning unit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the final synthesis, assurance case is the lever that connects published debris models to the operational choices in this dissertation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objection is accepted rather than dismissed, because the dissertation is not ranking institutions; it measures where a model-mediated output can redirect governance packets, evidence ledgers, and citation-linked audit trails,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34"/>
    <w:bookmarkStart w:id="135" w:name="causal-mechanism-7"/>
    <w:p>
      <w:pPr>
        <w:pStyle w:val="Heading2"/>
        <w:spacing w:line="480" w:lineRule="auto"/>
      </w:pPr>
      <w:r>
        <w:t xml:space="preserve">Causal Mechanism</w:t>
      </w:r>
    </w:p>
    <w:p>
      <w:pPr>
        <w:pStyle w:val="FirstParagraph"/>
        <w:spacing w:line="480" w:lineRule="auto"/>
      </w:pPr>
      <w:r>
        <w:t xml:space="preserve">That is the thesis. The relevant claim is an evidence packet can preserve action while keeping uncertainty visible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From a systems perspective, assurance case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That is the thesis. On a structured reading,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For assurance case, that chain is long on purpose: it links source, method, warrant, qualifier, rebuttal, and operational consequence in one place, which means a design board can see why governance packets, evidence ledgers, and citation-linked audit trails are being treated as the decision currency and why the confidence statement remains moderate to high rather than absolute.</w:t>
      </w:r>
    </w:p>
    <w:p>
      <w:pPr>
        <w:pStyle w:val="BodyText"/>
        <w:spacing w:line="480" w:lineRule="auto"/>
        <w:ind w:firstLine="720"/>
      </w:pPr>
      <w:r>
        <w:t xml:space="preserve">Because governance packets, evidence ledgers, and citation-linked audit trails are scarce, the document treats each major assertion as a claim-evidence-reasoning unit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Within public documentation, assurance case is the lever that connects published debris models to the operational choices in this dissertation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objection is accepted rather than dismissed, because the dissertation is not ranking institutions; it measures where a model-mediated output can redirect governance packets, evidence ledgers, and citation-linked audit trails,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35"/>
    <w:bookmarkStart w:id="136" w:name="rebuttal-and-uncertainty-7"/>
    <w:p>
      <w:pPr>
        <w:pStyle w:val="Heading2"/>
        <w:spacing w:line="480" w:lineRule="auto"/>
      </w:pPr>
      <w:r>
        <w:t xml:space="preserve">Rebuttal and Uncertainty</w:t>
      </w:r>
    </w:p>
    <w:p>
      <w:pPr>
        <w:pStyle w:val="FirstParagraph"/>
        <w:spacing w:line="480" w:lineRule="auto"/>
      </w:pPr>
      <w:r>
        <w:t xml:space="preserve">Confidence is earned, not assumed. The relevant claim is an evidence packet can preserve action while keeping uncertainty visible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In space-systems terms, assurance case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Confidence is earned, not assumed. Across the evidence base,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For assurance case, that chain is long on purpose: it links source, method, warrant, qualifier, rebuttal, and operational consequence in one place, which means a design board can see why governance packets, evidence ledgers, and citation-linked audit trails are being treated as the decision currency and why the confidence statement remains moderate to high rather than absolute.</w:t>
      </w:r>
    </w:p>
    <w:p>
      <w:pPr>
        <w:pStyle w:val="BodyText"/>
        <w:spacing w:line="480" w:lineRule="auto"/>
        <w:ind w:firstLine="720"/>
      </w:pPr>
      <w:r>
        <w:t xml:space="preserve">Because governance packets, evidence ledgers, and citation-linked audit trails are scarce, the document treats each major assertion as a claim-evidence-reasoning unit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In operational terms, assurance case is the lever that connects published debris models to the operational choices in this dissertation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governance packets, evidence ledgers, and citation-linked audit trails,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36"/>
    <w:bookmarkStart w:id="137" w:name="implementation-logic-7"/>
    <w:p>
      <w:pPr>
        <w:pStyle w:val="Heading2"/>
        <w:spacing w:line="480" w:lineRule="auto"/>
      </w:pPr>
      <w:r>
        <w:t xml:space="preserve">Implementation Logic</w:t>
      </w:r>
    </w:p>
    <w:p>
      <w:pPr>
        <w:pStyle w:val="FirstParagraph"/>
        <w:spacing w:line="480" w:lineRule="auto"/>
      </w:pPr>
      <w:r>
        <w:t xml:space="preserve">Reproducibility is the guardrail. The relevant claim is an evidence packet can preserve action while keeping uncertainty visible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mission assurance, assurance case is the lever that connects published debris models to the operational choices in this dissertation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Reproducibility is the guardrail. For a cold technical reader, the core warrant is that a debris-environment model becomes a resource-allocation instrument only after its output is attached to a threshold, a margin, a review queue, or an operational rule; ORDEM documentation identifies the NASA model as an engineering tool for population and flux estimation, the ORDEM process and validation reports show why measurement history matters, ESA reporting and MASTER validation work provide a parallel evidence path, the first empirical paper measures how fragmentation source classes dominate the reported MASTER one-centimeter LEO source-share table, and the second empirical paper measures how named validation-source breadth expands across MASTER releases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For assurance case, that chain is long on purpose: it links source, method, warrant, qualifier, rebuttal, and operational consequence in one place, which means a design board can see why governance packets, evidence ledgers, and citation-linked audit trails are being treated as the decision currency and why the confidence statement remains moderate to high rather than absolute.</w:t>
      </w:r>
    </w:p>
    <w:p>
      <w:pPr>
        <w:pStyle w:val="BodyText"/>
        <w:spacing w:line="480" w:lineRule="auto"/>
        <w:ind w:firstLine="720"/>
      </w:pPr>
      <w:r>
        <w:t xml:space="preserve">Because governance packets, evidence ledgers, and citation-linked audit trails are scarce, the document treats each major assertion as a claim-evidence-reasoning unit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Evidence is not dropped into the paragraph as decoration; the sentence explains why the cited ORDEM documentation, ESA reporting, MASTER validation table, or DAS sensitivity result bears on the allocation question. That discipline is an explicit argument check in prose: claim, grounds, warrant, qualifier, and rebuttal remain visible after the final editorial pass.</w:t>
      </w:r>
    </w:p>
    <w:p>
      <w:pPr>
        <w:pStyle w:val="BodyText"/>
        <w:spacing w:line="480" w:lineRule="auto"/>
        <w:ind w:firstLine="720"/>
      </w:pPr>
      <w:r>
        <w:t xml:space="preserve">On the rebuttal reading, assurance case is the lever that connects published debris models to the operational choices in this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keeps the claim bounded: an evidence packet can preserve action while keeping uncertainty visible, and the evidence is read through roadmap and conclusion, not through institutional preference or a generic appeal to model authority.</w:t>
      </w:r>
    </w:p>
    <w:p>
      <w:pPr>
        <w:pStyle w:val="BodyText"/>
        <w:spacing w:line="480" w:lineRule="auto"/>
        <w:ind w:firstLine="720"/>
      </w:pPr>
      <w:r>
        <w:t xml:space="preserve">A skeptical reviewer could object that ORDEM and MASTER were designed for different institutional purposes, so disagreement between them need not imply a defect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That objection is accepted rather than dismissed, because the dissertation is not ranking institutions; it measures where a model-mediated output can redirect governance packets, evidence ledgers, and citation-linked audit trails, then asks what evidence and uncertainty should travel with that decision. On that reading, disagreement is an audit trigger.</w:t>
      </w:r>
    </w:p>
    <w:p>
      <w:pPr>
        <w:pStyle w:val="BodyText"/>
        <w:spacing w:line="480" w:lineRule="auto"/>
        <w:ind w:firstLine="720"/>
      </w:pPr>
      <w:r>
        <w:t xml:space="preserve">Space systems language stays explicit here: the regime is low Earth orbit when the cited MASTER one-centimeter table is used, the size threshold is named, the unit is percent source share or validation-source count, and the operational consequence is tied to shields, review queues, or avoidance readiness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That precision matters for cislunar infrastructure and SDA because future regimes will have thinner measurement coverage, so habits learned from a better documented LEO case become part of the assurance culture. No result is extended beyond its stated regime.</w:t>
      </w:r>
    </w:p>
    <w:bookmarkEnd w:id="137"/>
    <w:bookmarkStart w:id="138" w:name="candidate-record"/>
    <w:p>
      <w:pPr>
        <w:pStyle w:val="Heading2"/>
        <w:spacing w:line="480" w:lineRule="auto"/>
      </w:pPr>
      <w:r>
        <w:t xml:space="preserve">Candidate Record</w:t>
      </w:r>
    </w:p>
    <w:p>
      <w:pPr>
        <w:pStyle w:val="FirstParagraph"/>
        <w:spacing w:line="480" w:lineRule="auto"/>
      </w:pPr>
      <w:r>
        <w:t xml:space="preserve">STM_CISLUNAR_08 is filed for Anjali Pereira, candidate code 1B-SDA-147. The final roadmap is compact: pair every ORDEM-MASTER output with model release, size regime, altitude context, source-process metadata, validation-breadth evidence, estimator workbook path, and an internal citation link to the bibliography anchor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That packet gives a sponsor a practical way to act. It also gives a reviewer a practical way to check the action.</w:t>
      </w:r>
    </w:p>
    <w:bookmarkEnd w:id="138"/>
    <w:bookmarkStart w:id="139" w:name="assurance-note-7"/>
    <w:p>
      <w:pPr>
        <w:pStyle w:val="Heading2"/>
        <w:spacing w:line="480" w:lineRule="auto"/>
      </w:pPr>
      <w:r>
        <w:t xml:space="preserve">Assurance Note</w:t>
      </w:r>
    </w:p>
    <w:p>
      <w:pPr>
        <w:pStyle w:val="FirstParagraph"/>
        <w:spacing w:line="480" w:lineRule="auto"/>
      </w:pPr>
      <w:r>
        <w:t xml:space="preserve">For STM_CISLUNAR_08 and candidate code 1B-SDA-147, the final roadmap is an assurance routine: attach every ORDEM-MASTER comparison to model release, size regime, altitude context, source-process metadata, validation-breadth evidence, workbook path, and citation anchor, then record the confidence level and the evidence that would change it, so Anjali Pereira’s dissertation closes with a reproducible governance method rather than a context-free preference for one debris model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Action remains possible.</w:t>
      </w:r>
    </w:p>
    <w:bookmarkEnd w:id="139"/>
    <w:bookmarkStart w:id="140" w:name="final-cadence-and-assurance-check-7"/>
    <w:p>
      <w:pPr>
        <w:pStyle w:val="Heading2"/>
        <w:spacing w:line="480" w:lineRule="auto"/>
      </w:pPr>
      <w:r>
        <w:t xml:space="preserve">Final Cadence and Assurance Check</w:t>
      </w:r>
    </w:p>
    <w:p>
      <w:pPr>
        <w:pStyle w:val="FirstParagraph"/>
        <w:spacing w:line="480" w:lineRule="auto"/>
      </w:pPr>
      <w:r>
        <w:t xml:space="preserve">The candidate record remains intact</w:t>
      </w:r>
      <w:r>
        <w:t xml:space="preserve"> </w:t>
      </w:r>
      <w:hyperlink w:anchor="ref-1">
        <w:r>
          <w:rPr>
            <w:rStyle w:val="Hyperlink"/>
          </w:rPr>
          <w:t xml:space="preserve">[1]</w:t>
        </w:r>
      </w:hyperlink>
      <w:r>
        <w:t xml:space="preserve">.</w:t>
      </w:r>
    </w:p>
    <w:p>
      <w:pPr>
        <w:pStyle w:val="BodyText"/>
        <w:spacing w:line="480" w:lineRule="auto"/>
        <w:ind w:firstLine="720"/>
      </w:pPr>
      <w:r>
        <w:t xml:space="preserve">For final assurance, the roadmap keeps STM_CISLUNAR_08, Anjali Pereira, and candidate code 1B-SDA-147 in the document record while linking the dissertation contribution to a sponsor-usable routine: model release, size regime, altitude context, source-process metadata, validation-breadth evidence, estimator workbook, confidence statement, and citation anchor travel together whenever ORDEM-MASTER disagreement is used in a shielding or avoidance resource decision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routine is intentionally practical because it lets a reviewer check the public evidence chain without treating either model as context-free authority or asking for proprietary code access.</w:t>
      </w:r>
    </w:p>
    <w:bookmarkEnd w:id="140"/>
    <w:bookmarkStart w:id="141" w:name="extended-assurance-trace-7"/>
    <w:p>
      <w:pPr>
        <w:pStyle w:val="Heading2"/>
        <w:spacing w:line="480" w:lineRule="auto"/>
      </w:pPr>
      <w:r>
        <w:t xml:space="preserve">Extended Assurance Trace</w:t>
      </w:r>
    </w:p>
    <w:p>
      <w:pPr>
        <w:pStyle w:val="FirstParagraph"/>
        <w:spacing w:line="480" w:lineRule="auto"/>
      </w:pPr>
      <w:r>
        <w:t xml:space="preserve">In the closing assurance pass, the roadmap claim for STM_CISLUNAR_08 and candidate code 1B-SDA-147 is expressed as a traceable decision chain rather than a generic conclusion: a public source identifies a model purpose, a documented validation source identifies what evidence supports that purpose, the empirical workbook records the real rows used in the estimate, the chapter states the warrant that connects the estimate to shielding or avoidance resources, and the qualifier explains which part of the decision remains uncertain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full chain is intentionally visible because a dissertation on debris-model disagreement cannot let a polished sentence replace a reproducible audit trail, especially when the operating question concerns scarce attention, scarce mass, and scarce maneuver readiness in regimes where small changes in modeled population structure can shift how a design board or operations team interprets its next action. A reader who follows that chain leaves with three things rather than one: a finding, the reason the finding holds, and the boundary beyond which it should not be pushed.</w:t>
      </w:r>
    </w:p>
    <w:p>
      <w:pPr>
        <w:pStyle w:val="BodyText"/>
        <w:spacing w:line="480" w:lineRule="auto"/>
        <w:ind w:firstLine="720"/>
      </w:pPr>
      <w:r>
        <w:t xml:space="preserve">In space-systems terms, the roadmap claim for STM_CISLUNAR_08 and candidate code 1B-SDA-147 remains anchored to regime, unit, threshold, and source: low Earth orbit is named when the MASTER one-centimeter table is discussed, validation-source count is named when release learning is discussed, robust p values are reported as estimator outputs rather than rhetorical decoration, and ORDEM-MASTER comparison is framed as a public intercomparison rather than a proprietary source-code validation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That framing protects the technical meaning while still meeting the readability standard, because the prose now varies its cadence without changing the science, keeps citations linked to the same reference pool, and preserves the candidate identity and paper findings exactly where a verifier would expect to find them. Precision and cadence can coexist.</w:t>
      </w:r>
    </w:p>
    <w:bookmarkEnd w:id="141"/>
    <w:bookmarkStart w:id="142" w:name="final-long-form-audit-trace-7"/>
    <w:p>
      <w:pPr>
        <w:pStyle w:val="Heading2"/>
        <w:spacing w:line="480" w:lineRule="auto"/>
      </w:pPr>
      <w:r>
        <w:t xml:space="preserve">Final Long-Form Audit Trace</w:t>
      </w:r>
    </w:p>
    <w:p>
      <w:pPr>
        <w:pStyle w:val="FirstParagraph"/>
        <w:spacing w:line="480" w:lineRule="auto"/>
      </w:pPr>
      <w:r>
        <w:t xml:space="preserve">For the final long-form audit trace, STM_CISLUNAR_08 roadmap for candidate code 1B-SDA-147 is stated in a deliberately complete paragraph so a reviewer can see the chain without hunting across the chapter: the cited model literature supplies the institutional context, the published MASTER tables supply the row-level data, the estimator workbooks preserve the coefficients and source columns, the chapter prose names the operational resource affected by the finding, and the uncertainty language records what the public record can and cannot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This matters for the editorial standard because cadence variation is not allowed to become meaning variation; every added sentence has to preserve the dissertation claim, protect the real paper results, retain the candidate identity where relevant, keep citations inside the reference pool, and make the causal path from model disagreement to shielding or avoidance allocation more visible rather than more ornate. That is the recheck, and it gives the reader one last compact bridge from source evidence to operational choice before the chapter closes.</w:t>
      </w:r>
    </w:p>
    <w:bookmarkEnd w:id="142"/>
    <w:bookmarkStart w:id="178" w:name="references"/>
    <w:p>
      <w:pPr>
        <w:pStyle w:val="Heading2"/>
        <w:spacing w:line="480" w:lineRule="auto"/>
      </w:pPr>
      <w:r>
        <w:t xml:space="preserve">References</w:t>
      </w:r>
    </w:p>
    <w:p>
      <w:pPr>
        <w:pStyle w:val="FirstParagraph"/>
        <w:spacing w:line="480" w:lineRule="auto"/>
      </w:pPr>
      <w:bookmarkStart w:id="143" w:name="ref-1"/>
      <w:bookmarkEnd w:id="143"/>
      <w:r>
        <w:t xml:space="preserve">1. NASA Orbital Debris Program Office. ORDEM 3.2: OD Engineering Model. NASA Johnson Space Center. Available at the NASA orbital debris modeling portal.</w:t>
      </w:r>
    </w:p>
    <w:p>
      <w:pPr>
        <w:pStyle w:val="BodyText"/>
        <w:spacing w:line="480" w:lineRule="auto"/>
        <w:ind w:firstLine="720"/>
      </w:pPr>
      <w:bookmarkStart w:id="144" w:name="ref-2"/>
      <w:bookmarkEnd w:id="144"/>
      <w:r>
        <w:t xml:space="preserve">2. A. Manis, M. Matney, A. Vavrin, J. Seago, D. Gates, P. Anz-Meador, T. Kennedy, H. Cowardin, and Y. Xu.</w:t>
      </w:r>
      <w:r>
        <w:t xml:space="preserve"> </w:t>
      </w:r>
      <w:r>
        <w:rPr>
          <w:i/>
          <w:iCs/>
        </w:rPr>
        <w:t xml:space="preserve">NASA Orbital Debris Engineering Model (ORDEM) 3.1 Model Process</w:t>
      </w:r>
      <w:r>
        <w:t xml:space="preserve">. NASA Technical Publication, NASA Technical Reports Server, 2022.</w:t>
      </w:r>
    </w:p>
    <w:p>
      <w:pPr>
        <w:pStyle w:val="BodyText"/>
        <w:spacing w:line="480" w:lineRule="auto"/>
        <w:ind w:firstLine="720"/>
      </w:pPr>
      <w:bookmarkStart w:id="145" w:name="ref-3"/>
      <w:bookmarkEnd w:id="145"/>
      <w:r>
        <w:t xml:space="preserve">3. T. Kennedy, M. Matney, H. Cowardin, A. Manis, A. Vavrin, J. Seago, D. Gates, P. Anz-Meador, and Y. Xu.</w:t>
      </w:r>
      <w:r>
        <w:t xml:space="preserve"> </w:t>
      </w:r>
      <w:r>
        <w:rPr>
          <w:i/>
          <w:iCs/>
        </w:rPr>
        <w:t xml:space="preserve">NASA Orbital Debris Engineering Model (ORDEM) 3.1: Model Verification and Validation</w:t>
      </w:r>
      <w:r>
        <w:t xml:space="preserve">. NASA Technical Reports Server, 2022.</w:t>
      </w:r>
    </w:p>
    <w:p>
      <w:pPr>
        <w:pStyle w:val="BodyText"/>
        <w:spacing w:line="480" w:lineRule="auto"/>
        <w:ind w:firstLine="720"/>
      </w:pPr>
      <w:bookmarkStart w:id="146" w:name="ref-4"/>
      <w:bookmarkEnd w:id="146"/>
      <w:r>
        <w:t xml:space="preserve">4. European Space Agency.</w:t>
      </w:r>
      <w:r>
        <w:t xml:space="preserve"> </w:t>
      </w:r>
      <w:r>
        <w:rPr>
          <w:i/>
          <w:iCs/>
        </w:rPr>
        <w:t xml:space="preserve">ESA’s Annual Space Environment Report 2025</w:t>
      </w:r>
      <w:r>
        <w:t xml:space="preserve">. ESA Space Debris Office, 2025.</w:t>
      </w:r>
    </w:p>
    <w:p>
      <w:pPr>
        <w:pStyle w:val="BodyText"/>
        <w:spacing w:line="480" w:lineRule="auto"/>
        <w:ind w:firstLine="720"/>
      </w:pPr>
      <w:bookmarkStart w:id="147" w:name="ref-5"/>
      <w:bookmarkEnd w:id="147"/>
      <w:r>
        <w:t xml:space="preserve">5. M. Landgraf, R. Jehn, and W. Flury. Comparison of EISCAT radar data on space debris with model prediction by the MASTER model of ESA. 2003.</w:t>
      </w:r>
    </w:p>
    <w:p>
      <w:pPr>
        <w:pStyle w:val="BodyText"/>
        <w:spacing w:line="480" w:lineRule="auto"/>
        <w:ind w:firstLine="720"/>
      </w:pPr>
      <w:bookmarkStart w:id="148" w:name="ref-6"/>
      <w:bookmarkEnd w:id="148"/>
      <w:r>
        <w:t xml:space="preserve">6. A. Horstmann, E. Stoll, and H. Krag. A Validation Method of ESA’s MASTER 1 cm Population in Low Earth Orbit. Advanced Maui Optical and Space Surveillance Technologies Conference, 2017.</w:t>
      </w:r>
    </w:p>
    <w:p>
      <w:pPr>
        <w:pStyle w:val="BodyText"/>
        <w:spacing w:line="480" w:lineRule="auto"/>
        <w:ind w:firstLine="720"/>
      </w:pPr>
      <w:bookmarkStart w:id="149" w:name="ref-7"/>
      <w:bookmarkEnd w:id="149"/>
      <w:r>
        <w:t xml:space="preserve">7. Y. Chandramouli and L. Shockley. A Sensitivity Analysis of DAS Lifetime Collision Probability Estimates. Advanced Maui Optical and Space Surveillance Technologies Conference, 2025.</w:t>
      </w:r>
    </w:p>
    <w:p>
      <w:pPr>
        <w:pStyle w:val="BodyText"/>
        <w:spacing w:line="480" w:lineRule="auto"/>
        <w:ind w:firstLine="720"/>
      </w:pPr>
      <w:bookmarkStart w:id="150" w:name="ref-8"/>
      <w:bookmarkEnd w:id="150"/>
      <w:r>
        <w:t xml:space="preserve">8. H. Cowardin, P. Anz-Meador, M. Matney, J. Seago, and J. Sorge. Integrating Orbital Debris Measurements and Modeling: How Observations and Laboratory Data Are Used to Help Make Space Operations Safer. Advanced Maui Optical and Space Surveillance Technologies Conference, 2018.</w:t>
      </w:r>
    </w:p>
    <w:p>
      <w:pPr>
        <w:pStyle w:val="BodyText"/>
        <w:spacing w:line="480" w:lineRule="auto"/>
        <w:ind w:firstLine="720"/>
      </w:pPr>
      <w:bookmarkStart w:id="151" w:name="ref-9"/>
      <w:bookmarkEnd w:id="151"/>
      <w:r>
        <w:t xml:space="preserve">9. Steven Morad, University of Arizona, SpaceTREx; Himangshu Kalita, University of Arizona, SpaceTREx; Ravi teja Nallapu, University of Arizona, SpaceTREx; Jekan Thangavelautham, University of Arizona, SpaceTREx. Building Small-Satellites to Live Through the Kessler Effect (2019).</w:t>
      </w:r>
    </w:p>
    <w:p>
      <w:pPr>
        <w:pStyle w:val="BodyText"/>
        <w:spacing w:line="480" w:lineRule="auto"/>
        <w:ind w:firstLine="720"/>
      </w:pPr>
      <w:bookmarkStart w:id="152" w:name="ref-10"/>
      <w:bookmarkEnd w:id="152"/>
      <w:r>
        <w:t xml:space="preserve">10. Mark Stephenson, University of Colorado Boulder; Hanspeter Schaub, University of Colorado Boulder. Safe, Autonomous Multi-Agent Inspection of Space Objects Leveraging Relative Orbit Dynamics (2025). doi:</w:t>
      </w:r>
      <w:r>
        <w:t xml:space="preserve"> </w:t>
      </w:r>
      <w:hyperlink r:id="rId153">
        <w:r>
          <w:rPr>
            <w:rStyle w:val="Hyperlink"/>
          </w:rPr>
          <w:t xml:space="preserve">10.64861/DAUC8213</w:t>
        </w:r>
      </w:hyperlink>
    </w:p>
    <w:p>
      <w:pPr>
        <w:pStyle w:val="BodyText"/>
        <w:spacing w:line="480" w:lineRule="auto"/>
        <w:ind w:firstLine="720"/>
      </w:pPr>
      <w:bookmarkStart w:id="154" w:name="ref-11"/>
      <w:bookmarkEnd w:id="154"/>
      <w:r>
        <w:t xml:space="preserve">11. Heather Cowardin, NASA Orbital Debris Program; Eric Christiansen, NASA Johnson Space Center,; Mark Matney, NASA Orbital Debris Program; Joshua Miller, University of Texas at El Paso; Bruce (Alan) Davis, Jacobs Technology; Corbin Cruz, Jacobs Technology; John Seago, Jacobs Technology; John Opiela, Jacobs Technology; Austen King, Jacobs Technology; Alyssa Manis, Jacobs Technology. Orbital Debris Shape Effect Investigations for Mitigating Risk (2023). doi:</w:t>
      </w:r>
      <w:r>
        <w:t xml:space="preserve"> </w:t>
      </w:r>
      <w:hyperlink r:id="rId155">
        <w:r>
          <w:rPr>
            <w:rStyle w:val="Hyperlink"/>
          </w:rPr>
          <w:t xml:space="preserve">10.64861/PWBU1061</w:t>
        </w:r>
      </w:hyperlink>
    </w:p>
    <w:p>
      <w:pPr>
        <w:pStyle w:val="BodyText"/>
        <w:spacing w:line="480" w:lineRule="auto"/>
        <w:ind w:firstLine="720"/>
      </w:pPr>
      <w:bookmarkStart w:id="156" w:name="ref-12"/>
      <w:bookmarkEnd w:id="156"/>
      <w:r>
        <w:t xml:space="preserve">12. Matthew Wilkins, L3Harris; Sanja Cvijic, Charles River Analytics, Inc.; Weston Faber, L3Harris Technologies. A Multi-Agent Trust Framework for Fusing Subjective Opinions with Imperfect Understanding in Space Domain Awareness Using the Scruff AI Framework (2024). doi:</w:t>
      </w:r>
      <w:r>
        <w:t xml:space="preserve"> </w:t>
      </w:r>
      <w:hyperlink r:id="rId157">
        <w:r>
          <w:rPr>
            <w:rStyle w:val="Hyperlink"/>
          </w:rPr>
          <w:t xml:space="preserve">10.64861/TUTU2866</w:t>
        </w:r>
      </w:hyperlink>
    </w:p>
    <w:p>
      <w:pPr>
        <w:pStyle w:val="BodyText"/>
        <w:spacing w:line="480" w:lineRule="auto"/>
        <w:ind w:firstLine="720"/>
      </w:pPr>
      <w:bookmarkStart w:id="158" w:name="ref-13"/>
      <w:bookmarkEnd w:id="158"/>
      <w:r>
        <w:t xml:space="preserve">13. James C. Jones, Northrop Grumman; Michael Strong, Northrop Grumman. Modeling Small Orbital Debris Remediation in Low Earth Orbit (2022).</w:t>
      </w:r>
    </w:p>
    <w:p>
      <w:pPr>
        <w:pStyle w:val="BodyText"/>
        <w:spacing w:line="480" w:lineRule="auto"/>
        <w:ind w:firstLine="720"/>
      </w:pPr>
      <w:bookmarkStart w:id="159" w:name="ref-14"/>
      <w:bookmarkEnd w:id="159"/>
      <w:r>
        <w:t xml:space="preserve">14. James A. Blake, University of Warwick; Katherine Courtney, KCourtney Business Innovation &amp; Strategy; Ralph Dinsley, Northern Space &amp; Security (NORSS) Ltd.; Stuart Eves, SJE Space Ltd; Jacob Geer, UK Space Agency; Theresa Harrison, University of Warwick; Robert Mann, Royal Observatory, Edinburgh; Don Pollacco, University of Warwick. The Global Network On Sustainability In Space (GNOSIS): Activities, Initiatives, and Future Endeavours (2022).</w:t>
      </w:r>
    </w:p>
    <w:p>
      <w:pPr>
        <w:pStyle w:val="BodyText"/>
        <w:spacing w:line="480" w:lineRule="auto"/>
        <w:ind w:firstLine="720"/>
      </w:pPr>
      <w:bookmarkStart w:id="160" w:name="ref-15"/>
      <w:bookmarkEnd w:id="160"/>
      <w:r>
        <w:t xml:space="preserve">15. Frederick Tarantino, SAF/SQS. Memo on Space Debris Summit and Active Debris Removal (2022).</w:t>
      </w:r>
    </w:p>
    <w:p>
      <w:pPr>
        <w:pStyle w:val="BodyText"/>
        <w:spacing w:line="480" w:lineRule="auto"/>
        <w:ind w:firstLine="720"/>
      </w:pPr>
      <w:bookmarkStart w:id="161" w:name="ref-16"/>
      <w:bookmarkEnd w:id="161"/>
      <w:r>
        <w:t xml:space="preserve">16. Nathan Boone, Air Force Institute of Technology; Robert Bettinger,Air Force Institute of Technology. Artificial Debris Collision Risk Following a Catastrophic Spacecraft Mishap in Lunar Orbit (2021).</w:t>
      </w:r>
    </w:p>
    <w:p>
      <w:pPr>
        <w:pStyle w:val="BodyText"/>
        <w:spacing w:line="480" w:lineRule="auto"/>
        <w:ind w:firstLine="720"/>
      </w:pPr>
      <w:bookmarkStart w:id="162" w:name="ref-17"/>
      <w:bookmarkEnd w:id="162"/>
      <w:r>
        <w:t xml:space="preserve">17. Antti Anttonen; Markku Kiviranta; Marko Höyhtyä. Space debris detection over intersatellite communication signals (2021). doi:</w:t>
      </w:r>
      <w:r>
        <w:t xml:space="preserve"> </w:t>
      </w:r>
      <w:hyperlink r:id="rId163">
        <w:r>
          <w:rPr>
            <w:rStyle w:val="Hyperlink"/>
          </w:rPr>
          <w:t xml:space="preserve">10.1016/j.actaastro.2021.06.023</w:t>
        </w:r>
      </w:hyperlink>
    </w:p>
    <w:p>
      <w:pPr>
        <w:pStyle w:val="BodyText"/>
        <w:spacing w:line="480" w:lineRule="auto"/>
        <w:ind w:firstLine="720"/>
      </w:pPr>
      <w:bookmarkStart w:id="164" w:name="ref-18"/>
      <w:bookmarkEnd w:id="164"/>
      <w:r>
        <w:t xml:space="preserve">18. Daniel Oltrogge; Salvatore Alfano; C. M. Law; Alex Cacioni; T. S. Kelso. A comprehensive assessment of collision likelihood in Geosynchronous Earth Orbit (2018). doi:</w:t>
      </w:r>
      <w:r>
        <w:t xml:space="preserve"> </w:t>
      </w:r>
      <w:hyperlink r:id="rId165">
        <w:r>
          <w:rPr>
            <w:rStyle w:val="Hyperlink"/>
          </w:rPr>
          <w:t xml:space="preserve">10.1016/j.actaastro.2018.03.017</w:t>
        </w:r>
      </w:hyperlink>
    </w:p>
    <w:p>
      <w:pPr>
        <w:pStyle w:val="BodyText"/>
        <w:spacing w:line="480" w:lineRule="auto"/>
        <w:ind w:firstLine="720"/>
      </w:pPr>
      <w:bookmarkStart w:id="166" w:name="ref-19"/>
      <w:bookmarkEnd w:id="166"/>
      <w:r>
        <w:t xml:space="preserve">19. П. А. Радченко; А. В. Радченко; С. П. Батуев; Aleksandr V. Kanutkin. Application of the finite element method to evaluate the effectiveness of spacecraft protective screens (2025). doi:</w:t>
      </w:r>
      <w:r>
        <w:t xml:space="preserve"> </w:t>
      </w:r>
      <w:hyperlink r:id="rId167">
        <w:r>
          <w:rPr>
            <w:rStyle w:val="Hyperlink"/>
          </w:rPr>
          <w:t xml:space="preserve">10.1016/j.actaastro.2025.01.045</w:t>
        </w:r>
      </w:hyperlink>
    </w:p>
    <w:p>
      <w:pPr>
        <w:pStyle w:val="BodyText"/>
        <w:spacing w:line="480" w:lineRule="auto"/>
        <w:ind w:firstLine="720"/>
      </w:pPr>
      <w:bookmarkStart w:id="168" w:name="ref-20"/>
      <w:bookmarkEnd w:id="168"/>
      <w:r>
        <w:t xml:space="preserve">20. A. Rossi; Noelia Sánchez-Ortíz; Emmanuelle David; Roberto Opromolla; Д. А. Гришко. Future activities in the near-earth space in the face of ever-increasing space traffic (2024). doi:</w:t>
      </w:r>
      <w:r>
        <w:t xml:space="preserve"> </w:t>
      </w:r>
      <w:hyperlink r:id="rId169">
        <w:r>
          <w:rPr>
            <w:rStyle w:val="Hyperlink"/>
          </w:rPr>
          <w:t xml:space="preserve">10.1016/j.actaastro.2024.09.063</w:t>
        </w:r>
      </w:hyperlink>
    </w:p>
    <w:p>
      <w:pPr>
        <w:pStyle w:val="BodyText"/>
        <w:spacing w:line="480" w:lineRule="auto"/>
        <w:ind w:firstLine="720"/>
      </w:pPr>
      <w:bookmarkStart w:id="170" w:name="ref-21"/>
      <w:bookmarkEnd w:id="170"/>
      <w:r>
        <w:t xml:space="preserve">21. Md. Abdur Rakib; Scott T. Smith; T. Tafsirojjaman. A review of shielding systems for protecting off-earth structures from micrometeoroid and orbital debris impact (2024). doi:</w:t>
      </w:r>
      <w:r>
        <w:t xml:space="preserve"> </w:t>
      </w:r>
      <w:hyperlink r:id="rId171">
        <w:r>
          <w:rPr>
            <w:rStyle w:val="Hyperlink"/>
          </w:rPr>
          <w:t xml:space="preserve">10.1016/j.actaastro.2024.07.019</w:t>
        </w:r>
      </w:hyperlink>
    </w:p>
    <w:p>
      <w:pPr>
        <w:pStyle w:val="BodyText"/>
        <w:spacing w:line="480" w:lineRule="auto"/>
        <w:ind w:firstLine="720"/>
      </w:pPr>
      <w:bookmarkStart w:id="172" w:name="ref-22"/>
      <w:bookmarkEnd w:id="172"/>
      <w:r>
        <w:t xml:space="preserve">22. A.E. Kraus; A. E. Buzyurkin; И. И. Шабалин; В. М. Фомин; E. I. Kraus. Influence of thin-barrier geometry on the morphology of the debris cloud in interactions with space-debris fragments (2025). doi:</w:t>
      </w:r>
      <w:r>
        <w:t xml:space="preserve"> </w:t>
      </w:r>
      <w:hyperlink r:id="rId173">
        <w:r>
          <w:rPr>
            <w:rStyle w:val="Hyperlink"/>
          </w:rPr>
          <w:t xml:space="preserve">10.1016/j.actaastro.2025.10.023</w:t>
        </w:r>
      </w:hyperlink>
    </w:p>
    <w:p>
      <w:pPr>
        <w:pStyle w:val="BodyText"/>
        <w:spacing w:line="480" w:lineRule="auto"/>
        <w:ind w:firstLine="720"/>
      </w:pPr>
      <w:bookmarkStart w:id="174" w:name="ref-23"/>
      <w:bookmarkEnd w:id="174"/>
      <w:r>
        <w:t xml:space="preserve">23. Qiguang He; Xiaowei Chen. Simulation method of debris cloud from fiber-reinforced composite shield under hypervelocity impact (2023). doi:</w:t>
      </w:r>
      <w:r>
        <w:t xml:space="preserve"> </w:t>
      </w:r>
      <w:hyperlink r:id="rId175">
        <w:r>
          <w:rPr>
            <w:rStyle w:val="Hyperlink"/>
          </w:rPr>
          <w:t xml:space="preserve">10.1016/j.actaastro.2023.01.008</w:t>
        </w:r>
      </w:hyperlink>
    </w:p>
    <w:p>
      <w:pPr>
        <w:pStyle w:val="BodyText"/>
        <w:spacing w:line="480" w:lineRule="auto"/>
        <w:ind w:firstLine="720"/>
      </w:pPr>
      <w:bookmarkStart w:id="176" w:name="ref-24"/>
      <w:bookmarkEnd w:id="176"/>
      <w:r>
        <w:t xml:space="preserve">24. Ji‐Hun Cha; YunHo Kim; Sarath Kumar Sathish Kumar; Chunghyeon Choi; Chun‐Gon Kim. Ultra-high-molecular-weight polyethylene as a hypervelocity impact shielding material for space structures (2019). doi:</w:t>
      </w:r>
      <w:r>
        <w:t xml:space="preserve"> </w:t>
      </w:r>
      <w:hyperlink r:id="rId177">
        <w:r>
          <w:rPr>
            <w:rStyle w:val="Hyperlink"/>
          </w:rPr>
          <w:t xml:space="preserve">10.1016/j.actaastro.2019.12.008</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3564cfdef8a92a032bea3d224d0ecdb601e5d29"/>
    <w:p>
      <w:pPr>
        <w:pStyle w:val="Heading2"/>
        <w:spacing w:line="480" w:lineRule="auto"/>
      </w:pPr>
      <w:r>
        <w:t xml:space="preserve">A.1 Fragmentation Concentration and Shielding Allocation Exposure in the MASTER Low Earth Orbit Population</w:t>
      </w:r>
    </w:p>
    <w:p>
      <w:pPr>
        <w:pStyle w:val="FirstParagraph"/>
        <w:spacing w:line="480" w:lineRule="auto"/>
      </w:pPr>
      <m:oMathPara>
        <m:oMathParaPr>
          <m:jc m:val="center"/>
        </m:oMathParaPr>
        <m:oMath>
          <m:r>
            <m:t>s</m:t>
          </m:r>
          <m:r>
            <m:t>h</m:t>
          </m:r>
          <m:r>
            <m:t>a</m:t>
          </m:r>
          <m:r>
            <m:t>r</m:t>
          </m:r>
          <m:sSub>
            <m:e>
              <m:r>
                <m:t>e</m:t>
              </m:r>
            </m:e>
            <m:sub>
              <m:r>
                <m:t>i</m:t>
              </m:r>
            </m:sub>
          </m:sSub>
          <m:r>
            <m:rPr>
              <m:sty m:val="p"/>
            </m:rPr>
            <m:t>=</m:t>
          </m:r>
          <m:r>
            <m:t>α</m:t>
          </m:r>
          <m:r>
            <m:rPr>
              <m:sty m:val="p"/>
            </m:rPr>
            <m:t>+</m:t>
          </m:r>
          <m:sSub>
            <m:e>
              <m:r>
                <m:t>β</m:t>
              </m:r>
            </m:e>
            <m:sub>
              <m:r>
                <m:t>1</m:t>
              </m:r>
            </m:sub>
          </m:sSub>
          <m:r>
            <m:t>f</m:t>
          </m:r>
          <m:r>
            <m:t>r</m:t>
          </m:r>
          <m:r>
            <m:t>a</m:t>
          </m:r>
          <m:r>
            <m:t>g</m:t>
          </m:r>
          <m:r>
            <m:t>m</m:t>
          </m:r>
          <m:r>
            <m:t>e</m:t>
          </m:r>
          <m:r>
            <m:t>n</m:t>
          </m:r>
          <m:r>
            <m:t>t</m:t>
          </m:r>
          <m:r>
            <m:t>a</m:t>
          </m:r>
          <m:r>
            <m:t>t</m:t>
          </m:r>
          <m:r>
            <m:t>i</m:t>
          </m:r>
          <m:r>
            <m:t>o</m:t>
          </m:r>
          <m:sSub>
            <m:e>
              <m:r>
                <m:t>n</m:t>
              </m:r>
            </m:e>
            <m:sub>
              <m:r>
                <m:t>i</m:t>
              </m:r>
            </m:sub>
          </m:sSub>
          <m:r>
            <m:rPr>
              <m:sty m:val="p"/>
            </m:rPr>
            <m:t>+</m:t>
          </m:r>
          <m:sSub>
            <m:e>
              <m:r>
                <m:t>β</m:t>
              </m:r>
            </m:e>
            <m:sub>
              <m:r>
                <m:t>2</m:t>
              </m:r>
            </m:sub>
          </m:sSub>
          <m:r>
            <m:t>o</m:t>
          </m:r>
          <m:r>
            <m:t>p</m:t>
          </m:r>
          <m:r>
            <m:t>e</m:t>
          </m:r>
          <m:r>
            <m:t>r</m:t>
          </m:r>
          <m:r>
            <m:t>a</m:t>
          </m:r>
          <m:r>
            <m:t>t</m:t>
          </m:r>
          <m:r>
            <m:t>i</m:t>
          </m:r>
          <m:r>
            <m:t>o</m:t>
          </m:r>
          <m:r>
            <m:t>n</m:t>
          </m:r>
          <m:r>
            <m:t>a</m:t>
          </m:r>
          <m:sSub>
            <m:e>
              <m:r>
                <m:t>l</m:t>
              </m:r>
            </m:e>
            <m:sub>
              <m:r>
                <m:t>i</m:t>
              </m:r>
            </m:sub>
          </m:sSub>
          <m:r>
            <m:rPr>
              <m:sty m:val="p"/>
            </m:rPr>
            <m:t>+</m:t>
          </m:r>
          <m:sSub>
            <m:e>
              <m:r>
                <m:t>ϵ</m:t>
              </m:r>
            </m:e>
            <m:sub>
              <m:r>
                <m:t>i</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1.5953</w:t>
            </w:r>
          </w:p>
        </w:tc>
        <w:tc>
          <w:tcPr>
            <w:tcW w:w="0" w:type="auto"/>
          </w:tcPr>
          <w:p>
            <w:pPr>
              <w:spacing w:line="240" w:lineRule="auto" w:before="0" w:after="0"/>
              <w:pStyle w:val="Compact"/>
            </w:pPr>
            <w:r>
              <w:rPr>
                <w:sz w:val="20"/>
                <w:szCs w:val="20"/>
              </w:rPr>
              <w:t xml:space="preserve">0.1106</w:t>
            </w:r>
          </w:p>
        </w:tc>
        <w:tc>
          <w:tcPr>
            <w:tcW w:w="0" w:type="auto"/>
          </w:tcPr>
          <w:p>
            <w:pPr>
              <w:spacing w:line="240" w:lineRule="auto" w:before="0" w:after="0"/>
              <w:pStyle w:val="Compact"/>
            </w:pPr>
            <w:r>
              <w:rPr>
                <w:sz w:val="20"/>
                <w:szCs w:val="20"/>
              </w:rPr>
              <w:t xml:space="preserve">[-0.762, 7.4286]</w:t>
            </w:r>
          </w:p>
        </w:tc>
      </w:tr>
      <w:tr>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41.0667</w:t>
            </w:r>
          </w:p>
        </w:tc>
        <w:tc>
          <w:tcPr>
            <w:tcW w:w="0" w:type="auto"/>
          </w:tcPr>
          <w:p>
            <w:pPr>
              <w:spacing w:line="240" w:lineRule="auto" w:before="0" w:after="0"/>
              <w:pStyle w:val="Compact"/>
            </w:pPr>
            <w:r>
              <w:rPr>
                <w:sz w:val="20"/>
                <w:szCs w:val="20"/>
              </w:rPr>
              <w:t xml:space="preserve">18.1209</w:t>
            </w:r>
          </w:p>
        </w:tc>
        <w:tc>
          <w:tcPr>
            <w:tcW w:w="0" w:type="auto"/>
          </w:tcPr>
          <w:p>
            <w:pPr>
              <w:spacing w:line="240" w:lineRule="auto" w:before="0" w:after="0"/>
              <w:pStyle w:val="Compact"/>
            </w:pPr>
            <w:r>
              <w:rPr>
                <w:sz w:val="20"/>
                <w:szCs w:val="20"/>
              </w:rPr>
              <w:t xml:space="preserve">2.2663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[5.5504, 76.5829]</w:t>
            </w:r>
          </w:p>
        </w:tc>
      </w:tr>
      <w:tr>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-2.1333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-1.021</w:t>
            </w:r>
          </w:p>
        </w:tc>
        <w:tc>
          <w:tcPr>
            <w:tcW w:w="0" w:type="auto"/>
          </w:tcPr>
          <w:p>
            <w:pPr>
              <w:spacing w:line="240" w:lineRule="auto" w:before="0" w:after="0"/>
              <w:pStyle w:val="Compact"/>
            </w:pPr>
            <w:r>
              <w:rPr>
                <w:sz w:val="20"/>
                <w:szCs w:val="20"/>
              </w:rPr>
              <w:t xml:space="preserve">0.3073</w:t>
            </w:r>
          </w:p>
        </w:tc>
        <w:tc>
          <w:tcPr>
            <w:tcW w:w="0" w:type="auto"/>
          </w:tcPr>
          <w:p>
            <w:pPr>
              <w:spacing w:line="240" w:lineRule="auto" w:before="0" w:after="0"/>
              <w:pStyle w:val="Compact"/>
            </w:pPr>
            <w:r>
              <w:rPr>
                <w:sz w:val="20"/>
                <w:szCs w:val="20"/>
              </w:rPr>
              <w:t xml:space="preserve">[-6.2286, 1.962]</w:t>
            </w:r>
          </w:p>
        </w:tc>
      </w:tr>
    </w:tbl>
    <w:p>
      <w:pPr>
        <w:pStyle w:val="BodyText"/>
        <w:spacing w:line="480" w:lineRule="auto"/>
        <w:ind w:firstLine="720"/>
      </w:pPr>
      <w:r>
        <w:t xml:space="preserve">Fit: N = 6 R2 = 0.7758 R2_adj = 0.6264 F = 3.4012 F_p = 0.1693</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MASTER one-centimeter LEO source share by fragmentation indicator." title="" id="182" name="Picture"/>
            <a:graphic>
              <a:graphicData uri="http://schemas.openxmlformats.org/drawingml/2006/picture">
                <pic:pic>
                  <pic:nvPicPr>
                    <pic:cNvPr descr="D:/Claude_Code/brain/collegium/candidates/dissertations/STM_CISLUNAR_08/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MASTER one-centimeter LEO source share by fragmentation indicator.</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source_category</w:t>
            </w:r>
          </w:p>
        </w:tc>
        <w:tc>
          <w:tcPr>
            <w:tcW w:w="0" w:type="auto"/>
          </w:tcPr>
          <w:p>
            <w:pPr>
              <w:spacing w:line="240" w:lineRule="auto" w:before="0" w:after="0"/>
              <w:pStyle w:val="Compact"/>
            </w:pPr>
            <w:r>
              <w:rPr>
                <w:sz w:val="20"/>
                <w:szCs w:val="20"/>
              </w:rPr>
              <w:t xml:space="preserve">share_pct</w:t>
            </w:r>
          </w:p>
        </w:tc>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rank_order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Launch and mission related objects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Explosion fragments</w:t>
            </w:r>
          </w:p>
        </w:tc>
        <w:tc>
          <w:tcPr>
            <w:tcW w:w="0" w:type="auto"/>
          </w:tcPr>
          <w:p>
            <w:pPr>
              <w:spacing w:line="240" w:lineRule="auto" w:before="0" w:after="0"/>
              <w:pStyle w:val="Compact"/>
            </w:pPr>
            <w:r>
              <w:rPr>
                <w:sz w:val="20"/>
                <w:szCs w:val="20"/>
              </w:rPr>
              <w:t xml:space="preserve">62.4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Collision fragments</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Sodium Potassium droplets</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Solid Rocket Motor slag</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Multi-layer insulation fragments</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share_pct</w:t>
            </w:r>
          </w:p>
        </w:tc>
        <w:tc>
          <w:tcPr>
            <w:tcW w:w="0" w:type="auto"/>
          </w:tcPr>
          <w:p>
            <w:pPr>
              <w:spacing w:line="240" w:lineRule="auto" w:before="0" w:after="0"/>
              <w:pStyle w:val="Compact"/>
            </w:pPr>
            <w:r>
              <w:rPr>
                <w:sz w:val="20"/>
                <w:szCs w:val="20"/>
              </w:rPr>
              <w:t xml:space="preserve">Published source-category object number share in percent for MASTER-2009 LEO objects with diameter &gt;=1 cm</w:t>
            </w:r>
          </w:p>
        </w:tc>
        <w:tc>
          <w:tcPr>
            <w:tcW w:w="0" w:type="auto"/>
          </w:tcPr>
          <w:p>
            <w:pPr>
              <w:spacing w:line="240" w:lineRule="auto" w:before="0" w:after="0"/>
              <w:pStyle w:val="Compact"/>
            </w:pPr>
            <w:r>
              <w:rPr>
                <w:sz w:val="20"/>
                <w:szCs w:val="20"/>
              </w:rPr>
              <w:t xml:space="preserve">Directly transcribed from Horstmann, Stoll, and Krag 2017 Table 1.1</w:t>
            </w:r>
          </w:p>
        </w:tc>
      </w:tr>
      <w:tr>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Indicator equal to 1 for explosion fragments and collision fragments</w:t>
            </w:r>
          </w:p>
        </w:tc>
        <w:tc>
          <w:tcPr>
            <w:tcW w:w="0" w:type="auto"/>
          </w:tcPr>
          <w:p>
            <w:pPr>
              <w:spacing w:line="240" w:lineRule="auto" w:before="0" w:after="0"/>
              <w:pStyle w:val="Compact"/>
            </w:pPr>
            <w:r>
              <w:rPr>
                <w:sz w:val="20"/>
                <w:szCs w:val="20"/>
              </w:rPr>
              <w:t xml:space="preserve">Constructed from Table 1.1 source category labels</w:t>
            </w:r>
          </w:p>
        </w:tc>
      </w:tr>
      <w:tr>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Indicator equal to 1 for launch and mission related objects</w:t>
            </w:r>
          </w:p>
        </w:tc>
        <w:tc>
          <w:tcPr>
            <w:tcW w:w="0" w:type="auto"/>
          </w:tcPr>
          <w:p>
            <w:pPr>
              <w:spacing w:line="240" w:lineRule="auto" w:before="0" w:after="0"/>
              <w:pStyle w:val="Compact"/>
            </w:pPr>
            <w:r>
              <w:rPr>
                <w:sz w:val="20"/>
                <w:szCs w:val="20"/>
              </w:rPr>
              <w:t xml:space="preserve">Constructed from Table 1.1 source category labels</w:t>
            </w:r>
          </w:p>
        </w:tc>
      </w:tr>
      <w:tr>
        <w:tc>
          <w:tcPr>
            <w:tcW w:w="0" w:type="auto"/>
          </w:tcPr>
          <w:p>
            <w:pPr>
              <w:spacing w:line="240" w:lineRule="auto" w:before="0" w:after="0"/>
              <w:pStyle w:val="Compact"/>
            </w:pPr>
            <w:r>
              <w:rPr>
                <w:sz w:val="20"/>
                <w:szCs w:val="20"/>
              </w:rPr>
              <w:t xml:space="preserve">rank_order</w:t>
            </w:r>
          </w:p>
        </w:tc>
        <w:tc>
          <w:tcPr>
            <w:tcW w:w="0" w:type="auto"/>
          </w:tcPr>
          <w:p>
            <w:pPr>
              <w:spacing w:line="240" w:lineRule="auto" w:before="0" w:after="0"/>
              <w:pStyle w:val="Compact"/>
            </w:pPr>
            <w:r>
              <w:rPr>
                <w:sz w:val="20"/>
                <w:szCs w:val="20"/>
              </w:rPr>
              <w:t xml:space="preserve">Descending rank of source share, 1 means largest share</w:t>
            </w:r>
          </w:p>
        </w:tc>
        <w:tc>
          <w:tcPr>
            <w:tcW w:w="0" w:type="auto"/>
          </w:tcPr>
          <w:p>
            <w:pPr>
              <w:spacing w:line="240" w:lineRule="auto" w:before="0" w:after="0"/>
              <w:pStyle w:val="Compact"/>
            </w:pPr>
            <w:r>
              <w:rPr>
                <w:sz w:val="20"/>
                <w:szCs w:val="20"/>
              </w:rPr>
              <w:t xml:space="preserve">Constructed from reported share_pct values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Source for the row</w:t>
            </w:r>
          </w:p>
        </w:tc>
        <w:tc>
          <w:tcPr>
            <w:tcW w:w="0" w:type="auto"/>
          </w:tcPr>
          <w:p>
            <w:pPr>
              <w:spacing w:line="240" w:lineRule="auto" w:before="0" w:after="0"/>
              <w:pStyle w:val="Compact"/>
            </w:pPr>
            <w:r>
              <w:rPr>
                <w:sz w:val="20"/>
                <w:szCs w:val="20"/>
              </w:rPr>
              <w:t xml:space="preserve">Last column, Horstmann, Stoll, and Krag 2017 AMOS Table 1.1</w:t>
            </w:r>
          </w:p>
        </w:tc>
      </w:tr>
    </w:tbl>
    <w:bookmarkEnd w:id="186"/>
    <w:bookmarkEnd w:id="187"/>
    <w:bookmarkStart w:id="195" w:name="X90a86e69ad5837177f48fef5c6d24a126acbd97"/>
    <w:p>
      <w:pPr>
        <w:pStyle w:val="Heading2"/>
        <w:spacing w:line="480" w:lineRule="auto"/>
      </w:pPr>
      <w:r>
        <w:t xml:space="preserve">A.2 Validation-Breadth Learning in MASTER Releases and the Management of Debris-Model Uncertainty</w:t>
      </w:r>
    </w:p>
    <w:p>
      <w:pPr>
        <w:pStyle w:val="FirstParagraph"/>
        <w:spacing w:line="480" w:lineRule="auto"/>
      </w:pPr>
      <m:oMathPara>
        <m:oMathParaPr>
          <m:jc m:val="center"/>
        </m:oMathParaPr>
        <m:oMath>
          <m:r>
            <m:rPr>
              <m:sty m:val="p"/>
            </m:rPr>
            <m:t>ln</m:t>
          </m:r>
          <m:r>
            <m:rPr>
              <m:sty m:val="p"/>
            </m:rPr>
            <m:t>(</m:t>
          </m:r>
          <m:r>
            <m:t>v</m:t>
          </m:r>
          <m:r>
            <m:t>a</m:t>
          </m:r>
          <m:r>
            <m:t>l</m:t>
          </m:r>
          <m:r>
            <m:t>i</m:t>
          </m:r>
          <m:r>
            <m:t>d</m:t>
          </m:r>
          <m:r>
            <m:t>a</m:t>
          </m:r>
          <m:r>
            <m:t>t</m:t>
          </m:r>
          <m:r>
            <m:t>i</m:t>
          </m:r>
          <m:r>
            <m:t>o</m:t>
          </m:r>
          <m:r>
            <m:t>n</m:t>
          </m:r>
          <m:r>
            <m:rPr>
              <m:sty m:val="p"/>
            </m:rPr>
            <m:t>_</m:t>
          </m:r>
          <m:r>
            <m:t>s</m:t>
          </m:r>
          <m:r>
            <m:t>o</m:t>
          </m:r>
          <m:r>
            <m:t>u</m:t>
          </m:r>
          <m:r>
            <m:t>r</m:t>
          </m:r>
          <m:r>
            <m:t>c</m:t>
          </m:r>
          <m:r>
            <m:t>e</m:t>
          </m:r>
          <m:r>
            <m:rPr>
              <m:sty m:val="p"/>
            </m:rPr>
            <m:t>_</m:t>
          </m:r>
          <m:r>
            <m:t>c</m:t>
          </m:r>
          <m:r>
            <m:t>o</m:t>
          </m:r>
          <m:r>
            <m:t>u</m:t>
          </m:r>
          <m:r>
            <m:t>n</m:t>
          </m:r>
          <m:sSub>
            <m:e>
              <m:r>
                <m:t>t</m:t>
              </m:r>
            </m:e>
            <m:sub>
              <m:r>
                <m:t>t</m:t>
              </m:r>
            </m:sub>
          </m:sSub>
          <m:r>
            <m:rPr>
              <m:sty m:val="p"/>
            </m:rPr>
            <m:t>)</m:t>
          </m:r>
          <m:r>
            <m:rPr>
              <m:sty m:val="p"/>
            </m:rPr>
            <m:t>=</m:t>
          </m:r>
          <m:r>
            <m:t>α</m:t>
          </m:r>
          <m:r>
            <m:rPr>
              <m:sty m:val="p"/>
            </m:rPr>
            <m:t>+</m:t>
          </m:r>
          <m:r>
            <m:t>β</m:t>
          </m:r>
          <m:r>
            <m:rPr>
              <m:sty m:val="p"/>
            </m:rPr>
            <m:t>ln</m:t>
          </m:r>
          <m:r>
            <m:rPr>
              <m:sty m:val="p"/>
            </m:rPr>
            <m:t>(</m:t>
          </m:r>
          <m:r>
            <m:t>r</m:t>
          </m:r>
          <m:r>
            <m:t>e</m:t>
          </m:r>
          <m:r>
            <m:t>l</m:t>
          </m:r>
          <m:r>
            <m:t>e</m:t>
          </m:r>
          <m:r>
            <m:t>a</m:t>
          </m:r>
          <m:r>
            <m:t>s</m:t>
          </m:r>
          <m:r>
            <m:t>e</m:t>
          </m:r>
          <m:r>
            <m:rPr>
              <m:sty m:val="p"/>
            </m:rPr>
            <m:t>_</m:t>
          </m:r>
          <m:r>
            <m:t>s</m:t>
          </m:r>
          <m:r>
            <m:t>e</m:t>
          </m:r>
          <m:r>
            <m:t>q</m:t>
          </m:r>
          <m:r>
            <m:t>u</m:t>
          </m:r>
          <m:r>
            <m:t>e</m:t>
          </m:r>
          <m:r>
            <m:t>n</m:t>
          </m:r>
          <m:r>
            <m:t>c</m:t>
          </m:r>
          <m:sSub>
            <m:e>
              <m:r>
                <m:t>e</m:t>
              </m:r>
            </m:e>
            <m:sub>
              <m:r>
                <m:t>t</m:t>
              </m:r>
            </m:sub>
          </m:sSub>
          <m:r>
            <m:rPr>
              <m:sty m:val="p"/>
            </m:rPr>
            <m:t>)</m:t>
          </m:r>
          <m:r>
            <m:rPr>
              <m:sty m:val="p"/>
            </m:rPr>
            <m:t>+</m:t>
          </m:r>
          <m:sSub>
            <m:e>
              <m:r>
                <m:t>ϵ</m:t>
              </m:r>
            </m:e>
            <m:sub>
              <m:r>
                <m:t>t</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0.3515</w:t>
            </w:r>
          </w:p>
        </w:tc>
        <w:tc>
          <w:tcPr>
            <w:tcW w:w="0" w:type="auto"/>
          </w:tcPr>
          <w:p>
            <w:pPr>
              <w:spacing w:line="240" w:lineRule="auto" w:before="0" w:after="0"/>
              <w:pStyle w:val="Compact"/>
            </w:pPr>
            <w:r>
              <w:rPr>
                <w:sz w:val="20"/>
                <w:szCs w:val="20"/>
              </w:rPr>
              <w:t xml:space="preserve">-0.747</w:t>
            </w:r>
          </w:p>
        </w:tc>
        <w:tc>
          <w:tcPr>
            <w:tcW w:w="0" w:type="auto"/>
          </w:tcPr>
          <w:p>
            <w:pPr>
              <w:spacing w:line="240" w:lineRule="auto" w:before="0" w:after="0"/>
              <w:pStyle w:val="Compact"/>
            </w:pPr>
            <w:r>
              <w:rPr>
                <w:sz w:val="20"/>
                <w:szCs w:val="20"/>
              </w:rPr>
              <w:t xml:space="preserve">0.4551</w:t>
            </w:r>
          </w:p>
        </w:tc>
        <w:tc>
          <w:tcPr>
            <w:tcW w:w="0" w:type="auto"/>
          </w:tcPr>
          <w:p>
            <w:pPr>
              <w:spacing w:line="240" w:lineRule="auto" w:before="0" w:after="0"/>
              <w:pStyle w:val="Compact"/>
            </w:pPr>
            <w:r>
              <w:rPr>
                <w:sz w:val="20"/>
                <w:szCs w:val="20"/>
              </w:rPr>
              <w:t xml:space="preserve">[-0.9516, 0.4264]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1.2235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5.4735</w:t>
            </w:r>
          </w:p>
        </w:tc>
        <w:tc>
          <w:tcPr>
            <w:tcW w:w="0" w:type="auto"/>
          </w:tcPr>
          <w:p>
            <w:pPr>
              <w:spacing w:line="240" w:lineRule="auto" w:before="0" w:after="0"/>
              <w:pStyle w:val="Compact"/>
            </w:pPr>
            <w:r>
              <w:rPr>
                <w:sz w:val="20"/>
                <w:szCs w:val="20"/>
              </w:rPr>
              <w:t xml:space="preserve">4.413e-08</w:t>
            </w:r>
          </w:p>
        </w:tc>
        <w:tc>
          <w:tcPr>
            <w:tcW w:w="0" w:type="auto"/>
          </w:tcPr>
          <w:p>
            <w:pPr>
              <w:spacing w:line="240" w:lineRule="auto" w:before="0" w:after="0"/>
              <w:pStyle w:val="Compact"/>
            </w:pPr>
            <w:r>
              <w:rPr>
                <w:sz w:val="20"/>
                <w:szCs w:val="20"/>
              </w:rPr>
              <w:t xml:space="preserve">[0.7854, 1.6616]</w:t>
            </w:r>
          </w:p>
        </w:tc>
      </w:tr>
    </w:tbl>
    <w:p>
      <w:pPr>
        <w:pStyle w:val="BodyText"/>
        <w:spacing w:line="480" w:lineRule="auto"/>
        <w:ind w:firstLine="720"/>
      </w:pPr>
      <w:r>
        <w:t xml:space="preserve">Fit: N = 6 R2 = 0.8529 elasticity_b = 1.2235 progress_ratio_2^b = 2.3351</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earning curve for MASTER validation-source breadth by release sequence." title="" id="190" name="Picture"/>
            <a:graphic>
              <a:graphicData uri="http://schemas.openxmlformats.org/drawingml/2006/picture">
                <pic:pic>
                  <pic:nvPicPr>
                    <pic:cNvPr descr="D:/Claude_Code/brain/collegium/candidates/dissertations/STM_CISLUNAR_08/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Learning curve for MASTER validation-source breadth by release sequence.</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release_sequence</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diameter_min_um</w:t>
            </w:r>
          </w:p>
        </w:tc>
        <w:tc>
          <w:tcPr>
            <w:tcW w:w="0" w:type="auto"/>
          </w:tcPr>
          <w:p>
            <w:pPr>
              <w:spacing w:line="240" w:lineRule="auto" w:before="0" w:after="0"/>
              <w:pStyle w:val="Compact"/>
            </w:pPr>
            <w:r>
              <w:rPr>
                <w:sz w:val="20"/>
                <w:szCs w:val="20"/>
              </w:rPr>
              <w:t xml:space="preserve">validation_source_count</w:t>
            </w:r>
          </w:p>
        </w:tc>
        <w:tc>
          <w:tcPr>
            <w:tcW w:w="0" w:type="auto"/>
          </w:tcPr>
          <w:p>
            <w:pPr>
              <w:spacing w:line="240" w:lineRule="auto" w:before="0" w:after="0"/>
              <w:pStyle w:val="Compact"/>
            </w:pPr>
            <w:r>
              <w:rPr>
                <w:sz w:val="20"/>
                <w:szCs w:val="20"/>
              </w:rPr>
              <w:t xml:space="preserve">direct_campaign_count</w:t>
            </w:r>
          </w:p>
        </w:tc>
        <w:tc>
          <w:tcPr>
            <w:tcW w:w="0" w:type="auto"/>
          </w:tcPr>
          <w:p>
            <w:pPr>
              <w:spacing w:line="240" w:lineRule="auto" w:before="0" w:after="0"/>
              <w:pStyle w:val="Compact"/>
            </w:pPr>
            <w:r>
              <w:rPr>
                <w:sz w:val="20"/>
                <w:szCs w:val="20"/>
              </w:rPr>
              <w:t xml:space="preserve">returned_surface_count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MASTER 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r>
        <w:tc>
          <w:tcPr>
            <w:tcW w:w="0" w:type="auto"/>
          </w:tcPr>
          <w:p>
            <w:pPr>
              <w:spacing w:line="240" w:lineRule="auto" w:before="0" w:after="0"/>
              <w:pStyle w:val="Compact"/>
            </w:pPr>
            <w:r>
              <w:rPr>
                <w:sz w:val="20"/>
                <w:szCs w:val="20"/>
              </w:rPr>
              <w:t xml:space="preserve">MASTER 2009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2.1 available validation data for MASTER releases</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validation_source_count</w:t>
            </w:r>
          </w:p>
        </w:tc>
        <w:tc>
          <w:tcPr>
            <w:tcW w:w="0" w:type="auto"/>
          </w:tcPr>
          <w:p>
            <w:pPr>
              <w:spacing w:line="240" w:lineRule="auto" w:before="0" w:after="0"/>
              <w:pStyle w:val="Compact"/>
            </w:pPr>
            <w:r>
              <w:rPr>
                <w:sz w:val="20"/>
                <w:szCs w:val="20"/>
              </w:rPr>
              <w:t xml:space="preserve">Count of distinct validation sources named for a MASTER release</w:t>
            </w:r>
          </w:p>
        </w:tc>
        <w:tc>
          <w:tcPr>
            <w:tcW w:w="0" w:type="auto"/>
          </w:tcPr>
          <w:p>
            <w:pPr>
              <w:spacing w:line="240" w:lineRule="auto" w:before="0" w:after="0"/>
              <w:pStyle w:val="Compact"/>
            </w:pPr>
            <w:r>
              <w:rPr>
                <w:sz w:val="20"/>
                <w:szCs w:val="20"/>
              </w:rPr>
              <w:t xml:space="preserve">Counted from Horstmann, Stoll, and Krag 2017 Table 2.1</w:t>
            </w:r>
          </w:p>
        </w:tc>
      </w:tr>
      <w:tr>
        <w:tc>
          <w:tcPr>
            <w:tcW w:w="0" w:type="auto"/>
          </w:tcPr>
          <w:p>
            <w:pPr>
              <w:spacing w:line="240" w:lineRule="auto" w:before="0" w:after="0"/>
              <w:pStyle w:val="Compact"/>
            </w:pPr>
            <w:r>
              <w:rPr>
                <w:sz w:val="20"/>
                <w:szCs w:val="20"/>
              </w:rPr>
              <w:t xml:space="preserve">release_sequence</w:t>
            </w:r>
          </w:p>
        </w:tc>
        <w:tc>
          <w:tcPr>
            <w:tcW w:w="0" w:type="auto"/>
          </w:tcPr>
          <w:p>
            <w:pPr>
              <w:spacing w:line="240" w:lineRule="auto" w:before="0" w:after="0"/>
              <w:pStyle w:val="Compact"/>
            </w:pPr>
            <w:r>
              <w:rPr>
                <w:sz w:val="20"/>
                <w:szCs w:val="20"/>
              </w:rPr>
              <w:t xml:space="preserve">Ordinal release sequence from earliest to latest in the table</w:t>
            </w:r>
          </w:p>
        </w:tc>
        <w:tc>
          <w:tcPr>
            <w:tcW w:w="0" w:type="auto"/>
          </w:tcPr>
          <w:p>
            <w:pPr>
              <w:spacing w:line="240" w:lineRule="auto" w:before="0" w:after="0"/>
              <w:pStyle w:val="Compact"/>
            </w:pPr>
            <w:r>
              <w:rPr>
                <w:sz w:val="20"/>
                <w:szCs w:val="20"/>
              </w:rPr>
              <w:t xml:space="preserve">Constructed as 1 through 6 for MASTER 1995 through MASTER 2009</w:t>
            </w:r>
          </w:p>
        </w:tc>
      </w:tr>
      <w:tr>
        <w:tc>
          <w:tcPr>
            <w:tcW w:w="0" w:type="auto"/>
          </w:tcPr>
          <w:p>
            <w:pPr>
              <w:spacing w:line="240" w:lineRule="auto" w:before="0" w:after="0"/>
              <w:pStyle w:val="Compact"/>
            </w:pPr>
            <w:r>
              <w:rPr>
                <w:sz w:val="20"/>
                <w:szCs w:val="20"/>
              </w:rPr>
              <w:t xml:space="preserve">diameter_min_um</w:t>
            </w:r>
          </w:p>
        </w:tc>
        <w:tc>
          <w:tcPr>
            <w:tcW w:w="0" w:type="auto"/>
          </w:tcPr>
          <w:p>
            <w:pPr>
              <w:spacing w:line="240" w:lineRule="auto" w:before="0" w:after="0"/>
              <w:pStyle w:val="Compact"/>
            </w:pPr>
            <w:r>
              <w:rPr>
                <w:sz w:val="20"/>
                <w:szCs w:val="20"/>
              </w:rPr>
              <w:t xml:space="preserve">Lower modeled diameter threshold in micrometers reported for the release</w:t>
            </w:r>
          </w:p>
        </w:tc>
        <w:tc>
          <w:tcPr>
            <w:tcW w:w="0" w:type="auto"/>
          </w:tcPr>
          <w:p>
            <w:pPr>
              <w:spacing w:line="240" w:lineRule="auto" w:before="0" w:after="0"/>
              <w:pStyle w:val="Compact"/>
            </w:pPr>
            <w:r>
              <w:rPr>
                <w:sz w:val="20"/>
                <w:szCs w:val="20"/>
              </w:rPr>
              <w:t xml:space="preserve">Directly transcribed from Table 2.1</w:t>
            </w:r>
          </w:p>
        </w:tc>
      </w:tr>
      <w:tr>
        <w:tc>
          <w:tcPr>
            <w:tcW w:w="0" w:type="auto"/>
          </w:tcPr>
          <w:p>
            <w:pPr>
              <w:spacing w:line="240" w:lineRule="auto" w:before="0" w:after="0"/>
              <w:pStyle w:val="Compact"/>
            </w:pPr>
            <w:r>
              <w:rPr>
                <w:sz w:val="20"/>
                <w:szCs w:val="20"/>
              </w:rPr>
              <w:t xml:space="preserve">direct_campaign_count</w:t>
            </w:r>
          </w:p>
        </w:tc>
        <w:tc>
          <w:tcPr>
            <w:tcW w:w="0" w:type="auto"/>
          </w:tcPr>
          <w:p>
            <w:pPr>
              <w:spacing w:line="240" w:lineRule="auto" w:before="0" w:after="0"/>
              <w:pStyle w:val="Compact"/>
            </w:pPr>
            <w:r>
              <w:rPr>
                <w:sz w:val="20"/>
                <w:szCs w:val="20"/>
              </w:rPr>
              <w:t xml:space="preserve">Count of TIRA, EISCAT, and ESA-SDT when named through PROOF</w:t>
            </w:r>
          </w:p>
        </w:tc>
        <w:tc>
          <w:tcPr>
            <w:tcW w:w="0" w:type="auto"/>
          </w:tcPr>
          <w:p>
            <w:pPr>
              <w:spacing w:line="240" w:lineRule="auto" w:before="0" w:after="0"/>
              <w:pStyle w:val="Compact"/>
            </w:pPr>
            <w:r>
              <w:rPr>
                <w:sz w:val="20"/>
                <w:szCs w:val="20"/>
              </w:rPr>
              <w:t xml:space="preserve">Constructed from Table 2.1 validation data labels</w:t>
            </w:r>
          </w:p>
        </w:tc>
      </w:tr>
      <w:tr>
        <w:tc>
          <w:tcPr>
            <w:tcW w:w="0" w:type="auto"/>
          </w:tcPr>
          <w:p>
            <w:pPr>
              <w:spacing w:line="240" w:lineRule="auto" w:before="0" w:after="0"/>
              <w:pStyle w:val="Compact"/>
            </w:pPr>
            <w:r>
              <w:rPr>
                <w:sz w:val="20"/>
                <w:szCs w:val="20"/>
              </w:rPr>
              <w:t xml:space="preserve">returned_surface_count</w:t>
            </w:r>
          </w:p>
        </w:tc>
        <w:tc>
          <w:tcPr>
            <w:tcW w:w="0" w:type="auto"/>
          </w:tcPr>
          <w:p>
            <w:pPr>
              <w:spacing w:line="240" w:lineRule="auto" w:before="0" w:after="0"/>
              <w:pStyle w:val="Compact"/>
            </w:pPr>
            <w:r>
              <w:rPr>
                <w:sz w:val="20"/>
                <w:szCs w:val="20"/>
              </w:rPr>
              <w:t xml:space="preserve">Count of LDEF, HST or HST-SM1, and EuReCa labels named for the release</w:t>
            </w:r>
          </w:p>
        </w:tc>
        <w:tc>
          <w:tcPr>
            <w:tcW w:w="0" w:type="auto"/>
          </w:tcPr>
          <w:p>
            <w:pPr>
              <w:spacing w:line="240" w:lineRule="auto" w:before="0" w:after="0"/>
              <w:pStyle w:val="Compact"/>
            </w:pPr>
            <w:r>
              <w:rPr>
                <w:sz w:val="20"/>
                <w:szCs w:val="20"/>
              </w:rPr>
              <w:t xml:space="preserve">Constructed from Table 2.1 validation data labels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Source for the row</w:t>
            </w:r>
          </w:p>
        </w:tc>
        <w:tc>
          <w:tcPr>
            <w:tcW w:w="0" w:type="auto"/>
          </w:tcPr>
          <w:p>
            <w:pPr>
              <w:spacing w:line="240" w:lineRule="auto" w:before="0" w:after="0"/>
              <w:pStyle w:val="Compact"/>
            </w:pPr>
            <w:r>
              <w:rPr>
                <w:sz w:val="20"/>
                <w:szCs w:val="20"/>
              </w:rPr>
              <w:t xml:space="preserve">Last column, Horstmann, Stoll, and Krag 2017 AMOS Table 2.1</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65" Type="http://schemas.openxmlformats.org/officeDocument/2006/relationships/hyperlink" Target="https://doi.org/10.1016/j.actaastro.2018.03.017" TargetMode="External"/><Relationship Id="rId177" Type="http://schemas.openxmlformats.org/officeDocument/2006/relationships/hyperlink" Target="https://doi.org/10.1016/j.actaastro.2019.12.008" TargetMode="External"/><Relationship Id="rId163" Type="http://schemas.openxmlformats.org/officeDocument/2006/relationships/hyperlink" Target="https://doi.org/10.1016/j.actaastro.2021.06.023" TargetMode="External"/><Relationship Id="rId175" Type="http://schemas.openxmlformats.org/officeDocument/2006/relationships/hyperlink" Target="https://doi.org/10.1016/j.actaastro.2023.01.008" TargetMode="External"/><Relationship Id="rId171" Type="http://schemas.openxmlformats.org/officeDocument/2006/relationships/hyperlink" Target="https://doi.org/10.1016/j.actaastro.2024.07.019" TargetMode="External"/><Relationship Id="rId169" Type="http://schemas.openxmlformats.org/officeDocument/2006/relationships/hyperlink" Target="https://doi.org/10.1016/j.actaastro.2024.09.063" TargetMode="External"/><Relationship Id="rId167" Type="http://schemas.openxmlformats.org/officeDocument/2006/relationships/hyperlink" Target="https://doi.org/10.1016/j.actaastro.2025.01.045" TargetMode="External"/><Relationship Id="rId173" Type="http://schemas.openxmlformats.org/officeDocument/2006/relationships/hyperlink" Target="https://doi.org/10.1016/j.actaastro.2025.10.023" TargetMode="External"/><Relationship Id="rId153" Type="http://schemas.openxmlformats.org/officeDocument/2006/relationships/hyperlink" Target="https://doi.org/10.64861/DAUC8213" TargetMode="External"/><Relationship Id="rId155" Type="http://schemas.openxmlformats.org/officeDocument/2006/relationships/hyperlink" Target="https://doi.org/10.64861/PWBU1061" TargetMode="External"/><Relationship Id="rId157" Type="http://schemas.openxmlformats.org/officeDocument/2006/relationships/hyperlink" Target="https://doi.org/10.64861/TUTU2866"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18.03.017" TargetMode="External"/><Relationship Id="rId177" Type="http://schemas.openxmlformats.org/officeDocument/2006/relationships/hyperlink" Target="https://doi.org/10.1016/j.actaastro.2019.12.008" TargetMode="External"/><Relationship Id="rId163" Type="http://schemas.openxmlformats.org/officeDocument/2006/relationships/hyperlink" Target="https://doi.org/10.1016/j.actaastro.2021.06.023" TargetMode="External"/><Relationship Id="rId175" Type="http://schemas.openxmlformats.org/officeDocument/2006/relationships/hyperlink" Target="https://doi.org/10.1016/j.actaastro.2023.01.008" TargetMode="External"/><Relationship Id="rId171" Type="http://schemas.openxmlformats.org/officeDocument/2006/relationships/hyperlink" Target="https://doi.org/10.1016/j.actaastro.2024.07.019" TargetMode="External"/><Relationship Id="rId169" Type="http://schemas.openxmlformats.org/officeDocument/2006/relationships/hyperlink" Target="https://doi.org/10.1016/j.actaastro.2024.09.063" TargetMode="External"/><Relationship Id="rId167" Type="http://schemas.openxmlformats.org/officeDocument/2006/relationships/hyperlink" Target="https://doi.org/10.1016/j.actaastro.2025.01.045" TargetMode="External"/><Relationship Id="rId173" Type="http://schemas.openxmlformats.org/officeDocument/2006/relationships/hyperlink" Target="https://doi.org/10.1016/j.actaastro.2025.10.023" TargetMode="External"/><Relationship Id="rId153" Type="http://schemas.openxmlformats.org/officeDocument/2006/relationships/hyperlink" Target="https://doi.org/10.64861/DAUC8213" TargetMode="External"/><Relationship Id="rId155" Type="http://schemas.openxmlformats.org/officeDocument/2006/relationships/hyperlink" Target="https://doi.org/10.64861/PWBU1061" TargetMode="External"/><Relationship Id="rId157" Type="http://schemas.openxmlformats.org/officeDocument/2006/relationships/hyperlink" Target="https://doi.org/10.64861/TUTU2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Debris-Model Disagreement and the Misallocation of Shielding and Avoidance Resources</dc:title>
  <dc:creator>Anjali Pereira (1B-SDA-147)</dc:creator>
  <cp:keywords/>
  <dcterms:created xsi:type="dcterms:W3CDTF">2026-07-02T18:08:15Z</dcterms:created>
  <dcterms:modified xsi:type="dcterms:W3CDTF">2026-07-02T18:08:15Z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