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STANDARDS CASCADES: TRACING THE DIFFUSION OF STM BEST PRACTICES THROUGH CITATION</w:t>
      </w:r>
    </w:p>
    <w:p>
      <w:pPr>
        <w:jc w:val="center"/>
      </w:pPr>
    </w:p>
    <w:p>
      <w:pPr>
        <w:jc w:val="center"/>
      </w:pPr>
      <w:r>
        <w:rPr>
          <w:rFonts w:ascii="Times New Roman" w:hAnsi="Times New Roman"/>
          <w:sz w:val="24"/>
        </w:rPr>
        <w:t>by</w:t>
      </w:r>
    </w:p>
    <w:p>
      <w:pPr>
        <w:jc w:val="center"/>
      </w:pPr>
      <w:r>
        <w:rPr>
          <w:rFonts w:ascii="Times New Roman" w:hAnsi="Times New Roman"/>
          <w:b/>
          <w:sz w:val="28"/>
        </w:rPr>
        <w:t>Esme Knox</w:t>
      </w:r>
    </w:p>
    <w:p>
      <w:pPr>
        <w:jc w:val="center"/>
      </w:pPr>
      <w:r>
        <w:rPr>
          <w:rFonts w:ascii="Times New Roman" w:hAnsi="Times New Roman"/>
          <w:sz w:val="24"/>
        </w:rPr>
        <w:t>1B-SDA-173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introduction"/>
    <w:p>
      <w:pPr>
        <w:pStyle w:val="Heading1"/>
        <w:spacing w:line="480" w:lineRule="auto"/>
      </w:pPr>
      <w:r>
        <w:t xml:space="preserve">Introduction</w:t>
      </w:r>
    </w:p>
    <w:p>
      <w:pPr>
        <w:pStyle w:val="FirstParagraph"/>
        <w:spacing w:line="480" w:lineRule="auto"/>
      </w:pPr>
      <w:r>
        <w:t xml:space="preserve">Space governance tends to announce itself as a problem before it settles into a rule. An operator files a maneuver, a fragmentation event scatters trackable debris across a shell, a national delegation raises a concern at a technical subcommittee, and only later does a written standard appear that names the practice and tells the next operator what to do. This dissertation treats that lag as something we can measure rather than something we can only narrate. It asks a deliberately small question about a large phenomenon: when a best practice in space traffic management begins to diffuse, does the diffusion leave a visible trace in the documentary record, in the timing of publications, in the attention those publications attract, and in the venues that carry them?</w:t>
      </w:r>
    </w:p>
    <w:p>
      <w:pPr>
        <w:pStyle w:val="BodyText"/>
        <w:spacing w:line="480" w:lineRule="auto"/>
        <w:ind w:firstLine="720"/>
      </w:pPr>
      <w:r>
        <w:t xml:space="preserve">Consider the pattern. A rule almost never precedes the problem it governs. It follows.</w:t>
      </w:r>
    </w:p>
    <w:p>
      <w:pPr>
        <w:pStyle w:val="BodyText"/>
        <w:spacing w:line="480" w:lineRule="auto"/>
        <w:ind w:firstLine="720"/>
      </w:pPr>
      <w:r>
        <w:t xml:space="preserve">The phenomenon of interest is a standards cascade. Best practices in space traffic management do not arrive fully formed. They accrete. A commercial operator publishes a self-reporting risk method, a laboratory publishes a debris-generation model, a policy analyst catalogs the coordination failures that a rule would fix, and each of these documents becomes a candidate node in a citation network that later hardens into shared expectation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cascade metaphor is not decorative. It names a testable claim: that the movement of a practice from proposal to convention should be legible in how documents cite, cluster, and age. If that claim is true, the record should show structure. If it is false, the record should look like noise.</w:t>
      </w:r>
    </w:p>
    <w:p>
      <w:pPr>
        <w:pStyle w:val="BodyText"/>
        <w:spacing w:line="480" w:lineRule="auto"/>
        <w:ind w:firstLine="720"/>
      </w:pPr>
      <w:r>
        <w:t xml:space="preserve">I make one contribution and I make it falsifiable. The contribution is a document-level test of whether the topic signal for space traffic management standards is systematically related to three observable features of the retrieved literature: how recent a document is, how much citation attention it has drawn, and which venue family carries it. The null hypothesis holds that the topic signal is unrelated to these features. The alternative holds that the signal is systematically related to them, rising with recency and with citation attention. This is a narrow claim on purpose. A dissertation that promised to prove that citation cascades cause institutional convergence would be promising more than any bibliometric screen can deliver. What I can deliver is a disciplined answer to a prior question. Before we argue about whether attention drives adoption, we should establish whether attention is even distributed in the structured way the cascade story requires.</w:t>
      </w:r>
    </w:p>
    <w:bookmarkStart w:id="61" w:name="the-stakes"/>
    <w:p>
      <w:pPr>
        <w:pStyle w:val="Heading2"/>
        <w:spacing w:line="480" w:lineRule="auto"/>
      </w:pPr>
      <w:r>
        <w:t xml:space="preserve">The stakes</w:t>
      </w:r>
    </w:p>
    <w:p>
      <w:pPr>
        <w:pStyle w:val="FirstParagraph"/>
        <w:spacing w:line="480" w:lineRule="auto"/>
      </w:pPr>
      <w:r>
        <w:t xml:space="preserve">The stakes here are real. Orbits are filling. Rules lag behind.</w:t>
      </w:r>
    </w:p>
    <w:p>
      <w:pPr>
        <w:pStyle w:val="BodyText"/>
        <w:spacing w:line="480" w:lineRule="auto"/>
        <w:ind w:firstLine="720"/>
      </w:pPr>
      <w:r>
        <w:t xml:space="preserve">The stakes are not academic in the pejorative sense. Space traffic management is moving from a domain of expert consensus to a domain of operational obligation, and it is doing so under conditions of rapid orbital population growth. Large constellations have changed the arithmetic of collision risk, and the operators of those constellations have begun to publish their own realized-risk accounting rather than waiting for a regulator to define the metric</w:t>
      </w:r>
      <w:r>
        <w:t xml:space="preserve"> </w:t>
      </w:r>
      <w:hyperlink w:anchor="ref-2">
        <w:r>
          <w:rPr>
            <w:rStyle w:val="Hyperlink"/>
          </w:rPr>
          <w:t xml:space="preserve">[2]</w:t>
        </w:r>
      </w:hyperlink>
      <w:r>
        <w:t xml:space="preserve">. When a private constellation operator publishes an aggregated realized-risk method drawn from its own conjunction history, it is not merely reporting. It is proposing a standard and inviting others to cite it. The question of whether such proposals actually cascade, or whether they sit uncited in a proceedings volume, is a question about how space governance will get made.</w:t>
      </w:r>
    </w:p>
    <w:p>
      <w:pPr>
        <w:pStyle w:val="BodyText"/>
        <w:spacing w:line="480" w:lineRule="auto"/>
        <w:ind w:firstLine="720"/>
      </w:pPr>
      <w:r>
        <w:t xml:space="preserve">Coordination in this domain is expensive and failure is durable. A fragmentation event does not resolve on a policy timescale; the debris persists, and the models that predict its generation persist as reference points long after the event that motivated them</w:t>
      </w:r>
      <w:r>
        <w:t xml:space="preserve"> </w:t>
      </w:r>
      <w:hyperlink w:anchor="ref-4">
        <w:r>
          <w:rPr>
            <w:rStyle w:val="Hyperlink"/>
          </w:rPr>
          <w:t xml:space="preserve">[4]</w:t>
        </w:r>
      </w:hyperlink>
      <w:r>
        <w:t xml:space="preserve">. Analysts working inside the field describe the coordination problem in blunt terms, cataloging the gaps between what operators do and what any shared rule would require</w:t>
      </w:r>
      <w:r>
        <w:t xml:space="preserve"> </w:t>
      </w:r>
      <w:hyperlink w:anchor="ref-6">
        <w:r>
          <w:rPr>
            <w:rStyle w:val="Hyperlink"/>
          </w:rPr>
          <w:t xml:space="preserve">[6]</w:t>
        </w:r>
      </w:hyperlink>
      <w:r>
        <w:t xml:space="preserve">. If the community is going to converge on shared practice, it will converge partly through the literature, through the slow accumulation of citations that turns one operator’s method into everyone’s baseline. Understanding whether that accumulation is structured is a precondition for understanding whether it can be steered.</w:t>
      </w:r>
    </w:p>
    <w:p>
      <w:pPr>
        <w:pStyle w:val="BodyText"/>
        <w:spacing w:line="480" w:lineRule="auto"/>
        <w:ind w:firstLine="720"/>
      </w:pPr>
      <w:r>
        <w:t xml:space="preserve">There is also a measurement stake specific to this project. A doctoral inquiry should leave a reader with an inspectable path from source selection to variable construction to estimator output to interpretation. Too much writing about diffusion asserts a cascade and illustrates it with a few well-chosen anecdotes. I want the opposite: a chain in which every claim about structure ties to a number that a skeptical reader could recompute from the same source records. The design therefore privileges auditability over ambition. It uses a fixed pool of retrieved source records, a deterministic construction of the topic signal, and two transparent estimators whose full output appears without selection.</w:t>
      </w:r>
    </w:p>
    <w:bookmarkEnd w:id="61"/>
    <w:bookmarkStart w:id="62" w:name="the-scope-of-the-claim-drawn-tightly"/>
    <w:p>
      <w:pPr>
        <w:pStyle w:val="Heading2"/>
        <w:spacing w:line="480" w:lineRule="auto"/>
      </w:pPr>
      <w:r>
        <w:t xml:space="preserve">The scope of the claim, drawn tightly</w:t>
      </w:r>
    </w:p>
    <w:p>
      <w:pPr>
        <w:pStyle w:val="FirstParagraph"/>
        <w:spacing w:line="480" w:lineRule="auto"/>
      </w:pPr>
      <w:r>
        <w:t xml:space="preserve">It helps to draw the scope of the claim tightly at the start, so no reader mistakes the ambition of the question for the ambition of the answer. The question is about a large phenomenon, the making of governance in orbit through the diffusion of practice. The answer is about a small one, whether a bounded corpus of thirty documents shows the structural fingerprints that diffusion would leave in metadata. The gap between the two is bridged not by inflating the answer but by being explicit that the answer is a screen. A screen is a cheap first look that tells you whether a phenomenon is worth an expensive second look, and screens are valuable precisely because they are modest. This dissertation is a screen, and it says so plainly rather than dressing itself as a verdict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Nothing here should be read as a claim about the whole space traffic management literature, about causation, or about whether any particular practice became a binding standard. Those are questions the design cannot reach, and the concluding chapters name them as future work rather than pretending to have answered them. What the design can reach is whether the retrieved corpus is structured in the ways the cascade story predicts, and that narrower question is the one every chapter that follows actually answers</w:t>
      </w:r>
      <w:r>
        <w:t xml:space="preserve"> </w:t>
      </w:r>
      <w:hyperlink w:anchor="ref-2">
        <w:r>
          <w:rPr>
            <w:rStyle w:val="Hyperlink"/>
          </w:rPr>
          <w:t xml:space="preserve">[2]</w:t>
        </w:r>
      </w:hyperlink>
      <w:r>
        <w:t xml:space="preserve">.</w:t>
      </w:r>
    </w:p>
    <w:bookmarkEnd w:id="62"/>
    <w:bookmarkStart w:id="63" w:name="the-design-in-brief"/>
    <w:p>
      <w:pPr>
        <w:pStyle w:val="Heading2"/>
        <w:spacing w:line="480" w:lineRule="auto"/>
      </w:pPr>
      <w:r>
        <w:t xml:space="preserve">The design in brief</w:t>
      </w:r>
    </w:p>
    <w:p>
      <w:pPr>
        <w:pStyle w:val="FirstParagraph"/>
        <w:spacing w:line="480" w:lineRule="auto"/>
      </w:pPr>
      <w:r>
        <w:t xml:space="preserve">Two empirical screens carry the argument. The first is an ordinary least squares model of topic-signal intensity as a function of publication recency, reported citation count, and an ordinal venue-family score. This model asks a cross-sectional question. Holding attention and venue fixed, is the topic signal higher in more recent documents? Holding recency and venue fixed, is it higher in more cited documents? The second screen is a log-log learning-curve model of citation accumulation against document age. This model asks a different question. Does citation count decline in a regular, elastic way as documents get older, the way a learning curve predicts that later units carry lower cost? Together the two screens interrogate the cascade story from two angles, one about how signal is distributed across the corpus at a moment, the other about how attention accumulates over the life of a document.</w:t>
      </w:r>
    </w:p>
    <w:p>
      <w:pPr>
        <w:pStyle w:val="BodyText"/>
        <w:spacing w:line="480" w:lineRule="auto"/>
        <w:ind w:firstLine="720"/>
      </w:pPr>
      <w:r>
        <w:t xml:space="preserve">Neither screen settles the policy question and neither pretends to. Their job is to discipline the evidence. If the cascade story is right, the ordinary least squares model should show citation attention loading positively on the topic signal, and the learning-curve model should show a clean negative elasticity of citation count on age. If the story is wrong, or if the retrieved corpus is too noisy to carry it, the coefficients will be imprecise and the models will refuse to support a strong claim. I treat that refusal as a finding, not a failure. A design that can only ever confirm the hypothesis is not a test</w:t>
      </w:r>
      <w:r>
        <w:t xml:space="preserve"> </w:t>
      </w:r>
      <w:hyperlink w:anchor="ref-3">
        <w:r>
          <w:rPr>
            <w:rStyle w:val="Hyperlink"/>
          </w:rPr>
          <w:t xml:space="preserve">[3]</w:t>
        </w:r>
      </w:hyperlink>
      <w:r>
        <w:t xml:space="preserve">.</w:t>
      </w:r>
    </w:p>
    <w:p>
      <w:pPr>
        <w:pStyle w:val="BodyText"/>
        <w:spacing w:line="480" w:lineRule="auto"/>
        <w:ind w:firstLine="720"/>
      </w:pPr>
      <w:r>
        <w:t xml:space="preserve">So the claim is small. That is deliberate. Small claims can be checked.</w:t>
      </w:r>
    </w:p>
    <w:bookmarkEnd w:id="63"/>
    <w:bookmarkStart w:id="64" w:name="the-falsifiability-commitment"/>
    <w:p>
      <w:pPr>
        <w:pStyle w:val="Heading2"/>
        <w:spacing w:line="480" w:lineRule="auto"/>
      </w:pPr>
      <w:r>
        <w:t xml:space="preserve">The falsifiability commitment</w:t>
      </w:r>
    </w:p>
    <w:p>
      <w:pPr>
        <w:pStyle w:val="FirstParagraph"/>
        <w:spacing w:line="480" w:lineRule="auto"/>
      </w:pPr>
      <w:r>
        <w:t xml:space="preserve">A word about falsifiability, because the term is used loosely often enough that it needs pinning down here. To say the contribution is falsifiable is to say I have specified, before looking at the results, an observable pattern that would count as evidence against the cascade claim. That pattern is concrete. If the citation-attention coefficient in the cross-sectional model had been zero or negative, the sharp version of the cascade prediction would have failed on its central margin. If the temporal elasticity had been zero, positive, or wildly imprecise, the prediction that attention accumulates lawfully over a document’s life would have failed. Neither of these failure conditions is rhetorical; each is a specific sign and precision on a specific coefficient, and each was fixed in advance of estimation.</w:t>
      </w:r>
    </w:p>
    <w:p>
      <w:pPr>
        <w:pStyle w:val="BodyText"/>
        <w:spacing w:line="480" w:lineRule="auto"/>
        <w:ind w:firstLine="720"/>
      </w:pPr>
      <w:r>
        <w:t xml:space="preserve">The commitment matters because it is what separates a test from an illustration. A study that reserves the right to reinterpret any result as consistent with its theory has not tested the theory; it has decorated it. By committing to failure conditions, this project accepts the possibility that the corpus could have refuted its central claim, and it is precisely that acceptance that gives the eventual partial confirmation its weight. When the temporal screen returned a strongly significant negative elasticity, that result mattered because a different result would have counted against the theory. When the cross-sectional screen returned only a marginal coefficient, that too mattered, because it fell short of the pre-specified threshold for a firm claim rather than being narrated into one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64"/>
    <w:bookmarkStart w:id="65" w:name="what-the-reader-should-expect"/>
    <w:p>
      <w:pPr>
        <w:pStyle w:val="Heading2"/>
        <w:spacing w:line="480" w:lineRule="auto"/>
      </w:pPr>
      <w:r>
        <w:t xml:space="preserve">What the reader should expect</w:t>
      </w:r>
    </w:p>
    <w:p>
      <w:pPr>
        <w:pStyle w:val="FirstParagraph"/>
        <w:spacing w:line="480" w:lineRule="auto"/>
      </w:pPr>
      <w:r>
        <w:t xml:space="preserve">The empirical spine is honest about its own limits. The data are a candidate-specific pool of thirty retrieved source records, each preserving its provenance, its year, its venue family, and the deterministic fields from which the topic signal is built. Thirty is a small sample, and the reader should hold the results at the confidence a sample of thirty permits. I would rather report a modest N transparently than inflate the corpus with records whose topic fit I could not defend. The reference pool that anchors the literature engagement is likewise bounded and specific, drawn from work on commercial best practices in space governance</w:t>
      </w:r>
      <w:r>
        <w:t xml:space="preserve"> </w:t>
      </w:r>
      <w:hyperlink w:anchor="ref-1">
        <w:r>
          <w:rPr>
            <w:rStyle w:val="Hyperlink"/>
          </w:rPr>
          <w:t xml:space="preserve">[1]</w:t>
        </w:r>
      </w:hyperlink>
      <w:r>
        <w:t xml:space="preserve">, on constellation risk reporting</w:t>
      </w:r>
      <w:r>
        <w:t xml:space="preserve"> </w:t>
      </w:r>
      <w:hyperlink w:anchor="ref-2">
        <w:r>
          <w:rPr>
            <w:rStyle w:val="Hyperlink"/>
          </w:rPr>
          <w:t xml:space="preserve">[2]</w:t>
        </w:r>
      </w:hyperlink>
      <w:r>
        <w:t xml:space="preserve">, on operational responsiveness</w:t>
      </w:r>
      <w:r>
        <w:t xml:space="preserve"> </w:t>
      </w:r>
      <w:hyperlink w:anchor="ref-3">
        <w:r>
          <w:rPr>
            <w:rStyle w:val="Hyperlink"/>
          </w:rPr>
          <w:t xml:space="preserve">[3]</w:t>
        </w:r>
      </w:hyperlink>
      <w:r>
        <w:t xml:space="preserve">, on debris modeling</w:t>
      </w:r>
      <w:r>
        <w:t xml:space="preserve"> </w:t>
      </w:r>
      <w:hyperlink w:anchor="ref-4">
        <w:r>
          <w:rPr>
            <w:rStyle w:val="Hyperlink"/>
          </w:rPr>
          <w:t xml:space="preserve">[4]</w:t>
        </w:r>
      </w:hyperlink>
      <w:r>
        <w:t xml:space="preserve">, on constellation resilience to fragmentation</w:t>
      </w:r>
      <w:r>
        <w:t xml:space="preserve"> </w:t>
      </w:r>
      <w:hyperlink w:anchor="ref-5">
        <w:r>
          <w:rPr>
            <w:rStyle w:val="Hyperlink"/>
          </w:rPr>
          <w:t xml:space="preserve">[5]</w:t>
        </w:r>
      </w:hyperlink>
      <w:r>
        <w:t xml:space="preserve">, and on the coordination challenges that motivate the whole enterprise</w:t>
      </w:r>
      <w:r>
        <w:t xml:space="preserve"> </w:t>
      </w:r>
      <w:hyperlink w:anchor="ref-6">
        <w:r>
          <w:rPr>
            <w:rStyle w:val="Hyperlink"/>
          </w:rPr>
          <w:t xml:space="preserve">[6]</w:t>
        </w:r>
      </w:hyperlink>
      <w:r>
        <w:t xml:space="preserve">.</w:t>
      </w:r>
    </w:p>
    <w:p>
      <w:pPr>
        <w:pStyle w:val="BodyText"/>
        <w:spacing w:line="480" w:lineRule="auto"/>
        <w:ind w:firstLine="720"/>
      </w:pPr>
      <w:r>
        <w:t xml:space="preserve">The remaining chapters proceed in the order a skeptical committee would want. Chapter two situates the project against prior work, distinguishing the technical literature that identifies operational risk from the institutional literature that explains why governance language hardens or stays loose. Chapter three states the mechanism and derives the testable predictions, spelling out what the cascade story requires the data to show. Chapter four presents the two estimators and argues why each identifies the feature it claims to identify. Chapter five describes the dataset, the variable construction, and the provenance discipline that keeps the workbook auditable. Chapter six reports the estimator output exactly as the empirical files produced it and interprets the signs and magnitudes without embellishment. Chapter seven confronts the threats to validity and states plainly what the data cannot show. Chapter eight draws the contribution together and connects it to the governance and program decisions that motivated the question in the first place.</w:t>
      </w:r>
    </w:p>
    <w:bookmarkEnd w:id="65"/>
    <w:bookmarkStart w:id="66" w:name="why-citation-is-the-right-observable"/>
    <w:p>
      <w:pPr>
        <w:pStyle w:val="Heading2"/>
        <w:spacing w:line="480" w:lineRule="auto"/>
      </w:pPr>
      <w:r>
        <w:t xml:space="preserve">Why citation is the right observable</w:t>
      </w:r>
    </w:p>
    <w:p>
      <w:pPr>
        <w:pStyle w:val="FirstParagraph"/>
        <w:spacing w:line="480" w:lineRule="auto"/>
      </w:pPr>
      <w:r>
        <w:t xml:space="preserve">A reasonable objection arrives early: why study citations at all, when the outcome that matters is adoption, the moment an operator actually changes its procedures to match a proposed standard? The answer is that adoption is largely unobservable at scale, and citation is the best-instrumented shadow it casts. Operators rarely publish the internal decision to embrace a practice. What they publish, and what standards bodies and researchers publish around them, is a documentary trail, and that trail records who paid attention to whom. When a sustainability rating is designed to score operator behavior and thereby steer it, the design is itself a document that other authors cite as they debate, extend, or adopt the scoring logic</w:t>
      </w:r>
      <w:r>
        <w:t xml:space="preserve"> </w:t>
      </w:r>
      <w:hyperlink w:anchor="ref-11">
        <w:r>
          <w:rPr>
            <w:rStyle w:val="Hyperlink"/>
          </w:rPr>
          <w:t xml:space="preserve">[11]</w:t>
        </w:r>
      </w:hyperlink>
      <w:r>
        <w:t xml:space="preserve">. Citation is not adoption, but it is causally upstream of adoption in the cascade account and vastly easier to measure. Using it is a deliberate trade of directness for observability, and the rest of the dissertation is careful to keep that trade visible rather than letting citation quietly stand in for adoption.</w:t>
      </w:r>
    </w:p>
    <w:p>
      <w:pPr>
        <w:pStyle w:val="BodyText"/>
        <w:spacing w:line="480" w:lineRule="auto"/>
        <w:ind w:firstLine="720"/>
      </w:pPr>
      <w:r>
        <w:t xml:space="preserve">There is a second reason citation suits this problem. The space traffic management community is small enough that its documentary record is nearly a census of its serious thinking rather than a thin sample of it. When a laboratory publishes a debris-generation model or a firm publishes a realized-risk method, the relevant audience is a few hundred specialists, and the citation network among them is dense and legible</w:t>
      </w:r>
      <w:r>
        <w:t xml:space="preserve"> </w:t>
      </w:r>
      <w:hyperlink w:anchor="ref-4">
        <w:r>
          <w:rPr>
            <w:rStyle w:val="Hyperlink"/>
          </w:rPr>
          <w:t xml:space="preserve">[4]</w:t>
        </w:r>
      </w:hyperlink>
      <w:r>
        <w:t xml:space="preserve"> </w:t>
      </w:r>
      <w:hyperlink w:anchor="ref-2">
        <w:r>
          <w:rPr>
            <w:rStyle w:val="Hyperlink"/>
          </w:rPr>
          <w:t xml:space="preserve">[2]</w:t>
        </w:r>
      </w:hyperlink>
      <w:r>
        <w:t xml:space="preserve">. In a field of that scale, citation counts carry more information per document than they would in a sprawling literature, because a citation is a scarce and deliberate act rather than a reflexive one. The smallness of the field, which makes the sample small, is also what makes each observation informative.</w:t>
      </w:r>
    </w:p>
    <w:bookmarkEnd w:id="66"/>
    <w:bookmarkStart w:id="67" w:name="X025fed5b5a7a6793a54324e6c94f5b0eacf5ef5"/>
    <w:p>
      <w:pPr>
        <w:pStyle w:val="Heading2"/>
        <w:spacing w:line="480" w:lineRule="auto"/>
      </w:pPr>
      <w:r>
        <w:t xml:space="preserve">Situating the question in the current moment</w:t>
      </w:r>
    </w:p>
    <w:p>
      <w:pPr>
        <w:pStyle w:val="FirstParagraph"/>
        <w:spacing w:line="480" w:lineRule="auto"/>
      </w:pPr>
      <w:r>
        <w:t xml:space="preserve">The timing of this inquiry is not accidental. The orbital environment has entered a regime that earlier governance instruments were not designed for. Constellations numbering in the thousands of satellites now share the low-earth shells with legacy assets and with the debris that past collisions and fragmentations left behind, and the operators of those constellations have become, of necessity, generators of operational data at a scale no regulator can match</w:t>
      </w:r>
      <w:r>
        <w:t xml:space="preserve"> </w:t>
      </w:r>
      <w:hyperlink w:anchor="ref-2">
        <w:r>
          <w:rPr>
            <w:rStyle w:val="Hyperlink"/>
          </w:rPr>
          <w:t xml:space="preserve">[2]</w:t>
        </w:r>
      </w:hyperlink>
      <w:r>
        <w:t xml:space="preserve"> </w:t>
      </w:r>
      <w:hyperlink w:anchor="ref-5">
        <w:r>
          <w:rPr>
            <w:rStyle w:val="Hyperlink"/>
          </w:rPr>
          <w:t xml:space="preserve">[5]</w:t>
        </w:r>
      </w:hyperlink>
      <w:r>
        <w:t xml:space="preserve">. That shift changes where standards come from. In an earlier era, a standard might descend from a treaty body or a national licensing authority. In the current one, it often ascends from an operator that has solved a problem in practice and chosen to document its solution. The cascade question is therefore a question about a live and consequential mechanism, not a historical curiosity.</w:t>
      </w:r>
    </w:p>
    <w:p>
      <w:pPr>
        <w:pStyle w:val="BodyText"/>
        <w:spacing w:line="480" w:lineRule="auto"/>
        <w:ind w:firstLine="720"/>
      </w:pPr>
      <w:r>
        <w:t xml:space="preserve">Consider what the community actually argues about. Analysts catalog coordination failures and ask why shared authority is absent</w:t>
      </w:r>
      <w:r>
        <w:t xml:space="preserve"> </w:t>
      </w:r>
      <w:hyperlink w:anchor="ref-6">
        <w:r>
          <w:rPr>
            <w:rStyle w:val="Hyperlink"/>
          </w:rPr>
          <w:t xml:space="preserve">[6]</w:t>
        </w:r>
      </w:hyperlink>
      <w:r>
        <w:t xml:space="preserve">. Legal scholars trace how liability doctrine strains when autonomous systems act in orbit without a settled account of who is responsible</w:t>
      </w:r>
      <w:r>
        <w:t xml:space="preserve"> </w:t>
      </w:r>
      <w:hyperlink w:anchor="ref-10">
        <w:r>
          <w:rPr>
            <w:rStyle w:val="Hyperlink"/>
          </w:rPr>
          <w:t xml:space="preserve">[10]</w:t>
        </w:r>
      </w:hyperlink>
      <w:r>
        <w:t xml:space="preserve">. Sustainability researchers build composite indicators precisely because no statutory metric exists, hoping that a well-designed score will pull operator behavior toward the collective interest</w:t>
      </w:r>
      <w:r>
        <w:t xml:space="preserve"> </w:t>
      </w:r>
      <w:hyperlink w:anchor="ref-11">
        <w:r>
          <w:rPr>
            <w:rStyle w:val="Hyperlink"/>
          </w:rPr>
          <w:t xml:space="preserve">[11]</w:t>
        </w:r>
      </w:hyperlink>
      <w:r>
        <w:t xml:space="preserve">. Each of these is an attempt to manufacture convergence in a domain where convergence cannot be commanded. Whether these attempts succeed depends on whether they cascade, on whether the community picks them up, cites them, extends them, and eventually treats them as baseline. The documentary record is where that picking-up either happens or fails to, which is why reading the record carefully is a way of watching governance form.</w:t>
      </w:r>
    </w:p>
    <w:p>
      <w:pPr>
        <w:pStyle w:val="BodyText"/>
        <w:spacing w:line="480" w:lineRule="auto"/>
        <w:ind w:firstLine="720"/>
      </w:pPr>
      <w:r>
        <w:t xml:space="preserve">There is a deeper reason the question matters now. Registration practices, the unglamorous substrate on which any traffic management scheme must rest, have been identified as inadequate for the coming density of operations</w:t>
      </w:r>
      <w:r>
        <w:t xml:space="preserve"> </w:t>
      </w:r>
      <w:hyperlink w:anchor="ref-12">
        <w:r>
          <w:rPr>
            <w:rStyle w:val="Hyperlink"/>
          </w:rPr>
          <w:t xml:space="preserve">[12]</w:t>
        </w:r>
      </w:hyperlink>
      <w:r>
        <w:t xml:space="preserve">. Reforming that substrate is exactly the kind of institutional move that begins as a proposal in the literature and must diffuse before it can bind. If we cannot observe whether such proposals diffuse, we cannot tell a promising reform from a stillborn one until years later, when the debris or the collision has already forced the issue. A method for reading diffusion early, even an imperfect one, has value proportional to how expensive the failures are, and in this domain the failures are very expensive.</w:t>
      </w:r>
    </w:p>
    <w:bookmarkEnd w:id="67"/>
    <w:bookmarkStart w:id="68" w:name="the-argument-in-one-paragraph"/>
    <w:p>
      <w:pPr>
        <w:pStyle w:val="Heading2"/>
        <w:spacing w:line="480" w:lineRule="auto"/>
      </w:pPr>
      <w:r>
        <w:t xml:space="preserve">The argument in one paragraph</w:t>
      </w:r>
    </w:p>
    <w:p>
      <w:pPr>
        <w:pStyle w:val="FirstParagraph"/>
        <w:spacing w:line="480" w:lineRule="auto"/>
      </w:pPr>
      <w:r>
        <w:t xml:space="preserve">Stripped to its core, the argument runs as follows. Standards cascades, if they exist, are diffusion processes running through citation. Diffusion implies two observable regularities: topic signal should coincide with citation attention cross-sectionally, and citation attention should accumulate and decay lawfully over a document’s life. I test both regularities on a bounded, auditable corpus using two transparent estimators. The temporal regularity appears strongly; the cross-sectional one appears only faintly. The field’s diffusion is therefore legible in time and dim in cross-section, which tells the next researcher where the cheap evidence ends and the expensive coding must begin. Every step of that argument is reproducible from the source records, which is what makes it a dissertation rather than an essay</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I want to be candid at the outset about the shape of the answer, because a dissertation should not stage suspense it has not earned. The corpus does not deliver a clean cascade signature on every margin. One screen returns a mixed and largely imprecise picture; the other returns a sharp and interpretable regularity. That asymmetry is itself informative. It tells us which parts of the cascade story are visible in cheap metadata and which parts require the more expensive apparatus of direct document coding. Newer registration and reporting practices, for instance, may not yet have accumulated the citation mass that a cross-sectional screen can detect, even where the underlying institutional pressure is real</w:t>
      </w:r>
      <w:r>
        <w:t xml:space="preserve"> </w:t>
      </w:r>
      <w:hyperlink w:anchor="ref-12">
        <w:r>
          <w:rPr>
            <w:rStyle w:val="Hyperlink"/>
          </w:rPr>
          <w:t xml:space="preserve">[12]</w:t>
        </w:r>
      </w:hyperlink>
      <w:r>
        <w:t xml:space="preserve">. Delivering that map, rather than a triumphant confirmation, is the honest contribution of a design-stage inquiry. The chapters that follow build it one inspectable step at a time.</w:t>
      </w:r>
    </w:p>
    <w:bookmarkEnd w:id="68"/>
    <w:bookmarkEnd w:id="69"/>
    <w:bookmarkStart w:id="80" w:name="literature-review"/>
    <w:p>
      <w:pPr>
        <w:pStyle w:val="Heading1"/>
        <w:spacing w:line="480" w:lineRule="auto"/>
      </w:pPr>
      <w:r>
        <w:t xml:space="preserve">Literature Review</w:t>
      </w:r>
    </w:p>
    <w:p>
      <w:pPr>
        <w:pStyle w:val="FirstParagraph"/>
        <w:spacing w:line="480" w:lineRule="auto"/>
      </w:pPr>
      <w:r>
        <w:t xml:space="preserve">Two bodies of writing bear on this project, and they rarely talk to each other. One is the technical and operational literature of space traffic management, produced largely by engineers, laboratory scientists, and constellation operators who are trying to keep spacecraft from hitting each other. The other is the institutional literature of space governance, produced by policy analysts, legal scholars, and sustainability researchers who are trying to explain how rules for orbit get written, adopted, and enforced. This chapter reads both, because the cascade question sits precisely in the seam between them. A standard begins as a technical proposal and ends as an institutional fact, and the citation record is where that transition, if it happens at all, becomes visible.</w:t>
      </w:r>
    </w:p>
    <w:p>
      <w:pPr>
        <w:pStyle w:val="BodyText"/>
        <w:spacing w:line="480" w:lineRule="auto"/>
        <w:ind w:firstLine="720"/>
      </w:pPr>
      <w:r>
        <w:t xml:space="preserve">Two literatures. One seam. The whole project lives there.</w:t>
      </w:r>
    </w:p>
    <w:bookmarkStart w:id="70" w:name="reading-the-two-strands-as-one-problem"/>
    <w:p>
      <w:pPr>
        <w:pStyle w:val="Heading2"/>
        <w:spacing w:line="480" w:lineRule="auto"/>
      </w:pPr>
      <w:r>
        <w:t xml:space="preserve">Reading the two strands as one problem</w:t>
      </w:r>
    </w:p>
    <w:p>
      <w:pPr>
        <w:pStyle w:val="FirstParagraph"/>
        <w:spacing w:line="480" w:lineRule="auto"/>
      </w:pPr>
      <w:r>
        <w:t xml:space="preserve">Before turning to each strand, it is worth stating why reading them together is not merely tidy but necessary. A standard in space traffic management is a hybrid object. It begins as a technical claim, a way of computing risk or modeling debris, and it ends as an institutional fact, a rule operators follow. Neither strand of the literature sees the whole object. The technical writing sees the claim and stops at the point where it would become a rule; the governance writing sees the rule and takes the underlying claim for granted. The cascade question is the question of the transition between them, and that transition is exactly what neither strand examines directly</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is why a review organized around the seam, rather than around either strand alone, is the right frame for the project.</w:t>
      </w:r>
    </w:p>
    <w:bookmarkEnd w:id="70"/>
    <w:bookmarkStart w:id="71" w:name="the-technical-and-operational-strand"/>
    <w:p>
      <w:pPr>
        <w:pStyle w:val="Heading2"/>
        <w:spacing w:line="480" w:lineRule="auto"/>
      </w:pPr>
      <w:r>
        <w:t xml:space="preserve">The technical and operational strand</w:t>
      </w:r>
    </w:p>
    <w:p>
      <w:pPr>
        <w:pStyle w:val="FirstParagraph"/>
        <w:spacing w:line="480" w:lineRule="auto"/>
      </w:pPr>
      <w:r>
        <w:t xml:space="preserve">Begin with the work that identifies risk. Physics-based debris modeling gives the field its worst-case grammar. Hydrocode simulation of the Iridium-Cosmos collision reconstructed how a hypervelocity impact fragments two intact satellites into a debris cloud, and that reconstruction became a durable reference for anyone reasoning about the consequences of a conjunction gone wrong</w:t>
      </w:r>
      <w:r>
        <w:t xml:space="preserve"> </w:t>
      </w:r>
      <w:hyperlink w:anchor="ref-4">
        <w:r>
          <w:rPr>
            <w:rStyle w:val="Hyperlink"/>
          </w:rPr>
          <w:t xml:space="preserve">[4]</w:t>
        </w:r>
      </w:hyperlink>
      <w:r>
        <w:t xml:space="preserve">. Work of this kind matters to a cascade study for a specific reason. It produces documents that stay useful for a long time. A debris-generation model does not go stale the way a policy memo does, and so it should accumulate citations along a recognizable trajectory. If any part of the corpus obeys a clean attention curve, the durable technical core is where one would expect to find it.</w:t>
      </w:r>
    </w:p>
    <w:p>
      <w:pPr>
        <w:pStyle w:val="BodyText"/>
        <w:spacing w:line="480" w:lineRule="auto"/>
        <w:ind w:firstLine="720"/>
      </w:pPr>
      <w:r>
        <w:t xml:space="preserve">Operational writing sits alongside the physics. The push to become operationally responsive in space framed a doctrine problem before the field had settled its vocabulary, arguing that the tempo of operations, not just the inventory of assets, would determine outcomes</w:t>
      </w:r>
      <w:r>
        <w:t xml:space="preserve"> </w:t>
      </w:r>
      <w:hyperlink w:anchor="ref-3">
        <w:r>
          <w:rPr>
            <w:rStyle w:val="Hyperlink"/>
          </w:rPr>
          <w:t xml:space="preserve">[3]</w:t>
        </w:r>
      </w:hyperlink>
      <w:r>
        <w:t xml:space="preserve">. That framing is early, and its date matters for this study, because a cascade analysis is partly a study of timing. A document published before the community had a shared name for its problem may be foundational and yet lightly cited, simply because the citing community had not yet formed. The learning-curve screen in this dissertation is sensitive to exactly that pattern: old documents that anchor a field can carry either high citation mass or low, depending on whether the field grew up around them or around something else.</w:t>
      </w:r>
    </w:p>
    <w:p>
      <w:pPr>
        <w:pStyle w:val="BodyText"/>
        <w:spacing w:line="480" w:lineRule="auto"/>
        <w:ind w:firstLine="720"/>
      </w:pPr>
      <w:r>
        <w:t xml:space="preserve">The most consequential recent development in the technical strand is the arrival of the constellation operator as a standards author. A self-reporting aggregated realized-risk method, drawn from the conjunction history of an operating constellation, does something new. It converts an operator’s private telemetry into a public metric that other operators can adopt</w:t>
      </w:r>
      <w:r>
        <w:t xml:space="preserve"> </w:t>
      </w:r>
      <w:hyperlink w:anchor="ref-2">
        <w:r>
          <w:rPr>
            <w:rStyle w:val="Hyperlink"/>
          </w:rPr>
          <w:t xml:space="preserve">[2]</w:t>
        </w:r>
      </w:hyperlink>
      <w:r>
        <w:t xml:space="preserve">. This is the cascade mechanism in its rawest form. A practice invented inside one company is offered to the field as a candidate norm. Related engineering work on constellation resilience to accidental and intentional fragmentation extends the same logic, treating the survivability of a constellation as a design property that can be reasoned about and, implicitly, standardized</w:t>
      </w:r>
      <w:r>
        <w:t xml:space="preserve"> </w:t>
      </w:r>
      <w:hyperlink w:anchor="ref-5">
        <w:r>
          <w:rPr>
            <w:rStyle w:val="Hyperlink"/>
          </w:rPr>
          <w:t xml:space="preserve">[5]</w:t>
        </w:r>
      </w:hyperlink>
      <w:r>
        <w:t xml:space="preserve">. If cascades are real, these are the documents whose citation trajectories should eventually reveal them.</w:t>
      </w:r>
    </w:p>
    <w:bookmarkEnd w:id="71"/>
    <w:bookmarkStart w:id="72" w:name="the-operational-responsiveness-lineage"/>
    <w:p>
      <w:pPr>
        <w:pStyle w:val="Heading2"/>
        <w:spacing w:line="480" w:lineRule="auto"/>
      </w:pPr>
      <w:r>
        <w:t xml:space="preserve">The operational-responsiveness lineage</w:t>
      </w:r>
    </w:p>
    <w:p>
      <w:pPr>
        <w:pStyle w:val="FirstParagraph"/>
        <w:spacing w:line="480" w:lineRule="auto"/>
      </w:pPr>
      <w:r>
        <w:t xml:space="preserve">The operational-responsiveness work occupies a peculiar and instructive place in this lineage, and it rewards a closer reading than its age might suggest. Published before the community had consolidated its vocabulary, it argued that the tempo of operations would drive outcomes as much as the inventory of assets, a claim that reads as prescient given the constellation era that followed</w:t>
      </w:r>
      <w:r>
        <w:t xml:space="preserve"> </w:t>
      </w:r>
      <w:hyperlink w:anchor="ref-3">
        <w:r>
          <w:rPr>
            <w:rStyle w:val="Hyperlink"/>
          </w:rPr>
          <w:t xml:space="preserve">[3]</w:t>
        </w:r>
      </w:hyperlink>
      <w:r>
        <w:t xml:space="preserve">. Its date is exactly what makes it a useful test case for the temporal screen. A foundational document published early can accumulate citations along one of two very different paths: it can become a heavily cited anchor as the field grows up around it, or it can remain lightly cited if the field’s later vocabulary diverged from its own. Which path this document took is an empirical question the age-based screen is built to characterize, and the answer speaks to whether early framing documents cascade or are quietly bypassed by the vocabulary that succeeds them</w:t>
      </w:r>
      <w:r>
        <w:t xml:space="preserve"> </w:t>
      </w:r>
      <w:hyperlink w:anchor="ref-4">
        <w:r>
          <w:rPr>
            <w:rStyle w:val="Hyperlink"/>
          </w:rPr>
          <w:t xml:space="preserve">[4]</w:t>
        </w:r>
      </w:hyperlink>
      <w:r>
        <w:t xml:space="preserve">.</w:t>
      </w:r>
    </w:p>
    <w:bookmarkEnd w:id="72"/>
    <w:bookmarkStart w:id="73" w:name="the-institutional-and-governance-strand"/>
    <w:p>
      <w:pPr>
        <w:pStyle w:val="Heading2"/>
        <w:spacing w:line="480" w:lineRule="auto"/>
      </w:pPr>
      <w:r>
        <w:t xml:space="preserve">The institutional and governance strand</w:t>
      </w:r>
    </w:p>
    <w:p>
      <w:pPr>
        <w:pStyle w:val="FirstParagraph"/>
        <w:spacing w:line="480" w:lineRule="auto"/>
      </w:pPr>
      <w:r>
        <w:t xml:space="preserve">The governance literature asks a different question: not what the risk is, but why the rules do or do not converge. Commercial best practices have been read as contributions to a global governance continuum, on the argument that industry conduct, when documented and shared, becomes de facto standard-setting that public institutions later ratify</w:t>
      </w:r>
      <w:r>
        <w:t xml:space="preserve"> </w:t>
      </w:r>
      <w:hyperlink w:anchor="ref-1">
        <w:r>
          <w:rPr>
            <w:rStyle w:val="Hyperlink"/>
          </w:rPr>
          <w:t xml:space="preserve">[1]</w:t>
        </w:r>
      </w:hyperlink>
      <w:r>
        <w:t xml:space="preserve">. This is the theoretical warrant for the entire project. It claims that the private and the public governance layers are connected through exactly the documentary channel a citation study can observe. If commercial best practices really do feed the continuum, then the documents that articulate them should not sit inert; they should be cited, extended, and absorbed.</w:t>
      </w:r>
    </w:p>
    <w:p>
      <w:pPr>
        <w:pStyle w:val="BodyText"/>
        <w:spacing w:line="480" w:lineRule="auto"/>
        <w:ind w:firstLine="720"/>
      </w:pPr>
      <w:r>
        <w:t xml:space="preserve">Against that optimistic reading sits a candid literature on coordination failure. A direct catalog of the challenges in space traffic management names the frictions plainly: fragmented data, misaligned incentives, absent authority, and the gap between what operators can do and what any shared rule would require</w:t>
      </w:r>
      <w:r>
        <w:t xml:space="preserve"> </w:t>
      </w:r>
      <w:hyperlink w:anchor="ref-6">
        <w:r>
          <w:rPr>
            <w:rStyle w:val="Hyperlink"/>
          </w:rPr>
          <w:t xml:space="preserve">[6]</w:t>
        </w:r>
      </w:hyperlink>
      <w:r>
        <w:t xml:space="preserve">. This work is a useful corrective because it predicts the opposite of a clean cascade. If coordination is genuinely hard, the citation record may show fashion and clustering rather than the orderly diffusion the continuum thesis implies. A responsible design has to be able to detect both, and so this dissertation is built to report imprecision as readily as it reports structure.</w:t>
      </w:r>
    </w:p>
    <w:p>
      <w:pPr>
        <w:pStyle w:val="BodyText"/>
        <w:spacing w:line="480" w:lineRule="auto"/>
        <w:ind w:firstLine="720"/>
      </w:pPr>
      <w:r>
        <w:t xml:space="preserve">Registration and measurement occupy a middle position. Scholars have argued that registration practices must improve before space traffic management can function, treating the documentary substrate itself as the object of reform</w:t>
      </w:r>
      <w:r>
        <w:t xml:space="preserve"> </w:t>
      </w:r>
      <w:hyperlink w:anchor="ref-12">
        <w:r>
          <w:rPr>
            <w:rStyle w:val="Hyperlink"/>
          </w:rPr>
          <w:t xml:space="preserve">[12]</w:t>
        </w:r>
      </w:hyperlink>
      <w:r>
        <w:t xml:space="preserve">. That argument is directly relevant here because it implies that the newest and most important institutional moves may be underrepresented in citation counts precisely because they are new. A cross-sectional screen that finds recency doing little work is consistent with a field whose institutional frontier has not yet been cited into prominence. Composite indicators point the same direction. The space sustainability rating was designed as a deliberate attempt to incentivize operators toward long-term sustainability by scoring behavior, which is standard-making by measurement rather than by statute</w:t>
      </w:r>
      <w:r>
        <w:t xml:space="preserve"> </w:t>
      </w:r>
      <w:hyperlink w:anchor="ref-11">
        <w:r>
          <w:rPr>
            <w:rStyle w:val="Hyperlink"/>
          </w:rPr>
          <w:t xml:space="preserve">[11]</w:t>
        </w:r>
      </w:hyperlink>
      <w:r>
        <w:t xml:space="preserve">. Complementary work on incentive-based mechanisms for multi-stakeholder collaboration treats the design of incentives as the lever that turns dispersed operators toward shared practice</w:t>
      </w:r>
      <w:r>
        <w:t xml:space="preserve"> </w:t>
      </w:r>
      <w:hyperlink w:anchor="ref-9">
        <w:r>
          <w:rPr>
            <w:rStyle w:val="Hyperlink"/>
          </w:rPr>
          <w:t xml:space="preserve">[9]</w:t>
        </w:r>
      </w:hyperlink>
      <w:r>
        <w:t xml:space="preserve">. These are cascade instruments by construction; whether they have yet cascaded is an empirical question.</w:t>
      </w:r>
    </w:p>
    <w:bookmarkEnd w:id="73"/>
    <w:bookmarkStart w:id="74" w:name="X59424fd1a27d99cf1ba42532eba0049273f91af"/>
    <w:p>
      <w:pPr>
        <w:pStyle w:val="Heading2"/>
        <w:spacing w:line="480" w:lineRule="auto"/>
      </w:pPr>
      <w:r>
        <w:t xml:space="preserve">The operator as author, examined more closely</w:t>
      </w:r>
    </w:p>
    <w:p>
      <w:pPr>
        <w:pStyle w:val="FirstParagraph"/>
        <w:spacing w:line="480" w:lineRule="auto"/>
      </w:pPr>
      <w:r>
        <w:t xml:space="preserve">The arrival of the constellation operator as a standards author is consequential enough to warrant a second look, because it is the clearest instance in the corpus of the cascade mechanism attempting to run in real time. When an operator publishes an aggregated realized-risk method built from its own conjunction history, it is doing something a regulator structurally cannot: it is converting proprietary operational experience into a shareable public metric</w:t>
      </w:r>
      <w:r>
        <w:t xml:space="preserve"> </w:t>
      </w:r>
      <w:hyperlink w:anchor="ref-2">
        <w:r>
          <w:rPr>
            <w:rStyle w:val="Hyperlink"/>
          </w:rPr>
          <w:t xml:space="preserve">[2]</w:t>
        </w:r>
      </w:hyperlink>
      <w:r>
        <w:t xml:space="preserve">. The publication is an invitation. It says, in so many words, here is how we account for the risk our constellation imposes, and here is a method others could adopt so that accounts become comparable across operators. Comparability is the precondition for any collective governance of orbital risk, and an operator that supplies it is performing a governance function through a documentary act.</w:t>
      </w:r>
    </w:p>
    <w:p>
      <w:pPr>
        <w:pStyle w:val="BodyText"/>
        <w:spacing w:line="480" w:lineRule="auto"/>
        <w:ind w:firstLine="720"/>
      </w:pPr>
      <w:r>
        <w:t xml:space="preserve">Whether that invitation is accepted is exactly the cascade question, and it is not answerable from the proposal alone. The method could be widely cited and extended, in which case it is cascading toward a de facto standard, or it could sit in a single proceedings volume, admired and unused. The resilience literature extends the same dynamic to constellation survivability, treating the ability to withstand accidental and intentional fragmentation as a design property that could, if adopted broadly, become an expectation rather than a differentiator</w:t>
      </w:r>
      <w:r>
        <w:t xml:space="preserve"> </w:t>
      </w:r>
      <w:hyperlink w:anchor="ref-5">
        <w:r>
          <w:rPr>
            <w:rStyle w:val="Hyperlink"/>
          </w:rPr>
          <w:t xml:space="preserve">[5]</w:t>
        </w:r>
      </w:hyperlink>
      <w:r>
        <w:t xml:space="preserve">. These are the documents whose citation trajectories the empirical screens are most eager to read, because they are where the private-to-public transition is happening if it is happening at all. The literature review flags them not merely as sources but as the corpus’s most theoretically loaded observations.</w:t>
      </w:r>
    </w:p>
    <w:bookmarkEnd w:id="74"/>
    <w:bookmarkStart w:id="75" w:name="X19e935056c74f3c72373bcf4b33d6f5de5b7ebd"/>
    <w:p>
      <w:pPr>
        <w:pStyle w:val="Heading2"/>
        <w:spacing w:line="480" w:lineRule="auto"/>
      </w:pPr>
      <w:r>
        <w:t xml:space="preserve">Measurement instruments as governance moves</w:t>
      </w:r>
    </w:p>
    <w:p>
      <w:pPr>
        <w:pStyle w:val="FirstParagraph"/>
        <w:spacing w:line="480" w:lineRule="auto"/>
      </w:pPr>
      <w:r>
        <w:t xml:space="preserve">The sustainability rating and the incentive-mechanism work belong to a distinct category that the review should name explicitly: they are governance-by-measurement. Rather than proposing a rule and asking for compliance, they propose a score and let the score pull behavior. The sustainability rating was built to incentivize operators toward long-term environmental stewardship by making their conduct legible and comparable</w:t>
      </w:r>
      <w:r>
        <w:t xml:space="preserve"> </w:t>
      </w:r>
      <w:hyperlink w:anchor="ref-11">
        <w:r>
          <w:rPr>
            <w:rStyle w:val="Hyperlink"/>
          </w:rPr>
          <w:t xml:space="preserve">[11]</w:t>
        </w:r>
      </w:hyperlink>
      <w:r>
        <w:t xml:space="preserve">. The incentive-mechanism work theorizes the conditions under which dispersed operators, each pursuing private advantage, can be drawn toward collectively beneficial practice</w:t>
      </w:r>
      <w:r>
        <w:t xml:space="preserve"> </w:t>
      </w:r>
      <w:hyperlink w:anchor="ref-9">
        <w:r>
          <w:rPr>
            <w:rStyle w:val="Hyperlink"/>
          </w:rPr>
          <w:t xml:space="preserve">[9]</w:t>
        </w:r>
      </w:hyperlink>
      <w:r>
        <w:t xml:space="preserve">. Both are attempts to manufacture a cascade deliberately, to engineer the conditions under which a practice spreads rather than waiting to see whether it does.</w:t>
      </w:r>
    </w:p>
    <w:p>
      <w:pPr>
        <w:pStyle w:val="BodyText"/>
        <w:spacing w:line="480" w:lineRule="auto"/>
        <w:ind w:firstLine="720"/>
      </w:pPr>
      <w:r>
        <w:t xml:space="preserve">For a citation study, governance-by-measurement instruments are doubly interesting. They are themselves candidate standards, so their citation trajectories test whether they are cascading. And they are theories of how cascades work, so they inform the mechanism the whole dissertation is testing. Reading them, one sees the field self-consciously trying to do what this dissertation is trying to observe, which is a reminder that the cascade is not a metaphor imposed from outside but a process the community is actively engineering from inside</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Some nearby work matters less for what it proves than for what it warns against. Read it as boundary markers.</w:t>
      </w:r>
    </w:p>
    <w:bookmarkEnd w:id="75"/>
    <w:bookmarkStart w:id="76" w:name="adjacent-literatures-that-set-boundaries"/>
    <w:p>
      <w:pPr>
        <w:pStyle w:val="Heading2"/>
        <w:spacing w:line="480" w:lineRule="auto"/>
      </w:pPr>
      <w:r>
        <w:t xml:space="preserve">Adjacent literatures that set boundaries</w:t>
      </w:r>
    </w:p>
    <w:p>
      <w:pPr>
        <w:pStyle w:val="FirstParagraph"/>
        <w:spacing w:line="480" w:lineRule="auto"/>
      </w:pPr>
      <w:r>
        <w:t xml:space="preserve">Several nearby literatures matter mainly for what they warn against. Work on legal liability for artificial intelligence in outer space shows how quickly a governance conversation can outrun the settled law beneath it, which is a reminder that salience in the literature is not the same as institutional consequence</w:t>
      </w:r>
      <w:r>
        <w:t xml:space="preserve"> </w:t>
      </w:r>
      <w:hyperlink w:anchor="ref-10">
        <w:r>
          <w:rPr>
            <w:rStyle w:val="Hyperlink"/>
          </w:rPr>
          <w:t xml:space="preserve">[10]</w:t>
        </w:r>
      </w:hyperlink>
      <w:r>
        <w:t xml:space="preserve">. Studies of outreach and of gamified approaches to space law show that a topic can generate documentary attention through education and engagement channels that have little to do with operational adoption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A citation study cannot distinguish, from counts alone, between attention that reflects genuine standard-setting and attention that reflects a lively teaching literature. Naming that ambiguity is part of reading the literature honestly, and it shapes how cautiously the results in chapter six are interpreted.</w:t>
      </w:r>
    </w:p>
    <w:bookmarkEnd w:id="76"/>
    <w:bookmarkStart w:id="77" w:name="X49c301379a6f1999e4838c60f8b4aa5c280c429"/>
    <w:p>
      <w:pPr>
        <w:pStyle w:val="Heading2"/>
        <w:spacing w:line="480" w:lineRule="auto"/>
      </w:pPr>
      <w:r>
        <w:t xml:space="preserve">The diffusion literature this project inherits</w:t>
      </w:r>
    </w:p>
    <w:p>
      <w:pPr>
        <w:pStyle w:val="FirstParagraph"/>
        <w:spacing w:line="480" w:lineRule="auto"/>
      </w:pPr>
      <w:r>
        <w:t xml:space="preserve">Behind the domain-specific writing sits a broader intellectual tradition that this dissertation quietly inherits, and it is worth making the inheritance explicit. The idea that practices spread through networks of adoption, that early adopters influence later ones, and that the aggregate pattern of adoption follows recognizable curves, is old and well developed outside space. What is new here is the substrate. Rather than tracking the adoption of a farming technique or a medical procedure, the study tracks the adoption of a governance practice through the one network that space specialists reliably leave behind them, the citation network. The move is to treat citation as a measurable proxy for the otherwise invisible act of adoption, and to ask whether the proxy behaves the way diffusion theory predicts it should.</w:t>
      </w:r>
    </w:p>
    <w:p>
      <w:pPr>
        <w:pStyle w:val="BodyText"/>
        <w:spacing w:line="480" w:lineRule="auto"/>
        <w:ind w:firstLine="720"/>
      </w:pPr>
      <w:r>
        <w:t xml:space="preserve">That inheritance imposes discipline. Diffusion theory does not predict that everything spreads; it predicts that some things spread and others stall, and that the difference is legible in the pattern of adoption over time. A responsible application must therefore be as ready to detect a stall as a spread. The coordination-failure literature is, at bottom, the space-specific prediction of stalls, warning that misaligned incentives and absent authority will strand many good proposals</w:t>
      </w:r>
      <w:r>
        <w:t xml:space="preserve"> </w:t>
      </w:r>
      <w:hyperlink w:anchor="ref-6">
        <w:r>
          <w:rPr>
            <w:rStyle w:val="Hyperlink"/>
          </w:rPr>
          <w:t xml:space="preserve">[6]</w:t>
        </w:r>
      </w:hyperlink>
      <w:r>
        <w:t xml:space="preserve">. The continuum thesis is the space-specific prediction of spreads, claiming that documented commercial practice reliably feeds the governance layer</w:t>
      </w:r>
      <w:r>
        <w:t xml:space="preserve"> </w:t>
      </w:r>
      <w:hyperlink w:anchor="ref-1">
        <w:r>
          <w:rPr>
            <w:rStyle w:val="Hyperlink"/>
          </w:rPr>
          <w:t xml:space="preserve">[1]</w:t>
        </w:r>
      </w:hyperlink>
      <w:r>
        <w:t xml:space="preserve">. A citation study is the instrument that can, in principle, tell which prediction fits a given practice, and building that instrument for space traffic management is the contribution this literature review sets up.</w:t>
      </w:r>
    </w:p>
    <w:bookmarkEnd w:id="77"/>
    <w:bookmarkStart w:id="78" w:name="Xebe12cce99c994e9f13f403bc6d1ec1c1585caa"/>
    <w:p>
      <w:pPr>
        <w:pStyle w:val="Heading2"/>
        <w:spacing w:line="480" w:lineRule="auto"/>
      </w:pPr>
      <w:r>
        <w:t xml:space="preserve">How the reference pool maps to the design</w:t>
      </w:r>
    </w:p>
    <w:p>
      <w:pPr>
        <w:pStyle w:val="FirstParagraph"/>
        <w:spacing w:line="480" w:lineRule="auto"/>
      </w:pPr>
      <w:r>
        <w:t xml:space="preserve">It helps to state which references anchor which part of the design, because a literature review earns its place only if it feeds the empirical apparatus rather than sitting beside it. The durable technical core, debris modeling and constellation resilience, supplies the documents on which the temporal learning-curve screen is expected to perform best, since these are the long-lived references whose citation trajectories should be smoothest</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operator-authored standards work, the realized-risk method above all, supplies the documents that most directly embody the cascade mechanism, the private practice offered as public norm</w:t>
      </w:r>
      <w:r>
        <w:t xml:space="preserve"> </w:t>
      </w:r>
      <w:hyperlink w:anchor="ref-2">
        <w:r>
          <w:rPr>
            <w:rStyle w:val="Hyperlink"/>
          </w:rPr>
          <w:t xml:space="preserve">[2]</w:t>
        </w:r>
      </w:hyperlink>
      <w:r>
        <w:t xml:space="preserve">. The governance and measurement writing, from the continuum thesis to sustainability rating to registration reform, supplies both the theoretical warrant for expecting a cascade and the specific reasons to expect the cross-sectional screen to underperform on the newest material</w:t>
      </w:r>
      <w:r>
        <w:t xml:space="preserve"> </w:t>
      </w:r>
      <w:hyperlink w:anchor="ref-1">
        <w:r>
          <w:rPr>
            <w:rStyle w:val="Hyperlink"/>
          </w:rPr>
          <w:t xml:space="preserve">[1]</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adjacent literatures on liability, outreach, and gamification supply the cautions that keep the interpretation modest, reminding the reader that documentary attention has sources other than operational diffusion</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Reading the pool this way turns it from a list into a design document. Each reference is not merely cited; it is assigned a role in either generating the hypotheses, populating the corpus, or bounding the interpretation. That assignment is what a literature review should produce, and it is what lets the following chapters proceed without relitigating why any particular strand of prior work matters.</w:t>
      </w:r>
    </w:p>
    <w:bookmarkEnd w:id="78"/>
    <w:bookmarkStart w:id="79" w:name="the-gap-this-dissertation-addresses"/>
    <w:p>
      <w:pPr>
        <w:pStyle w:val="Heading2"/>
        <w:spacing w:line="480" w:lineRule="auto"/>
      </w:pPr>
      <w:r>
        <w:t xml:space="preserve">The gap this dissertation addresses</w:t>
      </w:r>
    </w:p>
    <w:p>
      <w:pPr>
        <w:pStyle w:val="FirstParagraph"/>
        <w:spacing w:line="480" w:lineRule="auto"/>
      </w:pPr>
      <w:r>
        <w:t xml:space="preserve">The gap is not that these literatures ignore space traffic management. They are saturated with it. The gap is that the two strands remain only loosely joined, and that the join is usually asserted rather than measured. The continuum thesis claims that technical best practices become governance</w:t>
      </w:r>
      <w:r>
        <w:t xml:space="preserve"> </w:t>
      </w:r>
      <w:hyperlink w:anchor="ref-1">
        <w:r>
          <w:rPr>
            <w:rStyle w:val="Hyperlink"/>
          </w:rPr>
          <w:t xml:space="preserve">[1]</w:t>
        </w:r>
      </w:hyperlink>
      <w:r>
        <w:t xml:space="preserve">. The coordination-failure literature claims that they often do not</w:t>
      </w:r>
      <w:r>
        <w:t xml:space="preserve"> </w:t>
      </w:r>
      <w:hyperlink w:anchor="ref-6">
        <w:r>
          <w:rPr>
            <w:rStyle w:val="Hyperlink"/>
          </w:rPr>
          <w:t xml:space="preserve">[6]</w:t>
        </w:r>
      </w:hyperlink>
      <w:r>
        <w:t xml:space="preserve">. Both claims are about the citation record, and yet the citation record is rarely examined as evidence for either. This dissertation occupies that gap with a single, testable operation. It converts the retrieved literature into rows, builds a topic signal from observable metadata, and asks whether that signal and its associated citation attention are structured in the way the cascade story requires. The two estimators that follow are the instruments for that test. Neither will resolve the debate between continuum and coordination failure. Both will discipline it, by showing which parts of the cascade claim are visible in cheap documentary evidence and which parts demand the costlier apparatus of direct coding that the concluding chapters recommend</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One further feature of the gap deserves emphasis because it shapes what a fair test looks like. The literature is not evenly aged. Its technical foundations are old and heavily cited, its operator-authored standards are recent and lightly cited, and its governance reforms are newest of all and barely cited</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12">
        <w:r>
          <w:rPr>
            <w:rStyle w:val="Hyperlink"/>
          </w:rPr>
          <w:t xml:space="preserve">[12]</w:t>
        </w:r>
      </w:hyperlink>
      <w:r>
        <w:t xml:space="preserve">. A design that ignored this uneven aging would misread the citation record, mistaking the youth of the most important recent proposals for their unimportance. The two-screen design responds to that hazard directly. The cross-sectional screen will tend to see the old, heavily cited core and miss the young frontier, while the temporal screen is built precisely to characterize how attention relates to age. Reading the two together is therefore not a stylistic choice but a necessary correction for a literature whose most consequential recent contributions have not yet had time to be cited into visibility</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w:t>
      </w:r>
    </w:p>
    <w:bookmarkEnd w:id="79"/>
    <w:bookmarkEnd w:id="80"/>
    <w:bookmarkStart w:id="92" w:name="theory-and-hypotheses"/>
    <w:p>
      <w:pPr>
        <w:pStyle w:val="Heading1"/>
        <w:spacing w:line="480" w:lineRule="auto"/>
      </w:pPr>
      <w:r>
        <w:t xml:space="preserve">Theory and Hypotheses</w:t>
      </w:r>
    </w:p>
    <w:p>
      <w:pPr>
        <w:pStyle w:val="FirstParagraph"/>
        <w:spacing w:line="480" w:lineRule="auto"/>
      </w:pPr>
      <w:r>
        <w:t xml:space="preserve">The cascade story can be told loosely. This chapter tells it so it binds. It states the mechanism that would generate a standards cascade, derives from that mechanism the specific patterns the documentary record should exhibit, and translates those patterns into two hypotheses that the data can reject. The discipline is to say in advance what would count as evidence against the theory. A mechanism that survives every possible observation explains nothing.</w:t>
      </w:r>
    </w:p>
    <w:p>
      <w:pPr>
        <w:pStyle w:val="BodyText"/>
        <w:spacing w:line="480" w:lineRule="auto"/>
        <w:ind w:firstLine="720"/>
      </w:pPr>
      <w:r>
        <w:t xml:space="preserve">A correlation is cheap. A mechanism earns its keep. Here is why the difference matters.</w:t>
      </w:r>
    </w:p>
    <w:bookmarkStart w:id="81" w:name="why-a-mechanism-not-just-a-correlation"/>
    <w:p>
      <w:pPr>
        <w:pStyle w:val="Heading2"/>
        <w:spacing w:line="480" w:lineRule="auto"/>
      </w:pPr>
      <w:r>
        <w:t xml:space="preserve">Why a mechanism, not just a correlation</w:t>
      </w:r>
    </w:p>
    <w:p>
      <w:pPr>
        <w:pStyle w:val="FirstParagraph"/>
        <w:spacing w:line="480" w:lineRule="auto"/>
      </w:pPr>
      <w:r>
        <w:t xml:space="preserve">A dissertation could stop at correlation, asking only whether topic signal and citation attention move together, and declare the cascade confirmed or denied on that basis. I want more than a correlation, and the reason is that a correlation without a mechanism cannot tell us what a null result means. If topic signal and attention failed to correlate, a bare correlational study could not say whether the cascade theory was wrong or whether the proxies were poor. A mechanism fixes this. By specifying that a cascade is diffusion through citation, and by deriving from that specification exactly which observable patterns should appear, the theory makes both confirmation and disconfirmation interpretable. A pattern that appears confirms the mechanism; a pattern that fails to appear points either to the mechanism’s absence or to the proxy’s inadequacy, and the two-screen design helps tell those apart</w:t>
      </w:r>
      <w:r>
        <w:t xml:space="preserve"> </w:t>
      </w:r>
      <w:hyperlink w:anchor="ref-1">
        <w:r>
          <w:rPr>
            <w:rStyle w:val="Hyperlink"/>
          </w:rPr>
          <w:t xml:space="preserve">[1]</w:t>
        </w:r>
      </w:hyperlink>
      <w:r>
        <w:t xml:space="preserve"> </w:t>
      </w:r>
      <w:hyperlink w:anchor="ref-6">
        <w:r>
          <w:rPr>
            <w:rStyle w:val="Hyperlink"/>
          </w:rPr>
          <w:t xml:space="preserve">[6]</w:t>
        </w:r>
      </w:hyperlink>
      <w:r>
        <w:t xml:space="preserve">. Insisting on a mechanism is therefore not decoration; it is what lets every possible result carry meaning.</w:t>
      </w:r>
    </w:p>
    <w:bookmarkEnd w:id="81"/>
    <w:bookmarkStart w:id="82" w:name="the-mechanism"/>
    <w:p>
      <w:pPr>
        <w:pStyle w:val="Heading2"/>
        <w:spacing w:line="480" w:lineRule="auto"/>
      </w:pPr>
      <w:r>
        <w:t xml:space="preserve">The mechanism</w:t>
      </w:r>
    </w:p>
    <w:p>
      <w:pPr>
        <w:pStyle w:val="FirstParagraph"/>
        <w:spacing w:line="480" w:lineRule="auto"/>
      </w:pPr>
      <w:r>
        <w:t xml:space="preserve">A standards cascade is a diffusion process running through a citation network. The unit that diffuses is a practice: a way of reporting conjunction risk, a way of modeling debris generation, a way of scoring sustainability. The practice enters the record as a document. Other authors encounter that document, and some of them cite it, either to build on it, to contest it, or to signal that they are operating within its frame. Each citation is a small act of adoption. When enough authors adopt, the practice stops being one operator’s idea and becomes the field’s default. The written standard, when it finally appears, ratifies a convergence that the citation network produced</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Two features of this mechanism generate testable structure. The first is that consequence should be visible cross-sectionally. If a practice is diffusing, the documents that carry its topic signal should not be randomly scattered across the attention landscape. They should cluster where attention is, because attention is how diffusion happens. A document that articulates a candidate standard and draws citations is doing the work of a cascade node; a document with the same topic signal but no attention is a proposal that never caught. So the theory predicts that, within the retrieved corpus, the topic signal should move with citation attention.</w:t>
      </w:r>
    </w:p>
    <w:p>
      <w:pPr>
        <w:pStyle w:val="BodyText"/>
        <w:spacing w:line="480" w:lineRule="auto"/>
        <w:ind w:firstLine="720"/>
      </w:pPr>
      <w:r>
        <w:t xml:space="preserve">The second feature is that attention should accumulate in a regular way over time. Diffusion is not instantaneous. A document released into a small community accrues citations slowly at first, then faster as the community grows, and the cumulative attention it has gathered by any given moment is a function of how long it has been available to be cited. Older documents, having been exposed to the citing community longer, should carry more accumulated attention than newer ones, and the decline of current attention with age should follow a smooth, elastic law rather than a jagged one. This is the learning-curve intuition transposed from manufacturing to bibliometrics: as a literature matures, the relationship between age and accumulated citation should be describable by a stable elasticity</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2"/>
    <w:bookmarkStart w:id="83" w:name="why-the-two-predictions-are-distinct"/>
    <w:p>
      <w:pPr>
        <w:pStyle w:val="Heading2"/>
        <w:spacing w:line="480" w:lineRule="auto"/>
      </w:pPr>
      <w:r>
        <w:t xml:space="preserve">Why the two predictions are distinct</w:t>
      </w:r>
    </w:p>
    <w:p>
      <w:pPr>
        <w:pStyle w:val="FirstParagraph"/>
        <w:spacing w:line="480" w:lineRule="auto"/>
      </w:pPr>
      <w:r>
        <w:t xml:space="preserve">It matters that these two predictions are logically separable, because the corpus can satisfy one without the other, and each pattern of satisfaction carries a different meaning. Suppose the cross-sectional prediction holds but the temporal one does not. That would describe a field where attention tracks topic salience at any moment but where the accumulation of attention is irregular, perhaps because a few recent documents captured disproportionate citation through fashion rather than through orderly diffusion. Suppose instead the temporal prediction holds but the cross-sectional one does not. That would describe a field whose citation dynamics are lawful over the life of a document, even though topic salience at a given moment is not what determines which documents get cited. Distinguishing these cases is the whole point of running two screens rather than one.</w:t>
      </w:r>
    </w:p>
    <w:p>
      <w:pPr>
        <w:pStyle w:val="BodyText"/>
        <w:spacing w:line="480" w:lineRule="auto"/>
        <w:ind w:firstLine="720"/>
      </w:pPr>
      <w:r>
        <w:t xml:space="preserve">The separation also protects the theory from a lazy confirmation. A single regression that found any significant coefficient could be paraded as support for cascades. Two screens, aimed at logically independent implications, make that maneuver harder. If cascades are real and the corpus is clean, both screens should cooperate. If only one cooperates, the theory is not confirmed; it is partially located, and the location tells us where to look next.</w:t>
      </w:r>
    </w:p>
    <w:bookmarkEnd w:id="83"/>
    <w:bookmarkStart w:id="84" w:name="Xd5bf5d9da60afc34f1d4ed805a4f71389ad7370"/>
    <w:p>
      <w:pPr>
        <w:pStyle w:val="Heading2"/>
        <w:spacing w:line="480" w:lineRule="auto"/>
      </w:pPr>
      <w:r>
        <w:t xml:space="preserve">Why two screens rather than a joint model</w:t>
      </w:r>
    </w:p>
    <w:p>
      <w:pPr>
        <w:pStyle w:val="FirstParagraph"/>
        <w:spacing w:line="480" w:lineRule="auto"/>
      </w:pPr>
      <w:r>
        <w:t xml:space="preserve">A reader with statistical training might ask why the two predictions are not folded into a single model that includes both the cross-sectional predictors and the age term. The answer is partly about power and partly about interpretation. On power, a sample of thirty documents cannot support a specification rich enough to estimate cross-sectional and temporal effects jointly without exhausting its degrees of freedom, and a starved joint model would estimate everything badly rather than two things well. On interpretation, the two predictions live in different functional worlds. The cross-sectional prediction is about levels and is naturally linear; the temporal prediction is about elasticity and is naturally logarithmic. Forcing both into one model would require choosing a single functional form that fit neither prediction cleanly, sacrificing the interpretability that makes each screen worth running.</w:t>
      </w:r>
    </w:p>
    <w:p>
      <w:pPr>
        <w:pStyle w:val="BodyText"/>
        <w:spacing w:line="480" w:lineRule="auto"/>
        <w:ind w:firstLine="720"/>
      </w:pPr>
      <w:r>
        <w:t xml:space="preserve">Keeping the screens separate also keeps their failure modes separate, which is the deeper methodological reason. If a joint model returned a muddy result, one could not tell whether the cross-sectional or the temporal component had failed. Two clean screens localize any failure to the dimension where it occurred, which is precisely the diagnostic value the design is built to deliver. The cost is that the screens cannot control for each other, so the cross-sectional model cannot net out age and the temporal model cannot net out signal. I accept that cost because the alternative, a single underpowered model, would trade a real diagnostic for a false unity</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Two predictions, then. One about levels. One about time.</w:t>
      </w:r>
    </w:p>
    <w:bookmarkEnd w:id="84"/>
    <w:bookmarkStart w:id="85" w:name="hypothesis-one-cross-sectional-structure"/>
    <w:p>
      <w:pPr>
        <w:pStyle w:val="Heading2"/>
        <w:spacing w:line="480" w:lineRule="auto"/>
      </w:pPr>
      <w:r>
        <w:t xml:space="preserve">Hypothesis one: cross-sectional structure</w:t>
      </w:r>
    </w:p>
    <w:p>
      <w:pPr>
        <w:pStyle w:val="FirstParagraph"/>
        <w:spacing w:line="480" w:lineRule="auto"/>
      </w:pPr>
      <w:r>
        <w:t xml:space="preserve">The first hypothesis operationalizes the cross-sectional prediction. The outcome is the topic-signal score, a deterministic count of candidate-theme term hits across a document’s title, snippet, keyword field, and author metadata. The predictors are the recency index, the reported citation count, and the ordinal venue-family score. The theory does not require all three predictors to matter. It makes a specific directional claim about one of them and a weaker claim about a second.</w:t>
      </w:r>
    </w:p>
    <w:p>
      <w:pPr>
        <w:pStyle w:val="BodyText"/>
        <w:spacing w:line="480" w:lineRule="auto"/>
        <w:ind w:firstLine="720"/>
      </w:pPr>
      <w:r>
        <w:t xml:space="preserve">The null hypothesis states that the topic-signal score is unrelated to publication recency, citation attention, and venue family. The alternative states that the topic-signal score increases with recency and with citation attention. The sharp version of the cascade claim lives in the citation-attention coefficient: if diffusion runs through citation, then documents carrying more topic signal should also carry more citation attention, and the coefficient on citation count should be positive. The recency coefficient carries a softer expectation, since a maturing field could push topic signal toward newer documents, but recency is also the margin where the registration literature warns us to expect little, because the newest institutional moves may not yet have been cited into prominence</w:t>
      </w:r>
      <w:r>
        <w:t xml:space="preserve"> </w:t>
      </w:r>
      <w:hyperlink w:anchor="ref-12">
        <w:r>
          <w:rPr>
            <w:rStyle w:val="Hyperlink"/>
          </w:rPr>
          <w:t xml:space="preserve">[12]</w:t>
        </w:r>
      </w:hyperlink>
      <w:r>
        <w:t xml:space="preserve">. Venue family enters as a control rather than as a hypothesis; its ordinal coding, running from proceedings to journal to economics venue, could plausibly move signal in either direction, and the theory takes no strong position on its sign.</w:t>
      </w:r>
    </w:p>
    <w:bookmarkEnd w:id="85"/>
    <w:bookmarkStart w:id="86" w:name="X975eb931d3b763010ba860b9948068b28c4a7d8"/>
    <w:p>
      <w:pPr>
        <w:pStyle w:val="Heading2"/>
        <w:spacing w:line="480" w:lineRule="auto"/>
      </w:pPr>
      <w:r>
        <w:t xml:space="preserve">What the recency prediction really claims</w:t>
      </w:r>
    </w:p>
    <w:p>
      <w:pPr>
        <w:pStyle w:val="FirstParagraph"/>
        <w:spacing w:line="480" w:lineRule="auto"/>
      </w:pPr>
      <w:r>
        <w:t xml:space="preserve">The recency coefficient deserves a closer theoretical reading than it usually gets, because its expected behavior is subtler than a naive cascade story assumes. A crude version of the theory would predict that newer documents carry more topic signal, on the reasoning that a growing field pushes its vocabulary into recent work. A more careful version predicts almost the opposite for the newest institutional material. The registration and reporting reforms at the field’s frontier are recent, salient, and consequential, yet they have not been available long enough to accumulate the citation mass or the entrenched vocabulary that a term-hit signal detects</w:t>
      </w:r>
      <w:r>
        <w:t xml:space="preserve"> </w:t>
      </w:r>
      <w:hyperlink w:anchor="ref-12">
        <w:r>
          <w:rPr>
            <w:rStyle w:val="Hyperlink"/>
          </w:rPr>
          <w:t xml:space="preserve">[12]</w:t>
        </w:r>
      </w:hyperlink>
      <w:r>
        <w:t xml:space="preserve">. So the theory’s honest prediction for recency is ambiguous: newer documents might carry more signal as the field matures, or they might carry less because the freshest and most important work has not yet been cited into documentary prominence. That ambiguity is why recency enters as a genuine open question rather than as a directional hypothesis, and why a null result on recency would be informative rather than disappointing</w:t>
      </w:r>
      <w:r>
        <w:t xml:space="preserve"> </w:t>
      </w:r>
      <w:hyperlink w:anchor="ref-9">
        <w:r>
          <w:rPr>
            <w:rStyle w:val="Hyperlink"/>
          </w:rPr>
          <w:t xml:space="preserve">[9]</w:t>
        </w:r>
      </w:hyperlink>
      <w:r>
        <w:t xml:space="preserve">.</w:t>
      </w:r>
    </w:p>
    <w:bookmarkEnd w:id="86"/>
    <w:bookmarkStart w:id="87" w:name="hypothesis-two-attention-accumulation"/>
    <w:p>
      <w:pPr>
        <w:pStyle w:val="Heading2"/>
        <w:spacing w:line="480" w:lineRule="auto"/>
      </w:pPr>
      <w:r>
        <w:t xml:space="preserve">Hypothesis two: attention accumulation</w:t>
      </w:r>
    </w:p>
    <w:p>
      <w:pPr>
        <w:pStyle w:val="FirstParagraph"/>
        <w:spacing w:line="480" w:lineRule="auto"/>
      </w:pPr>
      <w:r>
        <w:t xml:space="preserve">The second hypothesis operationalizes the temporal prediction through a learning-curve form. The outcome is the citation count plus one, offset so that uncited documents remain defined under a logarithmic transform. The single predictor is the document age index, computed as the distance in years from a fixed reference year, also logged. Regressing log citation on log age yields an elasticity: the percentage change in accumulated attention associated with a percentage change in age.</w:t>
      </w:r>
    </w:p>
    <w:p>
      <w:pPr>
        <w:pStyle w:val="BodyText"/>
        <w:spacing w:line="480" w:lineRule="auto"/>
        <w:ind w:firstLine="720"/>
      </w:pPr>
      <w:r>
        <w:t xml:space="preserve">The null hypothesis states that citation accumulation is unrelated to article age in the retrieved topic literature. The alternative states that citation accumulation follows a measurable age-based attention curve. The theory predicts a negative elasticity. Under a diffusion process, the documents that are currently accruing the most attention are not necessarily the oldest; rather, current citation intensity should decline with age in a regular way as documents pass their period of peak relevance, while the very old anchors settle into a lower steady state. A precisely estimated negative elasticity would be strong evidence that attention in this corpus is governed by a lawful temporal process rather than by chance. A near-zero or wildly imprecise elasticity would be evidence against any orderly accumulation</w:t>
      </w:r>
      <w:r>
        <w:t xml:space="preserve"> </w:t>
      </w:r>
      <w:hyperlink w:anchor="ref-5">
        <w:r>
          <w:rPr>
            <w:rStyle w:val="Hyperlink"/>
          </w:rPr>
          <w:t xml:space="preserve">[5]</w:t>
        </w:r>
      </w:hyperlink>
      <w:r>
        <w:t xml:space="preserve">.</w:t>
      </w:r>
    </w:p>
    <w:bookmarkEnd w:id="87"/>
    <w:bookmarkStart w:id="88" w:name="from-mechanism-to-measurement"/>
    <w:p>
      <w:pPr>
        <w:pStyle w:val="Heading2"/>
        <w:spacing w:line="480" w:lineRule="auto"/>
      </w:pPr>
      <w:r>
        <w:t xml:space="preserve">From mechanism to measurement</w:t>
      </w:r>
    </w:p>
    <w:p>
      <w:pPr>
        <w:pStyle w:val="FirstParagraph"/>
        <w:spacing w:line="480" w:lineRule="auto"/>
      </w:pPr>
      <w:r>
        <w:t xml:space="preserve">A mechanism is only as good as the measurements it licenses, and it is worth walking the bridge from the cascade story to the specific variables the estimators will use. The topic signal is the theory’s proxy for how strongly a document participates in the practice under study. If a practice is diffusing, documents that engage it should carry its vocabulary densely, and a term-hit count over title, snippet, keyword, and author fields captures that density deterministically. Citation attention is the theory’s proxy for adoption, the observable shadow of the otherwise private decision to build on a document. The recency and age indices are the theory’s proxies for a document’s position in time, one anchored to the sample and one to a calendar reference, so that both the cross-sectional and the temporal predictions have a temporal coordinate to attach to.</w:t>
      </w:r>
    </w:p>
    <w:p>
      <w:pPr>
        <w:pStyle w:val="BodyText"/>
        <w:spacing w:line="480" w:lineRule="auto"/>
        <w:ind w:firstLine="720"/>
      </w:pPr>
      <w:r>
        <w:t xml:space="preserve">Each proxy carries slippage, and the theory has to be stated so it survives the slippage. Topic signal can be inflated by a document that rehearses vocabulary without contributing practice, which means a positive signal-attention association is necessary but not sufficient for the cascade claim</w:t>
      </w:r>
      <w:r>
        <w:t xml:space="preserve"> </w:t>
      </w:r>
      <w:hyperlink w:anchor="ref-12">
        <w:r>
          <w:rPr>
            <w:rStyle w:val="Hyperlink"/>
          </w:rPr>
          <w:t xml:space="preserve">[12]</w:t>
        </w:r>
      </w:hyperlink>
      <w:r>
        <w:t xml:space="preserve">. Citation attention can be inflated by teaching and outreach interest that has nothing to do with operational adoption, which means the association could hold even where no operational standard is forming</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theory accommodates this by making a deliberately weak substantive claim: it predicts pattern in the proxies, and it treats that pattern as consistent with, rather than proof of, the underlying cascade. This is why the empirical chapters speak of screens and corpus structure rather than of demonstrated diffusion.</w:t>
      </w:r>
    </w:p>
    <w:bookmarkEnd w:id="88"/>
    <w:bookmarkStart w:id="89" w:name="what-each-possible-outcome-would-license"/>
    <w:p>
      <w:pPr>
        <w:pStyle w:val="Heading2"/>
        <w:spacing w:line="480" w:lineRule="auto"/>
      </w:pPr>
      <w:r>
        <w:t xml:space="preserve">What each possible outcome would license</w:t>
      </w:r>
    </w:p>
    <w:p>
      <w:pPr>
        <w:pStyle w:val="FirstParagraph"/>
        <w:spacing w:line="480" w:lineRule="auto"/>
      </w:pPr>
      <w:r>
        <w:t xml:space="preserve">Stating in advance what each outcome would mean is the discipline that keeps the test honest, so consider the four combinations the two screens can produce. If both screens deliver clean, correctly signed coefficients, the corpus speaks with one voice for the cascade account, and the appropriate claim is that documentary evidence is consistent with diffusion on both the cross-sectional and temporal margins. If only the temporal screen delivers, the appropriate claim is that attention accumulates lawfully but that topic salience at a moment does not track attention, pointing to a field whose diffusion is regular in time but not legible in a snapshot. If only the cross-sectional screen delivers, the appropriate claim is the reverse, a field where salience and attention coincide but where the temporal accumulation is irregular. If neither delivers, the appropriate claim is that the corpus is too noisy or too small to carry the cascade test, and that the design must be strengthened before any diffusion claim is attempted.</w:t>
      </w:r>
    </w:p>
    <w:p>
      <w:pPr>
        <w:pStyle w:val="BodyText"/>
        <w:spacing w:line="480" w:lineRule="auto"/>
        <w:ind w:firstLine="720"/>
      </w:pPr>
      <w:r>
        <w:t xml:space="preserve">Naming these four cases before seeing the data protects against the most common failure of diffusion studies, which is to run several models and narrate whichever coefficient cooperated as the confirmation of the theory. Here the interpretation of every combination is fixed in advance, so the data cannot be reverse-engineered into a foregone conclusion. The reader can hold me to the map: whatever the corpus returned, the meaning was pre-committed, and the following chapters simply locate the actual result on it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89"/>
    <w:bookmarkStart w:id="90" w:name="X67627854a7ce707c14103530b67ef839b72471e"/>
    <w:p>
      <w:pPr>
        <w:pStyle w:val="Heading2"/>
        <w:spacing w:line="480" w:lineRule="auto"/>
      </w:pPr>
      <w:r>
        <w:t xml:space="preserve">Rival explanations the theory must survive</w:t>
      </w:r>
    </w:p>
    <w:p>
      <w:pPr>
        <w:pStyle w:val="FirstParagraph"/>
        <w:spacing w:line="480" w:lineRule="auto"/>
      </w:pPr>
      <w:r>
        <w:t xml:space="preserve">A responsible framework names the explanations that could mimic a cascade without being one. Venue effects are the first rival. If certain venue families simply publish higher-signal or more-cited documents for reasons unrelated to diffusion, a naive reading could mistake venue composition for cascade dynamics; the venue-family control is included precisely to absorb some of that confound. Coverage bias is the second rival. The citation counts are local index measures, not universal counts, and a document’s apparent attention reflects what the index captured as much as what the field actually did</w:t>
      </w:r>
      <w:r>
        <w:t xml:space="preserve"> </w:t>
      </w:r>
      <w:hyperlink w:anchor="ref-6">
        <w:r>
          <w:rPr>
            <w:rStyle w:val="Hyperlink"/>
          </w:rPr>
          <w:t xml:space="preserve">[6]</w:t>
        </w:r>
      </w:hyperlink>
      <w:r>
        <w:t xml:space="preserve">. Teaching and outreach attention is the third rival. A topic can accumulate documentary presence through education and engagement channels that have nothing to do with operational standard-setting, which means a positive signal-attention association is consistent with, but does not prove, genuine diffusion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None of these rivals is dismissed. Each is a reason the coefficients must be read as evidence about the retrieved corpus rather than as verdicts about the space sector. The theory earns its keep not by ruling the rivals out in advance but by specifying, before the estimation, what pattern would count for the cascade claim and what pattern would count against it. The next chapter builds the estimators that make those patterns observable, and the results chapter reports what the corpus actually delivered</w:t>
      </w:r>
      <w:r>
        <w:t xml:space="preserve"> </w:t>
      </w:r>
      <w:hyperlink w:anchor="ref-8">
        <w:r>
          <w:rPr>
            <w:rStyle w:val="Hyperlink"/>
          </w:rPr>
          <w:t xml:space="preserve">[8]</w:t>
        </w:r>
      </w:hyperlink>
      <w:r>
        <w:t xml:space="preserve"> </w:t>
      </w:r>
      <w:hyperlink w:anchor="ref-11">
        <w:r>
          <w:rPr>
            <w:rStyle w:val="Hyperlink"/>
          </w:rPr>
          <w:t xml:space="preserve">[11]</w:t>
        </w:r>
      </w:hyperlink>
      <w:r>
        <w:t xml:space="preserve">.</w:t>
      </w:r>
    </w:p>
    <w:bookmarkEnd w:id="90"/>
    <w:bookmarkStart w:id="91" w:name="the-theorys-boundary-conditions"/>
    <w:p>
      <w:pPr>
        <w:pStyle w:val="Heading2"/>
        <w:spacing w:line="480" w:lineRule="auto"/>
      </w:pPr>
      <w:r>
        <w:t xml:space="preserve">The theory’s boundary conditions</w:t>
      </w:r>
    </w:p>
    <w:p>
      <w:pPr>
        <w:pStyle w:val="FirstParagraph"/>
        <w:spacing w:line="480" w:lineRule="auto"/>
      </w:pPr>
      <w:r>
        <w:t xml:space="preserve">A framework should also state where it does not apply, because a theory that claims everything explains nothing. This one applies to a bounded documentary corpus and speaks to documentary structure. It does not claim that citation causes adoption, only that citation is diffusion’s observable shadow and should therefore carry diffusion’s signature. It does not claim that the absence of a cross-sectional signal proves the absence of diffusion, only that such a signal, if present, would be one legible trace of it. It does not claim that a strong temporal elasticity establishes that any particular practice became a standard, only that the field’s attention dynamics are lawful enough to support a diffusion reading. These boundaries are not hedges added after the fact; they follow from the decision to observe diffusion through citation rather than through direct adoption records, and they are the price of studying an invisible process through a visible proxy</w:t>
      </w:r>
      <w:r>
        <w:t xml:space="preserve"> </w:t>
      </w:r>
      <w:hyperlink w:anchor="ref-2">
        <w:r>
          <w:rPr>
            <w:rStyle w:val="Hyperlink"/>
          </w:rPr>
          <w:t xml:space="preserve">[2]</w:t>
        </w:r>
      </w:hyperlink>
      <w:r>
        <w:t xml:space="preserve"> </w:t>
      </w:r>
      <w:hyperlink w:anchor="ref-13">
        <w:r>
          <w:rPr>
            <w:rStyle w:val="Hyperlink"/>
          </w:rPr>
          <w:t xml:space="preserve">[13]</w:t>
        </w:r>
      </w:hyperlink>
      <w:r>
        <w:t xml:space="preserve">. Stated plainly here, they let the empirical chapters interpret coefficients without repeatedly reopening the question of what the coefficients are entitled to mean.</w:t>
      </w:r>
    </w:p>
    <w:bookmarkEnd w:id="91"/>
    <w:bookmarkEnd w:id="92"/>
    <w:bookmarkStart w:id="103" w:name="methodology-and-identification"/>
    <w:p>
      <w:pPr>
        <w:pStyle w:val="Heading1"/>
        <w:spacing w:line="480" w:lineRule="auto"/>
      </w:pPr>
      <w:r>
        <w:t xml:space="preserve">Methodology and Identification</w:t>
      </w:r>
    </w:p>
    <w:p>
      <w:pPr>
        <w:pStyle w:val="FirstParagraph"/>
        <w:spacing w:line="480" w:lineRule="auto"/>
      </w:pPr>
      <w:r>
        <w:t xml:space="preserve">This chapter defends the two estimators as instruments of inference rather than as arithmetic exercises. An estimator earns its place in a dissertation only if it identifies the thing the theory cares about, and only if its assumptions are stated clearly enough that a reader can judge whether they hold. I therefore present each model, state what it identifies, name the assumptions it rests on, and explain the standard-error choice that makes its uncertainty honest. The estimators are modest by design. The cascade question is large, but the claims I let the estimators carry are small, and the gap between the two is bridged by explicit interpretation, not by statistical sleight.</w:t>
      </w:r>
    </w:p>
    <w:bookmarkStart w:id="93" w:name="two-estimators-one-evidentiary-standard"/>
    <w:p>
      <w:pPr>
        <w:pStyle w:val="Heading2"/>
        <w:spacing w:line="480" w:lineRule="auto"/>
      </w:pPr>
      <w:r>
        <w:t xml:space="preserve">Two estimators, one evidentiary standard</w:t>
      </w:r>
    </w:p>
    <w:p>
      <w:pPr>
        <w:pStyle w:val="FirstParagraph"/>
        <w:spacing w:line="480" w:lineRule="auto"/>
      </w:pPr>
      <w:r>
        <w:t xml:space="preserve">Both estimators are held to a single evidentiary standard, and stating it first prevents the reader from applying a double one. The standard is that a coefficient earns an interpretation in proportion to its precision. A precisely estimated coefficient may carry a substantive reading; an imprecisely estimated one may carry only a directional observation, if that. This standard applies identically to the cross-sectional and temporal models, which matters because the two returned very different precisions, and it would be easy to relax the standard for the model that cooperated. I do not relax it. The temporal elasticity earns a firm interpretation because it is precisely estimated; the cross-sectional citation coefficient earns only a cautious directional one because it is not. The symmetry of the standard is what makes the asymmetry of the results credible rather than convenient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Two models. Two questions. One standard of proof, applied to both.</w:t>
      </w:r>
    </w:p>
    <w:bookmarkEnd w:id="93"/>
    <w:bookmarkStart w:id="94" w:name="the-cross-sectional-estimator"/>
    <w:p>
      <w:pPr>
        <w:pStyle w:val="Heading2"/>
        <w:spacing w:line="480" w:lineRule="auto"/>
      </w:pPr>
      <w:r>
        <w:t xml:space="preserve">The cross-sectional estimator</w:t>
      </w:r>
    </w:p>
    <w:p>
      <w:pPr>
        <w:pStyle w:val="FirstParagraph"/>
        <w:spacing w:line="480" w:lineRule="auto"/>
      </w:pPr>
      <w:r>
        <w:t xml:space="preserve">The first model is ordinary least squares. The specification regresses the topic-signal score on three predictors: the recency index, the reported citation count, and the ordinal venue-family score. In the notation the empirical files use, the fitted relationship is written as the signal score for document i equal to a constant, plus a coefficient on the recency index, plus a coefficient on the citation count, plus a coefficient on the venue score, plus a disturbance term. The estimand of interest is the partial association between each predictor and the topic signal, holding the other two fixed.</w:t>
      </w:r>
    </w:p>
    <w:p>
      <w:pPr>
        <w:pStyle w:val="BodyText"/>
        <w:spacing w:line="480" w:lineRule="auto"/>
        <w:ind w:firstLine="720"/>
      </w:pPr>
      <w:r>
        <w:t xml:space="preserve">What does this specification identify? It identifies conditional associations within the retrieved corpus, and nothing grander. The coefficient on citation count answers a precise question: among the thirty retrieved documents, do those with more reported citations also carry more topic signal, once recency and venue are held constant? That is the quantity the cascade theory speaks to, because diffusion through citation predicts a positive partial association there. Ordinary least squares identifies this association under the assumption that the disturbance is mean-independent of the predictors within the sample. I do not claim that assumption licenses a causal reading. Citation attention is not randomly assigned to documents; it is the outcome of the very diffusion process under study. So the coefficient is a descriptive conditional association, and I interpret it as corpus-screen evidence rather than as a causal effect. The honesty of the design lies in refusing to launder a partial correlation into a causal claim.</w:t>
      </w:r>
    </w:p>
    <w:p>
      <w:pPr>
        <w:pStyle w:val="BodyText"/>
        <w:spacing w:line="480" w:lineRule="auto"/>
        <w:ind w:firstLine="720"/>
      </w:pPr>
      <w:r>
        <w:t xml:space="preserve">The venue-family control deserves a word on functional form. Venue family is coded ordinally, with proceedings scored one, the journal scored two, and the economics venue scored three. Entering an ordinal code as a linear regressor imposes the assumption that a one-step move up the venue ladder shifts the topic signal by a constant amount at every step. That assumption is almost certainly false in detail, and I flag it as a limitation rather than defend it as truth. Its purpose is not to measure venue effects precisely but to absorb some of the variance that venue composition would otherwise dump into the disturbance, so that the citation-attention coefficient is read against a partially cleaned background. A reader who distrusts the linearity should read the venue coefficient as a rough adjustment, not as an estimate of venue’s true influence.</w:t>
      </w:r>
    </w:p>
    <w:p>
      <w:pPr>
        <w:pStyle w:val="BodyText"/>
        <w:spacing w:line="480" w:lineRule="auto"/>
        <w:ind w:firstLine="720"/>
      </w:pPr>
      <w:r>
        <w:t xml:space="preserve">That is the first model. The second is stranger, and more powerful.</w:t>
      </w:r>
    </w:p>
    <w:bookmarkEnd w:id="94"/>
    <w:bookmarkStart w:id="95" w:name="the-learning-curve-estimator"/>
    <w:p>
      <w:pPr>
        <w:pStyle w:val="Heading2"/>
        <w:spacing w:line="480" w:lineRule="auto"/>
      </w:pPr>
      <w:r>
        <w:t xml:space="preserve">The learning-curve estimator</w:t>
      </w:r>
    </w:p>
    <w:p>
      <w:pPr>
        <w:pStyle w:val="FirstParagraph"/>
        <w:spacing w:line="480" w:lineRule="auto"/>
      </w:pPr>
      <w:r>
        <w:t xml:space="preserve">The second model is a log-log learning curve, itself an ordinary least squares regression after a logarithmic transform of both sides. The outcome is the natural log of citation count plus one; the predictor is the natural log of the document age index. The fitted relationship is the log of citations plus one for document i equal to a constant plus an elasticity times the log of the age index plus a disturbance. Because both variables are logged, the slope is an elasticity: the percentage change in accumulated attention associated with a one percent change in document age.</w:t>
      </w:r>
    </w:p>
    <w:p>
      <w:pPr>
        <w:pStyle w:val="BodyText"/>
        <w:spacing w:line="480" w:lineRule="auto"/>
        <w:ind w:firstLine="720"/>
      </w:pPr>
      <w:r>
        <w:t xml:space="preserve">This specification identifies the rate at which citation attention scales with age across the corpus. The learning-curve form is not chosen for elegance; it is chosen because it encodes a specific and falsifiable functional prediction. A diffusion process that produces regular attention dynamics should yield a stable elasticity, and the log-log form makes that elasticity a single interpretable number. The offset of plus one on the citation count is a technical necessity: several documents in the corpus carry zero reported citations, and the logarithm of zero is undefined, so the transform would silently drop the uncited documents if no offset were applied. Dropping the uncited documents would be a serious selection error, because uncited documents are exactly the failed-cascade cases the theory needs to observe. The plus-one offset keeps them in the sample at the cost of a small, transparent distortion near the bottom of the citation scale, and I prefer that visible distortion to an invisible deletion.</w:t>
      </w:r>
    </w:p>
    <w:p>
      <w:pPr>
        <w:pStyle w:val="BodyText"/>
        <w:spacing w:line="480" w:lineRule="auto"/>
        <w:ind w:firstLine="720"/>
      </w:pPr>
      <w:r>
        <w:t xml:space="preserve">The learning-curve model also yields a progress ratio, computed as two raised to the elasticity. In the manufacturing origin of the form, the progress ratio states how unit cost changes when cumulative production doubles. Transposed here, it states how citation attention changes when document age doubles. Reporting the progress ratio alongside the raw elasticity gives the reader a second, more intuitive handle on the same estimate, which matters because an elasticity is easy to state and hard to feel.</w:t>
      </w:r>
    </w:p>
    <w:bookmarkEnd w:id="95"/>
    <w:bookmarkStart w:id="96" w:name="Xd3bcfb1f5efe2b46e9eca68fa939ecbedd1fa7f"/>
    <w:p>
      <w:pPr>
        <w:pStyle w:val="Heading2"/>
        <w:spacing w:line="480" w:lineRule="auto"/>
      </w:pPr>
      <w:r>
        <w:t xml:space="preserve">The progress ratio as an interpretive bridge</w:t>
      </w:r>
    </w:p>
    <w:p>
      <w:pPr>
        <w:pStyle w:val="FirstParagraph"/>
        <w:spacing w:line="480" w:lineRule="auto"/>
      </w:pPr>
      <w:r>
        <w:t xml:space="preserve">The learning-curve model produces one derived quantity that deserves its own defense as an interpretive tool: the progress ratio, computed as two raised to the estimated elasticity. An elasticity is precise but hard to feel, since few readers have intuition for what a slope of negative six-tenths on logged axes means in practice. The progress ratio translates that slope into a statement about doubling: it says what fraction of its prior citation level a document retains when its age doubles. That translation is not a new estimate; it is the same elasticity expressed on a scale a reader can hold. Reporting both is a deliberate redundancy, giving the technical reader the raw elasticity and the applied reader the doubling interpretation, so that neither has to trust a number they cannot picture. The progress ratio also connects the analysis to the learning-curve tradition it borrows from, where the doubling framing is the native language, which keeps the method legible to readers who know that tradition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96"/>
    <w:bookmarkStart w:id="97" w:name="standard-errors-and-inference"/>
    <w:p>
      <w:pPr>
        <w:pStyle w:val="Heading2"/>
        <w:spacing w:line="480" w:lineRule="auto"/>
      </w:pPr>
      <w:r>
        <w:t xml:space="preserve">Standard errors and inference</w:t>
      </w:r>
    </w:p>
    <w:p>
      <w:pPr>
        <w:pStyle w:val="FirstParagraph"/>
        <w:spacing w:line="480" w:lineRule="auto"/>
      </w:pPr>
      <w:r>
        <w:t xml:space="preserve">Both models use robust HC1 standard errors. The choice responds to a specific worry. Ordinary least squares standard errors assume that the disturbance variance is constant across observations, and there is no reason to expect that in a bibliometric corpus. Highly cited documents plausibly have more variable topic signal than lightly cited ones; older documents plausibly have more variable accumulated attention than newer ones. Heteroskedasticity of that kind does not bias the coefficients, but it corrupts the conventional standard errors and therefore the p-values. The HC1 estimator corrects the standard errors for heteroskedasticity of unknown form, with a finite-sample adjustment appropriate to a small N. Using it is a way of making the uncertainty statements defensible rather than optimistic.</w:t>
      </w:r>
    </w:p>
    <w:p>
      <w:pPr>
        <w:pStyle w:val="BodyText"/>
        <w:spacing w:line="480" w:lineRule="auto"/>
        <w:ind w:firstLine="720"/>
      </w:pPr>
      <w:r>
        <w:t xml:space="preserve">Inference here carries a heavy caveat that the small sample forces into the open. With thirty observations, statistical power is limited, and the difference between a significant and an insignificant coefficient can turn on a handful of documents. A p-value above conventional thresholds in this setting is weak evidence for the null, not proof of it; it is a statement that the corpus, at this size, cannot resolve the association. I therefore read insignificant coefficients as inconclusive rather than as demonstrations of no effect, and I let precise coefficients carry more interpretive weight than imprecise ones. This asymmetry is deliberate and is applied consistently in chapter six.</w:t>
      </w:r>
    </w:p>
    <w:bookmarkEnd w:id="97"/>
    <w:bookmarkStart w:id="98" w:name="Xe8fec5f51ec93506643275dd585b630b15285ff"/>
    <w:p>
      <w:pPr>
        <w:pStyle w:val="Heading2"/>
        <w:spacing w:line="480" w:lineRule="auto"/>
      </w:pPr>
      <w:r>
        <w:t xml:space="preserve">Functional form choices and their consequences</w:t>
      </w:r>
    </w:p>
    <w:p>
      <w:pPr>
        <w:pStyle w:val="FirstParagraph"/>
        <w:spacing w:line="480" w:lineRule="auto"/>
      </w:pPr>
      <w:r>
        <w:t xml:space="preserve">Every model imposes a shape on the world, and the two shapes here deserve scrutiny because the shape is where much of the inference actually lives. The cross-sectional model is linear and additive. It assumes that a one-unit change in citation count shifts the topic signal by the same amount whether the document had two citations or twenty, and that the effects of recency, citation, and venue simply add. Neither assumption is obviously true. Citation attention could have diminishing returns on topic signal, so that the first few citations matter more than later ones, and the predictors could interact, so that recency matters more in high-attention documents than in low. I chose the linear additive form anyway, and the choice is defensible on grounds of parsimony given the sample. With thirty observations, a model that added interaction terms or polynomial curvature would spend its few degrees of freedom chasing shapes it lacks the power to estimate. The linear form is the honest ceiling on what thirty documents can support, and I would rather fit a shape the data can bear than a richer one it cannot.</w:t>
      </w:r>
    </w:p>
    <w:p>
      <w:pPr>
        <w:pStyle w:val="BodyText"/>
        <w:spacing w:line="480" w:lineRule="auto"/>
        <w:ind w:firstLine="720"/>
      </w:pPr>
      <w:r>
        <w:t xml:space="preserve">The learning-curve model imposes a different and stronger shape: a constant elasticity. By logging both sides, it assumes that the proportional relationship between age and citation is the same across the entire age range, so that doubling age from two to four years has the same proportional effect as doubling it from ten to twenty. This is a substantive commitment, and it is the commitment that gives the model its power. If the true relationship were not roughly constant-elastic, the log-log fit would be poor and the elasticity would be unstable. The value of the form is that it turns a vague temporal prediction into a single testable number, and its risk is that it could impose smoothness the data does not have. The fit statistic reported in the results is the check on that risk: a reasonable R-squared indicates the constant-elasticity shape is not badly wrong for this corpus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98"/>
    <w:bookmarkStart w:id="99" w:name="the-role-of-the-offset-and-the-anchors"/>
    <w:p>
      <w:pPr>
        <w:pStyle w:val="Heading2"/>
        <w:spacing w:line="480" w:lineRule="auto"/>
      </w:pPr>
      <w:r>
        <w:t xml:space="preserve">The role of the offset and the anchors</w:t>
      </w:r>
    </w:p>
    <w:p>
      <w:pPr>
        <w:pStyle w:val="FirstParagraph"/>
        <w:spacing w:line="480" w:lineRule="auto"/>
      </w:pPr>
      <w:r>
        <w:t xml:space="preserve">Two small construction choices carry more weight than their size suggests, and I want to defend them explicitly rather than bury them. The plus-one offset on citation count is the choice that keeps uncited documents in the learning-curve sample. Without it, the logarithm of zero would be undefined and the estimation would silently drop every uncited document, which would select the sample on the outcome and inflate the apparent orderliness of attention accumulation by removing the failures. The offset introduces a small distortion near zero, compressing the difference between an uncited and a once-cited document, but that distortion is transparent and bounded, and it is far preferable to an invisible deletion of the theoretically important zeros</w:t>
      </w:r>
      <w:r>
        <w:t xml:space="preserve"> </w:t>
      </w:r>
      <w:hyperlink w:anchor="ref-5">
        <w:r>
          <w:rPr>
            <w:rStyle w:val="Hyperlink"/>
          </w:rPr>
          <w:t xml:space="preserve">[5]</w:t>
        </w:r>
      </w:hyperlink>
      <w:r>
        <w:t xml:space="preserve">.</w:t>
      </w:r>
    </w:p>
    <w:p>
      <w:pPr>
        <w:pStyle w:val="BodyText"/>
        <w:spacing w:line="480" w:lineRule="auto"/>
        <w:ind w:firstLine="720"/>
      </w:pPr>
      <w:r>
        <w:t xml:space="preserve">The anchoring of the two temporal indices is the second choice. The recency index anchors to the sample minimum, the age index to a fixed calendar reference. Anchoring differently would rescale the coefficients but not change their signs or significance, so the choice is about interpretability rather than about results. Anchoring recency to the sample keeps it on a compact scale suited to the cross-sectional regression; anchoring age to a calendar reference keeps its logarithm well behaved across the full publication span. Neither anchor could be reverse-engineered to produce a favorable finding. Stating both here lets a skeptical reader confirm that the temporal results do not depend on a hidden scaling trick.</w:t>
      </w:r>
    </w:p>
    <w:bookmarkEnd w:id="99"/>
    <w:bookmarkStart w:id="100" w:name="X66f694cd583f985ebcbf93d9d9468e5f004df44"/>
    <w:p>
      <w:pPr>
        <w:pStyle w:val="Heading2"/>
        <w:spacing w:line="480" w:lineRule="auto"/>
      </w:pPr>
      <w:r>
        <w:t xml:space="preserve">Why these estimators identify what the theory needs</w:t>
      </w:r>
    </w:p>
    <w:p>
      <w:pPr>
        <w:pStyle w:val="FirstParagraph"/>
        <w:spacing w:line="480" w:lineRule="auto"/>
      </w:pPr>
      <w:r>
        <w:t xml:space="preserve">The alignment between theory and method is exact and worth stating plainly. The cascade theory made two logically separable predictions: a positive cross-sectional association between citation attention and topic signal, and a regular negative elasticity of citation attention on age. The ordinary least squares model is the instrument for the first prediction; the learning-curve model is the instrument for the second. Each estimator isolates one of the two implications, which is why running both is not redundancy but design. If both delivered clean, correctly signed, precisely estimated coefficients, the corpus would be speaking with one voice in favor of the cascade account. If they diverge, the divergence is diagnostic, pointing to which implication the cheap documentary evidence can support and which requires the richer coding the concluding chapters recommend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00"/>
    <w:bookmarkStart w:id="101" w:name="the-estimand-stated-without-hedging"/>
    <w:p>
      <w:pPr>
        <w:pStyle w:val="Heading2"/>
        <w:spacing w:line="480" w:lineRule="auto"/>
      </w:pPr>
      <w:r>
        <w:t xml:space="preserve">The estimand, stated without hedging</w:t>
      </w:r>
    </w:p>
    <w:p>
      <w:pPr>
        <w:pStyle w:val="FirstParagraph"/>
        <w:spacing w:line="480" w:lineRule="auto"/>
      </w:pPr>
      <w:r>
        <w:t xml:space="preserve">It clarifies matters to state the estimand for each model in one sentence, stripped of qualification, so that a reader knows exactly what quantity is being recovered. For the cross-sectional model, the estimand is the partial linear association between reported citation count and topic-signal score among the thirty retrieved documents, holding recency and venue family fixed. For the learning-curve model, the estimand is the constant elasticity of citation-plus-one with respect to document age across the same thirty documents. Both estimands are descriptive quantities defined on the sample, not structural parameters defined on a population, and the distinction is not pedantic. A structural parameter would license extrapolation to documents outside the corpus; a descriptive sample quantity does not. I claim only the latter</w:t>
      </w:r>
      <w:r>
        <w:t xml:space="preserve"> </w:t>
      </w:r>
      <w:hyperlink w:anchor="ref-1">
        <w:r>
          <w:rPr>
            <w:rStyle w:val="Hyperlink"/>
          </w:rPr>
          <w:t xml:space="preserve">[1]</w:t>
        </w:r>
      </w:hyperlink>
      <w:r>
        <w:t xml:space="preserve">.</w:t>
      </w:r>
    </w:p>
    <w:p>
      <w:pPr>
        <w:pStyle w:val="BodyText"/>
        <w:spacing w:line="480" w:lineRule="auto"/>
        <w:ind w:firstLine="720"/>
      </w:pPr>
      <w:r>
        <w:t xml:space="preserve">This restraint has a practical payoff for the reader of the results. Because the estimands are sample-descriptive, the correct question to ask of each coefficient is not whether it generalizes to all space traffic management literature but whether it accurately summarizes the retrieved corpus. That is a question the data can answer, whereas the generalization question is one the data cannot. Framing the estimands narrowly keeps the interpretation on the terrain where the evidence actually lives, and it is the discipline that lets a thirty-document study say something true rather than something grand</w:t>
      </w:r>
      <w:r>
        <w:t xml:space="preserve"> </w:t>
      </w:r>
      <w:hyperlink w:anchor="ref-6">
        <w:r>
          <w:rPr>
            <w:rStyle w:val="Hyperlink"/>
          </w:rPr>
          <w:t xml:space="preserve">[6]</w:t>
        </w:r>
      </w:hyperlink>
      <w:r>
        <w:t xml:space="preserve">.</w:t>
      </w:r>
    </w:p>
    <w:bookmarkEnd w:id="101"/>
    <w:bookmarkStart w:id="102" w:name="inference-in-a-census-like-corpus"/>
    <w:p>
      <w:pPr>
        <w:pStyle w:val="Heading2"/>
        <w:spacing w:line="480" w:lineRule="auto"/>
      </w:pPr>
      <w:r>
        <w:t xml:space="preserve">Inference in a census-like corpus</w:t>
      </w:r>
    </w:p>
    <w:p>
      <w:pPr>
        <w:pStyle w:val="FirstParagraph"/>
        <w:spacing w:line="480" w:lineRule="auto"/>
      </w:pPr>
      <w:r>
        <w:t xml:space="preserve">One subtlety complicates the usual reading of significance here and deserves acknowledgment. The corpus is not a random sample drawn from a large population; it is closer to a near-census of the retrievable serious literature on the topic, given how small the field is. When the data approach a census, the frequentist machinery of standard errors and p-values, which imagines repeated sampling from a population, sits somewhat awkwardly. If the thirty documents are most of the relevant documents, then the coefficients describe the field rather than estimate it, and the standard errors quantify a sampling uncertainty that is partly notional.</w:t>
      </w:r>
    </w:p>
    <w:p>
      <w:pPr>
        <w:pStyle w:val="BodyText"/>
        <w:spacing w:line="480" w:lineRule="auto"/>
        <w:ind w:firstLine="720"/>
      </w:pPr>
      <w:r>
        <w:t xml:space="preserve">I retain the robust standard errors and report the p-values anyway, for two reasons. First, the corpus is not literally a complete census; retrieval missed documents, so some sampling uncertainty is real. Second, the p-values remain useful as a conventional scale of how firmly the data pin down each coefficient, even where their sampling interpretation is strained. The reader should treat significance here as a measure of within-corpus precision rather than as a claim about a hypothetical population, and that reading is consistent with the sample-descriptive estimands stated above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Identification, in the end, is a claim about what a number means. I have argued that these numbers mean conditional association and scaling elasticity within a bounded corpus, no more. That is a smaller claim than the cascade metaphor invites, and the smallness is the point. The following chapter describes the data those estimators run on, and the chapter after that reports exactly what they returned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02"/>
    <w:bookmarkEnd w:id="103"/>
    <w:bookmarkStart w:id="115" w:name="data-and-measurement"/>
    <w:p>
      <w:pPr>
        <w:pStyle w:val="Heading1"/>
        <w:spacing w:line="480" w:lineRule="auto"/>
      </w:pPr>
      <w:r>
        <w:t xml:space="preserve">Data and Measurement</w:t>
      </w:r>
    </w:p>
    <w:p>
      <w:pPr>
        <w:pStyle w:val="FirstParagraph"/>
        <w:spacing w:line="480" w:lineRule="auto"/>
      </w:pPr>
      <w:r>
        <w:t xml:space="preserve">A dissertation about citation cascades stands or falls on the quality of the record it examines. This chapter describes that record: where it came from, how many documents it contains, how each variable was built from raw metadata, and what discipline keeps the whole thing auditable. I have tried to make the construction reproducible in the strict sense, so that a reader with the same source pool and the same rules would arrive at the same numbers. Where a construction choice is arguable, I state the choice and its cost rather than hiding it inside a definition.</w:t>
      </w:r>
    </w:p>
    <w:bookmarkStart w:id="104" w:name="why-measurement-gets-its-own-chapter"/>
    <w:p>
      <w:pPr>
        <w:pStyle w:val="Heading2"/>
        <w:spacing w:line="480" w:lineRule="auto"/>
      </w:pPr>
      <w:r>
        <w:t xml:space="preserve">Why measurement gets its own chapter</w:t>
      </w:r>
    </w:p>
    <w:p>
      <w:pPr>
        <w:pStyle w:val="FirstParagraph"/>
        <w:spacing w:line="480" w:lineRule="auto"/>
      </w:pPr>
      <w:r>
        <w:t xml:space="preserve">Measurement is given a chapter of its own because in a bibliometric study the measurement decisions are where most of the inference is silently made. A reader who accepts a topic-signal score and a citation count at face value has already accepted a great deal: that term hits track relevance, that a local index tracks attention, that an ordinal venue code tracks something meaningful. Each of those acceptances is arguable, and burying them inside variable definitions would let the results borrow a confidence the measurements do not earn. Bringing them into the open, one construction at a time, is how the study earns the right to interpret its coefficients</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chapter is therefore not a preliminary to the analysis but a load-bearing part of it.</w:t>
      </w:r>
    </w:p>
    <w:p>
      <w:pPr>
        <w:pStyle w:val="BodyText"/>
        <w:spacing w:line="480" w:lineRule="auto"/>
        <w:ind w:firstLine="720"/>
      </w:pPr>
      <w:r>
        <w:t xml:space="preserve">Thirty documents. Every one traceable to its source. That constraint shaped everything.</w:t>
      </w:r>
    </w:p>
    <w:bookmarkEnd w:id="104"/>
    <w:bookmarkStart w:id="105" w:name="the-corpus"/>
    <w:p>
      <w:pPr>
        <w:pStyle w:val="Heading2"/>
        <w:spacing w:line="480" w:lineRule="auto"/>
      </w:pPr>
      <w:r>
        <w:t xml:space="preserve">The corpus</w:t>
      </w:r>
    </w:p>
    <w:p>
      <w:pPr>
        <w:pStyle w:val="FirstParagraph"/>
        <w:spacing w:line="480" w:lineRule="auto"/>
      </w:pPr>
      <w:r>
        <w:t xml:space="preserve">The data are a candidate-specific pool of retrieved source records assembled from local brain indices covering space traffic management, space situational awareness, and adjacent governance literature. The estimation file for each empirical screen contains thirty records. That number is the true N, reported without inflation. I want to be direct about its size. Thirty documents is a small corpus, and everything in the next chapter should be read at the confidence a sample of thirty permits. The alternative to a small clean corpus would have been a larger corpus padded with documents whose topic fit I could not defend, and padding a bibliometric sample with off-topic records does not add information. It adds noise that biases the topic signal toward zero. I chose the smaller defensible pool.</w:t>
      </w:r>
    </w:p>
    <w:p>
      <w:pPr>
        <w:pStyle w:val="BodyText"/>
        <w:spacing w:line="480" w:lineRule="auto"/>
        <w:ind w:firstLine="720"/>
      </w:pPr>
      <w:r>
        <w:t xml:space="preserve">Each record preserves provenance. Every row in each dataset carries a source column holding the retrieved document’s identifier, most often a digital object identifier and in the proceedings cases a venue tag. That column is not cosmetic. It is what lets a reader walk from a coefficient back to the specific documents that produced it, and it is the reason the workbook can be called auditable rather than merely computed. The corpus spans venues from conference proceedings through a primary journal to an economics venue, and it spans publication years wide enough to give the age index meaningful variation, which the learning-curve screen requires to estimate an elasticity at all</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05"/>
    <w:bookmarkStart w:id="106" w:name="Xeaf5d747d63bb042d1c8df6b405b06bc47521ec"/>
    <w:p>
      <w:pPr>
        <w:pStyle w:val="Heading2"/>
        <w:spacing w:line="480" w:lineRule="auto"/>
      </w:pPr>
      <w:r>
        <w:t xml:space="preserve">How the topic signal is built, step by step</w:t>
      </w:r>
    </w:p>
    <w:p>
      <w:pPr>
        <w:pStyle w:val="FirstParagraph"/>
        <w:spacing w:line="480" w:lineRule="auto"/>
      </w:pPr>
      <w:r>
        <w:t xml:space="preserve">Because the topic signal is the outcome of the cross-sectional screen, its construction deserves a fuller walkthrough than a definition provides. The construction begins with a term list, a set of candidate-theme terms drawn from the vocabulary of space traffic management and standards diffusion. For each document, an automated pass examines four metadata fields in turn. The title field is scanned for term hits, then the retrieved snippet, then the keyword field, then the author metadata. Each field contributes its count of matches, and the counts combine into the composite topic-signal score for that document. The whole operation is a deterministic function of the metadata and the term list, which means two analysts running it on the same inputs would produce identical scores.</w:t>
      </w:r>
    </w:p>
    <w:p>
      <w:pPr>
        <w:pStyle w:val="BodyText"/>
        <w:spacing w:line="480" w:lineRule="auto"/>
        <w:ind w:firstLine="720"/>
      </w:pPr>
      <w:r>
        <w:t xml:space="preserve">The four-field design is deliberate and its logic is worth stating. A document that engages the topic substantively tends to signal that engagement in more than one place: its title names the problem, its snippet elaborates it, its keywords index it, and its authors are the people who work on it. Counting across all four fields rather than the title alone reduces the chance that a genuinely on-topic document is missed because its title happened to be oblique, and it reduces the chance that an off-topic document scores high on a single incidental match. The composite is coarser than a human relevance judgment but sturdier than any single-field measure, which is the right trade for a screening variable</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06"/>
    <w:bookmarkStart w:id="107" w:name="the-outcome-variables"/>
    <w:p>
      <w:pPr>
        <w:pStyle w:val="Heading2"/>
        <w:spacing w:line="480" w:lineRule="auto"/>
      </w:pPr>
      <w:r>
        <w:t xml:space="preserve">The outcome variables</w:t>
      </w:r>
    </w:p>
    <w:p>
      <w:pPr>
        <w:pStyle w:val="FirstParagraph"/>
        <w:spacing w:line="480" w:lineRule="auto"/>
      </w:pPr>
      <w:r>
        <w:t xml:space="preserve">The cross-sectional screen uses the topic-signal score as its outcome. This variable is a deterministic count. For each document, an automated pass counts hits of candidate-theme terms across four metadata fields: the title, the retrieved snippet, the keyword field, and the author metadata. The counts across those fields combine into a single composite score. The construction is deterministic in the strong sense that it involves no human judgment at scoring time; given the same metadata and the same term list, the score is fixed. That determinism is a virtue for reproducibility and a limitation for validity, and both halves deserve acknowledgment. The virtue is that no coder’s mood enters the outcome. The limitation is that a term-hit count is a proxy for topical relevance, not relevance itself, and a document could carry the field’s vocabulary densely while contributing little to the actual diffusion of a standard</w:t>
      </w:r>
      <w:r>
        <w:t xml:space="preserve"> </w:t>
      </w:r>
      <w:hyperlink w:anchor="ref-6">
        <w:r>
          <w:rPr>
            <w:rStyle w:val="Hyperlink"/>
          </w:rPr>
          <w:t xml:space="preserve">[6]</w:t>
        </w:r>
      </w:hyperlink>
      <w:r>
        <w:t xml:space="preserve">.</w:t>
      </w:r>
    </w:p>
    <w:p>
      <w:pPr>
        <w:pStyle w:val="BodyText"/>
        <w:spacing w:line="480" w:lineRule="auto"/>
        <w:ind w:firstLine="720"/>
      </w:pPr>
      <w:r>
        <w:t xml:space="preserve">The learning-curve screen uses citation count plus one as its outcome. The base quantity is the reported citation count parsed from the local index. The plus-one offset, described in the previous chapter, keeps uncited documents in the sample under the logarithmic transform. It is worth restating why that offset is a measurement decision and not merely an arithmetic convenience. Uncited documents are the failed or not-yet-diffused cascade cases, and any construction that dropped them would quietly select on the outcome, retaining only documents that already succeeded at attracting attention. The offset preserves the full distribution of outcomes, including the zeros the theory most needs to see.</w:t>
      </w:r>
    </w:p>
    <w:bookmarkEnd w:id="107"/>
    <w:bookmarkStart w:id="108" w:name="why-the-zeros-are-kept-not-dropped"/>
    <w:p>
      <w:pPr>
        <w:pStyle w:val="Heading2"/>
        <w:spacing w:line="480" w:lineRule="auto"/>
      </w:pPr>
      <w:r>
        <w:t xml:space="preserve">Why the zeros are kept, not dropped</w:t>
      </w:r>
    </w:p>
    <w:p>
      <w:pPr>
        <w:pStyle w:val="FirstParagraph"/>
        <w:spacing w:line="480" w:lineRule="auto"/>
      </w:pPr>
      <w:r>
        <w:t xml:space="preserve">The citation counts include genuine zeros, documents the local index reported as uncited, and the decision to keep them rather than drop them is a measurement commitment worth defending on its own. Uncited documents are not missing data; they are observed outcomes, and in a diffusion study they are the most theoretically important outcomes, because they are the proposals that did not catch. A construction that dropped the zeros, whether by filtering them out or by letting an undefined logarithm silently remove them, would select the sample on success and produce a corpus of winners that overstates how orderly diffusion is. The plus-one offset exists precisely to keep the zeros defined under the log transform, and its small distortion near the bottom of the scale is the acceptable price of retaining the failures the theory needs to see</w:t>
      </w:r>
      <w:r>
        <w:t xml:space="preserve"> </w:t>
      </w:r>
      <w:hyperlink w:anchor="ref-5">
        <w:r>
          <w:rPr>
            <w:rStyle w:val="Hyperlink"/>
          </w:rPr>
          <w:t xml:space="preserve">[5]</w:t>
        </w:r>
      </w:hyperlink>
      <w:r>
        <w:t xml:space="preserve"> </w:t>
      </w:r>
      <w:hyperlink w:anchor="ref-6">
        <w:r>
          <w:rPr>
            <w:rStyle w:val="Hyperlink"/>
          </w:rPr>
          <w:t xml:space="preserve">[6]</w:t>
        </w:r>
      </w:hyperlink>
      <w:r>
        <w:t xml:space="preserve">. Keeping the zeros is not a technicality; it is what lets the temporal screen observe the full distribution of diffusion outcomes rather than a survivorship-filtered slice of it.</w:t>
      </w:r>
    </w:p>
    <w:p>
      <w:pPr>
        <w:pStyle w:val="BodyText"/>
        <w:spacing w:line="480" w:lineRule="auto"/>
        <w:ind w:firstLine="720"/>
      </w:pPr>
      <w:r>
        <w:t xml:space="preserve">Three predictors carry the cross-sectional model. Each is built from metadata alone. Each has a ceiling.</w:t>
      </w:r>
    </w:p>
    <w:bookmarkEnd w:id="108"/>
    <w:bookmarkStart w:id="109" w:name="the-predictors"/>
    <w:p>
      <w:pPr>
        <w:pStyle w:val="Heading2"/>
        <w:spacing w:line="480" w:lineRule="auto"/>
      </w:pPr>
      <w:r>
        <w:t xml:space="preserve">The predictors</w:t>
      </w:r>
    </w:p>
    <w:p>
      <w:pPr>
        <w:pStyle w:val="FirstParagraph"/>
        <w:spacing w:line="480" w:lineRule="auto"/>
      </w:pPr>
      <w:r>
        <w:t xml:space="preserve">The recency index is computed as a document’s publication year minus the minimum publication year in the sample, plus one. This yields a small positive integer that grows with recency, anchored so that the oldest document in the pool scores one. Anchoring to the sample minimum rather than to an absolute calendar origin keeps the index on a compact scale suited to a thirty-row regression and makes the coefficient interpretable as the signal change per year of recency within the observed window.</w:t>
      </w:r>
    </w:p>
    <w:p>
      <w:pPr>
        <w:pStyle w:val="BodyText"/>
        <w:spacing w:line="480" w:lineRule="auto"/>
        <w:ind w:firstLine="720"/>
      </w:pPr>
      <w:r>
        <w:t xml:space="preserve">The reported citation count enters the cross-sectional model directly as a predictor and, offset and logged, indirectly as the outcome basis of the temporal model. In both roles it is the same underlying quantity: the number of citations the local index attributed to the document, set to zero when the index reported none. This is a local index measure, not a universal citation count, and the distinction is load-bearing. Different indices attribute different counts to the same document, and the counts here reflect what one particular retrieval captured. A document undercounted by the local index will look less attended than it truly is, and the citation-attention coefficient absorbs that measurement error as attenuation</w:t>
      </w:r>
      <w:r>
        <w:t xml:space="preserve"> </w:t>
      </w:r>
      <w:hyperlink w:anchor="ref-2">
        <w:r>
          <w:rPr>
            <w:rStyle w:val="Hyperlink"/>
          </w:rPr>
          <w:t xml:space="preserve">[2]</w:t>
        </w:r>
      </w:hyperlink>
      <w:r>
        <w:t xml:space="preserve">.</w:t>
      </w:r>
    </w:p>
    <w:p>
      <w:pPr>
        <w:pStyle w:val="BodyText"/>
        <w:spacing w:line="480" w:lineRule="auto"/>
        <w:ind w:firstLine="720"/>
      </w:pPr>
      <w:r>
        <w:t xml:space="preserve">The venue-family score is an ordinal code: proceedings scored one, the primary journal scored two, the economics venue scored three. The coding reflects a rough progression in the formality and reach of the venue, but it is ordinal, not cardinal, and the numeric gaps between levels are not claimed to be equal or meaningful. Reading the venue coefficient as anything more than a crude adjustment would overinterpret the coding, and I flag that ceiling here so the results chapter does not have to relitigate it.</w:t>
      </w:r>
    </w:p>
    <w:p>
      <w:pPr>
        <w:pStyle w:val="BodyText"/>
        <w:spacing w:line="480" w:lineRule="auto"/>
        <w:ind w:firstLine="720"/>
      </w:pPr>
      <w:r>
        <w:t xml:space="preserve">The document age index, used only by the learning-curve screen, is computed as a fixed reference year of 2026 minus the document’s publication year, plus one. It is the temporal mirror of the recency index, anchored to a calendar reference rather than to the sample minimum so that its logarithm behaves well across the full span of publication years. The plus-one anchor guarantees the youngest documents score one rather than zero, keeping the logarithm defined for the newest records just as the offset keeps it defined for the uncited ones.</w:t>
      </w:r>
    </w:p>
    <w:bookmarkEnd w:id="109"/>
    <w:bookmarkStart w:id="110" w:name="the-venue-composition-of-the-corpus"/>
    <w:p>
      <w:pPr>
        <w:pStyle w:val="Heading2"/>
        <w:spacing w:line="480" w:lineRule="auto"/>
      </w:pPr>
      <w:r>
        <w:t xml:space="preserve">The venue composition of the corpus</w:t>
      </w:r>
    </w:p>
    <w:p>
      <w:pPr>
        <w:pStyle w:val="FirstParagraph"/>
        <w:spacing w:line="480" w:lineRule="auto"/>
      </w:pPr>
      <w:r>
        <w:t xml:space="preserve">Because the venue-family score enters both as a control and as a descriptive angle on the corpus, the composition of venues deserves description. The pool spans three families arranged on the ordinal scale. Conference proceedings, scored one, dominate the older and more technical end of the corpus, carrying the debris-modeling and operational-responsiveness work that forms the durable citation core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primary journal, scored two, carries much of the governance and measurement writing, including the registration-reform and sustainability-rating strands that represent the field’s institutional frontier</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economics venue, scored three, carries the smallest share, contributing work that frames space activity in market and incentive terms</w:t>
      </w:r>
      <w:r>
        <w:t xml:space="preserve"> </w:t>
      </w:r>
      <w:hyperlink w:anchor="ref-9">
        <w:r>
          <w:rPr>
            <w:rStyle w:val="Hyperlink"/>
          </w:rPr>
          <w:t xml:space="preserve">[9]</w:t>
        </w:r>
      </w:hyperlink>
      <w:r>
        <w:t xml:space="preserve">.</w:t>
      </w:r>
    </w:p>
    <w:p>
      <w:pPr>
        <w:pStyle w:val="BodyText"/>
        <w:spacing w:line="480" w:lineRule="auto"/>
        <w:ind w:firstLine="720"/>
      </w:pPr>
      <w:r>
        <w:t xml:space="preserve">This composition has a consequence the analysis must respect. The venue families are not randomly distributed across publication years or citation profiles; the proceedings skew older and more cited, the journal skews newer and less cited, simply because of when each family became the community’s preferred outlet. That correlation between venue and age means the venue control in the cross-sectional model is partly absorbing age-related variation, and the reader should not over-read a venue coefficient as a pure venue effect. The description matters because it explains, in advance, why the venue term behaves as a rough adjustment rather than as a clean estimate, and why the two-screen design keeps the temporal question separate from the cross-sectional one rather than trusting a single model to disentangle age from venue</w:t>
      </w:r>
      <w:r>
        <w:t xml:space="preserve"> </w:t>
      </w:r>
      <w:hyperlink w:anchor="ref-1">
        <w:r>
          <w:rPr>
            <w:rStyle w:val="Hyperlink"/>
          </w:rPr>
          <w:t xml:space="preserve">[1]</w:t>
        </w:r>
      </w:hyperlink>
      <w:r>
        <w:t xml:space="preserve">.</w:t>
      </w:r>
    </w:p>
    <w:bookmarkEnd w:id="110"/>
    <w:bookmarkStart w:id="111" w:name="the-age-structure-of-the-corpus"/>
    <w:p>
      <w:pPr>
        <w:pStyle w:val="Heading2"/>
        <w:spacing w:line="480" w:lineRule="auto"/>
      </w:pPr>
      <w:r>
        <w:t xml:space="preserve">The age structure of the corpus</w:t>
      </w:r>
    </w:p>
    <w:p>
      <w:pPr>
        <w:pStyle w:val="FirstParagraph"/>
        <w:spacing w:line="480" w:lineRule="auto"/>
      </w:pPr>
      <w:r>
        <w:t xml:space="preserve">The learning-curve screen lives or dies on the corpus having real variation in document age, so the age structure warrants description. The publication years span from the field’s older technical foundations through its most recent governance writing, giving the age index a range wide enough for a log-log regression to estimate an elasticity rather than a single point. The older end is anchored by durable technical work whose citation counts have had years to accumulate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newer end is populated by governance and measurement writing published recently enough that its citation counts are still low, sometimes zero, which is exactly why the plus-one offset matters for keeping those records in the sample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spread is not merely convenient; it is what makes the temporal test meaningful. A corpus clustered at a single age would offer no leverage to estimate how citation relates to age, and any elasticity recovered from it would be an artifact of noise. The observed spread means the temporal elasticity reported later rests on genuine variation, documents that differ substantially in how long they have been available to be cited. At the same time, the spread’s dependence on which old and which new documents were retrieved is the specific channel through which retrieval selection could bias the elasticity, a concern the discussion chapter takes up rather than one the data can close</w:t>
      </w:r>
      <w:r>
        <w:t xml:space="preserve"> </w:t>
      </w:r>
      <w:hyperlink w:anchor="ref-5">
        <w:r>
          <w:rPr>
            <w:rStyle w:val="Hyperlink"/>
          </w:rPr>
          <w:t xml:space="preserve">[5]</w:t>
        </w:r>
      </w:hyperlink>
      <w:r>
        <w:t xml:space="preserve">.</w:t>
      </w:r>
    </w:p>
    <w:bookmarkEnd w:id="111"/>
    <w:bookmarkStart w:id="112" w:name="reproducibility-as-a-design-commitment"/>
    <w:p>
      <w:pPr>
        <w:pStyle w:val="Heading2"/>
        <w:spacing w:line="480" w:lineRule="auto"/>
      </w:pPr>
      <w:r>
        <w:t xml:space="preserve">Reproducibility as a design commitment</w:t>
      </w:r>
    </w:p>
    <w:p>
      <w:pPr>
        <w:pStyle w:val="FirstParagraph"/>
        <w:spacing w:line="480" w:lineRule="auto"/>
      </w:pPr>
      <w:r>
        <w:t xml:space="preserve">The word reproducible is used carefully here and deserves an operational definition. A result is reproducible in this project if a reader with the same source pool, the same variable definitions, and the same estimator specification would obtain the same coefficients to the precision reported. Every ingredient of that definition is fixed and documented. The source pool is a closed list of thirty identified documents. The variable definitions are deterministic functions of metadata, with no human coding step that could vary between analysts. The estimator specifications, ordinary least squares and a log-log learning curve, both with robust HC1 standard errors, are stated exactly. Nothing in the pipeline depends on a random seed, a tuning parameter, or an analyst’s discretion at estimation time.</w:t>
      </w:r>
    </w:p>
    <w:p>
      <w:pPr>
        <w:pStyle w:val="BodyText"/>
        <w:spacing w:line="480" w:lineRule="auto"/>
        <w:ind w:firstLine="720"/>
      </w:pPr>
      <w:r>
        <w:t xml:space="preserve">That commitment is more than good hygiene; it is the property that lets the dissertation make a modest claim credibly. A study that cannot be reproduced can assert anything, because no reader can check it. A study built this way can assert only what the fixed pipeline actually produces, which is a smaller set of claims but a defensible one. The cost of the commitment is that the deterministic topic signal is cruder than a hand-coded relevance judgment would be, and I accept that cost knowingly, because a crude reproducible measure serves a screening study better than a refined but unrepeatable one</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refinement belongs to the next design stage, where direct coding replaces the term-hit proxy, and where the loss of automatic reproducibility is bought back by explicit coding protocols.</w:t>
      </w:r>
    </w:p>
    <w:bookmarkEnd w:id="112"/>
    <w:bookmarkStart w:id="113" w:name="Xa5e363513d2312b7a0af94e427a05a894c61109"/>
    <w:p>
      <w:pPr>
        <w:pStyle w:val="Heading2"/>
        <w:spacing w:line="480" w:lineRule="auto"/>
      </w:pPr>
      <w:r>
        <w:t xml:space="preserve">The citation count as a contested measurement</w:t>
      </w:r>
    </w:p>
    <w:p>
      <w:pPr>
        <w:pStyle w:val="FirstParagraph"/>
        <w:spacing w:line="480" w:lineRule="auto"/>
      </w:pPr>
      <w:r>
        <w:t xml:space="preserve">The reported citation count is the most contested single measurement in the study, and its contested status deserves acknowledgment rather than concealment. The count is what the local index attributed to each document, and different indices attribute different counts to the same document because they cover different source sets and resolve references differently. A document heavily cited in venues the local index does not cover will appear lightly cited here, and that undercount is not random; it plausibly falls hardest on the newest and most specialized governance work, whose citing literature is itself young and thinly indexed</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consequence is measurement error in the very variable that carries the cascade hypothesis on the cross-sectional margin. Because the error is toward undercounting, its statistical effect on the citation-attention coefficient is attenuation, biasing the estimate toward zero. That is worth stating in the measurement chapter, because it means the marginal cross-sectional result reported later may understate a stronger underlying relationship, and a reader deciding how to weigh that result needs to know its measurement is conservative rather than neutral</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13"/>
    <w:bookmarkStart w:id="114" w:name="provenance-discipline-and-its-limits"/>
    <w:p>
      <w:pPr>
        <w:pStyle w:val="Heading2"/>
        <w:spacing w:line="480" w:lineRule="auto"/>
      </w:pPr>
      <w:r>
        <w:t xml:space="preserve">Provenance discipline and its limits</w:t>
      </w:r>
    </w:p>
    <w:p>
      <w:pPr>
        <w:pStyle w:val="FirstParagraph"/>
        <w:spacing w:line="480" w:lineRule="auto"/>
      </w:pPr>
      <w:r>
        <w:t xml:space="preserve">The reproducible hierarchy runs in one direction. The bibliography and source metadata establish the universe of documents. The dataset files define the rows and their variables. The configuration files define each variable’s meaning and each model’s formula. The estimation reproduces the coefficients. The dissertation narrative sits downstream of all of that, which is the correct order: prose interprets numbers, it does not generate them. A reader who doubts any interpretation in the next chapter can descend the hierarchy to the row, the variable definition, and the source identifier that stand behind it.</w:t>
      </w:r>
    </w:p>
    <w:p>
      <w:pPr>
        <w:pStyle w:val="BodyText"/>
        <w:spacing w:line="480" w:lineRule="auto"/>
        <w:ind w:firstLine="720"/>
      </w:pPr>
      <w:r>
        <w:t xml:space="preserve">The discipline has honest limits, and I would rather name them than let a reader discover them uneasily. The topic signal is a term-hit proxy, sensitive to how the field happens to phrase itself and blind to substance that uses unexpected vocabulary</w:t>
      </w:r>
      <w:r>
        <w:t xml:space="preserve"> </w:t>
      </w:r>
      <w:hyperlink w:anchor="ref-12">
        <w:r>
          <w:rPr>
            <w:rStyle w:val="Hyperlink"/>
          </w:rPr>
          <w:t xml:space="preserve">[12]</w:t>
        </w:r>
      </w:hyperlink>
      <w:r>
        <w:t xml:space="preserve">. The citation counts are local and therefore partial</w:t>
      </w:r>
      <w:r>
        <w:t xml:space="preserve"> </w:t>
      </w:r>
      <w:hyperlink w:anchor="ref-6">
        <w:r>
          <w:rPr>
            <w:rStyle w:val="Hyperlink"/>
          </w:rPr>
          <w:t xml:space="preserve">[6]</w:t>
        </w:r>
      </w:hyperlink>
      <w:r>
        <w:t xml:space="preserve">. The venue coding is ordinal and coarse. The sample is thirty documents, small enough that a handful of records can move a coefficient. None of these limits is fatal, and none is hidden. They are the reason the estimators in the following chapter are read as screens on a bounded corpus rather than as measurements of the space sector, and they are the reason the concluding chapters call for direct document coding as the natural next step beyond what metadata alone can carry</w:t>
      </w:r>
      <w:r>
        <w:t xml:space="preserve"> </w:t>
      </w:r>
      <w:hyperlink w:anchor="ref-8">
        <w:r>
          <w:rPr>
            <w:rStyle w:val="Hyperlink"/>
          </w:rPr>
          <w:t xml:space="preserve">[8]</w:t>
        </w:r>
      </w:hyperlink>
      <w:r>
        <w:t xml:space="preserve"> </w:t>
      </w:r>
      <w:hyperlink w:anchor="ref-11">
        <w:r>
          <w:rPr>
            <w:rStyle w:val="Hyperlink"/>
          </w:rPr>
          <w:t xml:space="preserve">[11]</w:t>
        </w:r>
      </w:hyperlink>
      <w:r>
        <w:t xml:space="preserve">.</w:t>
      </w:r>
    </w:p>
    <w:bookmarkEnd w:id="114"/>
    <w:bookmarkEnd w:id="115"/>
    <w:bookmarkStart w:id="125" w:name="results"/>
    <w:p>
      <w:pPr>
        <w:pStyle w:val="Heading1"/>
        <w:spacing w:line="480" w:lineRule="auto"/>
      </w:pPr>
      <w:r>
        <w:t xml:space="preserve">Results</w:t>
      </w:r>
    </w:p>
    <w:p>
      <w:pPr>
        <w:pStyle w:val="FirstParagraph"/>
        <w:spacing w:line="480" w:lineRule="auto"/>
      </w:pPr>
      <w:r>
        <w:t xml:space="preserve">This chapter reports what the two estimators returned and interprets the signs and magnitudes without decoration. Every number here comes directly from the empirical workbooks and appears exactly as those files produced it. I resist the temptation to round the interesting coefficients toward significance or to narrate the boring ones as though they were surprising. The corpus said what it said. My job is to read it accurately and to let the asymmetry between the two screens stand as the finding it is.</w:t>
      </w:r>
    </w:p>
    <w:bookmarkStart w:id="116" w:name="how-to-read-the-numbers-that-follow"/>
    <w:p>
      <w:pPr>
        <w:pStyle w:val="Heading2"/>
        <w:spacing w:line="480" w:lineRule="auto"/>
      </w:pPr>
      <w:r>
        <w:t xml:space="preserve">How to read the numbers that follow</w:t>
      </w:r>
    </w:p>
    <w:p>
      <w:pPr>
        <w:pStyle w:val="FirstParagraph"/>
        <w:spacing w:line="480" w:lineRule="auto"/>
      </w:pPr>
      <w:r>
        <w:t xml:space="preserve">The reported figures appear at full precision, and a word on why is warranted before they arrive. I report coefficients, standard errors, and p-values as the empirical files produced them rather than rounding to a comfortable few digits, because rounding is a small act of interpretation that a results chapter should not perform silently. A p-value of 0.08379258797377032 rounds to 0.08, which reads as cleanly marginal, but the full value carries the information that it sits closer to nine percent than to eight, which slightly weakens even the cautious reading. Reporting the full precision lets the reader make the rounding decision knowingly rather than inheriting mine. The same principle governs the elasticity, the fit statistics, and the intercepts throughout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One screen whispered. The other spoke. The gap between them is the result.</w:t>
      </w:r>
    </w:p>
    <w:bookmarkEnd w:id="116"/>
    <w:bookmarkStart w:id="117" w:name="the-cross-sectional-screen"/>
    <w:p>
      <w:pPr>
        <w:pStyle w:val="Heading2"/>
        <w:spacing w:line="480" w:lineRule="auto"/>
      </w:pPr>
      <w:r>
        <w:t xml:space="preserve">The cross-sectional screen</w:t>
      </w:r>
    </w:p>
    <w:p>
      <w:pPr>
        <w:pStyle w:val="FirstParagraph"/>
        <w:spacing w:line="480" w:lineRule="auto"/>
      </w:pPr>
      <w:r>
        <w:t xml:space="preserve">The ordinary least squares model estimates the topic-signal score as a function of the recency index, the reported citation count, and the ordinal venue-family score, with robust HC1 standard errors. The overall fit is weak. With N equal to 30, the model returns an R-squared of 0.0637857854320022 and an adjusted R-squared of -0.044238931633536094. The negative adjusted R-squared is not a typographical accident; it is what happens when a model’s predictors explain so little variance that the adjustment for their number drives the statistic below zero. The joint test agrees. The F-statistic is 1.0174066101120902 with a p-value of 0.4009576288845694, which does not reject the null that all three slope coefficients are jointly zero. Read as a whole, the model does not establish that recency, citation attention, and venue family together account for the distribution of topic signal across the corpus.</w:t>
      </w:r>
    </w:p>
    <w:p>
      <w:pPr>
        <w:pStyle w:val="BodyText"/>
        <w:spacing w:line="480" w:lineRule="auto"/>
        <w:ind w:firstLine="720"/>
      </w:pPr>
      <w:r>
        <w:t xml:space="preserve">The term-level estimates fill in the texture. The constant is 2.5699311213529326 with a p-value of 0.014240551353915085, so the intercept is precisely estimated and positive, which simply says the average document carries a nonzero baseline topic signal once the predictors are set to zero. The recency-index coefficient is -0.00116677638840295 with a p-value of 0.9824574338247499. That coefficient is, for practical purposes, indistinguishable from zero, and its p-value is as close to one as these things come. Within this corpus, more recent documents do not carry more topic signal; recency does essentially no work. That result is not what the naive cascade story would predict, but it is exactly what the registration literature warned to expect, since the newest institutional moves may be salient without yet having accumulated the documentary mass a cross-sectional screen can detect</w:t>
      </w:r>
      <w:r>
        <w:t xml:space="preserve"> </w:t>
      </w:r>
      <w:hyperlink w:anchor="ref-12">
        <w:r>
          <w:rPr>
            <w:rStyle w:val="Hyperlink"/>
          </w:rPr>
          <w:t xml:space="preserve">[12]</w:t>
        </w:r>
      </w:hyperlink>
      <w:r>
        <w:t xml:space="preserve">.</w:t>
      </w:r>
    </w:p>
    <w:p>
      <w:pPr>
        <w:pStyle w:val="BodyText"/>
        <w:spacing w:line="480" w:lineRule="auto"/>
        <w:ind w:firstLine="720"/>
      </w:pPr>
      <w:r>
        <w:t xml:space="preserve">The citation-attention coefficient is the one the theory cares about most, and it is the most interesting result in the model. It is 0.1064027963488946 with a p-value of 0.08379258797377032. The sign is positive, in the direction the cascade mechanism predicts: documents carrying more citation attention also carry more topic signal, holding recency and venue fixed. The magnitude implies that each additional reported citation is associated with roughly a tenth of a point more topic signal. The p-value sits just above the conventional five percent threshold and below ten percent, which places the estimate in the honest gray zone. In a sample of thirty, I read this as suggestive rather than conclusive. The corpus leans toward the cascade prediction on its central margin, but it does not lean hard enough to reject the null at conventional strength. Given the earlier argument that a p-value above threshold in a small sample is weak evidence for the null rather than proof of it, the responsible reading is that the citation-attention association is present in sign and plausible in magnitude, and that a larger corpus would be needed to sharpen it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venue-family coefficient is -0.10859777192916337 with a p-value of 0.8150046017632273. Its sign is negative and its precision is negligible. Taken at face value the negative sign would suggest that higher-tier venues carry slightly less topic signal, but the coding is ordinal and coarse, the standard error is large, and the p-value is far from any threshold. I decline to interpret the venue coefficient as anything more than confirmation that venue composition, entered this crudely, does not systematically distort the topic signal in the sample. It does the modest background job it was included to do and no more.</w:t>
      </w:r>
    </w:p>
    <w:p>
      <w:pPr>
        <w:pStyle w:val="BodyText"/>
        <w:spacing w:line="480" w:lineRule="auto"/>
        <w:ind w:firstLine="720"/>
      </w:pPr>
      <w:r>
        <w:t xml:space="preserve">Assembled, the cross-sectional screen returns a mixed and largely imprecise picture. The model as a whole does not fit; recency and venue contribute nothing detectable; and the one theoretically central predictor, citation attention, carries the right sign and a plausible magnitude but only marginal precision. This is not a confirmation of the cascade story and it is not a refutation. It is a corpus that whispers where the theory wanted it to speak, and honesty requires reporting the whisper at its true volume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7"/>
    <w:bookmarkStart w:id="118" w:name="X2e244ac8fc796955a2fe78d6463b236ba6b30dd"/>
    <w:p>
      <w:pPr>
        <w:pStyle w:val="Heading2"/>
        <w:spacing w:line="480" w:lineRule="auto"/>
      </w:pPr>
      <w:r>
        <w:t xml:space="preserve">The negative adjusted R-squared, read plainly</w:t>
      </w:r>
    </w:p>
    <w:p>
      <w:pPr>
        <w:pStyle w:val="FirstParagraph"/>
        <w:spacing w:line="480" w:lineRule="auto"/>
      </w:pPr>
      <w:r>
        <w:t xml:space="preserve">The negative adjusted R-squared of -0.044238931633536094 is unusual enough in a results chapter to warrant a plain-language reading, since a reader could mistake it for an error. It is not an error. Adjusted R-squared penalizes a model for the number of predictors it carries, and when those predictors explain almost none of the variance, the penalty can drive the adjusted statistic below zero. What the negative value communicates is stark: the three predictors together, adjusted for the fact that there are three of them, explain less than a model with no predictors at all would be expected to by chance. This is the single most direct signal that the cross-sectional specification does not fit, and it aligns with the F-p of 0.4009576288845694, which fails to reject the joint nullity. Read together, the two statistics say the same thing in two idioms: as a cross-sectional description of topic signal, this model has almost no explanatory content, and the marginal citation coefficient is the only term that gestures toward structure at all</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18"/>
    <w:bookmarkStart w:id="119" w:name="the-learning-curve-screen"/>
    <w:p>
      <w:pPr>
        <w:pStyle w:val="Heading2"/>
        <w:spacing w:line="480" w:lineRule="auto"/>
      </w:pPr>
      <w:r>
        <w:t xml:space="preserve">The learning-curve screen</w:t>
      </w:r>
    </w:p>
    <w:p>
      <w:pPr>
        <w:pStyle w:val="FirstParagraph"/>
        <w:spacing w:line="480" w:lineRule="auto"/>
      </w:pPr>
      <w:r>
        <w:t xml:space="preserve">The second screen is different. It is clean. It speaks.</w:t>
      </w:r>
    </w:p>
    <w:p>
      <w:pPr>
        <w:pStyle w:val="BodyText"/>
        <w:spacing w:line="480" w:lineRule="auto"/>
        <w:ind w:firstLine="720"/>
      </w:pPr>
      <w:r>
        <w:t xml:space="preserve">The temporal model tells a cleaner story. The log-log learning-curve regression estimates the natural log of citation count plus one as a function of the natural log of the document age index, again with robust HC1 standard errors. With N equal to 30, the model returns an R-squared of 0.20075345885743612. That is a modest fit in absolute terms, but it is more than three times the explanatory share of the cross-sectional model, and for a single-predictor bibliometric regression on thirty documents it is a substantively meaningful share of variance.</w:t>
      </w:r>
    </w:p>
    <w:p>
      <w:pPr>
        <w:pStyle w:val="BodyText"/>
        <w:spacing w:line="480" w:lineRule="auto"/>
        <w:ind w:firstLine="720"/>
      </w:pPr>
      <w:r>
        <w:t xml:space="preserve">The estimated elasticity, the coefficient on log age, is -0.6113448329365856 with a p-value of 0.0010091448109589664. This is the headline result of the dissertation. The coefficient is negative, precisely estimated, and significant at well below the one percent level. The sign matches the theoretical prediction exactly: within this corpus, current citation attention declines with document age in a regular, elastic way. The magnitude has a clean interpretation because both variables are logged. A one percent increase in a document’s age is associated with roughly a 0.61 percent decrease in its citation-plus-one count. The constant in this model is 1.5118339635558553 with a p-value of 2.2500654716173483e-05, precisely estimated and positive, anchoring the curve.</w:t>
      </w:r>
    </w:p>
    <w:p>
      <w:pPr>
        <w:pStyle w:val="BodyText"/>
        <w:spacing w:line="480" w:lineRule="auto"/>
        <w:ind w:firstLine="720"/>
      </w:pPr>
      <w:r>
        <w:t xml:space="preserve">The learning-curve framing yields one further number worth stating. The progress ratio, computed as two raised to the elasticity, is 0.6545862336548478. Transposed from its manufacturing origin, this says that when a document’s age doubles, its citation-plus-one count falls to roughly sixty-five percent of its prior level. That is a smooth, orderly decay, and its regularity is the point. Attention in this corpus does not scatter randomly across document ages; it follows a stable law with a well-estimated exponent. Where the cross-sectional screen whispered, the temporal screen states a clear regularity</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9"/>
    <w:bookmarkStart w:id="120" w:name="magnitude-in-context"/>
    <w:p>
      <w:pPr>
        <w:pStyle w:val="Heading2"/>
        <w:spacing w:line="480" w:lineRule="auto"/>
      </w:pPr>
      <w:r>
        <w:t xml:space="preserve">Magnitude in context</w:t>
      </w:r>
    </w:p>
    <w:p>
      <w:pPr>
        <w:pStyle w:val="FirstParagraph"/>
        <w:spacing w:line="480" w:lineRule="auto"/>
      </w:pPr>
      <w:r>
        <w:t xml:space="preserve">Coefficients mean little until they are placed on a scale, so consider what these magnitudes imply in the units of the corpus. The citation-attention coefficient of 0.1064027963488946 says that moving a document from zero reported citations to ten, a swing well within the observed range, is associated with roughly one additional point of topic signal. Against a topic-signal scale whose baseline intercept is 2.5699311213529326, one point is a substantively noticeable shift, on the order of forty percent of the baseline. So the cross-sectional relationship, though only marginally precise, is not trivially small where it does appear; the problem is confidence, not magnitude. A larger corpus that preserved this point estimate while shrinking the standard error would convert a suggestive result into a firm one, which is exactly why the concluding chapters prioritize enlarging the sample</w:t>
      </w:r>
      <w:r>
        <w:t xml:space="preserve"> </w:t>
      </w:r>
      <w:hyperlink w:anchor="ref-2">
        <w:r>
          <w:rPr>
            <w:rStyle w:val="Hyperlink"/>
          </w:rPr>
          <w:t xml:space="preserve">[2]</w:t>
        </w:r>
      </w:hyperlink>
      <w:r>
        <w:t xml:space="preserve">.</w:t>
      </w:r>
    </w:p>
    <w:p>
      <w:pPr>
        <w:pStyle w:val="BodyText"/>
        <w:spacing w:line="480" w:lineRule="auto"/>
        <w:ind w:firstLine="720"/>
      </w:pPr>
      <w:r>
        <w:t xml:space="preserve">The temporal elasticity carries an even cleaner magnitude story. An elasticity of -0.6113448329365856 is well inside the range where a relationship is strong enough to matter but not so steep as to suggest a mechanical artifact. The progress ratio of 0.6545862336548478 makes the same point in intuitive terms: each doubling of a document’s age is associated with attention falling to about sixty-five percent of its prior level, a decay brisk enough to be real and gradual enough to be plausible for a maturing literature</w:t>
      </w:r>
      <w:r>
        <w:t xml:space="preserve"> </w:t>
      </w:r>
      <w:hyperlink w:anchor="ref-4">
        <w:r>
          <w:rPr>
            <w:rStyle w:val="Hyperlink"/>
          </w:rPr>
          <w:t xml:space="preserve">[4]</w:t>
        </w:r>
      </w:hyperlink>
      <w:r>
        <w:t xml:space="preserve">. Neither number is an artifact of scaling, because the log-log form makes the elasticity invariant to the units of age and citation, and the anchoring choices described earlier shift the intercept without touching the slope.</w:t>
      </w:r>
    </w:p>
    <w:bookmarkEnd w:id="120"/>
    <w:bookmarkStart w:id="121" w:name="X378ed7b05d88e78877f2fcbdef6a399453afff3"/>
    <w:p>
      <w:pPr>
        <w:pStyle w:val="Heading2"/>
        <w:spacing w:line="480" w:lineRule="auto"/>
      </w:pPr>
      <w:r>
        <w:t xml:space="preserve">A robustness reading within the reported output</w:t>
      </w:r>
    </w:p>
    <w:p>
      <w:pPr>
        <w:pStyle w:val="FirstParagraph"/>
        <w:spacing w:line="480" w:lineRule="auto"/>
      </w:pPr>
      <w:r>
        <w:t xml:space="preserve">A design-stage screen cannot run every robustness check a final paper would, but the reported statistics already contain several internal consistency checks worth drawing out. The first is the contrast in fit between the two models. The cross-sectional R-squared of 0.0637857854320022, with its negative adjusted counterpart of -0.044238931633536094, tells us the three predictors jointly explain almost none of the topic-signal variance, and the F-p of 0.4009576288845694 confirms the joint nullity cannot be rejected. The temporal R-squared of 0.20075345885743612, from a single predictor, explains more than three times as much variance. That contrast is itself a robustness signal: it is not the case that both models are equally weak or equally strong, which would suggest a common artifact; rather, one margin carries structure and the other does not, exactly the pattern a corpus with a real but dimension-specific signal should show.</w:t>
      </w:r>
    </w:p>
    <w:p>
      <w:pPr>
        <w:pStyle w:val="BodyText"/>
        <w:spacing w:line="480" w:lineRule="auto"/>
        <w:ind w:firstLine="720"/>
      </w:pPr>
      <w:r>
        <w:t xml:space="preserve">The second internal check is the precision ordering of the coefficients. In the cross-sectional model, the intercept is precise (p = 0.014240551353915085), the citation term is marginal (p = 0.08379258797377032), and the recency and venue terms are far from any threshold (p = 0.9824574338247499 and p = 0.8150046017632273). This ordering is coherent with the theory rather than random: the one predictor the cascade mechanism singles out, citation attention, is the one that rises toward significance, while the predictors the theory treated as controls or as expected-null remain null. A result in which venue or recency had spuriously loaded while citation stayed flat would have been harder to trust. The observed ordering, by contrast, is what a genuine-but-underpowered cascade signal looks like</w:t>
      </w:r>
      <w:r>
        <w:t xml:space="preserve"> </w:t>
      </w:r>
      <w:hyperlink w:anchor="ref-6">
        <w:r>
          <w:rPr>
            <w:rStyle w:val="Hyperlink"/>
          </w:rPr>
          <w:t xml:space="preserve">[6]</w:t>
        </w:r>
      </w:hyperlink>
      <w:r>
        <w:t xml:space="preserve">.</w:t>
      </w:r>
    </w:p>
    <w:p>
      <w:pPr>
        <w:pStyle w:val="BodyText"/>
        <w:spacing w:line="480" w:lineRule="auto"/>
        <w:ind w:firstLine="720"/>
      </w:pPr>
      <w:r>
        <w:t xml:space="preserve">The third check lives in the temporal model’s intercept. At 1.5118339635558553 with a p-value of 2.2500654716173483e-05, the intercept is estimated with high precision, which matters because an unstable intercept can signal a misspecified curve. A tightly estimated intercept alongside a significant negative slope indicates the log-log form is capturing the data’s shape rather than being forced onto it, supporting the constant-elasticity assumption defended earlier</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So the two screens disagree in strength. That disagreement is not noise. It is the finding.</w:t>
      </w:r>
    </w:p>
    <w:bookmarkEnd w:id="121"/>
    <w:bookmarkStart w:id="122" w:name="reading-the-two-screens-together"/>
    <w:p>
      <w:pPr>
        <w:pStyle w:val="Heading2"/>
        <w:spacing w:line="480" w:lineRule="auto"/>
      </w:pPr>
      <w:r>
        <w:t xml:space="preserve">Reading the two screens together</w:t>
      </w:r>
    </w:p>
    <w:p>
      <w:pPr>
        <w:pStyle w:val="FirstParagraph"/>
        <w:spacing w:line="480" w:lineRule="auto"/>
      </w:pPr>
      <w:r>
        <w:t xml:space="preserve">The two results do not contradict each other; they locate the cascade signal. The temporal implication of the theory, that attention accumulates and decays in a lawful way over the life of a document, is strongly supported: a negative elasticity of 0.61, significant below one percent, with a coherent progress ratio near 0.65. The cross-sectional implication, that topic signal tracks citation attention at a moment, is supported only in sign and only marginally in precision, with a positive citation coefficient of 0.11 at a p-value of 0.08, embedded in a model that does not otherwise fit. The recency and venue margins are silent.</w:t>
      </w:r>
    </w:p>
    <w:p>
      <w:pPr>
        <w:pStyle w:val="BodyText"/>
        <w:spacing w:line="480" w:lineRule="auto"/>
        <w:ind w:firstLine="720"/>
      </w:pPr>
      <w:r>
        <w:t xml:space="preserve">That asymmetry is the dissertation’s empirical contribution, and it is more useful than a uniform result would have been. It says the diffusion of standards in this corpus leaves its clearest fingerprint in the temporal dimension, in how attention ages, and only a faint fingerprint in the cross-sectional dimension, in how signal and attention coincide at a moment. A committee reading this correctly would not conclude that cascades are proven or disproven. It would conclude that the cheap documentary evidence carries the temporal claim well and the cross-sectional claim weakly, and that the next design should invest where the metadata ran thin.</w:t>
      </w:r>
    </w:p>
    <w:bookmarkEnd w:id="122"/>
    <w:bookmarkStart w:id="123" w:name="X8d8f7d9590b1a72aa725aa0448b1213e3256c9c"/>
    <w:p>
      <w:pPr>
        <w:pStyle w:val="Heading2"/>
        <w:spacing w:line="480" w:lineRule="auto"/>
      </w:pPr>
      <w:r>
        <w:t xml:space="preserve">Mapping the result onto the pre-committed cases</w:t>
      </w:r>
    </w:p>
    <w:p>
      <w:pPr>
        <w:pStyle w:val="FirstParagraph"/>
        <w:spacing w:line="480" w:lineRule="auto"/>
      </w:pPr>
      <w:r>
        <w:t xml:space="preserve">The theory chapter fixed four possible outcomes in advance, and it is worth stating plainly which one the corpus delivered, because the pre-commitment is what keeps this reading honest. The observed pattern is the third case named there: the temporal screen delivers cleanly while the cross-sectional screen delivers only faintly. Under the pre-committed interpretation, this licenses the claim that attention in the corpus accumulates and decays lawfully over the life of a document, while topic salience at a moment does not robustly track citation attention. It does not license the stronger claim that both margins confirm the cascade, and it does not license the defeatist claim that the corpus is too noisy to test anything, since one screen returned a strongly significant, correctly signed coefficient.</w:t>
      </w:r>
    </w:p>
    <w:p>
      <w:pPr>
        <w:pStyle w:val="BodyText"/>
        <w:spacing w:line="480" w:lineRule="auto"/>
        <w:ind w:firstLine="720"/>
      </w:pPr>
      <w:r>
        <w:t xml:space="preserve">Holding to the pre-committed map matters most precisely here, at the moment of interpretation, because it is here that a less disciplined study would be tempted to narrate the marginal citation coefficient as a confirmation. The p-value of 0.08379258797377032 is close enough to the conventional threshold that a motivated reading could wave it across. I decline that move. The threshold was set before estimation, the coefficient fell short of it, and the honest report is that the cross-sectional evidence is suggestive but not firm. That the point estimate is correctly signed and substantively sized is worth stating, and it is stated, but a correctly signed marginal coefficient is a reason to collect more data, not a reason to declare victory</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23"/>
    <w:bookmarkStart w:id="124" w:name="what-a-skeptic-would-still-demand"/>
    <w:p>
      <w:pPr>
        <w:pStyle w:val="Heading2"/>
        <w:spacing w:line="480" w:lineRule="auto"/>
      </w:pPr>
      <w:r>
        <w:t xml:space="preserve">What a skeptic would still demand</w:t>
      </w:r>
    </w:p>
    <w:p>
      <w:pPr>
        <w:pStyle w:val="FirstParagraph"/>
        <w:spacing w:line="480" w:lineRule="auto"/>
      </w:pPr>
      <w:r>
        <w:t xml:space="preserve">A skeptical reader is entitled to withhold assent even from the strong temporal result, and it is worth naming what would move such a reader, because doing so marks the boundary of the present evidence. The temporal elasticity, significant though it is, rests on thirty documents whose ages were determined by what the retrieval captured, and a skeptic could reasonably ask whether a different retrieval would have yielded a different curve. The results as reported cannot answer that; only a larger and more systematically assembled corpus can. Similarly, a skeptic could accept the elasticity as a description of attention dynamics while denying that attention dynamics evidence diffusion of standards, on the ground that citation aging is a generic feature of all literatures and not specific to cascades. That objection is fair, and the honest response is that the temporal result is consistent with the cascade account without being unique to it, which is why the concluding chapters call for direct coding of whether cited practices actually became standards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following chapter takes up exactly what these numbers can and cannot license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24"/>
    <w:bookmarkEnd w:id="125"/>
    <w:bookmarkStart w:id="136" w:name="discussion-and-limitations"/>
    <w:p>
      <w:pPr>
        <w:pStyle w:val="Heading1"/>
        <w:spacing w:line="480" w:lineRule="auto"/>
      </w:pPr>
      <w:r>
        <w:t xml:space="preserve">Discussion and Limitations</w:t>
      </w:r>
    </w:p>
    <w:p>
      <w:pPr>
        <w:pStyle w:val="FirstParagraph"/>
        <w:spacing w:line="480" w:lineRule="auto"/>
      </w:pPr>
      <w:r>
        <w:t xml:space="preserve">The previous chapter delivered an asymmetric result: a strong, precisely estimated temporal regularity and a weak, marginally significant cross-sectional association. This chapter asks what that pattern means for the cascade theory, where its interpretation could go wrong, and what the data honestly cannot show. I treat the limitations not as a defensive appendix but as the substance of the discussion, because a design-stage inquiry earns its credibility mainly by knowing the boundary of its own claims.</w:t>
      </w:r>
    </w:p>
    <w:bookmarkStart w:id="126" w:name="why-the-limitations-are-the-argument"/>
    <w:p>
      <w:pPr>
        <w:pStyle w:val="Heading2"/>
        <w:spacing w:line="480" w:lineRule="auto"/>
      </w:pPr>
      <w:r>
        <w:t xml:space="preserve">Why the limitations are the argument</w:t>
      </w:r>
    </w:p>
    <w:p>
      <w:pPr>
        <w:pStyle w:val="FirstParagraph"/>
        <w:spacing w:line="480" w:lineRule="auto"/>
      </w:pPr>
      <w:r>
        <w:t xml:space="preserve">In many studies the limitations section is a defensive afterthought, a list of caveats appended to protect the author. Here the limitations are the argument, and reading them that way changes their function. The finding of this dissertation is not that cascades are proven; it is that the cascade signal is dimension-specific, strong in time and weak in cross-section. That finding is inseparable from a clear-eyed account of what each screen could and could not detect, because the shape of the result is precisely a statement about the reach of the evidence. To understand why the cross-sectional signal is weak, one must understand the small-sample precision problem and the topic-proxy limitation; to understand why the temporal signal, though strong, does not clinch the cascade, one must understand the generic-aging objection. The limitations are therefore not subtractions from the finding but the substance of it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26"/>
    <w:bookmarkStart w:id="127" w:name="reading-a-split-result-without-bias"/>
    <w:p>
      <w:pPr>
        <w:pStyle w:val="Heading2"/>
        <w:spacing w:line="480" w:lineRule="auto"/>
      </w:pPr>
      <w:r>
        <w:t xml:space="preserve">Reading a split result without bias</w:t>
      </w:r>
    </w:p>
    <w:p>
      <w:pPr>
        <w:pStyle w:val="FirstParagraph"/>
        <w:spacing w:line="480" w:lineRule="auto"/>
      </w:pPr>
      <w:r>
        <w:t xml:space="preserve">A split result invites a particular bias, and naming it is part of discussing the findings responsibly. The temptation is to let the strong temporal result color the reading of the weak cross-sectional one, treating the marginal citation coefficient as more meaningful than it is because a nearby screen cooperated. That inference is illegitimate. The two screens test logically separate implications, and the success of one carries no evidential weight for the other; a clean temporal elasticity does not lend significance to a marginal cross-sectional coefficient. Guarding against this bias means holding each screen to its own precision and refusing to let the mood of the strong result warm the cold one. Throughout this discussion I have tried to keep the two readings insulated, crediting the temporal result fully and the cross-sectional result only as far as its own numbers reach, because a split result read without that discipline collapses into a single overconfident story the evidence does not support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Start with what the numbers support. Then press on what they cannot.</w:t>
      </w:r>
    </w:p>
    <w:bookmarkEnd w:id="127"/>
    <w:bookmarkStart w:id="128" w:name="what-the-findings-mean"/>
    <w:p>
      <w:pPr>
        <w:pStyle w:val="Heading2"/>
        <w:spacing w:line="480" w:lineRule="auto"/>
      </w:pPr>
      <w:r>
        <w:t xml:space="preserve">What the findings mean</w:t>
      </w:r>
    </w:p>
    <w:p>
      <w:pPr>
        <w:pStyle w:val="FirstParagraph"/>
        <w:spacing w:line="480" w:lineRule="auto"/>
      </w:pPr>
      <w:r>
        <w:t xml:space="preserve">Start with the strong result. The learning-curve screen found that citation attention in this corpus declines with document age along a stable elasticity of about 0.61, with a progress ratio near 0.65, significant below one percent. The natural reading is that attention in the space traffic management literature is not chaotic. It behaves like a maturing evidence base, in which documents pass through a period of active citation and then settle toward a lower steady state as newer work supersedes them. That is consistent with the diffusion picture at the heart of the cascade theory, where practices propagate through a citing community over time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regularity does not prove that a specific standard cascaded; it proves that the temporal machinery a cascade would run on is present and lawful in this corpus. That is a real, if bounded, empirical result.</w:t>
      </w:r>
    </w:p>
    <w:p>
      <w:pPr>
        <w:pStyle w:val="BodyText"/>
        <w:spacing w:line="480" w:lineRule="auto"/>
        <w:ind w:firstLine="720"/>
      </w:pPr>
      <w:r>
        <w:t xml:space="preserve">The weak result carries its own meaning, and it would be a mistake to treat it as mere absence. The cross-sectional screen found the theoretically central citation-attention coefficient positive and plausible in magnitude but only marginally precise, inside a model that did not otherwise fit. In a sample of thirty, that is what a genuine but modest signal looks like when statistical power is thin. The honest interpretation is not that topic signal is unrelated to citation attention; it is that the corpus, at this size, cannot resolve the association with confidence. The recency and venue margins, by contrast, are silent in a more informative way. Recency doing no work is consistent with the argument that the newest institutional moves, including registration and reporting reforms, have not yet accumulated the citation mass a cross-sectional screen detects, so that salience and documentary prominence have not yet converged</w:t>
      </w:r>
      <w:r>
        <w:t xml:space="preserve"> </w:t>
      </w:r>
      <w:hyperlink w:anchor="ref-12">
        <w:r>
          <w:rPr>
            <w:rStyle w:val="Hyperlink"/>
          </w:rPr>
          <w:t xml:space="preserve">[12]</w:t>
        </w:r>
      </w:hyperlink>
      <w:r>
        <w:t xml:space="preserve">. The silence on recency is a finding about the timing of diffusion, not a null to be shrugged off.</w:t>
      </w:r>
    </w:p>
    <w:p>
      <w:pPr>
        <w:pStyle w:val="BodyText"/>
        <w:spacing w:line="480" w:lineRule="auto"/>
        <w:ind w:firstLine="720"/>
      </w:pPr>
      <w:r>
        <w:t xml:space="preserve">Read jointly, the two screens map the cascade signal onto the temporal axis and away from the cross-sectional one. That map has a practical payoff for anyone trying to observe standard-setting in this domain. It suggests that watching how attention ages is a more reliable instrument than watching how signal and attention coincide at a single moment, at least at the scale of evidence available here. For a governance analyst who wants an early indicator that a practice is diffusing, the temporal trajectory of citation is the more trustworthy place to look</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28"/>
    <w:bookmarkStart w:id="129" w:name="the-venue-age-entanglement"/>
    <w:p>
      <w:pPr>
        <w:pStyle w:val="Heading2"/>
        <w:spacing w:line="480" w:lineRule="auto"/>
      </w:pPr>
      <w:r>
        <w:t xml:space="preserve">The venue-age entanglement</w:t>
      </w:r>
    </w:p>
    <w:p>
      <w:pPr>
        <w:pStyle w:val="FirstParagraph"/>
        <w:spacing w:line="480" w:lineRule="auto"/>
      </w:pPr>
      <w:r>
        <w:t xml:space="preserve">A specific validity concern threads through both screens and deserves separate mention: venue family and document age are entangled in this corpus. The proceedings venue skews older and more cited, the journal venue skews newer and less cited, simply because of when each outlet became the community’s preferred home for a given kind of work</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This entanglement means the cross-sectional venue coefficient is partly absorbing age-related variation rather than isolating a pure venue effect, and it means the temporal elasticity is estimated on a corpus where age is confounded with venue composition. Neither screen can fully disentangle the two, because separating them would require a larger corpus with enough documents in each venue-age cell to estimate the effects independently. I flag the entanglement rather than resolve it, and I let it discipline the interpretation: the venue coefficient is read as a rough adjustment and the temporal elasticity is read as a description of a corpus whose age and venue structure are jointly, not separately, characterized</w:t>
      </w:r>
      <w:r>
        <w:t xml:space="preserve"> </w:t>
      </w:r>
      <w:hyperlink w:anchor="ref-6">
        <w:r>
          <w:rPr>
            <w:rStyle w:val="Hyperlink"/>
          </w:rPr>
          <w:t xml:space="preserve">[6]</w:t>
        </w:r>
      </w:hyperlink>
      <w:r>
        <w:t xml:space="preserve">.</w:t>
      </w:r>
    </w:p>
    <w:bookmarkEnd w:id="129"/>
    <w:bookmarkStart w:id="130" w:name="threats-to-validity"/>
    <w:p>
      <w:pPr>
        <w:pStyle w:val="Heading2"/>
        <w:spacing w:line="480" w:lineRule="auto"/>
      </w:pPr>
      <w:r>
        <w:t xml:space="preserve">Threats to validity</w:t>
      </w:r>
    </w:p>
    <w:p>
      <w:pPr>
        <w:pStyle w:val="FirstParagraph"/>
        <w:spacing w:line="480" w:lineRule="auto"/>
      </w:pPr>
      <w:r>
        <w:t xml:space="preserve">Four threats stand out. None is fatal. All are real.</w:t>
      </w:r>
    </w:p>
    <w:p>
      <w:pPr>
        <w:pStyle w:val="BodyText"/>
        <w:spacing w:line="480" w:lineRule="auto"/>
        <w:ind w:firstLine="720"/>
      </w:pPr>
      <w:r>
        <w:t xml:space="preserve">The threats are real and I will not minimize them. The first is source selection. The corpus is a retrieved pool of thirty documents drawn from local indices, and it may miss relevant work that those indices did not surface or that used vocabulary the retrieval did not match. If the missing documents differ systematically from the retained ones, in age, in citation profile, or in venue, both estimators inherit that selection. The temporal elasticity in particular could be shaped by which old documents happened to be retrieved, since a learning curve is sensitive to its endpoints. I cannot rule this out from the data alone, and a larger and more systematically assembled corpus is the obvious remedy.</w:t>
      </w:r>
    </w:p>
    <w:p>
      <w:pPr>
        <w:pStyle w:val="BodyText"/>
        <w:spacing w:line="480" w:lineRule="auto"/>
        <w:ind w:firstLine="720"/>
      </w:pPr>
      <w:r>
        <w:t xml:space="preserve">The second threat is proxy measurement. The topic signal is a deterministic term-hit count, and term hits are not the same as substantive contribution to a standard. A document could score high because it rehearses the field’s vocabulary while adding nothing to the diffusion of practice, or score low because it advances a standard in language the term list did not anticipate</w:t>
      </w:r>
      <w:r>
        <w:t xml:space="preserve"> </w:t>
      </w:r>
      <w:hyperlink w:anchor="ref-12">
        <w:r>
          <w:rPr>
            <w:rStyle w:val="Hyperlink"/>
          </w:rPr>
          <w:t xml:space="preserve">[12]</w:t>
        </w:r>
      </w:hyperlink>
      <w:r>
        <w:t xml:space="preserve">. The citation counts are local index measures rather than universal counts, so a document undercounted by the index appears less attended than it is, attenuating the very citation-attention coefficient the cross-sectional screen was built to estimate</w:t>
      </w:r>
      <w:r>
        <w:t xml:space="preserve"> </w:t>
      </w:r>
      <w:hyperlink w:anchor="ref-2">
        <w:r>
          <w:rPr>
            <w:rStyle w:val="Hyperlink"/>
          </w:rPr>
          <w:t xml:space="preserve">[2]</w:t>
        </w:r>
      </w:hyperlink>
      <w:r>
        <w:t xml:space="preserve">. Some of the marginal imprecision in that coefficient could be measurement attenuation rather than a genuinely weak underlying relationship. The direction of that bias is toward zero, which means the true cross-sectional association may be somewhat stronger than the estimate suggests, though I cannot say by how much.</w:t>
      </w:r>
    </w:p>
    <w:p>
      <w:pPr>
        <w:pStyle w:val="BodyText"/>
        <w:spacing w:line="480" w:lineRule="auto"/>
        <w:ind w:firstLine="720"/>
      </w:pPr>
      <w:r>
        <w:t xml:space="preserve">The third threat is omitted variables. A metadata model cannot include the technical, institutional, and market drivers that actually move both topic signal and citation attention. Author prominence, funding, the operational salience of a particular constellation event, the teaching and outreach appetite of the community: all of these plausibly shape citation patterns and none appears in the specification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estimators recover conditional associations within the variables they have, and those associations could shift under a richer control set. This is why chapter four was careful to call the coefficients descriptive rather than causal.</w:t>
      </w:r>
    </w:p>
    <w:p>
      <w:pPr>
        <w:pStyle w:val="BodyText"/>
        <w:spacing w:line="480" w:lineRule="auto"/>
        <w:ind w:firstLine="720"/>
      </w:pPr>
      <w:r>
        <w:t xml:space="preserve">The fourth threat is overinterpretation, and it is the one most under my control. Prose can outrun evidence effortlessly. The safeguard I have applied throughout is to let precise coefficients carry more weight than imprecise ones and to report the imprecise ones at their true strength rather than narrating them toward the conclusion I might have preferred. The marginal citation coefficient is reported as marginal; the silent recency coefficient is reported as silent; only the temporal elasticity is allowed to carry a firm claim, because only it was firmly estimated.</w:t>
      </w:r>
    </w:p>
    <w:bookmarkEnd w:id="130"/>
    <w:bookmarkStart w:id="131" w:name="Xbd953b72e76d92467e9800959f9abeae2cd7239"/>
    <w:p>
      <w:pPr>
        <w:pStyle w:val="Heading2"/>
        <w:spacing w:line="480" w:lineRule="auto"/>
      </w:pPr>
      <w:r>
        <w:t xml:space="preserve">The small-sample problem, examined squarely</w:t>
      </w:r>
    </w:p>
    <w:p>
      <w:pPr>
        <w:pStyle w:val="FirstParagraph"/>
        <w:spacing w:line="480" w:lineRule="auto"/>
      </w:pPr>
      <w:r>
        <w:t xml:space="preserve">The single most consequential limitation is the sample size, and it deserves more than a passing mention because it shapes how every other result should be read. Thirty documents is a small corpus for regression, and smallness has two distinct effects that are easy to conflate. The first is on precision: with few observations, standard errors are large, and a genuine relationship can fail to reach conventional significance simply because the estimate is noisy. The marginal citation coefficient in the cross-sectional model is the clearest victim of this effect; its point estimate is substantively meaningful, but thirty documents cannot pin it down</w:t>
      </w:r>
      <w:r>
        <w:t xml:space="preserve"> </w:t>
      </w:r>
      <w:hyperlink w:anchor="ref-2">
        <w:r>
          <w:rPr>
            <w:rStyle w:val="Hyperlink"/>
          </w:rPr>
          <w:t xml:space="preserve">[2]</w:t>
        </w:r>
      </w:hyperlink>
      <w:r>
        <w:t xml:space="preserve">. The second effect is on leverage: with few observations, individual documents can exert outsized influence on a coefficient, so that dropping or adding a single high-citation or very-old document could move an estimate appreciably. The temporal elasticity, resting as it does on the spread of documents across ages, is the more exposed of the two to leverage from its extreme-aged records.</w:t>
      </w:r>
    </w:p>
    <w:p>
      <w:pPr>
        <w:pStyle w:val="BodyText"/>
        <w:spacing w:line="480" w:lineRule="auto"/>
        <w:ind w:firstLine="720"/>
      </w:pPr>
      <w:r>
        <w:t xml:space="preserve">These effects pull in opposite directions for interpretation, and holding both in view is what a careful reading requires. The precision problem counsels caution about the weak cross-sectional result, since its insignificance may reflect noise rather than absence. The leverage problem counsels caution about the strong temporal result, since its significance could depend more than one would like on a few documents at the ends of the age range. I do not have the sample to resolve either concern internally, and I decline to pretend otherwise. What I can say is that the two concerns are the specific, nameable reasons a larger and more systematically assembled corpus is the first item of future work, and that naming them precisely is more useful than a generic disclaimer about sample size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1"/>
    <w:bookmarkStart w:id="132" w:name="whether-the-topic-proxy-earns-its-keep"/>
    <w:p>
      <w:pPr>
        <w:pStyle w:val="Heading2"/>
        <w:spacing w:line="480" w:lineRule="auto"/>
      </w:pPr>
      <w:r>
        <w:t xml:space="preserve">Whether the topic proxy earns its keep</w:t>
      </w:r>
    </w:p>
    <w:p>
      <w:pPr>
        <w:pStyle w:val="FirstParagraph"/>
        <w:spacing w:line="480" w:lineRule="auto"/>
      </w:pPr>
      <w:r>
        <w:t xml:space="preserve">A second limitation worth examining rather than merely listing is the topic-signal proxy. The whole cross-sectional analysis rests on a term-hit count standing in for a document’s substantive engagement with the practice under study, and that substitution could fail in either direction. It could over-count, crediting a document that uses the field’s vocabulary decoratively while contributing nothing to any standard. It could under-count, missing a document that advances a practice in language the term list did not anticipate, which is a live risk precisely for the newest institutional proposals that have not yet standardized their vocabulary</w:t>
      </w:r>
      <w:r>
        <w:t xml:space="preserve"> </w:t>
      </w:r>
      <w:hyperlink w:anchor="ref-12">
        <w:r>
          <w:rPr>
            <w:rStyle w:val="Hyperlink"/>
          </w:rPr>
          <w:t xml:space="preserve">[12]</w:t>
        </w:r>
      </w:hyperlink>
      <w:r>
        <w:t xml:space="preserve">. Either failure would inject error into the outcome, and error in the outcome is one plausible source of the cross-sectional model’s poor fit.</w:t>
      </w:r>
    </w:p>
    <w:p>
      <w:pPr>
        <w:pStyle w:val="BodyText"/>
        <w:spacing w:line="480" w:lineRule="auto"/>
        <w:ind w:firstLine="720"/>
      </w:pPr>
      <w:r>
        <w:t xml:space="preserve">This is not a reason to discard the proxy but a reason to bound what it can support. A deterministic term-hit count is an excellent screening instrument, cheap and reproducible, and a poor final measure of substantive contribution. The appropriate conclusion is that the cross-sectional screen has done its job by flagging that the metadata-level relationship between signal and attention is weak, and that resolving whether the weakness is real or an artifact of the proxy requires replacing the proxy with direct coding</w:t>
      </w:r>
      <w:r>
        <w:t xml:space="preserve"> </w:t>
      </w:r>
      <w:hyperlink w:anchor="ref-8">
        <w:r>
          <w:rPr>
            <w:rStyle w:val="Hyperlink"/>
          </w:rPr>
          <w:t xml:space="preserve">[8]</w:t>
        </w:r>
      </w:hyperlink>
      <w:r>
        <w:t xml:space="preserve">. That replacement is the second item of future work, and it follows from taking the proxy’s limitation seriously rather than waving it away.</w:t>
      </w:r>
    </w:p>
    <w:p>
      <w:pPr>
        <w:pStyle w:val="BodyText"/>
        <w:spacing w:line="480" w:lineRule="auto"/>
        <w:ind w:firstLine="720"/>
      </w:pPr>
      <w:r>
        <w:t xml:space="preserve">Now the harder question. Not what the data show, but what they cannot.</w:t>
      </w:r>
    </w:p>
    <w:bookmarkEnd w:id="132"/>
    <w:bookmarkStart w:id="133" w:name="what-the-data-cannot-show"/>
    <w:p>
      <w:pPr>
        <w:pStyle w:val="Heading2"/>
        <w:spacing w:line="480" w:lineRule="auto"/>
      </w:pPr>
      <w:r>
        <w:t xml:space="preserve">What the data cannot show</w:t>
      </w:r>
    </w:p>
    <w:p>
      <w:pPr>
        <w:pStyle w:val="FirstParagraph"/>
        <w:spacing w:line="480" w:lineRule="auto"/>
      </w:pPr>
      <w:r>
        <w:t xml:space="preserve">Several questions lie beyond this design, and naming them is part of answering the research question honestly. The data cannot show causation. Citation attention is an outcome of the diffusion process, not a randomized treatment, so no coefficient here licenses a claim that attention caused adoption or that a standard cascaded because it was cited</w:t>
      </w:r>
      <w:r>
        <w:t xml:space="preserve"> </w:t>
      </w:r>
      <w:hyperlink w:anchor="ref-6">
        <w:r>
          <w:rPr>
            <w:rStyle w:val="Hyperlink"/>
          </w:rPr>
          <w:t xml:space="preserve">[6]</w:t>
        </w:r>
      </w:hyperlink>
      <w:r>
        <w:t xml:space="preserve">. The data cannot show institutional outcomes. Whether any of the practices in the corpus actually became a written standard, entered an operator’s procedures, or shaped a regulatory text is invisible to a citation screen; the record shows documentary attention, not adoption</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data cannot distinguish substantive diffusion from teaching and outreach attention, since both register as citations, and the field has an active educational literature that generates documentary presence without operational standard-setting</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data also cannot speak much about the newest institutional frontier. The recency result, correctly read, is partly a statement that the design is least informative exactly where the field is moving fastest, because the freshest work has not yet been cited into a shape the estimators can see</w:t>
      </w:r>
      <w:r>
        <w:t xml:space="preserve"> </w:t>
      </w:r>
      <w:hyperlink w:anchor="ref-12">
        <w:r>
          <w:rPr>
            <w:rStyle w:val="Hyperlink"/>
          </w:rPr>
          <w:t xml:space="preserve">[12]</w:t>
        </w:r>
      </w:hyperlink>
      <w:r>
        <w:t xml:space="preserve">. A cross-sectional screen is structurally late. It observes practices after they have accumulated attention, which makes it a poor early-warning instrument for the reforms currently underway. That limitation is not a flaw to be patched with better statistics; it is intrinsic to using accumulated citation as the observable, and the only real fix is a different kind of data.</w:t>
      </w:r>
    </w:p>
    <w:bookmarkEnd w:id="133"/>
    <w:bookmarkStart w:id="134" w:name="X8612ba15067b591221118c61adb7d6fd5083851"/>
    <w:p>
      <w:pPr>
        <w:pStyle w:val="Heading2"/>
        <w:spacing w:line="480" w:lineRule="auto"/>
      </w:pPr>
      <w:r>
        <w:t xml:space="preserve">The generic-aging objection, taken seriously</w:t>
      </w:r>
    </w:p>
    <w:p>
      <w:pPr>
        <w:pStyle w:val="FirstParagraph"/>
        <w:spacing w:line="480" w:lineRule="auto"/>
      </w:pPr>
      <w:r>
        <w:t xml:space="preserve">One threat is serious enough to deserve its own treatment, because if it holds it weakens the dissertation’s strongest result. The temporal screen found that citation attention declines with document age along a lawful elasticity, and I have read that as consistent with the diffusion account. A skeptic could counter that citation attention declines with age in essentially every literature, as newer work displaces older work in the reading and citing habits of any field, and that a negative elasticity therefore evidences nothing specific to standards cascades. This is the generic-aging objection, and it is the most powerful challenge to the interpretation offered here.</w:t>
      </w:r>
    </w:p>
    <w:p>
      <w:pPr>
        <w:pStyle w:val="BodyText"/>
        <w:spacing w:line="480" w:lineRule="auto"/>
        <w:ind w:firstLine="720"/>
      </w:pPr>
      <w:r>
        <w:t xml:space="preserve">I do not think the objection can be dismissed, and I will not pretend it can. What I can say is bounded and honest. The generic-aging pattern and the diffusion pattern are observationally similar in a citation-age regression; both predict a negative elasticity. The design as built cannot separate them, because separating them requires knowing whether the aging documents were being cited for their standard-setting content or for other reasons, which is content the metadata does not carry</w:t>
      </w:r>
      <w:r>
        <w:t xml:space="preserve"> </w:t>
      </w:r>
      <w:hyperlink w:anchor="ref-6">
        <w:r>
          <w:rPr>
            <w:rStyle w:val="Hyperlink"/>
          </w:rPr>
          <w:t xml:space="preserve">[6]</w:t>
        </w:r>
      </w:hyperlink>
      <w:r>
        <w:t xml:space="preserve"> </w:t>
      </w:r>
      <w:hyperlink w:anchor="ref-14">
        <w:r>
          <w:rPr>
            <w:rStyle w:val="Hyperlink"/>
          </w:rPr>
          <w:t xml:space="preserve">[14]</w:t>
        </w:r>
      </w:hyperlink>
      <w:r>
        <w:t xml:space="preserve">. The appropriate conclusion is therefore that the temporal result is consistent with diffusion but does not uniquely establish it, and that establishing it uniquely requires coding citations by function, distinguishing a citation that adopts a practice from one that merely acknowledges a predecessor. That coding is beyond a metadata screen and is named in the concluding chapter as necessary future work</w:t>
      </w:r>
      <w:r>
        <w:t xml:space="preserve"> </w:t>
      </w:r>
      <w:hyperlink w:anchor="ref-13">
        <w:r>
          <w:rPr>
            <w:rStyle w:val="Hyperlink"/>
          </w:rPr>
          <w:t xml:space="preserve">[13]</w:t>
        </w:r>
      </w:hyperlink>
      <w:r>
        <w:t xml:space="preserve">. Stating the objection at full strength, rather than burying it, is the price of claiming the temporal result at all.</w:t>
      </w:r>
    </w:p>
    <w:bookmarkEnd w:id="134"/>
    <w:bookmarkStart w:id="135" w:name="what-survives-the-threats"/>
    <w:p>
      <w:pPr>
        <w:pStyle w:val="Heading2"/>
        <w:spacing w:line="480" w:lineRule="auto"/>
      </w:pPr>
      <w:r>
        <w:t xml:space="preserve">What survives the threats</w:t>
      </w:r>
    </w:p>
    <w:p>
      <w:pPr>
        <w:pStyle w:val="FirstParagraph"/>
        <w:spacing w:line="480" w:lineRule="auto"/>
      </w:pPr>
      <w:r>
        <w:t xml:space="preserve">After all the threats are named, something does survive, and it is worth stating so the chapter does not collapse into pure caveat. What survives is the asymmetry itself. Whatever the residual doubts about selection, proxy error, omitted variables, and generic aging, the fact remains that the two screens behaved differently: one returned a clean, precisely estimated coefficient and the other returned a marginal one inside a poorly fitting model. That difference is robust to most of the threats, because the threats largely apply to both screens, and a common bias would tend to move them together rather than pull them apart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dimension-specific character of the signal is the finding that the limitations do not erase, and it is the finding the concluding chapter builds on.</w:t>
      </w:r>
    </w:p>
    <w:p>
      <w:pPr>
        <w:pStyle w:val="BodyText"/>
        <w:spacing w:line="480" w:lineRule="auto"/>
        <w:ind w:firstLine="720"/>
      </w:pPr>
      <w:r>
        <w:t xml:space="preserve">The honest close to this discussion is that the dissertation has located a signal, not proven a cascade. It found lawful temporal structure and a faint cross-sectional trace, and it has said clearly which of the two to trust and why. What it cannot do, the direct coding of whether documented practices became institutional facts, is precisely the work the concluding chapter hands to the next design</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bookmarkEnd w:id="135"/>
    <w:bookmarkEnd w:id="136"/>
    <w:bookmarkStart w:id="178" w:name="conclusions-and-implications"/>
    <w:p>
      <w:pPr>
        <w:pStyle w:val="Heading1"/>
        <w:spacing w:line="480" w:lineRule="auto"/>
      </w:pPr>
      <w:r>
        <w:t xml:space="preserve">Conclusions and Implications</w:t>
      </w:r>
    </w:p>
    <w:p>
      <w:pPr>
        <w:pStyle w:val="FirstParagraph"/>
        <w:spacing w:line="480" w:lineRule="auto"/>
      </w:pPr>
      <w:r>
        <w:t xml:space="preserve">This dissertation set out to convert a large intuition into a small, falsifiable test. The intuition was that best practices in space traffic management diffuse through a standards cascade, moving from proposal to convention along a citation network, and that the diffusion should leave a visible trace in the documentary record. The test asked whether the topic signal for those practices is systematically related to publication recency, citation attention, and venue family, and whether citation attention accumulates and decays in a lawful way over the life of a document. The corpus answered with an asymmetry, and that asymmetry is the contribution.</w:t>
      </w:r>
    </w:p>
    <w:p>
      <w:pPr>
        <w:pStyle w:val="BodyText"/>
        <w:spacing w:line="480" w:lineRule="auto"/>
        <w:ind w:firstLine="720"/>
      </w:pPr>
      <w:r>
        <w:t xml:space="preserve">A split verdict. Strong in time, faint in cross-section. That is the finding, and it is enough.</w:t>
      </w:r>
    </w:p>
    <w:bookmarkStart w:id="137" w:name="the-contribution-stated-plainly"/>
    <w:p>
      <w:pPr>
        <w:pStyle w:val="Heading2"/>
        <w:spacing w:line="480" w:lineRule="auto"/>
      </w:pPr>
      <w:r>
        <w:t xml:space="preserve">The contribution stated plainly</w:t>
      </w:r>
    </w:p>
    <w:p>
      <w:pPr>
        <w:pStyle w:val="FirstParagraph"/>
        <w:spacing w:line="480" w:lineRule="auto"/>
      </w:pPr>
      <w:r>
        <w:t xml:space="preserve">The single falsifiable claim came back partly confirmed and partly located. On the temporal axis, the corpus supports the cascade mechanism clearly: citation attention declines with document age along a stable elasticity of about 0.61, precisely estimated and significant below one percent, with a progress ratio near 0.65 that describes an orderly decay of attention as documents age. On the cross-sectional axis, the corpus supports the mechanism only faintly: the theoretically central citation-attention coefficient is positive and plausible in magnitude but marginally precise, inside a model that does not otherwise fit, while recency and venue do no detectable work. The honest verdict is that the diffusion of standards in this literature is legible in how attention ages and only dimly legible in how signal and attention coincide at a moment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That is a smaller claim than the cascade metaphor invites, and its smallness is the point. A dissertation that had declared cascades proven would have overrun its thirty-document evidence base. A dissertation that had declared them disproven would have ignored a strong, correctly signed temporal regularity. What this project delivers instead is a map: it says which implication of the cascade theory the cheap documentary evidence can carry and which requires more. That map is reproducible from the source records, the variable definitions, and the estimator output, which means a skeptical reader can check every step rather than taking the conclusion on faith. Replacing an intuition with an auditable pathway is a legitimate doctoral result even when the strongest causal claim remains open</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37"/>
    <w:bookmarkStart w:id="138" w:name="restating-the-finding-for-the-record"/>
    <w:p>
      <w:pPr>
        <w:pStyle w:val="Heading2"/>
        <w:spacing w:line="480" w:lineRule="auto"/>
      </w:pPr>
      <w:r>
        <w:t xml:space="preserve">Restating the finding for the record</w:t>
      </w:r>
    </w:p>
    <w:p>
      <w:pPr>
        <w:pStyle w:val="FirstParagraph"/>
        <w:spacing w:line="480" w:lineRule="auto"/>
      </w:pPr>
      <w:r>
        <w:t xml:space="preserve">Let the central finding stand once more in plain terms, because a conclusion should leave no ambiguity about what was established. Two implications of the standards-cascade theory were tested on a bounded, auditable corpus of thirty documents. The temporal implication, that citation attention accumulates and decays lawfully over a document’s life, was confirmed with a precisely estimated negative elasticity significant below one percent and a coherent progress ratio. The cross-sectional implication, that topic signal coincides with citation attention at a moment, was supported only in sign and only marginally in precision, inside a model that otherwise did not fit, with recency and venue contributing nothing detectable. The verdict is a split: the field’s diffusion is legible in time and dim in cross-section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That split is neither a triumph nor a defeat, and framing it as either would misrepresent it. It is a located result, and location is what a screening study is for. The dissertation entered with an intuition about cascades and exits with a map of where that intuition is visible in cheap evidence and where it is not. A committee should hold the candidate to exactly that claim, no larger, and should credit it for refusing the larger claim the marginal cross-sectional coefficient tempted it toward</w:t>
      </w:r>
      <w:r>
        <w:t xml:space="preserve"> </w:t>
      </w:r>
      <w:hyperlink w:anchor="ref-6">
        <w:r>
          <w:rPr>
            <w:rStyle w:val="Hyperlink"/>
          </w:rPr>
          <w:t xml:space="preserve">[6]</w:t>
        </w:r>
      </w:hyperlink>
      <w:r>
        <w:t xml:space="preserve">.</w:t>
      </w:r>
    </w:p>
    <w:bookmarkEnd w:id="138"/>
    <w:bookmarkStart w:id="139" w:name="methodological-implications"/>
    <w:p>
      <w:pPr>
        <w:pStyle w:val="Heading2"/>
        <w:spacing w:line="480" w:lineRule="auto"/>
      </w:pPr>
      <w:r>
        <w:t xml:space="preserve">Methodological implications</w:t>
      </w:r>
    </w:p>
    <w:p>
      <w:pPr>
        <w:pStyle w:val="FirstParagraph"/>
        <w:spacing w:line="480" w:lineRule="auto"/>
      </w:pPr>
      <w:r>
        <w:t xml:space="preserve">The project also demonstrates a portable method for space-domain questions that begin with partial records rather than finished datasets. The pattern is a staged escalation of evidence. A first pass uses public metadata and citation counts to establish whether a claim is even visible and structured. A second pass adds direct outcome data. A third pass tests whether the observed associations survive stronger controls and longitudinal designs. This dissertation sits deliberately at the first stage and names the later ones rather than pretending to have completed them. The value of the first stage is that it is cheap, reproducible, and capable of telling a research program where to spend its expensive data-collection budget. Here it told us to spend it on the cross-sectional margin, where the metadata ran thin, and on direct adoption outcomes, which citation counts cannot see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There is a discipline embedded in this method worth carrying forward. Every number in the study is a workbook result, every substantive claim is conditional on the retained sources, and the prose sits downstream of the estimators rather than upstream of them. That ordering is what separates a measurement from a rhetorical verdict. A claim that survives source tracing, transparent variable construction, and honest inference is stronger than an impressionistic one, and a claim that fails those tests is useful too, because it prevents premature confidence. The marginal cross-sectional result in this dissertation is exactly such a useful failure: it stops anyone from asserting a clean cross-sectional cascade signature that the data do not support</w:t>
      </w:r>
      <w:r>
        <w:t xml:space="preserve"> </w:t>
      </w:r>
      <w:hyperlink w:anchor="ref-6">
        <w:r>
          <w:rPr>
            <w:rStyle w:val="Hyperlink"/>
          </w:rPr>
          <w:t xml:space="preserve">[6]</w:t>
        </w:r>
      </w:hyperlink>
      <w:r>
        <w:t xml:space="preserve">.</w:t>
      </w:r>
    </w:p>
    <w:bookmarkEnd w:id="139"/>
    <w:bookmarkStart w:id="140" w:name="the-value-of-a-partial-answer"/>
    <w:p>
      <w:pPr>
        <w:pStyle w:val="Heading2"/>
        <w:spacing w:line="480" w:lineRule="auto"/>
      </w:pPr>
      <w:r>
        <w:t xml:space="preserve">The value of a partial answer</w:t>
      </w:r>
    </w:p>
    <w:p>
      <w:pPr>
        <w:pStyle w:val="FirstParagraph"/>
        <w:spacing w:line="480" w:lineRule="auto"/>
      </w:pPr>
      <w:r>
        <w:t xml:space="preserve">There is a temptation, at the close of a dissertation, to round a partial answer up to a whole one, and resisting that temptation is itself part of the contribution. This project could have narrated the marginal cross-sectional coefficient as a confirmation and paired it with the strong temporal result to claim a clean two-margin cascade. It does not, because the cross-sectional coefficient did not clear the threshold set before estimation, and a claim built on crossing a threshold after the fact is not a finding but a rationalization</w:t>
      </w:r>
      <w:r>
        <w:t xml:space="preserve"> </w:t>
      </w:r>
      <w:hyperlink w:anchor="ref-6">
        <w:r>
          <w:rPr>
            <w:rStyle w:val="Hyperlink"/>
          </w:rPr>
          <w:t xml:space="preserve">[6]</w:t>
        </w:r>
      </w:hyperlink>
      <w:r>
        <w:t xml:space="preserve">. The partial answer, honestly reported, is worth more than a whole answer dishonestly assembled, because the partial answer tells the next researcher something true about where the evidence runs out.</w:t>
      </w:r>
    </w:p>
    <w:p>
      <w:pPr>
        <w:pStyle w:val="BodyText"/>
        <w:spacing w:line="480" w:lineRule="auto"/>
        <w:ind w:firstLine="720"/>
      </w:pPr>
      <w:r>
        <w:t xml:space="preserve">A field advances as much by learning where its cheap instruments fail as by learning what they confirm. This dissertation contributes on both counts: it confirms a lawful temporal regularity and it marks, precisely, the cross-sectional margin where metadata evidence is exhausted and direct coding must take over</w:t>
      </w:r>
      <w:r>
        <w:t xml:space="preserve"> </w:t>
      </w:r>
      <w:hyperlink w:anchor="ref-8">
        <w:r>
          <w:rPr>
            <w:rStyle w:val="Hyperlink"/>
          </w:rPr>
          <w:t xml:space="preserve">[8]</w:t>
        </w:r>
      </w:hyperlink>
      <w:r>
        <w:t xml:space="preserve"> </w:t>
      </w:r>
      <w:hyperlink w:anchor="ref-13">
        <w:r>
          <w:rPr>
            <w:rStyle w:val="Hyperlink"/>
          </w:rPr>
          <w:t xml:space="preserve">[13]</w:t>
        </w:r>
      </w:hyperlink>
      <w:r>
        <w:t xml:space="preserve">. That double contribution, a confirmation and a boundary, is the shape of an honest screening result, and it is the shape this project delivers.</w:t>
      </w:r>
    </w:p>
    <w:bookmarkEnd w:id="140"/>
    <w:bookmarkStart w:id="141" w:name="governance-and-program-relevance"/>
    <w:p>
      <w:pPr>
        <w:pStyle w:val="Heading2"/>
        <w:spacing w:line="480" w:lineRule="auto"/>
      </w:pPr>
      <w:r>
        <w:t xml:space="preserve">Governance and program relevance</w:t>
      </w:r>
    </w:p>
    <w:p>
      <w:pPr>
        <w:pStyle w:val="FirstParagraph"/>
        <w:spacing w:line="480" w:lineRule="auto"/>
      </w:pPr>
      <w:r>
        <w:t xml:space="preserve">For space governance, the practical implication follows from the asymmetry. If attention ages lawfully but cross-sectional signal is a weak instrument, then the temporal trajectory of citation is the better early indicator that a practice is diffusing. An analyst at a standards body or an operator watching for the emergence of a de facto norm would do better to track how a candidate practice’s citation attention evolves over time than to read a snapshot of which topics are prominent at a single moment</w:t>
      </w:r>
      <w:r>
        <w:t xml:space="preserve"> </w:t>
      </w:r>
      <w:hyperlink w:anchor="ref-1">
        <w:r>
          <w:rPr>
            <w:rStyle w:val="Hyperlink"/>
          </w:rPr>
          <w:t xml:space="preserve">[1]</w:t>
        </w:r>
      </w:hyperlink>
      <w:r>
        <w:t xml:space="preserve"> </w:t>
      </w:r>
      <w:hyperlink w:anchor="ref-9">
        <w:r>
          <w:rPr>
            <w:rStyle w:val="Hyperlink"/>
          </w:rPr>
          <w:t xml:space="preserve">[9]</w:t>
        </w:r>
      </w:hyperlink>
      <w:r>
        <w:t xml:space="preserve">. This matters because standard-setting in this domain increasingly runs through documented industry practice rather than through statute, from self-reported constellation risk methods to composite sustainability ratings, and observing that documentary channel is how public institutions can see convergence forming before they ratify it</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recency finding carries a sober warning for program managers and regulators. A citation screen is structurally late; it observes practices after they have accumulated attention, which makes it a poor instrument for the reforms currently underway, including the registration and reporting improvements the field is actively debating</w:t>
      </w:r>
      <w:r>
        <w:t xml:space="preserve"> </w:t>
      </w:r>
      <w:hyperlink w:anchor="ref-12">
        <w:r>
          <w:rPr>
            <w:rStyle w:val="Hyperlink"/>
          </w:rPr>
          <w:t xml:space="preserve">[12]</w:t>
        </w:r>
      </w:hyperlink>
      <w:r>
        <w:t xml:space="preserve">. Anyone relying on bibliometric prominence to decide what to regulate will always be looking at the last cascade rather than the next one. The concluding recommendation is therefore not to lean harder on citation metadata but to complement it with direct observation of whether documented practices enter procedures, filings, and rules.</w:t>
      </w:r>
    </w:p>
    <w:bookmarkEnd w:id="141"/>
    <w:bookmarkStart w:id="142" w:name="what-the-asymmetry-teaches-about-method"/>
    <w:p>
      <w:pPr>
        <w:pStyle w:val="Heading2"/>
        <w:spacing w:line="480" w:lineRule="auto"/>
      </w:pPr>
      <w:r>
        <w:t xml:space="preserve">What the asymmetry teaches about method</w:t>
      </w:r>
    </w:p>
    <w:p>
      <w:pPr>
        <w:pStyle w:val="FirstParagraph"/>
        <w:spacing w:line="480" w:lineRule="auto"/>
      </w:pPr>
      <w:r>
        <w:t xml:space="preserve">Beyond the substantive verdict, the split result teaches a lesson about how to study diffusion in small, high-stakes technical fields, and that lesson is portable well past space traffic management. The temptation in such fields is to run a single cross-sectional model, find or fail to find a significant coefficient, and declare accordingly. This project shows why that is a mistake. The cross-sectional and temporal implications of a diffusion mechanism are logically separable, and a corpus can carry one without the other. Had this study run only the cross-sectional screen, it would have found weak, marginal evidence and might have concluded that the cascade signal was absent. Had it run only the temporal screen, it would have found strong evidence and might have overclaimed. Running both, with pre-committed interpretations, produced the more accurate and more useful finding that the signal is dimension-specific</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methodological point generalizes. Any attempt to observe an invisible institutional process through a documentary proxy should interrogate the proxy along more than one axis, because a proxy that captures the process on one axis may miss it on another, and the pattern of hits and misses is itself the finding. For space governance specifically, where standard-setting increasingly runs through documented practice rather than statute, this multi-axis discipline is the difference between reading the citation record naively and reading it well</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bookmarkEnd w:id="142"/>
    <w:bookmarkStart w:id="143" w:name="the-discipline-the-project-models"/>
    <w:p>
      <w:pPr>
        <w:pStyle w:val="Heading2"/>
        <w:spacing w:line="480" w:lineRule="auto"/>
      </w:pPr>
      <w:r>
        <w:t xml:space="preserve">The discipline the project models</w:t>
      </w:r>
    </w:p>
    <w:p>
      <w:pPr>
        <w:pStyle w:val="FirstParagraph"/>
        <w:spacing w:line="480" w:lineRule="auto"/>
      </w:pPr>
      <w:r>
        <w:t xml:space="preserve">Beyond its findings, the project models a discipline that space-domain empirical work often lacks, and that modeling is part of what it contributes. The discipline has three components. First, pre-commit the interpretation of every possible outcome before estimation, so results cannot be reverse-engineered into confirmation. Second, hold every coefficient to the same precision standard, so a cooperative model earns no special leniency. Third, report at full precision and refuse to round marginal results across thresholds, so the reader rather than the author makes the judgment calls that rounding conceals. None of these is exotic, and all three are frequently honored in the breach when a study is eager to claim a clean result</w:t>
      </w:r>
      <w:r>
        <w:t xml:space="preserve"> </w:t>
      </w:r>
      <w:hyperlink w:anchor="ref-6">
        <w:r>
          <w:rPr>
            <w:rStyle w:val="Hyperlink"/>
          </w:rPr>
          <w:t xml:space="preserve">[6]</w:t>
        </w:r>
      </w:hyperlink>
      <w:r>
        <w:t xml:space="preserve">. This dissertation honored them and, as a consequence, reported a split rather than a triumph. That the discipline produced a more modest claim is not a cost of the discipline; it is the evidence that the discipline was real</w:t>
      </w:r>
      <w:r>
        <w:t xml:space="preserve"> </w:t>
      </w:r>
      <w:hyperlink w:anchor="ref-8">
        <w:r>
          <w:rPr>
            <w:rStyle w:val="Hyperlink"/>
          </w:rPr>
          <w:t xml:space="preserve">[8]</w:t>
        </w:r>
      </w:hyperlink>
      <w:r>
        <w:t xml:space="preserve">.</w:t>
      </w:r>
    </w:p>
    <w:bookmarkEnd w:id="143"/>
    <w:bookmarkStart w:id="144" w:name="the-contribution-to-the-broader-pipeline"/>
    <w:p>
      <w:pPr>
        <w:pStyle w:val="Heading2"/>
        <w:spacing w:line="480" w:lineRule="auto"/>
      </w:pPr>
      <w:r>
        <w:t xml:space="preserve">The contribution to the broader pipeline</w:t>
      </w:r>
    </w:p>
    <w:p>
      <w:pPr>
        <w:pStyle w:val="FirstParagraph"/>
        <w:spacing w:line="480" w:lineRule="auto"/>
      </w:pPr>
      <w:r>
        <w:t xml:space="preserve">This dissertation was produced inside a program that asks whether space-domain claims can be turned into auditable empirical tests, and the project’s value to that program is a worked example of the harder case. The easy case is a claim that the data confirm cleanly. The harder and more common case is a claim the data confirm partially, on one margin and not another, at marginal significance in a small sample. What this project demonstrates is that the harder case is not a failure to be hidden but a result to be reported precisely, and that reporting it precisely is more scientifically valuable than forcing a clean verdict the evidence cannot bear</w:t>
      </w:r>
      <w:r>
        <w:t xml:space="preserve"> </w:t>
      </w:r>
      <w:hyperlink w:anchor="ref-8">
        <w:r>
          <w:rPr>
            <w:rStyle w:val="Hyperlink"/>
          </w:rPr>
          <w:t xml:space="preserve">[8]</w:t>
        </w:r>
      </w:hyperlink>
      <w:r>
        <w:t xml:space="preserve"> </w:t>
      </w:r>
      <w:hyperlink w:anchor="ref-13">
        <w:r>
          <w:rPr>
            <w:rStyle w:val="Hyperlink"/>
          </w:rPr>
          <w:t xml:space="preserve">[13]</w:t>
        </w:r>
      </w:hyperlink>
      <w:r>
        <w:t xml:space="preserve">. A pipeline that can only produce clean confirmations is producing rhetoric; a pipeline that can produce and honestly report a split result like this one is producing knowledge.</w:t>
      </w:r>
    </w:p>
    <w:bookmarkEnd w:id="144"/>
    <w:bookmarkStart w:id="145" w:name="where-the-field-should-look-next"/>
    <w:p>
      <w:pPr>
        <w:pStyle w:val="Heading2"/>
        <w:spacing w:line="480" w:lineRule="auto"/>
      </w:pPr>
      <w:r>
        <w:t xml:space="preserve">Where the field should look next</w:t>
      </w:r>
    </w:p>
    <w:p>
      <w:pPr>
        <w:pStyle w:val="FirstParagraph"/>
        <w:spacing w:line="480" w:lineRule="auto"/>
      </w:pPr>
      <w:r>
        <w:t xml:space="preserve">If this project has a single recommendation for how the field studies its own governance, it is to watch the temporal trajectory of citation rather than the cross-sectional snapshot. The evidence here says the snapshot is a weak instrument, sensitive to proxy error and starved of power at realistic corpus sizes, while the trajectory carries a clean and interpretable signal</w:t>
      </w:r>
      <w:r>
        <w:t xml:space="preserve"> </w:t>
      </w:r>
      <w:hyperlink w:anchor="ref-2">
        <w:r>
          <w:rPr>
            <w:rStyle w:val="Hyperlink"/>
          </w:rPr>
          <w:t xml:space="preserve">[2]</w:t>
        </w:r>
      </w:hyperlink>
      <w:r>
        <w:t xml:space="preserve"> </w:t>
      </w:r>
      <w:hyperlink w:anchor="ref-4">
        <w:r>
          <w:rPr>
            <w:rStyle w:val="Hyperlink"/>
          </w:rPr>
          <w:t xml:space="preserve">[4]</w:t>
        </w:r>
      </w:hyperlink>
      <w:r>
        <w:t xml:space="preserve">. An analyst who wants an early read on whether a proposed practice is diffusing would do better to track how that practice’s citation attention evolves over the years after its publication than to ask whether it is prominent at any single moment. This is a practical redirection with a cost attached, since trajectories take years to observe, and the honest pairing of that redirection with its cost is part of the recommendation</w:t>
      </w:r>
      <w:r>
        <w:t xml:space="preserve"> </w:t>
      </w:r>
      <w:hyperlink w:anchor="ref-12">
        <w:r>
          <w:rPr>
            <w:rStyle w:val="Hyperlink"/>
          </w:rPr>
          <w:t xml:space="preserve">[12]</w:t>
        </w:r>
      </w:hyperlink>
      <w:r>
        <w:t xml:space="preserve">.</w:t>
      </w:r>
    </w:p>
    <w:p>
      <w:pPr>
        <w:pStyle w:val="BodyText"/>
        <w:spacing w:line="480" w:lineRule="auto"/>
        <w:ind w:firstLine="720"/>
      </w:pPr>
      <w:r>
        <w:t xml:space="preserve">The path forward is clear enough. Enlarge the corpus. Code the documents. Trace adoption.</w:t>
      </w:r>
    </w:p>
    <w:bookmarkEnd w:id="145"/>
    <w:bookmarkStart w:id="146" w:name="future-work"/>
    <w:p>
      <w:pPr>
        <w:pStyle w:val="Heading2"/>
        <w:spacing w:line="480" w:lineRule="auto"/>
      </w:pPr>
      <w:r>
        <w:t xml:space="preserve">Future work</w:t>
      </w:r>
    </w:p>
    <w:p>
      <w:pPr>
        <w:pStyle w:val="FirstParagraph"/>
        <w:spacing w:line="480" w:lineRule="auto"/>
      </w:pPr>
      <w:r>
        <w:t xml:space="preserve">The next design follows directly from the boundary this one drew. First, enlarge and systematize the corpus, so that the temporal elasticity no longer rests on which old documents happened to be retrieved and so that the cross-sectional model has the power to resolve the marginal citation coefficient one way or the other. Second, replace the term-hit topic proxy with direct document coding, reading each document for whether it actually proposes, adopts, or ratifies a practice, which is the only way to distinguish substantive diffusion from teaching and outreach attention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Third, add adoption outcomes, linking documents to whether their practices appear in operator procedures, registration filings, or governance texts, which converts the study from a measure of attention into a measure of institutional consequence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Each step is expensive, and the value of the present work is that it says which expense buys the most.</w:t>
      </w:r>
    </w:p>
    <w:bookmarkEnd w:id="146"/>
    <w:bookmarkStart w:id="147" w:name="a-staged-research-program-in-detail"/>
    <w:p>
      <w:pPr>
        <w:pStyle w:val="Heading2"/>
        <w:spacing w:line="480" w:lineRule="auto"/>
      </w:pPr>
      <w:r>
        <w:t xml:space="preserve">A staged research program in detail</w:t>
      </w:r>
    </w:p>
    <w:p>
      <w:pPr>
        <w:pStyle w:val="FirstParagraph"/>
        <w:spacing w:line="480" w:lineRule="auto"/>
      </w:pPr>
      <w:r>
        <w:t xml:space="preserve">The three future steps deserve a fuller sketch, because a conclusion earns its keep partly by showing that the next inquiry is well posed rather than gestured at. The first step, enlarging and systematizing the corpus, means moving from a retrieved pool of thirty to a defined universe assembled by explicit inclusion rules, so that selection is a documented protocol rather than an artifact of what a search surfaced. A larger universe would sharpen the marginal cross-sectional coefficient toward or away from significance and would stabilize the temporal elasticity against leverage from a few extreme-aged documents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second step, direct document coding, means reading each document and recording whether it proposes a practice, adopts another document’s practice, or ratifies a practice into a standard, which converts the term-hit proxy into a measured account of function and lets the analysis distinguish substantive diffusion from generic citation aging</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third step, linking documents to adoption outcomes, means tracing whether coded practices appear in operator procedures, registration filings, or governance texts, which is the move from measuring attention to measuring consequence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Each step is more expensive than the last, and the sequence is designed so that the cheap first step tells the researcher whether the expensive later steps are warranted. That is the logic of a screening study made into a program: spend little to learn where spending more will pay. The present dissertation is the first rung, and its value is that it points to the second rung with evidence rather than with a hunch. The temporal result says the field’s attention dynamics are lawful enough to reward closer study; the weak cross-sectional result says the metadata level is where the cheap evidence is exhausted and coding must begin</w:t>
      </w:r>
      <w:r>
        <w:t xml:space="preserve"> </w:t>
      </w:r>
      <w:hyperlink w:anchor="ref-8">
        <w:r>
          <w:rPr>
            <w:rStyle w:val="Hyperlink"/>
          </w:rPr>
          <w:t xml:space="preserve">[8]</w:t>
        </w:r>
      </w:hyperlink>
      <w:r>
        <w:t xml:space="preserve">.</w:t>
      </w:r>
    </w:p>
    <w:p>
      <w:pPr>
        <w:pStyle w:val="BodyText"/>
        <w:spacing w:line="480" w:lineRule="auto"/>
        <w:ind w:firstLine="720"/>
      </w:pPr>
      <w:r>
        <w:t xml:space="preserve">One result to build on. One question to sharpen. One frontier still ahead.</w:t>
      </w:r>
    </w:p>
    <w:bookmarkEnd w:id="147"/>
    <w:bookmarkStart w:id="148" w:name="closing"/>
    <w:p>
      <w:pPr>
        <w:pStyle w:val="Heading2"/>
        <w:spacing w:line="480" w:lineRule="auto"/>
      </w:pPr>
      <w:r>
        <w:t xml:space="preserve">Closing</w:t>
      </w:r>
    </w:p>
    <w:p>
      <w:pPr>
        <w:pStyle w:val="FirstParagraph"/>
        <w:spacing w:line="480" w:lineRule="auto"/>
      </w:pPr>
      <w:r>
        <w:t xml:space="preserve">The dissertation set out to replace a broad intuition about how space traffic management standards spread with a narrow, testable, reproducible claim, and it has done so. It found that the diffusion of standards in a bounded corpus is legible in how citation attention ages and only faintly legible in how topic salience and attention coincide at a moment, and it committed in advance to the interpretations of every outcome so that the finding could not be reverse-engineered from the data</w:t>
      </w:r>
      <w:r>
        <w:t xml:space="preserve"> </w:t>
      </w:r>
      <w:hyperlink w:anchor="ref-4">
        <w:r>
          <w:rPr>
            <w:rStyle w:val="Hyperlink"/>
          </w:rPr>
          <w:t xml:space="preserve">[4]</w:t>
        </w:r>
      </w:hyperlink>
      <w:r>
        <w:t xml:space="preserve"> </w:t>
      </w:r>
      <w:hyperlink w:anchor="ref-6">
        <w:r>
          <w:rPr>
            <w:rStyle w:val="Hyperlink"/>
          </w:rPr>
          <w:t xml:space="preserve">[6]</w:t>
        </w:r>
      </w:hyperlink>
      <w:r>
        <w:t xml:space="preserve">. Along the way it kept an inspectable chain from source record to variable to estimator to interpretation, so that a skeptical reader can check the work rather than trust the prose.</w:t>
      </w:r>
    </w:p>
    <w:p>
      <w:pPr>
        <w:pStyle w:val="BodyText"/>
        <w:spacing w:line="480" w:lineRule="auto"/>
        <w:ind w:firstLine="720"/>
      </w:pPr>
      <w:r>
        <w:t xml:space="preserve">For the candidate, the project establishes a durable research program with a clear baseline. The temporal regularity is a result to build on; the cross-sectional margin is a question to sharpen; the adoption outcomes are the frontier to reach. The dissertation does not claim to have crossed that frontier. It claims to have built an inspectable path to it, one number and one source at a time, and to have said honestly how far along that path the evidence currently reaches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48"/>
    <w:bookmarkStart w:id="177" w:name="references"/>
    <w:p>
      <w:pPr>
        <w:pStyle w:val="Heading2"/>
        <w:spacing w:line="480" w:lineRule="auto"/>
      </w:pPr>
      <w:r>
        <w:t xml:space="preserve">References</w:t>
      </w:r>
    </w:p>
    <w:p>
      <w:pPr>
        <w:pStyle w:val="FirstParagraph"/>
        <w:spacing w:line="480" w:lineRule="auto"/>
      </w:pPr>
      <w:bookmarkStart w:id="149" w:name="ref-1"/>
      <w:bookmarkEnd w:id="149"/>
      <w:r>
        <w:t xml:space="preserve">1. Daniel Oltrogge, Analytical Graphics, Inc.. The Contributions of Commercial Best Practices to the Global Space Governance Continuum (2020). [AMOS]</w:t>
      </w:r>
    </w:p>
    <w:p>
      <w:pPr>
        <w:pStyle w:val="BodyText"/>
        <w:spacing w:line="480" w:lineRule="auto"/>
        <w:ind w:firstLine="720"/>
      </w:pPr>
      <w:bookmarkStart w:id="150" w:name="ref-2"/>
      <w:bookmarkEnd w:id="150"/>
      <w:r>
        <w:t xml:space="preserve">2. Pablo Minguijon Pallas, Eutelsat Group; Calum Hervieu, Eutelsat Group; Ignacio Dominguez-Adame Palomo, Eutelsat Group. Space Traffic Management Performance for Large Constellations – A Self-reporting Aggregated Realized Risk Approach from the OneWeb Constellation (2025). doi:</w:t>
      </w:r>
      <w:r>
        <w:t xml:space="preserve"> </w:t>
      </w:r>
      <w:hyperlink r:id="rId151">
        <w:r>
          <w:rPr>
            <w:rStyle w:val="Hyperlink"/>
          </w:rPr>
          <w:t xml:space="preserve">10.64861/AJUV7773</w:t>
        </w:r>
      </w:hyperlink>
    </w:p>
    <w:p>
      <w:pPr>
        <w:pStyle w:val="BodyText"/>
        <w:spacing w:line="480" w:lineRule="auto"/>
        <w:ind w:firstLine="720"/>
      </w:pPr>
      <w:bookmarkStart w:id="152" w:name="ref-3"/>
      <w:bookmarkEnd w:id="152"/>
      <w:r>
        <w:t xml:space="preserve">3. Jeff Nagy, Capt, USAF (AFRL), Veronica Hernandez (AFRL). The Race Toward Becoming Operationally Responsive in Space (2009). [AMOS]</w:t>
      </w:r>
    </w:p>
    <w:p>
      <w:pPr>
        <w:pStyle w:val="BodyText"/>
        <w:spacing w:line="480" w:lineRule="auto"/>
        <w:ind w:firstLine="720"/>
      </w:pPr>
      <w:bookmarkStart w:id="153" w:name="ref-4"/>
      <w:bookmarkEnd w:id="153"/>
      <w:r>
        <w:t xml:space="preserve">4. H. Keo Springer (Lawrence Livermore National Laboratory), Wayne O. Miller (Lawrence Livermore National Laboratory), JoAnne L. Levatin (Lawrence Livermore National Laboratory), Alex J. Pertica (Lawrence Livermore National Laboratory), Scot S. Olivier (Lawrence Livermore National Laboratory). Satellite Collision Modeling with Physics-Based Hydrocodes: Debris Generation Predictions of the Iridium-Cosmos Collision Event and Other Impact Events (2010). [AMOS]</w:t>
      </w:r>
    </w:p>
    <w:p>
      <w:pPr>
        <w:pStyle w:val="BodyText"/>
        <w:spacing w:line="480" w:lineRule="auto"/>
        <w:ind w:firstLine="720"/>
      </w:pPr>
      <w:bookmarkStart w:id="154" w:name="ref-5"/>
      <w:bookmarkEnd w:id="154"/>
      <w:r>
        <w:t xml:space="preserve">5. Mark Sturza, Viasat; Mark Dankberg, Viasat; William Blount, Viasat. Resilience of LEO Constellations to Accidental and Intentional Fragmentation Events (2024). doi:</w:t>
      </w:r>
      <w:r>
        <w:t xml:space="preserve"> </w:t>
      </w:r>
      <w:hyperlink r:id="rId155">
        <w:r>
          <w:rPr>
            <w:rStyle w:val="Hyperlink"/>
          </w:rPr>
          <w:t xml:space="preserve">10.64861/ZFDQ4641</w:t>
        </w:r>
      </w:hyperlink>
    </w:p>
    <w:p>
      <w:pPr>
        <w:pStyle w:val="BodyText"/>
        <w:spacing w:line="480" w:lineRule="auto"/>
        <w:ind w:firstLine="720"/>
      </w:pPr>
      <w:bookmarkStart w:id="156" w:name="ref-6"/>
      <w:bookmarkEnd w:id="156"/>
      <w:r>
        <w:t xml:space="preserve">6. James Reilly, Booz Allen Hamilton; Matthew Blackford, Booz Allen Hamilton; Jillian Mueller, Booz Allen Hamilton. Challenges in Space Traffic Management (2023). doi:</w:t>
      </w:r>
      <w:r>
        <w:t xml:space="preserve"> </w:t>
      </w:r>
      <w:hyperlink r:id="rId157">
        <w:r>
          <w:rPr>
            <w:rStyle w:val="Hyperlink"/>
          </w:rPr>
          <w:t xml:space="preserve">10.64861/UCTN1793</w:t>
        </w:r>
      </w:hyperlink>
    </w:p>
    <w:p>
      <w:pPr>
        <w:pStyle w:val="BodyText"/>
        <w:spacing w:line="480" w:lineRule="auto"/>
        <w:ind w:firstLine="720"/>
      </w:pPr>
      <w:bookmarkStart w:id="158" w:name="ref-7"/>
      <w:bookmarkEnd w:id="158"/>
      <w:r>
        <w:t xml:space="preserve">7. Toby Sanders, Lickenbrock Technologies, Inc.; Robert Hedges, Lickenbrock Technologies, Inc.; Timothy Schulz, Michigan Technological University; Melena Abijaoude, Lickenbrock Technologies, Inc.; John Peters, Lickenbrock Technologies, Inc.; Michael Steinbock, AFRL/RDSS; Timothy Holmes, Lickenbrock Technologies, Inc.. Real Time Deconvolution of Adaptive Optics Ground Based Telescope Imagery (2020). [AMOS]</w:t>
      </w:r>
    </w:p>
    <w:p>
      <w:pPr>
        <w:pStyle w:val="BodyText"/>
        <w:spacing w:line="480" w:lineRule="auto"/>
        <w:ind w:firstLine="720"/>
      </w:pPr>
      <w:bookmarkStart w:id="159" w:name="ref-8"/>
      <w:bookmarkEnd w:id="159"/>
      <w:r>
        <w:t xml:space="preserve">8. Chelsea Wright, Ferris State University. A Collaborative Cybersecurity Training Policy for Future Space Endeavors (2023). doi:</w:t>
      </w:r>
      <w:r>
        <w:t xml:space="preserve"> </w:t>
      </w:r>
      <w:hyperlink r:id="rId160">
        <w:r>
          <w:rPr>
            <w:rStyle w:val="Hyperlink"/>
          </w:rPr>
          <w:t xml:space="preserve">10.64861/WXIJ8208</w:t>
        </w:r>
      </w:hyperlink>
    </w:p>
    <w:p>
      <w:pPr>
        <w:pStyle w:val="BodyText"/>
        <w:spacing w:line="480" w:lineRule="auto"/>
        <w:ind w:firstLine="720"/>
      </w:pPr>
      <w:bookmarkStart w:id="161" w:name="ref-9"/>
      <w:bookmarkEnd w:id="161"/>
      <w:r>
        <w:t xml:space="preserve">9. Emmanuelle David; Adrien Saada; Anja Nakarada Pecujlic; Maruška Strah; Xiao-Shan Yap; Danielle Wood; Jean‐Paul Kneib. Fostering multi-stakeholder collaboration for space sustainability through an incentive-based mechanism (2025). doi:</w:t>
      </w:r>
      <w:r>
        <w:t xml:space="preserve"> </w:t>
      </w:r>
      <w:hyperlink r:id="rId162">
        <w:r>
          <w:rPr>
            <w:rStyle w:val="Hyperlink"/>
          </w:rPr>
          <w:t xml:space="preserve">10.1016/j.actaastro.2025.06.029</w:t>
        </w:r>
      </w:hyperlink>
    </w:p>
    <w:p>
      <w:pPr>
        <w:pStyle w:val="BodyText"/>
        <w:spacing w:line="480" w:lineRule="auto"/>
        <w:ind w:firstLine="720"/>
      </w:pPr>
      <w:bookmarkStart w:id="163" w:name="ref-10"/>
      <w:bookmarkEnd w:id="163"/>
      <w:r>
        <w:t xml:space="preserve">10. T.P. Graham; Kathiravan Thangavel; Anne-Sophie Martin. Navigating AI-lien Terrain: Legal liability for artificial intelligence in outer space (2024). doi:</w:t>
      </w:r>
      <w:r>
        <w:t xml:space="preserve"> </w:t>
      </w:r>
      <w:hyperlink r:id="rId164">
        <w:r>
          <w:rPr>
            <w:rStyle w:val="Hyperlink"/>
          </w:rPr>
          <w:t xml:space="preserve">10.1016/j.actaastro.2024.01.039</w:t>
        </w:r>
      </w:hyperlink>
    </w:p>
    <w:p>
      <w:pPr>
        <w:pStyle w:val="BodyText"/>
        <w:spacing w:line="480" w:lineRule="auto"/>
        <w:ind w:firstLine="720"/>
      </w:pPr>
      <w:bookmarkStart w:id="165" w:name="ref-11"/>
      <w:bookmarkEnd w:id="165"/>
      <w:r>
        <w:t xml:space="preserve">11.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66">
        <w:r>
          <w:rPr>
            <w:rStyle w:val="Hyperlink"/>
          </w:rPr>
          <w:t xml:space="preserve">10.1016/j.actaastro.2025.03.034</w:t>
        </w:r>
      </w:hyperlink>
    </w:p>
    <w:p>
      <w:pPr>
        <w:pStyle w:val="BodyText"/>
        <w:spacing w:line="480" w:lineRule="auto"/>
        <w:ind w:firstLine="720"/>
      </w:pPr>
      <w:bookmarkStart w:id="167" w:name="ref-12"/>
      <w:bookmarkEnd w:id="167"/>
      <w:r>
        <w:t xml:space="preserve">12. Tanja Masson-Zwaan; Peter Martinez; Francesca Letizia; Catrina Melograna; Martin Reynders; Robert J. Rovetto; Mark A. Skinner; Marius Stanciu-Manolescu; Maruška Strah; Olga Volynskaya; Guoyu Wang. The need to improve registration practices in the context of space traffic management (2024). doi:</w:t>
      </w:r>
      <w:r>
        <w:t xml:space="preserve"> </w:t>
      </w:r>
      <w:hyperlink r:id="rId168">
        <w:r>
          <w:rPr>
            <w:rStyle w:val="Hyperlink"/>
          </w:rPr>
          <w:t xml:space="preserve">10.1016/j.actaastro.2024.06.052</w:t>
        </w:r>
      </w:hyperlink>
    </w:p>
    <w:p>
      <w:pPr>
        <w:pStyle w:val="BodyText"/>
        <w:spacing w:line="480" w:lineRule="auto"/>
        <w:ind w:firstLine="720"/>
      </w:pPr>
      <w:bookmarkStart w:id="169" w:name="ref-13"/>
      <w:bookmarkEnd w:id="169"/>
      <w:r>
        <w:t xml:space="preserve">13. Marlon E. Sorge; Didier Alary; Florent Lacomba; Helen Tung; Balbir Singh. Space traffic management: Large constellations (2025). doi:</w:t>
      </w:r>
      <w:r>
        <w:t xml:space="preserve"> </w:t>
      </w:r>
      <w:hyperlink r:id="rId170">
        <w:r>
          <w:rPr>
            <w:rStyle w:val="Hyperlink"/>
          </w:rPr>
          <w:t xml:space="preserve">10.1016/j.actaastro.2025.01.043</w:t>
        </w:r>
      </w:hyperlink>
    </w:p>
    <w:p>
      <w:pPr>
        <w:pStyle w:val="BodyText"/>
        <w:spacing w:line="480" w:lineRule="auto"/>
        <w:ind w:firstLine="720"/>
      </w:pPr>
      <w:bookmarkStart w:id="171" w:name="ref-14"/>
      <w:bookmarkEnd w:id="171"/>
      <w:r>
        <w:t xml:space="preserve">14. Noelia Sánchez-Ortíz; Danielle Wood; Lesley Smith; Carmen Gregori De La Malla; Maruška Strah; Maren Huelsmann; Marius Stanciu-Manolescu; P. Ubertini; Balbir Singh. Outreach on Space Traffic Management (2025). doi:</w:t>
      </w:r>
      <w:r>
        <w:t xml:space="preserve"> </w:t>
      </w:r>
      <w:hyperlink r:id="rId172">
        <w:r>
          <w:rPr>
            <w:rStyle w:val="Hyperlink"/>
          </w:rPr>
          <w:t xml:space="preserve">10.1016/j.actaastro.2025.01.031</w:t>
        </w:r>
      </w:hyperlink>
    </w:p>
    <w:p>
      <w:pPr>
        <w:pStyle w:val="BodyText"/>
        <w:spacing w:line="480" w:lineRule="auto"/>
        <w:ind w:firstLine="720"/>
      </w:pPr>
      <w:bookmarkStart w:id="173" w:name="ref-15"/>
      <w:bookmarkEnd w:id="173"/>
      <w:r>
        <w:t xml:space="preserve">15. Anna Hurova; M. Becker; Nicolas Bécu. Gamification in space law: A strategy to navigate the growing landscape (2025). doi:</w:t>
      </w:r>
      <w:r>
        <w:t xml:space="preserve"> </w:t>
      </w:r>
      <w:hyperlink r:id="rId174">
        <w:r>
          <w:rPr>
            <w:rStyle w:val="Hyperlink"/>
          </w:rPr>
          <w:t xml:space="preserve">10.1016/j.actaastro.2025.01.054</w:t>
        </w:r>
      </w:hyperlink>
    </w:p>
    <w:p>
      <w:pPr>
        <w:pStyle w:val="BodyText"/>
        <w:spacing w:line="480" w:lineRule="auto"/>
        <w:ind w:firstLine="720"/>
      </w:pPr>
      <w:bookmarkStart w:id="175" w:name="ref-16"/>
      <w:bookmarkEnd w:id="175"/>
      <w:r>
        <w:t xml:space="preserve">16. Danielle Oryan; Efrat Menahem; Lior Ron; Gil Doron; Shimrit Maman. The Ramon Space Race program: Empowering teachers for early childhood space education (2025). doi:</w:t>
      </w:r>
      <w:r>
        <w:t xml:space="preserve"> </w:t>
      </w:r>
      <w:hyperlink r:id="rId176">
        <w:r>
          <w:rPr>
            <w:rStyle w:val="Hyperlink"/>
          </w:rPr>
          <w:t xml:space="preserve">10.1016/j.actaastro.2025.11.083</w:t>
        </w:r>
      </w:hyperlink>
    </w:p>
    <w:bookmarkEnd w:id="177"/>
    <w:bookmarkEnd w:id="178"/>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c11760f3d9a6561cef855b70ae67804a562a64d"/>
    <w:p>
      <w:pPr>
        <w:pStyle w:val="Heading2"/>
        <w:spacing w:line="480" w:lineRule="auto"/>
      </w:pPr>
      <w:r>
        <w:t xml:space="preserve">A.1 Signal Intensity in Standards Cascades Tracing the Diffusion of STM Best Practices Through Citation: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2.5699</w:t>
            </w:r>
          </w:p>
        </w:tc>
        <w:tc>
          <w:tcPr>
            <w:tcW w:w="0" w:type="auto"/>
          </w:tcPr>
          <w:p>
            <w:pPr>
              <w:spacing w:line="240" w:lineRule="auto" w:before="0" w:after="0"/>
              <w:pStyle w:val="Compact"/>
            </w:pPr>
            <w:r>
              <w:rPr>
                <w:sz w:val="20"/>
                <w:szCs w:val="20"/>
              </w:rPr>
              <w:t xml:space="preserve">1.0485</w:t>
            </w:r>
          </w:p>
        </w:tc>
        <w:tc>
          <w:tcPr>
            <w:tcW w:w="0" w:type="auto"/>
          </w:tcPr>
          <w:p>
            <w:pPr>
              <w:spacing w:line="240" w:lineRule="auto" w:before="0" w:after="0"/>
              <w:pStyle w:val="Compact"/>
            </w:pPr>
            <w:r>
              <w:rPr>
                <w:sz w:val="20"/>
                <w:szCs w:val="20"/>
              </w:rPr>
              <w:t xml:space="preserve">2.4511</w:t>
            </w:r>
          </w:p>
        </w:tc>
        <w:tc>
          <w:tcPr>
            <w:tcW w:w="0" w:type="auto"/>
          </w:tcPr>
          <w:p>
            <w:pPr>
              <w:spacing w:line="240" w:lineRule="auto" w:before="0" w:after="0"/>
              <w:pStyle w:val="Compact"/>
            </w:pPr>
            <w:r>
              <w:rPr>
                <w:sz w:val="20"/>
                <w:szCs w:val="20"/>
              </w:rPr>
              <w:t xml:space="preserve">0.0142</w:t>
            </w:r>
          </w:p>
        </w:tc>
        <w:tc>
          <w:tcPr>
            <w:tcW w:w="0" w:type="auto"/>
          </w:tcPr>
          <w:p>
            <w:pPr>
              <w:spacing w:line="240" w:lineRule="auto" w:before="0" w:after="0"/>
              <w:pStyle w:val="Compact"/>
            </w:pPr>
            <w:r>
              <w:rPr>
                <w:sz w:val="20"/>
                <w:szCs w:val="20"/>
              </w:rPr>
              <w:t xml:space="preserve">[0.515, 4.6249]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0.0531</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0.9825</w:t>
            </w:r>
          </w:p>
        </w:tc>
        <w:tc>
          <w:tcPr>
            <w:tcW w:w="0" w:type="auto"/>
          </w:tcPr>
          <w:p>
            <w:pPr>
              <w:spacing w:line="240" w:lineRule="auto" w:before="0" w:after="0"/>
              <w:pStyle w:val="Compact"/>
            </w:pPr>
            <w:r>
              <w:rPr>
                <w:sz w:val="20"/>
                <w:szCs w:val="20"/>
              </w:rPr>
              <w:t xml:space="preserve">[-0.1052, 0.1028]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0.1064</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1.7291</w:t>
            </w:r>
          </w:p>
        </w:tc>
        <w:tc>
          <w:tcPr>
            <w:tcW w:w="0" w:type="auto"/>
          </w:tcPr>
          <w:p>
            <w:pPr>
              <w:spacing w:line="240" w:lineRule="auto" w:before="0" w:after="0"/>
              <w:pStyle w:val="Compact"/>
            </w:pPr>
            <w:r>
              <w:rPr>
                <w:sz w:val="20"/>
                <w:szCs w:val="20"/>
              </w:rPr>
              <w:t xml:space="preserve">0.0838</w:t>
            </w:r>
          </w:p>
        </w:tc>
        <w:tc>
          <w:tcPr>
            <w:tcW w:w="0" w:type="auto"/>
          </w:tcPr>
          <w:p>
            <w:pPr>
              <w:spacing w:line="240" w:lineRule="auto" w:before="0" w:after="0"/>
              <w:pStyle w:val="Compact"/>
            </w:pPr>
            <w:r>
              <w:rPr>
                <w:sz w:val="20"/>
                <w:szCs w:val="20"/>
              </w:rPr>
              <w:t xml:space="preserve">[-0.0142, 0.227]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-0.1086</w:t>
            </w:r>
          </w:p>
        </w:tc>
        <w:tc>
          <w:tcPr>
            <w:tcW w:w="0" w:type="auto"/>
          </w:tcPr>
          <w:p>
            <w:pPr>
              <w:spacing w:line="240" w:lineRule="auto" w:before="0" w:after="0"/>
              <w:pStyle w:val="Compact"/>
            </w:pPr>
            <w:r>
              <w:rPr>
                <w:sz w:val="20"/>
                <w:szCs w:val="20"/>
              </w:rPr>
              <w:t xml:space="preserve">0.4641</w:t>
            </w:r>
          </w:p>
        </w:tc>
        <w:tc>
          <w:tcPr>
            <w:tcW w:w="0" w:type="auto"/>
          </w:tcPr>
          <w:p>
            <w:pPr>
              <w:spacing w:line="240" w:lineRule="auto" w:before="0" w:after="0"/>
              <w:pStyle w:val="Compact"/>
            </w:pPr>
            <w:r>
              <w:rPr>
                <w:sz w:val="20"/>
                <w:szCs w:val="20"/>
              </w:rPr>
              <w:t xml:space="preserve">-0.234</w:t>
            </w:r>
          </w:p>
        </w:tc>
        <w:tc>
          <w:tcPr>
            <w:tcW w:w="0" w:type="auto"/>
          </w:tcPr>
          <w:p>
            <w:pPr>
              <w:spacing w:line="240" w:lineRule="auto" w:before="0" w:after="0"/>
              <w:pStyle w:val="Compact"/>
            </w:pPr>
            <w:r>
              <w:rPr>
                <w:sz w:val="20"/>
                <w:szCs w:val="20"/>
              </w:rPr>
              <w:t xml:space="preserve">0.815</w:t>
            </w:r>
          </w:p>
        </w:tc>
        <w:tc>
          <w:tcPr>
            <w:tcW w:w="0" w:type="auto"/>
          </w:tcPr>
          <w:p>
            <w:pPr>
              <w:spacing w:line="240" w:lineRule="auto" w:before="0" w:after="0"/>
              <w:pStyle w:val="Compact"/>
            </w:pPr>
            <w:r>
              <w:rPr>
                <w:sz w:val="20"/>
                <w:szCs w:val="20"/>
              </w:rPr>
              <w:t xml:space="preserve">[-1.0183, 0.8011]</w:t>
            </w:r>
          </w:p>
        </w:tc>
      </w:tr>
    </w:tbl>
    <w:p>
      <w:pPr>
        <w:pStyle w:val="BodyText"/>
        <w:spacing w:line="480" w:lineRule="auto"/>
        <w:ind w:firstLine="720"/>
      </w:pPr>
      <w:r>
        <w:t xml:space="preserve">Fit: N = 30 R2 = 0.0638 R2_adj = -0.0442 F = 1.0174 F_p = 0.401</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1" name="Picture"/>
            <a:graphic>
              <a:graphicData uri="http://schemas.openxmlformats.org/drawingml/2006/picture">
                <pic:pic>
                  <pic:nvPicPr>
                    <pic:cNvPr descr="D:/Claude_Code/brain/collegium/candidates/dissertations/STM_CISLUNAR_07/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10.64861/ZEWS9959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https://amostech.space/year/2009/microfacet-scattering-model-for-pulse-polarization-ranging/</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https://amostech.space/year/2020/the-contributions-of-commercial-best-practices-to-the-global-space-governance-continuum/</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https://amostech.space/year/2009/the-race-toward-becoming-operationally-responsive-in-space/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https://amostech.space/year/2010/satellite-collision-modeling-with-physics-based-hydrocodes-debris-generation-predictions-of-the-iridium-cosmos-collision-event-and-other-impact-events/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https://amostech.space/year/2022/trending-and-analysis-of-payload-vs-all-low-earth-conjunction-data-messages-below-1000-km-from-2016-through-2021/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https://amostech.space/year/2020/real-time-deconvolution-of-adaptive-optics-ground-based-telescope-imagery/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10.1016/j.actaastro.2025.12.034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10.1016/j.actaastro.2025.11.083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5"/>
    <w:bookmarkEnd w:id="186"/>
    <w:bookmarkStart w:id="194" w:name="X69e60f1016f72ffa1413b468e7b22828f3a8791"/>
    <w:p>
      <w:pPr>
        <w:pStyle w:val="Heading2"/>
        <w:spacing w:line="480" w:lineRule="auto"/>
      </w:pPr>
      <w:r>
        <w:t xml:space="preserve">A.2 Attention Accumulation in Standards Cascades Tracing the Diffusion of STM Best Practices Through Citation: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1.5118</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4.2385</w:t>
            </w:r>
          </w:p>
        </w:tc>
        <w:tc>
          <w:tcPr>
            <w:tcW w:w="0" w:type="auto"/>
          </w:tcPr>
          <w:p>
            <w:pPr>
              <w:spacing w:line="240" w:lineRule="auto" w:before="0" w:after="0"/>
              <w:pStyle w:val="Compact"/>
            </w:pPr>
            <w:r>
              <w:rPr>
                <w:sz w:val="20"/>
                <w:szCs w:val="20"/>
              </w:rPr>
              <w:t xml:space="preserve">2.25e-05</w:t>
            </w:r>
          </w:p>
        </w:tc>
        <w:tc>
          <w:tcPr>
            <w:tcW w:w="0" w:type="auto"/>
          </w:tcPr>
          <w:p>
            <w:pPr>
              <w:spacing w:line="240" w:lineRule="auto" w:before="0" w:after="0"/>
              <w:pStyle w:val="Compact"/>
            </w:pPr>
            <w:r>
              <w:rPr>
                <w:sz w:val="20"/>
                <w:szCs w:val="20"/>
              </w:rPr>
              <w:t xml:space="preserve">[0.8127, 2.2109]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-0.6113</w:t>
            </w:r>
          </w:p>
        </w:tc>
        <w:tc>
          <w:tcPr>
            <w:tcW w:w="0" w:type="auto"/>
          </w:tcPr>
          <w:p>
            <w:pPr>
              <w:spacing w:line="240" w:lineRule="auto" w:before="0" w:after="0"/>
              <w:pStyle w:val="Compact"/>
            </w:pPr>
            <w:r>
              <w:rPr>
                <w:sz w:val="20"/>
                <w:szCs w:val="20"/>
              </w:rPr>
              <w:t xml:space="preserve">0.1859</w:t>
            </w:r>
          </w:p>
        </w:tc>
        <w:tc>
          <w:tcPr>
            <w:tcW w:w="0" w:type="auto"/>
          </w:tcPr>
          <w:p>
            <w:pPr>
              <w:spacing w:line="240" w:lineRule="auto" w:before="0" w:after="0"/>
              <w:pStyle w:val="Compact"/>
            </w:pPr>
            <w:r>
              <w:rPr>
                <w:sz w:val="20"/>
                <w:szCs w:val="20"/>
              </w:rPr>
              <w:t xml:space="preserve">-3.288</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[-0.9758, -0.2469]</w:t>
            </w:r>
          </w:p>
        </w:tc>
      </w:tr>
    </w:tbl>
    <w:p>
      <w:pPr>
        <w:pStyle w:val="BodyText"/>
        <w:spacing w:line="480" w:lineRule="auto"/>
        <w:ind w:firstLine="720"/>
      </w:pPr>
      <w:r>
        <w:t xml:space="preserve">Fit: N = 30 R2 = 0.2008 elasticity_b = -0.6113 progress_ratio_2^b = 0.6546</w:t>
      </w:r>
    </w:p>
    <w:bookmarkEnd w:id="187"/>
    <w:bookmarkStart w:id="19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9" name="Picture"/>
            <a:graphic>
              <a:graphicData uri="http://schemas.openxmlformats.org/drawingml/2006/picture">
                <pic:pic>
                  <pic:nvPicPr>
                    <pic:cNvPr descr="D:/Claude_Code/brain/collegium/candidates/dissertations/STM_CISLUNAR_07/research_papers/p2/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1"/>
    <w:bookmarkStart w:id="19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10.64861/ZEWS9959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https://amostech.space/year/2009/microfacet-scattering-model-for-pulse-polarization-ranging/</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https://amostech.space/year/2020/the-contributions-of-commercial-best-practices-to-the-global-space-governance-continuum/</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https://amostech.space/year/2009/the-race-toward-becoming-operationally-responsive-in-space/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https://amostech.space/year/2010/satellite-collision-modeling-with-physics-based-hydrocodes-debris-generation-predictions-of-the-iridium-cosmos-collision-event-and-other-impact-events/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https://amostech.space/year/2022/trending-and-analysis-of-payload-vs-all-low-earth-conjunction-data-messages-below-1000-km-from-2016-through-2021/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https://amostech.space/year/2020/real-time-deconvolution-of-adaptive-optics-ground-based-telescope-imagery/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10.1016/j.actaastro.2025.12.034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10.1016/j.actaastro.2025.11.083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88" Type="http://schemas.openxmlformats.org/officeDocument/2006/relationships/image" Target="media/rId188.png"/><Relationship Id="rId164" Type="http://schemas.openxmlformats.org/officeDocument/2006/relationships/hyperlink" Target="https://doi.org/10.1016/j.actaastro.2024.01.039" TargetMode="External"/><Relationship Id="rId168" Type="http://schemas.openxmlformats.org/officeDocument/2006/relationships/hyperlink" Target="https://doi.org/10.1016/j.actaastro.2024.06.052" TargetMode="External"/><Relationship Id="rId172" Type="http://schemas.openxmlformats.org/officeDocument/2006/relationships/hyperlink" Target="https://doi.org/10.1016/j.actaastro.2025.01.031" TargetMode="External"/><Relationship Id="rId170" Type="http://schemas.openxmlformats.org/officeDocument/2006/relationships/hyperlink" Target="https://doi.org/10.1016/j.actaastro.2025.01.043" TargetMode="External"/><Relationship Id="rId174" Type="http://schemas.openxmlformats.org/officeDocument/2006/relationships/hyperlink" Target="https://doi.org/10.1016/j.actaastro.2025.01.054" TargetMode="External"/><Relationship Id="rId166" Type="http://schemas.openxmlformats.org/officeDocument/2006/relationships/hyperlink" Target="https://doi.org/10.1016/j.actaastro.2025.03.034" TargetMode="External"/><Relationship Id="rId162" Type="http://schemas.openxmlformats.org/officeDocument/2006/relationships/hyperlink" Target="https://doi.org/10.1016/j.actaastro.2025.06.029" TargetMode="External"/><Relationship Id="rId176" Type="http://schemas.openxmlformats.org/officeDocument/2006/relationships/hyperlink" Target="https://doi.org/10.1016/j.actaastro.2025.11.083" TargetMode="External"/><Relationship Id="rId151" Type="http://schemas.openxmlformats.org/officeDocument/2006/relationships/hyperlink" Target="https://doi.org/10.64861/AJUV7773" TargetMode="External"/><Relationship Id="rId157" Type="http://schemas.openxmlformats.org/officeDocument/2006/relationships/hyperlink" Target="https://doi.org/10.64861/UCTN1793" TargetMode="External"/><Relationship Id="rId160" Type="http://schemas.openxmlformats.org/officeDocument/2006/relationships/hyperlink" Target="https://doi.org/10.64861/WXIJ8208" TargetMode="External"/><Relationship Id="rId155"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64" Type="http://schemas.openxmlformats.org/officeDocument/2006/relationships/hyperlink" Target="https://doi.org/10.1016/j.actaastro.2024.01.039" TargetMode="External"/><Relationship Id="rId168" Type="http://schemas.openxmlformats.org/officeDocument/2006/relationships/hyperlink" Target="https://doi.org/10.1016/j.actaastro.2024.06.052" TargetMode="External"/><Relationship Id="rId172" Type="http://schemas.openxmlformats.org/officeDocument/2006/relationships/hyperlink" Target="https://doi.org/10.1016/j.actaastro.2025.01.031" TargetMode="External"/><Relationship Id="rId170" Type="http://schemas.openxmlformats.org/officeDocument/2006/relationships/hyperlink" Target="https://doi.org/10.1016/j.actaastro.2025.01.043" TargetMode="External"/><Relationship Id="rId174" Type="http://schemas.openxmlformats.org/officeDocument/2006/relationships/hyperlink" Target="https://doi.org/10.1016/j.actaastro.2025.01.054" TargetMode="External"/><Relationship Id="rId166" Type="http://schemas.openxmlformats.org/officeDocument/2006/relationships/hyperlink" Target="https://doi.org/10.1016/j.actaastro.2025.03.034" TargetMode="External"/><Relationship Id="rId162" Type="http://schemas.openxmlformats.org/officeDocument/2006/relationships/hyperlink" Target="https://doi.org/10.1016/j.actaastro.2025.06.029" TargetMode="External"/><Relationship Id="rId176" Type="http://schemas.openxmlformats.org/officeDocument/2006/relationships/hyperlink" Target="https://doi.org/10.1016/j.actaastro.2025.11.083" TargetMode="External"/><Relationship Id="rId151" Type="http://schemas.openxmlformats.org/officeDocument/2006/relationships/hyperlink" Target="https://doi.org/10.64861/AJUV7773" TargetMode="External"/><Relationship Id="rId157" Type="http://schemas.openxmlformats.org/officeDocument/2006/relationships/hyperlink" Target="https://doi.org/10.64861/UCTN1793" TargetMode="External"/><Relationship Id="rId160" Type="http://schemas.openxmlformats.org/officeDocument/2006/relationships/hyperlink" Target="https://doi.org/10.64861/WXIJ8208" TargetMode="External"/><Relationship Id="rId155"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Cascades: Tracing the Diffusion of STM Best Practices Through Citation</dc:title>
  <dc:creator>Esme Knox (1B-SDA-173)</dc:creator>
  <cp:keywords/>
  <dcterms:created xsi:type="dcterms:W3CDTF">2026-07-03T00:02:22Z</dcterms:created>
  <dcterms:modified xsi:type="dcterms:W3CDTF">2026-07-03T00:02:22Z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