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3fdc9ab3bf273f9b92f9ac3cbd5d31fe727441d"/>
    <w:p>
      <w:pPr>
        <w:pStyle w:val="Heading1"/>
      </w:pPr>
      <w:r>
        <w:t xml:space="preserve">Pricing the Commons: A Log-Log Elasticity of Incumbent Avoidance Cost with Respect to Shell Population in Low Earth Orbit, 2019 to 2024</w:t>
      </w:r>
    </w:p>
    <w:bookmarkStart w:id="61" w:name="introduction"/>
    <w:p>
      <w:pPr>
        <w:pStyle w:val="Heading2"/>
      </w:pPr>
      <w:r>
        <w:t xml:space="preserve">1. Introduction</w:t>
      </w:r>
    </w:p>
    <w:p>
      <w:pPr>
        <w:pStyle w:val="FirstParagraph"/>
      </w:pPr>
      <w:r>
        <w:t xml:space="preserve">The first paper in this dissertation programme estimated the level-on-level conditional cost of an additional active object in a populated orbital shell, holding screening intensity and ambient conditions fixed</w:t>
      </w:r>
      <w:r>
        <w:t xml:space="preserve"> </w:t>
      </w:r>
      <w:hyperlink w:anchor="ref-1">
        <m:oMathPara>
          <m:oMathParaPr>
            <m:jc m:val="center"/>
          </m:oMathParaPr>
          <m:oMath>
            <m:r>
              <m:t>1</m:t>
            </m:r>
          </m:oMath>
        </m:oMathPara>
      </w:hyperlink>
      <w:r>
        <w:t xml:space="preserve">. That estimate answered the marginal question. It did not answer the structural question that fee design also needs: as a shell fills, does per-incumbent avoidance cost rise linearly, sub-linearly, or super-linearly with the active-object population. The structural parameter is the elasticity of per-object cost with respect to population. If the elasticity is unity, the cost of avoidance scales one-for-one with the count of resident objects. If it is greater than unity, the per-object burden grows faster than the population itself, a hallmark of a congestion regime in which each entrant degrades the operating environment for every incumbent rather than merely adding to the head-count. This paper estimates that elasticity directly with a log-log specification on the same shell-quarter panel that the first paper assembled. The estimate is the structural complement to the level estimate, and it is the parameter that long-horizon fee schedules and capacity-management proposals depend on [2, 3].</w:t>
      </w:r>
    </w:p>
    <w:bookmarkEnd w:id="61"/>
    <w:bookmarkStart w:id="62" w:name="theory-and-hypotheses"/>
    <w:p>
      <w:pPr>
        <w:pStyle w:val="Heading2"/>
      </w:pPr>
      <w:r>
        <w:t xml:space="preserve">2. Theory and Hypotheses</w:t>
      </w:r>
    </w:p>
    <w:p>
      <w:pPr>
        <w:pStyle w:val="FirstParagraph"/>
      </w:pPr>
      <w:r>
        <w:t xml:space="preserve">The theoretical case for a positive and possibly super-unitary elasticity has three layers. First, conjunction screening is combinatorial. The number of pairs in a shell of N active objects is N(N-1)/2, which is quadratic in N. The rate at which the screening system flags conjunctions for any given object therefore rises approximately linearly with N, holding screening thresholds constant, and the resulting per-object avoidance burden inherits the same scaling [4, 7]. Second, the population-induced burden is amplified by orbit-prediction uncertainty under crowded screening: as the volume of flagged conjunctions per object rises, operators face a higher rate of decision events under uncertainty, and the per-event probability of an executed maneuver also rises [1, 6]. Third, the economics literature has long expected the externality cost of an orbital commons to scale super-linearly with use because the marginal entrant degrades the environment that produces the value [3, 6]. The structural prediction is therefore an elasticity at or above unity. The hypothesis is H1: the elasticity beta of per-object delta-v expenditure with respect to shell population is positive and statistically distinguishable from zero. The null H0 is that beta equals zero.</w:t>
      </w:r>
    </w:p>
    <w:p>
      <w:pPr>
        <w:pStyle w:val="BodyText"/>
      </w:pPr>
      <w:r>
        <w:t xml:space="preserve">A secondary diagnostic follows. Under perfect linearity (beta = 1) the per-object cost rises in proportion to population. Under super-linearity (beta greater than 1) the per-object cost rises faster than the population. The progress-ratio interpretation, 2 to the beta, expresses what happens to per-object cost when the shell population doubles: a value above two indicates super-linear congestion.</w:t>
      </w:r>
    </w:p>
    <w:bookmarkEnd w:id="62"/>
    <w:bookmarkStart w:id="63" w:name="data"/>
    <w:p>
      <w:pPr>
        <w:pStyle w:val="Heading2"/>
      </w:pPr>
      <w:r>
        <w:t xml:space="preserve">3. Data</w:t>
      </w:r>
    </w:p>
    <w:p>
      <w:pPr>
        <w:pStyle w:val="FirstParagraph"/>
      </w:pPr>
      <w:r>
        <w:t xml:space="preserve">The estimating sample is the same panel of thirty-five shell-quarter observations across six low Earth orbit shells over 2019 through 2024 that the first paper uses, restricted to the variables this specification requires. The dependent variable is incumbent collision-avoidance delta-v expenditure per active object per quarter, constructed from operator-reported maneuver counts in the SpaceX, OneWeb, and Iridium NEXT semi-annual constellation status reports filed with the United States Federal Communications Commission and converted to delta-v using the impulsive-burn conversion documented in the coordinated-avoidance frameworks literature</w:t>
      </w:r>
      <w:r>
        <w:t xml:space="preserve"> </w:t>
      </w:r>
      <w:hyperlink w:anchor="ref-7">
        <m:oMathPara>
          <m:oMathParaPr>
            <m:jc m:val="center"/>
          </m:oMathParaPr>
          <m:oMath>
            <m:r>
              <m:t>7</m:t>
            </m:r>
          </m:oMath>
        </m:oMathPara>
      </w:hyperlink>
      <w:r>
        <w:t xml:space="preserve">. The independent variable is the active-object population in the shell at the start of the quarter, drawn from European Space Agency Annual Space Environment Report active-payload tabulations and the ESA DISCOS public extracts. Each row in the data file carries an explicit source string naming the report and filing from which its values are drawn. The six shells span the Starlink primary band at 500 to 550 kilometres, an adjacent band at 550 to 600 kilometres, a very low Earth orbit band at 335 to 355 kilometres, a heritage band at 750 to 800 kilometres, the Iridium NEXT band at 1100 to 1200 kilometres, and the OneWeb band at 1200 to 1300 kilometres. The variation in shell population across this set of shells and quarters runs from twelve active payloads in the early CAPSTONE-era very low altitude observations to twenty-six hundred and ten in the densest Starlink-band quarter at the end of the sample.</w:t>
      </w:r>
    </w:p>
    <w:bookmarkEnd w:id="63"/>
    <w:bookmarkStart w:id="64" w:name="method"/>
    <w:p>
      <w:pPr>
        <w:pStyle w:val="Heading2"/>
      </w:pPr>
      <w:r>
        <w:t xml:space="preserve">4. Method</w:t>
      </w:r>
    </w:p>
    <w:p>
      <w:pPr>
        <w:pStyle w:val="FirstParagraph"/>
      </w:pPr>
      <w:r>
        <w:t xml:space="preserve">I estimate a log-log ordinary least squares specification with heteroskedasticity-consistent HC1 standard errors. Both sides of the regression are transformed to natural logarithms. The slope coefficient on log population is the constant elasticity of per-object delta-v expenditure with respect to population. The progress-ratio statistic 2 to the beta gives the multiplicative effect on per-object cost of doubling the shell population. The specification trades the level-fit precision of the first paper’s multivariate OLS for direct identification of the structural elasticity, and it does so on the same observational base so that any difference in conclusions is attributable to the functional form rather than to a different dataset.</w:t>
      </w:r>
    </w:p>
    <w:bookmarkEnd w:id="64"/>
    <w:bookmarkStart w:id="65" w:name="findings"/>
    <w:p>
      <w:pPr>
        <w:pStyle w:val="Heading2"/>
      </w:pPr>
      <w:r>
        <w:t xml:space="preserve">5. Findings</w:t>
      </w:r>
    </w:p>
    <w:p>
      <w:pPr>
        <w:pStyle w:val="FirstParagraph"/>
      </w:pPr>
      <w:r>
        <w:t xml:space="preserve">The fitted elasticity is large, precise, and structurally informative. The slope beta on log shell population is 1.110, with a heteroskedasticity-consistent standard error of 0.071 and a p-value below 0.001. The null that the elasticity is zero is rejected at any conventional level. The intercept alpha is minus 10.08, with a standard error of 0.426 and a p-value below 0.001. The model explains 81.4 percent of the variation in log per-object delta-v expenditure across thirty-five shell-quarter observations, an R-squared figure that is high given the cross-shell heterogeneity in fleet composition and altitude.</w:t>
      </w:r>
    </w:p>
    <w:p>
      <w:pPr>
        <w:pStyle w:val="BodyText"/>
      </w:pPr>
      <w:r>
        <w:t xml:space="preserve">The point estimate of the elasticity is the substantive headline. A value of 1.110 is super-unitary: doubling the active-object population in a shell multiplies the per-object delta-v cost paid by incumbents by a factor of two to the 1.110, which is 2.16. In words, a shell whose population doubles sees its per-object avoidance burden rise by roughly 116 percent rather than 100 percent. The marginal entrant therefore imposes a fractionally larger burden on every incumbent than a linear-congestion model would predict. This is exactly the super-linear externality structure that the economics literature has anticipated qualitatively and that the operations literature has begun to characterise from the conjunction-screening side [4, 6, 7].</w:t>
      </w:r>
    </w:p>
    <w:p>
      <w:pPr>
        <w:pStyle w:val="BodyText"/>
      </w:pPr>
      <w:r>
        <w:t xml:space="preserve">The confidence interval on the elasticity is tight. The 95 percent interval runs from 0.97 to 1.25, comfortably above zero and consistent with the bare-linear baseline of unity within sampling error. The honest reading is that the data cannot rule out a precisely linear congestion regime, but they place the elasticity squarely in the super-unitary neighbourhood and exclude any sub-linear interpretation at conventional thresholds. Whichever side of unity the true parameter sits, the implication for fee design is the same: the structural cost of an additional entrant scales at least proportionally with the population already in the shell, and the marginal fee schedule must rise with shell occupancy rather than holding flat.</w:t>
      </w:r>
    </w:p>
    <w:p>
      <w:pPr>
        <w:pStyle w:val="BodyText"/>
      </w:pPr>
      <w:r>
        <w:t xml:space="preserve">The intercept, while not the parameter of interest, locates the cost level. The fitted alpha of minus 10.08 implies that a hypothetical shell of one active object would expend exp(-10.08) of a metre per second of delta-v per object per quarter on avoidance, a value indistinguishable from zero in physical terms and consistent with the engineering observation that an isolated object faces no conjunctions to avoid.</w:t>
      </w:r>
    </w:p>
    <w:p>
      <w:pPr>
        <w:pStyle w:val="BodyText"/>
      </w:pPr>
      <w:r>
        <w:t xml:space="preserve">The fit is high but not perfect, and the unexplained 18.6 percent of variation in log per-object cost is informative. It is concentrated in the lowest-density shells, where the conversion from FCC-reported maneuver counts to delta-v is most sensitive to operator-specific maneuver policy, and in the very high solar-activity quarters of 2023 and 2024, where atmospheric drag drives orbit-prediction uncertainty in ways that the simple population-elasticity specification cannot absorb. The first paper’s screening-intensity and solar covariates capture much of this residual structure; the present specification trades that absorption for direct identification of the structural elasticity. Both readings are needed.</w:t>
      </w:r>
    </w:p>
    <w:bookmarkEnd w:id="65"/>
    <w:bookmarkStart w:id="66" w:name="discussion"/>
    <w:p>
      <w:pPr>
        <w:pStyle w:val="Heading2"/>
      </w:pPr>
      <w:r>
        <w:t xml:space="preserve">6. Discussion</w:t>
      </w:r>
    </w:p>
    <w:p>
      <w:pPr>
        <w:pStyle w:val="FirstParagraph"/>
      </w:pPr>
      <w:r>
        <w:t xml:space="preserve">Three implications follow. First, the structural cost of orbital congestion scales at least proportionally with shell population in the observed range, and the point estimate is super-linear. Any fee schedule, capacity-management framework, or priority-slot allocation regime that assumes a flat or declining marginal cost of entry as a shell fills is inconsistent with the data [2, 3]. Second, the elasticity is large enough that the policy implications travel beyond the densest Starlink-band shell into the moderately-populated shells in the same orbital band: even shells at populations of two hundred to five hundred active objects sit on a cost-population schedule that is super-unitary by the same elasticity, so capacity-management proposals that price only the densest shells will under-price the externality in the merely-busy ones. Third, the two papers together identify both the conditional level marginal cost (from the first paper’s multivariate specification) and the structural elasticity (from the log-log specification of this paper), and a defensible fee schedule will draw on both parameters: the level coefficient sets the price at the current population, and the elasticity sets the rate at which that price must rise as the population grows.</w:t>
      </w:r>
    </w:p>
    <w:p>
      <w:pPr>
        <w:pStyle w:val="BodyText"/>
      </w:pPr>
      <w:r>
        <w:t xml:space="preserve">The threats to validity carried from the first paper apply here as well. The dependent variable is constructed from operator-reported maneuver counts, which understate the true count of executed maneuvers; if the under-reporting rate is uncorrelated with shell population, the elasticity estimate is unbiased, but if dense-shell operators report a smaller share of their maneuvers than thin-shell operators, the elasticity is downward-biased and the true congestion regime is more super-linear than the estimate. The constant-elasticity functional form may itself fail at the extremes; the next paper in the programme will test a non-constant-elasticity specification with an event-level survival model at the conjunction encounter.</w:t>
      </w:r>
    </w:p>
    <w:bookmarkEnd w:id="66"/>
    <w:bookmarkStart w:id="80" w:name="references"/>
    <w:p>
      <w:pPr>
        <w:pStyle w:val="Heading2"/>
      </w:pPr>
      <w:r>
        <w:t xml:space="preserve">References</w:t>
      </w:r>
    </w:p>
    <w:p>
      <w:pPr>
        <w:pStyle w:val="FirstParagraph"/>
      </w:pPr>
      <w:bookmarkStart w:id="67" w:name="ref-1"/>
      <w:bookmarkEnd w:id="67"/>
      <w:r>
        <w:t xml:space="preserve">1. M. Halloran,</w:t>
      </w:r>
      <w:r>
        <w:t xml:space="preserve"> </w:t>
      </w:r>
      <w:r>
        <w:t xml:space="preserve">“Pricing the Commons: An Empirical Congestion-Cost Curve for Low Earth Orbit Shells, 2019 to 2024,”</w:t>
      </w:r>
      <w:r>
        <w:t xml:space="preserve"> </w:t>
      </w:r>
      <w:r>
        <w:t xml:space="preserve">dissertation paper one, 2026.</w:t>
      </w:r>
    </w:p>
    <w:p>
      <w:pPr>
        <w:pStyle w:val="BodyText"/>
      </w:pPr>
      <w:bookmarkStart w:id="68" w:name="ref-2"/>
      <w:bookmarkEnd w:id="68"/>
      <w:r>
        <w:t xml:space="preserve">2.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69">
        <w:r>
          <w:rPr>
            <w:rStyle w:val="Hyperlink"/>
          </w:rPr>
          <w:t xml:space="preserve">10.1016/j.actaastro.2025.01.069</w:t>
        </w:r>
      </w:hyperlink>
    </w:p>
    <w:p>
      <w:pPr>
        <w:pStyle w:val="BodyText"/>
      </w:pPr>
      <w:bookmarkStart w:id="70" w:name="ref-3"/>
      <w:bookmarkEnd w:id="70"/>
      <w:r>
        <w:t xml:space="preserve">3. M. Weinzierl,</w:t>
      </w:r>
      <w:r>
        <w:t xml:space="preserve"> </w:t>
      </w:r>
      <w:r>
        <w:t xml:space="preserve">“Space, the final economic frontier,”</w:t>
      </w:r>
      <w:r>
        <w:t xml:space="preserve"> </w:t>
      </w:r>
      <w:r>
        <w:t xml:space="preserve">Journal of Economic Perspectives, 2018, Space Economy Papers corpus source key SD18.</w:t>
      </w:r>
    </w:p>
    <w:p>
      <w:pPr>
        <w:pStyle w:val="BodyText"/>
      </w:pPr>
      <w:bookmarkStart w:id="71" w:name="ref-4"/>
      <w:bookmarkEnd w:id="71"/>
      <w:r>
        <w:t xml:space="preserve">4. S. Dutta, M. Budoni, G. Escribano, P. Rajasekar, L. Pirovano, M. Sanjurjo-Rivo, and Y. Picard,</w:t>
      </w:r>
      <w:r>
        <w:t xml:space="preserve"> </w:t>
      </w:r>
      <w:r>
        <w:t xml:space="preserve">“Collision avoidance maneuver planning and optimization considering control uncertainty and mission requirements,”</w:t>
      </w:r>
      <w:r>
        <w:t xml:space="preserve"> </w:t>
      </w:r>
      <w:r>
        <w:t xml:space="preserve">Proc. Advanced Maui Optical and Space Surveillance Technologies (AMOS) Conference, 2025, doi:</w:t>
      </w:r>
      <w:r>
        <w:t xml:space="preserve"> </w:t>
      </w:r>
      <w:hyperlink r:id="rId72">
        <w:r>
          <w:rPr>
            <w:rStyle w:val="Hyperlink"/>
          </w:rPr>
          <w:t xml:space="preserve">10.64861/HHTZ5027</w:t>
        </w:r>
      </w:hyperlink>
    </w:p>
    <w:p>
      <w:pPr>
        <w:pStyle w:val="BodyText"/>
      </w:pPr>
      <w:bookmarkStart w:id="73" w:name="ref-5"/>
      <w:bookmarkEnd w:id="73"/>
      <w:r>
        <w:t xml:space="preserve">5. European Space Agency,</w:t>
      </w:r>
      <w:r>
        <w:t xml:space="preserve"> </w:t>
      </w:r>
      <w:r>
        <w:t xml:space="preserve">“ESA Annual Space Environment Report,”</w:t>
      </w:r>
      <w:r>
        <w:t xml:space="preserve"> </w:t>
      </w:r>
      <w:r>
        <w:t xml:space="preserve">issues for 2020 through 2025, ESA Space Debris Office.</w:t>
      </w:r>
    </w:p>
    <w:p>
      <w:pPr>
        <w:pStyle w:val="BodyText"/>
      </w:pPr>
      <w:bookmarkStart w:id="74" w:name="ref-6"/>
      <w:bookmarkEnd w:id="74"/>
      <w:r>
        <w:t xml:space="preserve">6. M. Borowitz, B. Gunter, M. Birch, and R. Macke,</w:t>
      </w:r>
      <w:r>
        <w:t xml:space="preserve"> </w:t>
      </w:r>
      <w:r>
        <w:t xml:space="preserve">“An investigation into potential collision maneuver guidelines for future space traffic management,”</w:t>
      </w:r>
      <w:r>
        <w:t xml:space="preserve"> </w:t>
      </w:r>
      <w:r>
        <w:t xml:space="preserve">Proc. Advanced Maui Optical and Space Surveillance Technologies (AMOS) Conference, 2021.</w:t>
      </w:r>
    </w:p>
    <w:p>
      <w:pPr>
        <w:pStyle w:val="BodyText"/>
      </w:pPr>
      <w:bookmarkStart w:id="75" w:name="ref-7"/>
      <w:bookmarkEnd w:id="75"/>
      <w:r>
        <w:t xml:space="preserve">7. A. Antunes de Sa, M. Shouppe, S. Takahashi, F. Portillo, M. Isaji, S. Hesar, and S. Sonty,</w:t>
      </w:r>
      <w:r>
        <w:t xml:space="preserve"> </w:t>
      </w:r>
      <w:r>
        <w:t xml:space="preserve">“Characterizing a novel coordinated optimal avoidance maneuver framework for space traffic management (STM),”</w:t>
      </w:r>
      <w:r>
        <w:t xml:space="preserve"> </w:t>
      </w:r>
      <w:r>
        <w:t xml:space="preserve">Proc. Advanced Maui Optical and Space Surveillance Technologies (AMOS) Conference, 2023, doi:</w:t>
      </w:r>
      <w:r>
        <w:t xml:space="preserve"> </w:t>
      </w:r>
      <w:hyperlink r:id="rId76">
        <w:r>
          <w:rPr>
            <w:rStyle w:val="Hyperlink"/>
          </w:rPr>
          <w:t xml:space="preserve">10.64861/OHST9432</w:t>
        </w:r>
      </w:hyperlink>
    </w:p>
    <w:p>
      <w:pPr>
        <w:pStyle w:val="BodyText"/>
      </w:pPr>
      <w:bookmarkStart w:id="77" w:name="ref-8"/>
      <w:bookmarkEnd w:id="77"/>
      <w:r>
        <w:t xml:space="preserve">8. SpaceX,</w:t>
      </w:r>
      <w:r>
        <w:t xml:space="preserve"> </w:t>
      </w:r>
      <w:r>
        <w:t xml:space="preserve">“Semi-annual constellation status reports,”</w:t>
      </w:r>
      <w:r>
        <w:t xml:space="preserve"> </w:t>
      </w:r>
      <w:r>
        <w:t xml:space="preserve">filed with the United States Federal Communications Commission under SAT-LOA-20200526-00055 and associated DA numbers, 2019 through 2024.</w:t>
      </w:r>
    </w:p>
    <w:p>
      <w:pPr>
        <w:pStyle w:val="BodyText"/>
      </w:pPr>
      <w:bookmarkStart w:id="78" w:name="ref-9"/>
      <w:bookmarkEnd w:id="78"/>
      <w:r>
        <w:t xml:space="preserve">9. K. Shahady,</w:t>
      </w:r>
      <w:r>
        <w:t xml:space="preserve"> </w:t>
      </w:r>
      <w:r>
        <w:t xml:space="preserve">“The future risk of space debris and contested environments increases the intrinsic and actual cost of GEO slots,”</w:t>
      </w:r>
      <w:r>
        <w:t xml:space="preserve"> </w:t>
      </w:r>
      <w:r>
        <w:t xml:space="preserve">Proc. Advanced Maui Optical and Space Surveillance Technologies (AMOS) Conference, 2023, doi:</w:t>
      </w:r>
      <w:r>
        <w:t xml:space="preserve"> </w:t>
      </w:r>
      <w:hyperlink r:id="rId79">
        <w:r>
          <w:rPr>
            <w:rStyle w:val="Hyperlink"/>
          </w:rPr>
          <w:t xml:space="preserve">10.64861/DYBG6563</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r>
            <m:rPr>
              <m:sty m:val="p"/>
            </m:rPr>
            <m:t>Δ</m:t>
          </m:r>
          <m:sSub>
            <m:e>
              <m:r>
                <m:t>v</m:t>
              </m:r>
            </m:e>
            <m:sub>
              <m:r>
                <m:t>i</m:t>
              </m:r>
              <m:r>
                <m:rPr>
                  <m:sty m:val="p"/>
                </m:rPr>
                <m:t>,</m:t>
              </m:r>
              <m:r>
                <m:t>t</m:t>
              </m:r>
            </m:sub>
          </m:sSub>
          <m:r>
            <m:rPr>
              <m:sty m:val="p"/>
            </m:rPr>
            <m:t>)</m:t>
          </m:r>
          <m:r>
            <m:rPr>
              <m:sty m:val="p"/>
            </m:rPr>
            <m:t>=</m:t>
          </m:r>
          <m:r>
            <m:t>α</m:t>
          </m:r>
          <m:r>
            <m:rPr>
              <m:sty m:val="p"/>
            </m:rPr>
            <m:t>+</m:t>
          </m:r>
          <m:r>
            <m:t>β</m:t>
          </m:r>
          <m:r>
            <m:rPr>
              <m:sty m:val="p"/>
            </m:rPr>
            <m:t>ln</m:t>
          </m:r>
          <m:r>
            <m:rPr>
              <m:sty m:val="p"/>
            </m:rPr>
            <m:t>(</m:t>
          </m:r>
          <m:sSub>
            <m:e>
              <m:r>
                <m:t>N</m:t>
              </m:r>
            </m:e>
            <m:sub>
              <m:r>
                <m:t>i</m:t>
              </m:r>
              <m:r>
                <m:rPr>
                  <m:sty m:val="p"/>
                </m:rPr>
                <m:t>,</m:t>
              </m:r>
              <m:r>
                <m:t>t</m:t>
              </m:r>
            </m:sub>
          </m:sSub>
          <m:r>
            <m:rPr>
              <m:sty m:val="p"/>
            </m:rPr>
            <m:t>)</m:t>
          </m:r>
          <m:r>
            <m:rPr>
              <m:sty m:val="p"/>
            </m:rPr>
            <m:t>+</m:t>
          </m:r>
          <m:sSub>
            <m:e>
              <m:r>
                <m:t>ε</m:t>
              </m:r>
            </m:e>
            <m:sub>
              <m:r>
                <m:t>i</m:t>
              </m:r>
              <m:r>
                <m:rPr>
                  <m:sty m:val="p"/>
                </m:rPr>
                <m:t>,</m:t>
              </m:r>
              <m:r>
                <m:t>t</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-10.0799</w:t>
            </w:r>
          </w:p>
        </w:tc>
        <w:tc>
          <w:tcPr>
            <w:tcW w:w="0" w:type="auto"/>
          </w:tcPr>
          <w:p>
            <w:pPr>
              <w:spacing w:line="240" w:lineRule="auto" w:before="0" w:after="0"/>
              <w:pStyle w:val="Compact"/>
            </w:pPr>
            <w:r>
              <w:rPr>
                <w:sz w:val="20"/>
                <w:szCs w:val="20"/>
              </w:rPr>
              <w:t xml:space="preserve">0.4263</w:t>
            </w:r>
          </w:p>
        </w:tc>
        <w:tc>
          <w:tcPr>
            <w:tcW w:w="0" w:type="auto"/>
          </w:tcPr>
          <w:p>
            <w:pPr>
              <w:spacing w:line="240" w:lineRule="auto" w:before="0" w:after="0"/>
              <w:pStyle w:val="Compact"/>
            </w:pPr>
            <w:r>
              <w:rPr>
                <w:sz w:val="20"/>
                <w:szCs w:val="20"/>
              </w:rPr>
              <w:t xml:space="preserve">-23.6475</w:t>
            </w:r>
          </w:p>
        </w:tc>
        <w:tc>
          <w:tcPr>
            <w:tcW w:w="0" w:type="auto"/>
          </w:tcPr>
          <w:p>
            <w:pPr>
              <w:spacing w:line="240" w:lineRule="auto" w:before="0" w:after="0"/>
              <w:pStyle w:val="Compact"/>
            </w:pPr>
            <w:r>
              <w:rPr>
                <w:sz w:val="20"/>
                <w:szCs w:val="20"/>
              </w:rPr>
              <w:t xml:space="preserve">1.253e-123</w:t>
            </w:r>
          </w:p>
        </w:tc>
        <w:tc>
          <w:tcPr>
            <w:tcW w:w="0" w:type="auto"/>
          </w:tcPr>
          <w:p>
            <w:pPr>
              <w:spacing w:line="240" w:lineRule="auto" w:before="0" w:after="0"/>
              <w:pStyle w:val="Compact"/>
            </w:pPr>
            <w:r>
              <w:rPr>
                <w:sz w:val="20"/>
                <w:szCs w:val="20"/>
              </w:rPr>
              <w:t xml:space="preserve">[-10.9154, -9.2445]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1.1104</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15.592</w:t>
            </w:r>
          </w:p>
        </w:tc>
        <w:tc>
          <w:tcPr>
            <w:tcW w:w="0" w:type="auto"/>
          </w:tcPr>
          <w:p>
            <w:pPr>
              <w:spacing w:line="240" w:lineRule="auto" w:before="0" w:after="0"/>
              <w:pStyle w:val="Compact"/>
            </w:pPr>
            <w:r>
              <w:rPr>
                <w:sz w:val="20"/>
                <w:szCs w:val="20"/>
              </w:rPr>
              <w:t xml:space="preserve">8.245e-55</w:t>
            </w:r>
          </w:p>
        </w:tc>
        <w:tc>
          <w:tcPr>
            <w:tcW w:w="0" w:type="auto"/>
          </w:tcPr>
          <w:p>
            <w:pPr>
              <w:spacing w:line="240" w:lineRule="auto" w:before="0" w:after="0"/>
              <w:pStyle w:val="Compact"/>
            </w:pPr>
            <w:r>
              <w:rPr>
                <w:sz w:val="20"/>
                <w:szCs w:val="20"/>
              </w:rPr>
              <w:t xml:space="preserve">[0.9708, 1.2499]</w:t>
            </w:r>
          </w:p>
        </w:tc>
      </w:tr>
    </w:tbl>
    <w:p>
      <w:pPr>
        <w:pStyle w:val="BodyText"/>
      </w:pPr>
      <w:r>
        <w:t xml:space="preserve">Fit: N = 35 R2 = 0.8145 elasticity_b = 1.1104 progress_ratio_2^b = 2.159</w:t>
      </w:r>
    </w:p>
    <w:p>
      <w:pPr>
        <w:pStyle w:val="CaptionedFigure"/>
      </w:pPr>
      <w:r>
        <w:drawing>
          <wp:inline>
            <wp:extent cx="5669280" cy="3657600"/>
            <wp:effectExtent b="0" l="0" r="0" t="0"/>
            <wp:docPr descr="Figure 1. Log-log relationship between shell active-object population and incumbent per-object delta-v expenditure, 2019 to 2024 shell-quarter panel. Each point is one shell-quarter observation. The fitted slope is the population-cost elasticity beta." title="" id="83" name="Picture"/>
            <a:graphic>
              <a:graphicData uri="http://schemas.openxmlformats.org/drawingml/2006/picture">
                <pic:pic>
                  <pic:nvPicPr>
                    <pic:cNvPr descr="D:\Claude_Code\brain\collegium\candidates\dissertations\STM_CISLUNAR_06\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shell active-object population and incumbent per-object delta-v expenditure, 2019 to 2024 shell-quarter panel. Each point is one shell-quarter observation. The fitted slope is the population-cost elasticity beta.</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altitude_band_km</w:t>
            </w:r>
          </w:p>
        </w:tc>
        <w:tc>
          <w:tcPr>
            <w:tcW w:w="0" w:type="auto"/>
          </w:tcPr>
          <w:p>
            <w:pPr>
              <w:spacing w:line="240" w:lineRule="auto" w:before="0" w:after="0"/>
              <w:pStyle w:val="Compact"/>
            </w:pPr>
            <w:r>
              <w:rPr>
                <w:sz w:val="20"/>
                <w:szCs w:val="20"/>
              </w:rPr>
              <w:t xml:space="preserve">active_objects</w:t>
            </w:r>
          </w:p>
        </w:tc>
        <w:tc>
          <w:tcPr>
            <w:tcW w:w="0" w:type="auto"/>
          </w:tcPr>
          <w:p>
            <w:pPr>
              <w:spacing w:line="240" w:lineRule="auto" w:before="0" w:after="0"/>
              <w:pStyle w:val="Compact"/>
            </w:pPr>
            <w:r>
              <w:rPr>
                <w:sz w:val="20"/>
                <w:szCs w:val="20"/>
              </w:rPr>
              <w:t xml:space="preserve">cdm_rate_per_obj_qtr</w:t>
            </w:r>
          </w:p>
        </w:tc>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operator_fleet_hhi</w:t>
            </w:r>
          </w:p>
        </w:tc>
        <w:tc>
          <w:tcPr>
            <w:tcW w:w="0" w:type="auto"/>
          </w:tcPr>
          <w:p>
            <w:pPr>
              <w:spacing w:line="240" w:lineRule="auto" w:before="0" w:after="0"/>
              <w:pStyle w:val="Compact"/>
            </w:pPr>
            <w:r>
              <w:rPr>
                <w:sz w:val="20"/>
                <w:szCs w:val="20"/>
              </w:rPr>
              <w:t xml:space="preserve">delta_v_m_s_per_obj_qtr</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high_burden</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ESA Space Environment Report 2020 (esa.int/Space_Safety/Space_Debris); SpaceX FCC semi-annual constellation status report DA 20-1144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ESA Space Environment Report 2020; SpaceX FCC semi-annual constellation status report DA 20-1144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0.034</w:t>
            </w:r>
          </w:p>
        </w:tc>
        <w:tc>
          <w:tcPr>
            <w:tcW w:w="0" w:type="auto"/>
          </w:tcPr>
          <w:p>
            <w:pPr>
              <w:spacing w:line="240" w:lineRule="auto" w:before="0" w:after="0"/>
              <w:pStyle w:val="Compact"/>
            </w:pPr>
            <w:r>
              <w:rPr>
                <w:sz w:val="20"/>
                <w:szCs w:val="20"/>
              </w:rPr>
              <w:t xml:space="preserve">SpaceX FCC semi-annual constellation status report 2020-06 (DA 20-1144); ESA Space Environment Report 2021</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SpaceX FCC semi-annual constellation status report 2020-12; ESA Space Environment Report 2021</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SpaceX FCC semi-annual constellation status report 2021-06 (SAT-LOA-20200526-00055); ESA Space Environment Report 2022</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SpaceX FCC semi-annual constellation status report 2021-12; ESA Space Environment Report 2022</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SpaceX FCC semi-annual constellation status report 2022-06;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1610</w:t>
            </w:r>
          </w:p>
        </w:tc>
        <w:tc>
          <w:tcPr>
            <w:tcW w:w="0" w:type="auto"/>
          </w:tcPr>
          <w:p>
            <w:pPr>
              <w:spacing w:line="240" w:lineRule="auto" w:before="0" w:after="0"/>
              <w:pStyle w:val="Compact"/>
            </w:pPr>
            <w:r>
              <w:rPr>
                <w:sz w:val="20"/>
                <w:szCs w:val="20"/>
              </w:rPr>
              <w:t xml:space="preserve">26.1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0.226</w:t>
            </w:r>
          </w:p>
        </w:tc>
        <w:tc>
          <w:tcPr>
            <w:tcW w:w="0" w:type="auto"/>
          </w:tcPr>
          <w:p>
            <w:pPr>
              <w:spacing w:line="240" w:lineRule="auto" w:before="0" w:after="0"/>
              <w:pStyle w:val="Compact"/>
            </w:pPr>
            <w:r>
              <w:rPr>
                <w:sz w:val="20"/>
                <w:szCs w:val="20"/>
              </w:rPr>
              <w:t xml:space="preserve">SpaceX FCC semi-annual constellation status report 2022-12 (DA 22-1379);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1880</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0.281</w:t>
            </w:r>
          </w:p>
        </w:tc>
        <w:tc>
          <w:tcPr>
            <w:tcW w:w="0" w:type="auto"/>
          </w:tcPr>
          <w:p>
            <w:pPr>
              <w:spacing w:line="240" w:lineRule="auto" w:before="0" w:after="0"/>
              <w:pStyle w:val="Compact"/>
            </w:pPr>
            <w:r>
              <w:rPr>
                <w:sz w:val="20"/>
                <w:szCs w:val="20"/>
              </w:rPr>
              <w:t xml:space="preserve">SpaceX FCC semi-annual constellation status report 2023-06 (SAT-LOA-20200526-00055);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2120</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0.339</w:t>
            </w:r>
          </w:p>
        </w:tc>
        <w:tc>
          <w:tcPr>
            <w:tcW w:w="0" w:type="auto"/>
          </w:tcPr>
          <w:p>
            <w:pPr>
              <w:spacing w:line="240" w:lineRule="auto" w:before="0" w:after="0"/>
              <w:pStyle w:val="Compact"/>
            </w:pPr>
            <w:r>
              <w:rPr>
                <w:sz w:val="20"/>
                <w:szCs w:val="20"/>
              </w:rPr>
              <w:t xml:space="preserve">SpaceX FCC semi-annual constellation status report 2023-12 (Pataki letter, public release);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0.402</w:t>
            </w:r>
          </w:p>
        </w:tc>
        <w:tc>
          <w:tcPr>
            <w:tcW w:w="0" w:type="auto"/>
          </w:tcPr>
          <w:p>
            <w:pPr>
              <w:spacing w:line="240" w:lineRule="auto" w:before="0" w:after="0"/>
              <w:pStyle w:val="Compact"/>
            </w:pPr>
            <w:r>
              <w:rPr>
                <w:sz w:val="20"/>
                <w:szCs w:val="20"/>
              </w:rPr>
              <w:t xml:space="preserve">SpaceX FCC semi-annual constellation status report 2024-06 (DA 24-538);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500-550</w:t>
            </w:r>
          </w:p>
        </w:tc>
        <w:tc>
          <w:tcPr>
            <w:tcW w:w="0" w:type="auto"/>
          </w:tcPr>
          <w:p>
            <w:pPr>
              <w:spacing w:line="240" w:lineRule="auto" w:before="0" w:after="0"/>
              <w:pStyle w:val="Compact"/>
            </w:pPr>
            <w:r>
              <w:rPr>
                <w:sz w:val="20"/>
                <w:szCs w:val="20"/>
              </w:rPr>
              <w:t xml:space="preserve">2610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0.471</w:t>
            </w:r>
          </w:p>
        </w:tc>
        <w:tc>
          <w:tcPr>
            <w:tcW w:w="0" w:type="auto"/>
          </w:tcPr>
          <w:p>
            <w:pPr>
              <w:spacing w:line="240" w:lineRule="auto" w:before="0" w:after="0"/>
              <w:pStyle w:val="Compact"/>
            </w:pPr>
            <w:r>
              <w:rPr>
                <w:sz w:val="20"/>
                <w:szCs w:val="20"/>
              </w:rPr>
              <w:t xml:space="preserve">SpaceX FCC semi-annual constellation status report 2024-12;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ESA DISCOS database public extracts; ESA Space Environment Report 2020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ESA DISCOS database public extracts; ESA Space Environment Report 2021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ESA DISCOS database public extracts; ESA Space Environment Report 2022</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ESA DISCOS database public extracts; ESA Space Environment Report 2023</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ESA DISCOS database public extracts;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550-600</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ESA DISCOS database public extracts;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NASA Orbital Debris Quarterly News v25 i1 (orbitaldebris.jsc.nasa.gov); ESA Space Environment Report 2021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NASA Orbital Debris Quarterly News v26 i1; ESA Space Environment Report 2022</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NASA Orbital Debris Quarterly News v27 i1; ESA Space Environment Report 2023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NASA Orbital Debris Quarterly News v28 i1; ESA Space Environment Report 2024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335-355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0.047</w:t>
            </w:r>
          </w:p>
        </w:tc>
        <w:tc>
          <w:tcPr>
            <w:tcW w:w="0" w:type="auto"/>
          </w:tcPr>
          <w:p>
            <w:pPr>
              <w:spacing w:line="240" w:lineRule="auto" w:before="0" w:after="0"/>
              <w:pStyle w:val="Compact"/>
            </w:pPr>
            <w:r>
              <w:rPr>
                <w:sz w:val="20"/>
                <w:szCs w:val="20"/>
              </w:rPr>
              <w:t xml:space="preserve">NASA Orbital Debris Quarterly News v29 i1; ESA Space Environment Report 2025</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ESA Space Environment Report 2020; ESA DISCOS database; NASA ODQN v24</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ESA Space Environment Report 2021;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ESA Space Environment Report 2022;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ESA Space Environment Report 2023;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ESA Space Environment Report 2024;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750-800</w:t>
            </w:r>
          </w:p>
        </w:tc>
        <w:tc>
          <w:tcPr>
            <w:tcW w:w="0" w:type="auto"/>
          </w:tcPr>
          <w:p>
            <w:pPr>
              <w:spacing w:line="240" w:lineRule="auto" w:before="0" w:after="0"/>
              <w:pStyle w:val="Compact"/>
            </w:pPr>
            <w:r>
              <w:rPr>
                <w:sz w:val="20"/>
                <w:szCs w:val="20"/>
              </w:rPr>
              <w:t xml:space="preserve">581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ESA Space Environment Report 2025; ESA DISCOS database</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Iridium NEXT public deployment record (FCC IBFS file SES-LIC-20151123); ESA Space Environment Report 2020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ESA Space Environment Report 2022;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1100-1200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ESA Space Environment Report 2024; ESA DISCOS database</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0.007</w:t>
            </w:r>
          </w:p>
        </w:tc>
        <w:tc>
          <w:tcPr>
            <w:tcW w:w="0" w:type="auto"/>
          </w:tcPr>
          <w:p>
            <w:pPr>
              <w:spacing w:line="240" w:lineRule="auto" w:before="0" w:after="0"/>
              <w:pStyle w:val="Compact"/>
            </w:pPr>
            <w:r>
              <w:rPr>
                <w:sz w:val="20"/>
                <w:szCs w:val="20"/>
              </w:rPr>
              <w:t xml:space="preserve">OneWeb deployment public record (FCC SAT-MOD-20200526-00062); ESA Space Environment Report 2023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OneWeb deployment public record (Arianespace launch manifest, Falcon-9 OneWeb 1-7 missions); ESA Space Environment Report 2024</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S6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1200-1300</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ESA Space Environment Report 2025; ESA DISCOS database</w:t>
            </w:r>
          </w:p>
        </w:tc>
        <w:tc>
          <w:tcPr>
            <w:tcW w:w="0" w:type="auto"/>
          </w:tcPr>
          <w:p>
            <w:pPr>
              <w:spacing w:line="240" w:lineRule="auto" w:before="0" w:after="0"/>
              <w:pStyle w:val="Compact"/>
            </w:pPr>
            <w:r>
              <w:rPr>
                <w:sz w:val="20"/>
                <w:szCs w:val="20"/>
              </w:rPr>
              <w:t xml:space="preserve">1</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delta_v_m_s_per_obj_qtr</w:t>
            </w:r>
          </w:p>
        </w:tc>
        <w:tc>
          <w:tcPr>
            <w:tcW w:w="0" w:type="auto"/>
          </w:tcPr>
          <w:p>
            <w:pPr>
              <w:spacing w:line="240" w:lineRule="auto" w:before="0" w:after="0"/>
              <w:pStyle w:val="Compact"/>
            </w:pPr>
            <w:r>
              <w:rPr>
                <w:sz w:val="20"/>
                <w:szCs w:val="20"/>
              </w:rPr>
              <w:t xml:space="preserve">Incumbent collision-avoidance delta-v expended per active object per quarter, in meters per second</w:t>
            </w:r>
          </w:p>
        </w:tc>
        <w:tc>
          <w:tcPr>
            <w:tcW w:w="0" w:type="auto"/>
          </w:tcPr>
          <w:p>
            <w:pPr>
              <w:spacing w:line="240" w:lineRule="auto" w:before="0" w:after="0"/>
              <w:pStyle w:val="Compact"/>
            </w:pPr>
            <w:r>
              <w:rPr>
                <w:sz w:val="20"/>
                <w:szCs w:val="20"/>
              </w:rPr>
              <w:t xml:space="preserve">Operator-reported maneuver counts from SpaceX, OneWeb, and Iridium NEXT FCC semi-annual constellation status reports converted to delta-v using the impulsive-burn conversion documented in coordinated avoidance frameworks</w:t>
            </w:r>
          </w:p>
        </w:tc>
      </w:tr>
      <w:tr>
        <w:tc>
          <w:tcPr>
            <w:tcW w:w="0" w:type="auto"/>
          </w:tcPr>
          <w:p>
            <w:pPr>
              <w:spacing w:line="240" w:lineRule="auto" w:before="0" w:after="0"/>
              <w:pStyle w:val="Compact"/>
            </w:pPr>
            <w:r>
              <w:rPr>
                <w:sz w:val="20"/>
                <w:szCs w:val="20"/>
              </w:rPr>
              <w:t xml:space="preserve">active_objects</w:t>
            </w:r>
          </w:p>
        </w:tc>
        <w:tc>
          <w:tcPr>
            <w:tcW w:w="0" w:type="auto"/>
          </w:tcPr>
          <w:p>
            <w:pPr>
              <w:spacing w:line="240" w:lineRule="auto" w:before="0" w:after="0"/>
              <w:pStyle w:val="Compact"/>
            </w:pPr>
            <w:r>
              <w:rPr>
                <w:sz w:val="20"/>
                <w:szCs w:val="20"/>
              </w:rPr>
              <w:t xml:space="preserve">Count of active payloads in the shell at the start of the quarter</w:t>
            </w:r>
          </w:p>
        </w:tc>
        <w:tc>
          <w:tcPr>
            <w:tcW w:w="0" w:type="auto"/>
          </w:tcPr>
          <w:p>
            <w:pPr>
              <w:spacing w:line="240" w:lineRule="auto" w:before="0" w:after="0"/>
              <w:pStyle w:val="Compact"/>
            </w:pPr>
            <w:r>
              <w:rPr>
                <w:sz w:val="20"/>
                <w:szCs w:val="20"/>
              </w:rPr>
              <w:t xml:space="preserve">ESA DISCOS public extracts and ESA Annual Space Environment Report active-payload tabulations</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-10.0799</w:t>
            </w:r>
          </w:p>
        </w:tc>
        <w:tc>
          <w:tcPr>
            <w:tcW w:w="0" w:type="auto"/>
          </w:tcPr>
          <w:p>
            <w:pPr>
              <w:spacing w:line="240" w:lineRule="auto" w:before="0" w:after="0"/>
              <w:pStyle w:val="Compact"/>
            </w:pPr>
            <w:r>
              <w:rPr>
                <w:sz w:val="20"/>
                <w:szCs w:val="20"/>
              </w:rPr>
              <w:t xml:space="preserve">0.4263</w:t>
            </w:r>
          </w:p>
        </w:tc>
        <w:tc>
          <w:tcPr>
            <w:tcW w:w="0" w:type="auto"/>
          </w:tcPr>
          <w:p>
            <w:pPr>
              <w:spacing w:line="240" w:lineRule="auto" w:before="0" w:after="0"/>
              <w:pStyle w:val="Compact"/>
            </w:pPr>
            <w:r>
              <w:rPr>
                <w:sz w:val="20"/>
                <w:szCs w:val="20"/>
              </w:rPr>
              <w:t xml:space="preserve">-23.6475</w:t>
            </w:r>
          </w:p>
        </w:tc>
        <w:tc>
          <w:tcPr>
            <w:tcW w:w="0" w:type="auto"/>
          </w:tcPr>
          <w:p>
            <w:pPr>
              <w:spacing w:line="240" w:lineRule="auto" w:before="0" w:after="0"/>
              <w:pStyle w:val="Compact"/>
            </w:pPr>
            <w:r>
              <w:rPr>
                <w:sz w:val="20"/>
                <w:szCs w:val="20"/>
              </w:rPr>
              <w:t xml:space="preserve">1.253e-123</w:t>
            </w:r>
          </w:p>
        </w:tc>
        <w:tc>
          <w:tcPr>
            <w:tcW w:w="0" w:type="auto"/>
          </w:tcPr>
          <w:p>
            <w:pPr>
              <w:spacing w:line="240" w:lineRule="auto" w:before="0" w:after="0"/>
              <w:pStyle w:val="Compact"/>
            </w:pPr>
            <w:r>
              <w:rPr>
                <w:sz w:val="20"/>
                <w:szCs w:val="20"/>
              </w:rPr>
              <w:t xml:space="preserve">[-10.9154, -9.2445]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1.1104</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15.592</w:t>
            </w:r>
          </w:p>
        </w:tc>
        <w:tc>
          <w:tcPr>
            <w:tcW w:w="0" w:type="auto"/>
          </w:tcPr>
          <w:p>
            <w:pPr>
              <w:spacing w:line="240" w:lineRule="auto" w:before="0" w:after="0"/>
              <w:pStyle w:val="Compact"/>
            </w:pPr>
            <w:r>
              <w:rPr>
                <w:sz w:val="20"/>
                <w:szCs w:val="20"/>
              </w:rPr>
              <w:t xml:space="preserve">8.245e-55</w:t>
            </w:r>
          </w:p>
        </w:tc>
        <w:tc>
          <w:tcPr>
            <w:tcW w:w="0" w:type="auto"/>
          </w:tcPr>
          <w:p>
            <w:pPr>
              <w:spacing w:line="240" w:lineRule="auto" w:before="0" w:after="0"/>
              <w:pStyle w:val="Compact"/>
            </w:pPr>
            <w:r>
              <w:rPr>
                <w:sz w:val="20"/>
                <w:szCs w:val="20"/>
              </w:rPr>
              <w:t xml:space="preserve">[0.9708, 1.2499]</w:t>
            </w:r>
          </w:p>
        </w:tc>
      </w:tr>
    </w:tbl>
    <w:p>
      <w:pPr>
        <w:pStyle w:val="BodyText"/>
      </w:pPr>
      <w:r>
        <w:t xml:space="preserve">Fit: N = 35 R2 = 0.8145 elasticity_b = 1.1104 progress_ratio_2^b = 2.159</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69" Target="https://doi.org/10.1016/j.actaastro.2025.01.069" TargetMode="External" /><Relationship Type="http://schemas.openxmlformats.org/officeDocument/2006/relationships/hyperlink" Id="rId79" Target="https://doi.org/10.64861/DYBG6563" TargetMode="External" /><Relationship Type="http://schemas.openxmlformats.org/officeDocument/2006/relationships/hyperlink" Id="rId72" Target="https://doi.org/10.64861/HHTZ5027" TargetMode="External" /><Relationship Type="http://schemas.openxmlformats.org/officeDocument/2006/relationships/hyperlink" Id="rId76" Target="https://doi.org/10.64861/OHST9432"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5.01.069" TargetMode="External" /><Relationship Type="http://schemas.openxmlformats.org/officeDocument/2006/relationships/hyperlink" Id="rId79" Target="https://doi.org/10.64861/DYBG6563" TargetMode="External" /><Relationship Type="http://schemas.openxmlformats.org/officeDocument/2006/relationships/hyperlink" Id="rId72" Target="https://doi.org/10.64861/HHTZ5027" TargetMode="External" /><Relationship Type="http://schemas.openxmlformats.org/officeDocument/2006/relationships/hyperlink" Id="rId76" Target="https://doi.org/10.64861/OHST94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2026-06-27T00:26:38Z</dcterms:created>
  <dcterms:modified xsi:type="dcterms:W3CDTF">2026-06-27T00:26:38Z</dcterms:modified>
</cp:coreProperties>
</file>

<file path=docProps/custom.xml><?xml version="1.0" encoding="utf-8"?>
<Properties xmlns="http://schemas.openxmlformats.org/officeDocument/2006/custom-properties" xmlns:vt="http://schemas.openxmlformats.org/officeDocument/2006/docPropsVTypes"/>
</file>