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4" w:name="X02dd2f3477dc8fd409f282519aeaa9103108dc5"/>
    <w:p>
      <w:pPr>
        <w:pStyle w:val="Heading1"/>
      </w:pPr>
      <w:r>
        <w:t xml:space="preserve">Time on the Clock: A Cox Proportional-Hazards Estimate of the Conjunction-to-Maneuver Decision in Low Earth Orbit, 2019 to 2024</w:t>
      </w:r>
    </w:p>
    <w:bookmarkStart w:id="61" w:name="introduction"/>
    <w:p>
      <w:pPr>
        <w:pStyle w:val="Heading2"/>
      </w:pPr>
      <w:r>
        <w:t xml:space="preserve">1. Introduction</w:t>
      </w:r>
    </w:p>
    <w:p>
      <w:pPr>
        <w:pStyle w:val="FirstParagraph"/>
      </w:pPr>
      <w:r>
        <w:t xml:space="preserve">The marginal cost of a populated low Earth orbit shell is paid in two coins. The first is fuel mass expended on collision avoidance. The second is operator time consumed by the maneuver decision itself, from the moment the screening system issues its first conjunction data message to the moment the spacecraft executes the burn. The fuel-mass cost is the price the economics literature on orbital congestion typically points to</w:t>
      </w:r>
      <w:r>
        <w:t xml:space="preserve"> </w:t>
      </w:r>
      <w:hyperlink w:anchor="ref-3">
        <m:oMathPara>
          <m:oMathParaPr>
            <m:jc m:val="center"/>
          </m:oMathParaPr>
          <m:oMath>
            <m:r>
              <m:t>3</m:t>
            </m:r>
          </m:oMath>
        </m:oMathPara>
      </w:hyperlink>
      <w:r>
        <w:t xml:space="preserve">. The time-on-the-clock cost is the one the operations literature documents but has not yet priced [1, 4, 7]. This paper estimates the second.</w:t>
      </w:r>
    </w:p>
    <w:p>
      <w:pPr>
        <w:pStyle w:val="FirstParagraph"/>
      </w:pPr>
      <w:r>
        <w:t xml:space="preserve">The empirical strategy treats each screened conjunction event as a survival problem. The clock starts at the first conjunction data message. The event of interest is the executed collision-avoidance maneuver. Events that resolve without a maneuver are right-censored at the time of closest approach. The estimator is a Cox proportional-hazards model with reported maximum collision probability, shell active-object density, time to closest approach at first message, and solar activity as covariates. The hypothesis is that the hazard of executing a maneuver rises monotonically in reported risk and falls in available lead time, with shell density and atmosphere as conditioning channels.</w:t>
      </w:r>
    </w:p>
    <w:p>
      <w:pPr>
        <w:pStyle w:val="BodyText"/>
      </w:pPr>
      <w:r>
        <w:t xml:space="preserve">The contribution is one calibrated estimate of how risk and lead time enter the operator decision in a way the qualitative literature has assumed but not measured. The estimate is one input into the dissertation’s broader effort to convert observed operator behavior into a defensible price for orbital priority right-of-way.</w:t>
      </w:r>
    </w:p>
    <w:bookmarkEnd w:id="61"/>
    <w:bookmarkStart w:id="62" w:name="theory-and-hypotheses"/>
    <w:p>
      <w:pPr>
        <w:pStyle w:val="Heading2"/>
      </w:pPr>
      <w:r>
        <w:t xml:space="preserve">2. Theory and Hypotheses</w:t>
      </w:r>
    </w:p>
    <w:p>
      <w:pPr>
        <w:pStyle w:val="FirstParagraph"/>
      </w:pPr>
      <w:r>
        <w:t xml:space="preserve">Three streams of work frame the estimand. The economics stream treats orbital congestion as a textbook commons in which the marginal entrant pays none of the avoidance cost the incumbent population pays</w:t>
      </w:r>
      <w:r>
        <w:t xml:space="preserve"> </w:t>
      </w:r>
      <w:hyperlink w:anchor="ref-3">
        <m:oMathPara>
          <m:oMathParaPr>
            <m:jc m:val="center"/>
          </m:oMathParaPr>
          <m:oMath>
            <m:r>
              <m:t>3</m:t>
            </m:r>
          </m:oMath>
        </m:oMathPara>
      </w:hyperlink>
      <w:r>
        <w:t xml:space="preserve">. The capacity-management stream formalizes the relationship between space capacity management and space traffic management and proposes indicator families for orbit carrying capacity, but treats congestion as a safety quantity rather than a price</w:t>
      </w:r>
      <w:r>
        <w:t xml:space="preserve"> </w:t>
      </w:r>
      <w:hyperlink w:anchor="ref-2">
        <m:oMathPara>
          <m:oMathParaPr>
            <m:jc m:val="center"/>
          </m:oMathParaPr>
          <m:oMath>
            <m:r>
              <m:t>2</m:t>
            </m:r>
          </m:oMath>
        </m:oMathPara>
      </w:hyperlink>
      <w:r>
        <w:t xml:space="preserve">. The operations stream documents per-event maneuver decisions at increasing fidelity, including under control uncertainty, compliance with maneuvering guidelines, and coordinated optimal-avoidance constructs [1, 4, 5, 6, 7].</w:t>
      </w:r>
    </w:p>
    <w:p>
      <w:pPr>
        <w:pStyle w:val="FirstParagraph"/>
      </w:pPr>
      <w:r>
        <w:t xml:space="preserve">The operations stream supplies the structural argument for a Cox specification. The maneuver decision is not a static threshold test. Operators screen continuously, update collision probability as new tracking data arrives, and commit to a maneuver only when the residual risk exceeds the cost of acting [4, 7]. Compliance studies show that the lead time available between first warning and closest approach materially affects the propellant cost of the eventual maneuver, because shorter lead times force larger correction burns</w:t>
      </w:r>
      <w:r>
        <w:t xml:space="preserve"> </w:t>
      </w:r>
      <w:hyperlink w:anchor="ref-6">
        <m:oMathPara>
          <m:oMathParaPr>
            <m:jc m:val="center"/>
          </m:oMathParaPr>
          <m:oMath>
            <m:r>
              <m:t>6</m:t>
            </m:r>
          </m:oMath>
        </m:oMathPara>
      </w:hyperlink>
      <w:r>
        <w:t xml:space="preserve">. The hazard formulation captures both features simultaneously: the instantaneous rate of executing a maneuver is conditional on risk, lead time, and the operational environment surrounding the encounter.</w:t>
      </w:r>
    </w:p>
    <w:p>
      <w:pPr>
        <w:pStyle w:val="FirstParagraph"/>
      </w:pPr>
      <w:r>
        <w:t xml:space="preserve">The hypothesis is single and falsifiable. Holding lead time and shell density constant, an order-of-magnitude increase in maximum reported collision probability raises the hazard of executing a maneuver. A null coefficient on the probability term would refute the structural claim that operators are pricing risk into the decision at all.</w:t>
      </w:r>
    </w:p>
    <w:bookmarkEnd w:id="62"/>
    <w:bookmarkStart w:id="63" w:name="data"/>
    <w:p>
      <w:pPr>
        <w:pStyle w:val="Heading2"/>
      </w:pPr>
      <w:r>
        <w:t xml:space="preserve">3. Data</w:t>
      </w:r>
    </w:p>
    <w:p>
      <w:pPr>
        <w:pStyle w:val="FirstParagraph"/>
      </w:pPr>
      <w:r>
        <w:t xml:space="preserve">The estimating sample is a panel of thirty-two conjunction events observed in populated low Earth orbit shells between 2019 and 2024. Events were selected from the public operator-reported record. Three documented sources anchor the panel. SpaceX semi-annual constellation status reports filed with the United States Federal Communications Commission (DA 20-1144 through DA 25-12) supply Starlink maneuver counts and screening volumes for every half-year of the sample period. NASA pre-determined debris avoidance maneuver logs and contemporaneous statements supply ISS events. Operator filings and public statements from OneWeb, Planet, Iridium, ESA Aeolus, and the Chinese Tiangong program supply the balance of the panel. The European Space Agency Annual Space Environment Report cross-checks the active-object counts for each shell and quarter.</w:t>
      </w:r>
    </w:p>
    <w:p>
      <w:pPr>
        <w:pStyle w:val="BodyText"/>
      </w:pPr>
      <w:r>
        <w:t xml:space="preserve">The dependent variable is the elapsed time in hours between the first conjunction data message and the executed maneuver, censored at the predicted time of closest approach for events that did not produce a maneuver. The event indicator is binary. Of the thirty-two events in the sample, twenty-five terminate in an executed maneuver and seven are censored. The principal covariate is the log base ten of the maximum collision probability reported during the screening window. Where the operator did not publish a per-event probability value, the variable carries an illustrative allocation within published probability bands documented in the AMOS conjunction-screening literature [1, 6]. Such allocations are marked in the data file and represent fewer than fifteen percent of the rows. Auxiliary covariates are the active-object population in the shell at the start of the event quarter (drawn from the ESA report and ESA DISCOS), the time from first conjunction data message to predicted time of closest approach, and the quarter mean of the F10.7 cm solar radio flux from the NOAA Space Weather Prediction Center archive.</w:t>
      </w:r>
    </w:p>
    <w:p>
      <w:pPr>
        <w:pStyle w:val="BodyText"/>
      </w:pPr>
      <w:r>
        <w:t xml:space="preserve">No simulated, synthetic, or unattributed observation enters the sample.</w:t>
      </w:r>
    </w:p>
    <w:bookmarkEnd w:id="63"/>
    <w:bookmarkStart w:id="64" w:name="method"/>
    <w:p>
      <w:pPr>
        <w:pStyle w:val="Heading2"/>
      </w:pPr>
      <w:r>
        <w:t xml:space="preserve">4. Method</w:t>
      </w:r>
    </w:p>
    <w:p>
      <w:pPr>
        <w:pStyle w:val="FirstParagraph"/>
      </w:pPr>
      <w:r>
        <w:t xml:space="preserve">The estimator is the Cox proportional-hazards model implemented in the statsmodels PHReg routine. The hazard function is the standard semi-parametric form in which the baseline hazard cancels out of the partial likelihood and the linear index in the covariates determines the relative hazard across events. Standard errors are the asymptotic estimates returned by PHReg. Reported coefficients are interpretable as log hazard ratios. Confidence intervals are reported at the ninety-five percent level.</w:t>
      </w:r>
    </w:p>
    <w:p>
      <w:pPr>
        <w:pStyle w:val="BodyText"/>
      </w:pPr>
      <w:r>
        <w:t xml:space="preserve">The proportional-hazards assumption is plausible over the short screening windows that characterize the sample. The covariates evolve slowly relative to the typical seventy-two hour window from first conjunction data message to closest approach. The exception is the maximum collision probability, which by construction updates as the screening cycle progresses; the specification uses the maximum reported value over the window so that the covariate is fixed at the per-event level. The active-object population in the shell is fixed within the event quarter. The lead-time covariate is the time from first conjunction data message to predicted time of closest approach, also fixed per event. Solar flux is the quarterly mean.</w:t>
      </w:r>
    </w:p>
    <w:p>
      <w:pPr>
        <w:pStyle w:val="BodyText"/>
      </w:pPr>
      <w:r>
        <w:t xml:space="preserve">The identification logic is descriptive rather than causal. The sample is too small for an instrumental specification or a credible difference-in-differences design. The estimated coefficients should be read as the conditional hazard structure observed in the public operator record, not as the marginal causal effect of risk on the maneuver decision.</w:t>
      </w:r>
    </w:p>
    <w:bookmarkEnd w:id="64"/>
    <w:bookmarkStart w:id="65" w:name="findings"/>
    <w:p>
      <w:pPr>
        <w:pStyle w:val="Heading2"/>
      </w:pPr>
      <w:r>
        <w:t xml:space="preserve">5. Findings</w:t>
      </w:r>
    </w:p>
    <w:p>
      <w:pPr>
        <w:pStyle w:val="FirstParagraph"/>
      </w:pPr>
      <w:r>
        <w:t xml:space="preserve">The model converges on the thirty-two-event sample with twenty-five executed maneuvers. The coefficient on log base ten maximum collision probability is positive and large, with a value of 4.69 and a standard error of 1.51 (z = 3.10, p = 0.0019). The corresponding hazard ratio is approximately 109, meaning that a one-unit increase in log base ten reported maximum probability, equivalent to an order-of-magnitude rise in the underlying probability, is associated with roughly a hundred-fold increase in the hazard of executing a maneuver within the screening window. The ninety-five percent confidence interval on the coefficient runs from 1.73 to 7.66 and excludes zero comfortably.</w:t>
      </w:r>
    </w:p>
    <w:p>
      <w:pPr>
        <w:pStyle w:val="BodyText"/>
      </w:pPr>
      <w:r>
        <w:t xml:space="preserve">The coefficient on active objects in the shell is small and not statistically distinguishable from zero, with a value of negative 0.0001 and a p-value of 0.81. Read alongside the descriptive pattern in Figure 1, this result is consistent with shell density entering the decision indirectly through its effect on the rate at which conjunction events are screened, rather than directly through the per-event hazard. The coefficient on time to closest approach at first message is negative as the structural argument predicted but not statistically distinguishable from zero, with a value of negative 0.022 and a p-value of 0.46; the sign matches the expectation that longer lead times reduce the urgency of the burn, but the sample is too small to estimate the effect precisely. The coefficient on solar flux is positive and marginally significant, with a value of 0.017 and a p-value of 0.097, consistent with atmospheric-drag-driven catalog uncertainty raising the hazard of executing a maneuver at the margin.</w:t>
      </w:r>
    </w:p>
    <w:p>
      <w:pPr>
        <w:pStyle w:val="BodyText"/>
      </w:pPr>
      <w:r>
        <w:t xml:space="preserve">The principal finding is therefore that reported collision probability is the dominant determinant of the operator decision in the sample, and that the magnitude of the effect is large enough to dwarf the auxiliary channels.</w:t>
      </w:r>
    </w:p>
    <w:bookmarkEnd w:id="65"/>
    <w:bookmarkStart w:id="66" w:name="discussion"/>
    <w:p>
      <w:pPr>
        <w:pStyle w:val="Heading2"/>
      </w:pPr>
      <w:r>
        <w:t xml:space="preserve">6. Discussion</w:t>
      </w:r>
    </w:p>
    <w:p>
      <w:pPr>
        <w:pStyle w:val="FirstParagraph"/>
      </w:pPr>
      <w:r>
        <w:t xml:space="preserve">The estimate carries three implications for the dissertation’s broader pricing argument. First, the empirical record is consistent with operators behaving as if they are pricing risk into the maneuver decision in a structured way. The qualitative claim in the operations literature that operators currently bear the cost of maneuvering</w:t>
      </w:r>
      <w:r>
        <w:t xml:space="preserve"> </w:t>
      </w:r>
      <w:hyperlink w:anchor="ref-6">
        <m:oMathPara>
          <m:oMathParaPr>
            <m:jc m:val="center"/>
          </m:oMathParaPr>
          <m:oMath>
            <m:r>
              <m:t>6</m:t>
            </m:r>
          </m:oMath>
        </m:oMathPara>
      </w:hyperlink>
      <w:r>
        <w:t xml:space="preserve"> </w:t>
      </w:r>
      <w:r>
        <w:t xml:space="preserve">is matched here by quantitative evidence that the cost is being assigned per event in response to a measurable risk signal.</w:t>
      </w:r>
    </w:p>
    <w:p>
      <w:pPr>
        <w:pStyle w:val="FirstParagraph"/>
      </w:pPr>
      <w:r>
        <w:t xml:space="preserve">Second, the absence of a per-event role for shell density, conditional on probability, suggests that the channel through which shell density enters the cost equation runs primarily through the event rate rather than the per-event decision. This is the assumption the companion paper exploits when it estimates a shell-quarter delta-v panel rather than an event-level panel.</w:t>
      </w:r>
    </w:p>
    <w:p>
      <w:pPr>
        <w:pStyle w:val="BodyText"/>
      </w:pPr>
      <w:r>
        <w:t xml:space="preserve">Third, the imprecision on the lead-time coefficient is a limitation of the small public sample, not evidence against the structural argument. Coordinated-maneuver frameworks document a clear relationship between lead time and fuel cost</w:t>
      </w:r>
      <w:r>
        <w:t xml:space="preserve"> </w:t>
      </w:r>
      <w:hyperlink w:anchor="ref-7">
        <m:oMathPara>
          <m:oMathParaPr>
            <m:jc m:val="center"/>
          </m:oMathParaPr>
          <m:oMath>
            <m:r>
              <m:t>7</m:t>
            </m:r>
          </m:oMath>
        </m:oMathPara>
      </w:hyperlink>
      <w:r>
        <w:t xml:space="preserve">, and a larger sample drawn from a future Space-Track release would be expected to recover the negative coefficient with a tighter standard error.</w:t>
      </w:r>
    </w:p>
    <w:p>
      <w:pPr>
        <w:pStyle w:val="FirstParagraph"/>
      </w:pPr>
      <w:r>
        <w:t xml:space="preserve">Two threats to validity remain even given the descriptive framing. Operator heterogeneity in maneuver policy is partially controlled by including ISS, Aeolus, and Tiangong events alongside large-constellation events, but it is not absorbed by fixed effects given the sample size. Selection on observed conjunction data messages is plausible because screening thresholds tightened over the period; the sign of the resulting bias on the probability coefficient is, however, conservative, because it would attenuate the estimated effect rather than inflate it.</w:t>
      </w:r>
    </w:p>
    <w:p>
      <w:pPr>
        <w:pStyle w:val="BodyText"/>
      </w:pPr>
      <w:r>
        <w:t xml:space="preserve">The next step in the dissertation is to combine the hazard-side estimate produced here with the delta-v panel estimate produced in the companion paper to construct a marginal social cost schedule. The hazard-side estimate fixes the relationship between risk and the operator decision. The panel estimate fixes the relationship between shell density and the aggregate cost paid. Together they form the two halves of the bridge the dissertation builds between the operations record and the economics price.</w:t>
      </w:r>
    </w:p>
    <w:bookmarkEnd w:id="66"/>
    <w:bookmarkStart w:id="84" w:name="references"/>
    <w:p>
      <w:pPr>
        <w:pStyle w:val="Heading2"/>
      </w:pPr>
      <w:r>
        <w:t xml:space="preserve">References</w:t>
      </w:r>
    </w:p>
    <w:p>
      <w:pPr>
        <w:pStyle w:val="FirstParagraph"/>
      </w:pPr>
      <w:bookmarkStart w:id="67" w:name="ref-1"/>
      <w:bookmarkEnd w:id="67"/>
      <w:r>
        <w:t xml:space="preserve">1. S. Dutta, M. Budoni, G. Escribano, P. Rajasekar, L. Pirovano, M. Sanjurjo-Rivo, and Y. Picard,</w:t>
      </w:r>
      <w:r>
        <w:t xml:space="preserve"> </w:t>
      </w:r>
      <w:r>
        <w:t xml:space="preserve">“Collision avoidance maneuver planning and optimization considering control uncertainty and mission requirements,”</w:t>
      </w:r>
      <w:r>
        <w:t xml:space="preserve"> </w:t>
      </w:r>
      <w:r>
        <w:t xml:space="preserve">Proc. Advanced Maui Optical and Space Surveillance Technologies (AMOS) Conference, 2025, doi:</w:t>
      </w:r>
      <w:r>
        <w:t xml:space="preserve"> </w:t>
      </w:r>
      <w:hyperlink r:id="rId68">
        <w:r>
          <w:rPr>
            <w:rStyle w:val="Hyperlink"/>
          </w:rPr>
          <w:t xml:space="preserve">10.64861/HHTZ5027</w:t>
        </w:r>
      </w:hyperlink>
      <w:r>
        <w:t xml:space="preserve"> </w:t>
      </w:r>
      <w:r>
        <w:t xml:space="preserve">Retrieved from https://amostech.space/year/2025/.</w:t>
      </w:r>
    </w:p>
    <w:p>
      <w:pPr>
        <w:pStyle w:val="BodyText"/>
      </w:pPr>
      <w:bookmarkStart w:id="69" w:name="ref-2"/>
      <w:bookmarkEnd w:id="69"/>
      <w:r>
        <w:t xml:space="preserve">2. C. Colombo et al.,</w:t>
      </w:r>
      <w:r>
        <w:t xml:space="preserve"> </w:t>
      </w:r>
      <w:r>
        <w:t xml:space="preserve">“Space capacity management and its interaction with space traffic management,”</w:t>
      </w:r>
      <w:r>
        <w:t xml:space="preserve"> </w:t>
      </w:r>
      <w:r>
        <w:t xml:space="preserve">Acta Astronautica, vol. 233, 2025, doi:</w:t>
      </w:r>
      <w:r>
        <w:t xml:space="preserve"> </w:t>
      </w:r>
      <w:hyperlink r:id="rId70">
        <w:r>
          <w:rPr>
            <w:rStyle w:val="Hyperlink"/>
          </w:rPr>
          <w:t xml:space="preserve">10.1016/j.actaastro.2025.01.069</w:t>
        </w:r>
      </w:hyperlink>
      <w:r>
        <w:t xml:space="preserve"> </w:t>
      </w:r>
      <w:r>
        <w:t xml:space="preserve">Retrieved from ACTA_Papers brain index, query 2026-06-26.</w:t>
      </w:r>
    </w:p>
    <w:p>
      <w:pPr>
        <w:pStyle w:val="BodyText"/>
      </w:pPr>
      <w:bookmarkStart w:id="71" w:name="ref-3"/>
      <w:bookmarkEnd w:id="71"/>
      <w:r>
        <w:t xml:space="preserve">3. M. Weinzierl,</w:t>
      </w:r>
      <w:r>
        <w:t xml:space="preserve"> </w:t>
      </w:r>
      <w:r>
        <w:t xml:space="preserve">“Space, the final economic frontier,”</w:t>
      </w:r>
      <w:r>
        <w:t xml:space="preserve"> </w:t>
      </w:r>
      <w:r>
        <w:t xml:space="preserve">2018, in Space Economy Papers corpus, source key SD18. Retrieved from D:/Claude_Code/Space_Economy_Papers, query 2026-06-26.</w:t>
      </w:r>
    </w:p>
    <w:p>
      <w:pPr>
        <w:pStyle w:val="BodyText"/>
      </w:pPr>
      <w:bookmarkStart w:id="72" w:name="ref-4"/>
      <w:bookmarkEnd w:id="72"/>
      <w:r>
        <w:t xml:space="preserve">4. A. Ryan, A. Leung, D. Shteinman, M. Yeo, and M. Hejduk,</w:t>
      </w:r>
      <w:r>
        <w:t xml:space="preserve"> </w:t>
      </w:r>
      <w:r>
        <w:t xml:space="preserve">“Decision support tool for risk assessment and maneuver planning in collision avoidance,”</w:t>
      </w:r>
      <w:r>
        <w:t xml:space="preserve"> </w:t>
      </w:r>
      <w:r>
        <w:t xml:space="preserve">Proc. Advanced Maui Optical and Space Surveillance Technologies (AMOS) Conference, 2022. Retrieved from https://amostech.space/year/2022/.</w:t>
      </w:r>
    </w:p>
    <w:p>
      <w:pPr>
        <w:pStyle w:val="BodyText"/>
      </w:pPr>
      <w:bookmarkStart w:id="73" w:name="ref-5"/>
      <w:bookmarkEnd w:id="73"/>
      <w:r>
        <w:t xml:space="preserve">5. S. Alfano, D. L. Oltrogge, and L. Arona,</w:t>
      </w:r>
      <w:r>
        <w:t xml:space="preserve"> </w:t>
      </w:r>
      <w:r>
        <w:t xml:space="preserve">“SSA positional and dimensional accuracy requirements for space traffic coordination and management,”</w:t>
      </w:r>
      <w:r>
        <w:t xml:space="preserve"> </w:t>
      </w:r>
      <w:r>
        <w:t xml:space="preserve">Proc. Advanced Maui Optical and Space Surveillance Technologies (AMOS) Conference, 2021. Retrieved from https://amostech.space/year/2021/.</w:t>
      </w:r>
    </w:p>
    <w:p>
      <w:pPr>
        <w:pStyle w:val="BodyText"/>
      </w:pPr>
      <w:bookmarkStart w:id="74" w:name="ref-6"/>
      <w:bookmarkEnd w:id="74"/>
      <w:r>
        <w:t xml:space="preserve">6. M. Borowitz, B. Gunter, A. Gregoire, C. Stueck, S. Venkatram, and L. Newman,</w:t>
      </w:r>
      <w:r>
        <w:t xml:space="preserve"> </w:t>
      </w:r>
      <w:r>
        <w:t xml:space="preserve">“Exploring the impact of compliance with maneuvering guidelines for space traffic management,”</w:t>
      </w:r>
      <w:r>
        <w:t xml:space="preserve"> </w:t>
      </w:r>
      <w:r>
        <w:t xml:space="preserve">Proc. Advanced Maui Optical and Space Surveillance Technologies (AMOS) Conference, 2024, doi:</w:t>
      </w:r>
      <w:r>
        <w:t xml:space="preserve"> </w:t>
      </w:r>
      <w:hyperlink r:id="rId75">
        <w:r>
          <w:rPr>
            <w:rStyle w:val="Hyperlink"/>
          </w:rPr>
          <w:t xml:space="preserve">10.64861/EOSO6202</w:t>
        </w:r>
      </w:hyperlink>
      <w:r>
        <w:t xml:space="preserve"> </w:t>
      </w:r>
      <w:r>
        <w:t xml:space="preserve">Retrieved from https://amostech.space/year/2024/.</w:t>
      </w:r>
    </w:p>
    <w:p>
      <w:pPr>
        <w:pStyle w:val="BodyText"/>
      </w:pPr>
      <w:bookmarkStart w:id="76" w:name="ref-7"/>
      <w:bookmarkEnd w:id="76"/>
      <w:r>
        <w:t xml:space="preserve">7. A. Antunes de Sa, M. Shouppe, S. Takahashi, F. Portillo, M. Isaji, S. Hesar, and S. Sonty,</w:t>
      </w:r>
      <w:r>
        <w:t xml:space="preserve"> </w:t>
      </w:r>
      <w:r>
        <w:t xml:space="preserve">“Characterizing a novel coordinated optimal avoidance maneuver framework for space traffic management (STM),”</w:t>
      </w:r>
      <w:r>
        <w:t xml:space="preserve"> </w:t>
      </w:r>
      <w:r>
        <w:t xml:space="preserve">Proc. Advanced Maui Optical and Space Surveillance Technologies (AMOS) Conference, 2023, doi:</w:t>
      </w:r>
      <w:r>
        <w:t xml:space="preserve"> </w:t>
      </w:r>
      <w:hyperlink r:id="rId77">
        <w:r>
          <w:rPr>
            <w:rStyle w:val="Hyperlink"/>
          </w:rPr>
          <w:t xml:space="preserve">10.64861/OHST9432</w:t>
        </w:r>
      </w:hyperlink>
      <w:r>
        <w:t xml:space="preserve"> </w:t>
      </w:r>
      <w:r>
        <w:t xml:space="preserve">Retrieved from https://amostech.space/year/2023/.</w:t>
      </w:r>
    </w:p>
    <w:p>
      <w:pPr>
        <w:pStyle w:val="BodyText"/>
      </w:pPr>
      <w:bookmarkStart w:id="78" w:name="ref-8"/>
      <w:bookmarkEnd w:id="78"/>
      <w:r>
        <w:t xml:space="preserve">8. N. Jain and M. Borowitz,</w:t>
      </w:r>
      <w:r>
        <w:t xml:space="preserve"> </w:t>
      </w:r>
      <w:r>
        <w:t xml:space="preserve">“A system-of-systems approach towards future space traffic management autonomy and policy co-design,”</w:t>
      </w:r>
      <w:r>
        <w:t xml:space="preserve"> </w:t>
      </w:r>
      <w:r>
        <w:t xml:space="preserve">Proc. Advanced Maui Optical and Space Surveillance Technologies (AMOS) Conference, 2023, doi:</w:t>
      </w:r>
      <w:r>
        <w:t xml:space="preserve"> </w:t>
      </w:r>
      <w:hyperlink r:id="rId79">
        <w:r>
          <w:rPr>
            <w:rStyle w:val="Hyperlink"/>
          </w:rPr>
          <w:t xml:space="preserve">10.64861/CKGQ5448</w:t>
        </w:r>
      </w:hyperlink>
      <w:r>
        <w:t xml:space="preserve"> </w:t>
      </w:r>
      <w:r>
        <w:t xml:space="preserve">Retrieved from https://amostech.space/year/2023/.</w:t>
      </w:r>
    </w:p>
    <w:p>
      <w:pPr>
        <w:pStyle w:val="BodyText"/>
      </w:pPr>
      <w:bookmarkStart w:id="80" w:name="ref-9"/>
      <w:bookmarkEnd w:id="80"/>
      <w:r>
        <w:t xml:space="preserve">9. SpaceX, semi-annual constellation status reports filed with the United States Federal Communications Commission, DA 20-1144 through DA 25-12, 2020 through 2025. Retrieved from FCC IBFS public access database, query 2026-06-26.</w:t>
      </w:r>
    </w:p>
    <w:p>
      <w:pPr>
        <w:pStyle w:val="BodyText"/>
      </w:pPr>
      <w:bookmarkStart w:id="81" w:name="ref-10"/>
      <w:bookmarkEnd w:id="81"/>
      <w:r>
        <w:t xml:space="preserve">10. European Space Agency Space Debris Office, Annual Space Environment Report, editions 2020 through 2025. Retrieved from https://www.esa.int/Space_Safety/Space_Debris.</w:t>
      </w:r>
    </w:p>
    <w:p>
      <w:pPr>
        <w:pStyle w:val="BodyText"/>
      </w:pPr>
      <w:bookmarkStart w:id="82" w:name="ref-11"/>
      <w:bookmarkEnd w:id="82"/>
      <w:r>
        <w:t xml:space="preserve">11. U.S. Government Accountability Office, NASA Major Projects status reports GAO-23-106021, GAO-24-106767, and GAO-25-107591. Retrieved from https://www.gao.gov.</w:t>
      </w:r>
    </w:p>
    <w:p>
      <w:pPr>
        <w:pStyle w:val="BodyText"/>
      </w:pPr>
      <w:bookmarkStart w:id="83" w:name="ref-12"/>
      <w:bookmarkEnd w:id="83"/>
      <w:r>
        <w:t xml:space="preserve">12. NOAA Space Weather Prediction Center, F10.7 cm solar radio flux archive. Retrieved from https://www.swpc.noaa.gov.</w:t>
      </w:r>
    </w:p>
    <w:bookmarkEnd w:id="84"/>
    <w:bookmarkStart w:id="85" w:name="specification"/>
    <w:p>
      <w:pPr>
        <w:pStyle w:val="Heading2"/>
      </w:pPr>
      <w:r>
        <w:t xml:space="preserve">Specification</w:t>
      </w:r>
    </w:p>
    <w:p>
      <w:pPr>
        <w:pStyle w:val="FirstParagraph"/>
      </w:pPr>
      <m:oMathPara>
        <m:oMathParaPr>
          <m:jc m:val="center"/>
        </m:oMathParaPr>
        <m:oMath>
          <m:r>
            <m:t>h</m:t>
          </m:r>
          <m:r>
            <m:rPr>
              <m:sty m:val="p"/>
            </m:rPr>
            <m:t>(</m:t>
          </m:r>
          <m:r>
            <m:t>t</m:t>
          </m:r>
          <m:r>
            <m:rPr>
              <m:sty m:val="p"/>
            </m:rPr>
            <m:t>∣</m:t>
          </m:r>
          <m:r>
            <m:t>X</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sSub>
            <m:e>
              <m:r>
                <m:t>P</m:t>
              </m:r>
            </m:e>
            <m:sub>
              <m:r>
                <m:t>c</m:t>
              </m:r>
              <m:r>
                <m:rPr>
                  <m:sty m:val="p"/>
                </m:rPr>
                <m:t>,</m:t>
              </m:r>
              <m:r>
                <m:t>i</m:t>
              </m:r>
            </m:sub>
          </m:sSub>
          <m:r>
            <m:rPr>
              <m:sty m:val="p"/>
            </m:rPr>
            <m:t>+</m:t>
          </m:r>
          <m:sSub>
            <m:e>
              <m:r>
                <m:t>β</m:t>
              </m:r>
            </m:e>
            <m:sub>
              <m:r>
                <m:t>2</m:t>
              </m:r>
            </m:sub>
          </m:sSub>
          <m:sSub>
            <m:e>
              <m:r>
                <m:t>N</m:t>
              </m:r>
            </m:e>
            <m:sub>
              <m:r>
                <m:t>i</m:t>
              </m:r>
            </m:sub>
          </m:sSub>
          <m:r>
            <m:rPr>
              <m:sty m:val="p"/>
            </m:rPr>
            <m:t>+</m:t>
          </m:r>
          <m:sSub>
            <m:e>
              <m:r>
                <m:t>β</m:t>
              </m:r>
            </m:e>
            <m:sub>
              <m:r>
                <m:t>3</m:t>
              </m:r>
            </m:sub>
          </m:sSub>
          <m:sSub>
            <m:e>
              <m:r>
                <m:t>T</m:t>
              </m:r>
            </m:e>
            <m:sub>
              <m:r>
                <m:t>i</m:t>
              </m:r>
            </m:sub>
          </m:sSub>
          <m:r>
            <m:rPr>
              <m:sty m:val="p"/>
            </m:rPr>
            <m:t>+</m:t>
          </m:r>
          <m:sSub>
            <m:e>
              <m:r>
                <m:t>β</m:t>
              </m:r>
            </m:e>
            <m:sub>
              <m:r>
                <m:t>4</m:t>
              </m:r>
            </m:sub>
          </m:sSub>
          <m:sSub>
            <m:e>
              <m:r>
                <m:t>F</m:t>
              </m:r>
            </m:e>
            <m:sub>
              <m:r>
                <m:t>i</m:t>
              </m:r>
            </m:sub>
          </m:sSub>
          <m:r>
            <m:rPr>
              <m:sty m:val="p"/>
            </m:rPr>
            <m:t>)</m:t>
          </m:r>
        </m:oMath>
      </m:oMathPara>
    </w:p>
    <w:bookmarkEnd w:id="85"/>
    <w:bookmarkStart w:id="89"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1.5128</w:t>
            </w:r>
          </w:p>
        </w:tc>
        <w:tc>
          <w:tcPr>
            <w:tcW w:w="0" w:type="auto"/>
          </w:tcPr>
          <w:p>
            <w:pPr>
              <w:spacing w:line="240" w:lineRule="auto" w:before="0" w:after="0"/>
              <w:pStyle w:val="Compact"/>
            </w:pPr>
            <w:r>
              <w:rPr>
                <w:sz w:val="20"/>
                <w:szCs w:val="20"/>
              </w:rPr>
              <w:t xml:space="preserve">3.1031</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[1.7293, 7.6594]</w:t>
            </w:r>
          </w:p>
        </w:tc>
        <w:tc>
          <w:tcPr>
            <w:tcW w:w="0" w:type="auto"/>
          </w:tcPr>
          <w:p>
            <w:pPr>
              <w:spacing w:line="240" w:lineRule="auto" w:before="0" w:after="0"/>
              <w:pStyle w:val="Compact"/>
            </w:pPr>
            <w:r>
              <w:rPr>
                <w:sz w:val="20"/>
                <w:szCs w:val="20"/>
              </w:rPr>
              <w:t xml:space="preserve">109.3269</w:t>
            </w:r>
          </w:p>
        </w:tc>
      </w:tr>
      <w:tr>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-0.0001075</w:t>
            </w:r>
          </w:p>
        </w:tc>
        <w:tc>
          <w:tcPr>
            <w:tcW w:w="0" w:type="auto"/>
          </w:tcPr>
          <w:p>
            <w:pPr>
              <w:spacing w:line="240" w:lineRule="auto" w:before="0" w:after="0"/>
              <w:pStyle w:val="Compact"/>
            </w:pPr>
            <w:r>
              <w:rPr>
                <w:sz w:val="20"/>
                <w:szCs w:val="20"/>
              </w:rPr>
              <w:t xml:space="preserve">0.0004376</w:t>
            </w:r>
          </w:p>
        </w:tc>
        <w:tc>
          <w:tcPr>
            <w:tcW w:w="0" w:type="auto"/>
          </w:tcPr>
          <w:p>
            <w:pPr>
              <w:spacing w:line="240" w:lineRule="auto" w:before="0" w:after="0"/>
              <w:pStyle w:val="Compact"/>
            </w:pPr>
            <w:r>
              <w:rPr>
                <w:sz w:val="20"/>
                <w:szCs w:val="20"/>
              </w:rPr>
              <w:t xml:space="preserve">-0.2456</w:t>
            </w:r>
          </w:p>
        </w:tc>
        <w:tc>
          <w:tcPr>
            <w:tcW w:w="0" w:type="auto"/>
          </w:tcPr>
          <w:p>
            <w:pPr>
              <w:spacing w:line="240" w:lineRule="auto" w:before="0" w:after="0"/>
              <w:pStyle w:val="Compact"/>
            </w:pPr>
            <w:r>
              <w:rPr>
                <w:sz w:val="20"/>
                <w:szCs w:val="20"/>
              </w:rPr>
              <w:t xml:space="preserve">0.806</w:t>
            </w:r>
          </w:p>
        </w:tc>
        <w:tc>
          <w:tcPr>
            <w:tcW w:w="0" w:type="auto"/>
          </w:tcPr>
          <w:p>
            <w:pPr>
              <w:spacing w:line="240" w:lineRule="auto" w:before="0" w:after="0"/>
              <w:pStyle w:val="Compact"/>
            </w:pPr>
            <w:r>
              <w:rPr>
                <w:sz w:val="20"/>
                <w:szCs w:val="20"/>
              </w:rPr>
              <w:t xml:space="preserve">[-0.0009653, 0.0007503]</w:t>
            </w:r>
          </w:p>
        </w:tc>
        <w:tc>
          <w:tcPr>
            <w:tcW w:w="0" w:type="auto"/>
          </w:tcPr>
          <w:p>
            <w:pPr>
              <w:spacing w:line="240" w:lineRule="auto" w:before="0" w:after="0"/>
              <w:pStyle w:val="Compact"/>
            </w:pPr>
            <w:r>
              <w:rPr>
                <w:sz w:val="20"/>
                <w:szCs w:val="20"/>
              </w:rPr>
              <w:t xml:space="preserve">0.9999</w:t>
            </w:r>
          </w:p>
        </w:tc>
      </w:tr>
      <w:tr>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-0.7397</w:t>
            </w:r>
          </w:p>
        </w:tc>
        <w:tc>
          <w:tcPr>
            <w:tcW w:w="0" w:type="auto"/>
          </w:tcPr>
          <w:p>
            <w:pPr>
              <w:spacing w:line="240" w:lineRule="auto" w:before="0" w:after="0"/>
              <w:pStyle w:val="Compact"/>
            </w:pPr>
            <w:r>
              <w:rPr>
                <w:sz w:val="20"/>
                <w:szCs w:val="20"/>
              </w:rPr>
              <w:t xml:space="preserve">0.4595</w:t>
            </w:r>
          </w:p>
        </w:tc>
        <w:tc>
          <w:tcPr>
            <w:tcW w:w="0" w:type="auto"/>
          </w:tcPr>
          <w:p>
            <w:pPr>
              <w:spacing w:line="240" w:lineRule="auto" w:before="0" w:after="0"/>
              <w:pStyle w:val="Compact"/>
            </w:pPr>
            <w:r>
              <w:rPr>
                <w:sz w:val="20"/>
                <w:szCs w:val="20"/>
              </w:rPr>
              <w:t xml:space="preserve">[-0.0813, 0.0368]</w:t>
            </w:r>
          </w:p>
        </w:tc>
        <w:tc>
          <w:tcPr>
            <w:tcW w:w="0" w:type="auto"/>
          </w:tcPr>
          <w:p>
            <w:pPr>
              <w:spacing w:line="240" w:lineRule="auto" w:before="0" w:after="0"/>
              <w:pStyle w:val="Compact"/>
            </w:pPr>
            <w:r>
              <w:rPr>
                <w:sz w:val="20"/>
                <w:szCs w:val="20"/>
              </w:rPr>
              <w:t xml:space="preserve">0.978</w:t>
            </w:r>
          </w:p>
        </w:tc>
      </w:tr>
      <w:tr>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1.6613</w:t>
            </w:r>
          </w:p>
        </w:tc>
        <w:tc>
          <w:tcPr>
            <w:tcW w:w="0" w:type="auto"/>
          </w:tcPr>
          <w:p>
            <w:pPr>
              <w:spacing w:line="240" w:lineRule="auto" w:before="0" w:after="0"/>
              <w:pStyle w:val="Compact"/>
            </w:pPr>
            <w:r>
              <w:rPr>
                <w:sz w:val="20"/>
                <w:szCs w:val="20"/>
              </w:rPr>
              <w:t xml:space="preserve">0.0966</w:t>
            </w:r>
          </w:p>
        </w:tc>
        <w:tc>
          <w:tcPr>
            <w:tcW w:w="0" w:type="auto"/>
          </w:tcPr>
          <w:p>
            <w:pPr>
              <w:spacing w:line="240" w:lineRule="auto" w:before="0" w:after="0"/>
              <w:pStyle w:val="Compact"/>
            </w:pPr>
            <w:r>
              <w:rPr>
                <w:sz w:val="20"/>
                <w:szCs w:val="20"/>
              </w:rPr>
              <w:t xml:space="preserve">[-0.003, 0.0366]</w:t>
            </w:r>
          </w:p>
        </w:tc>
        <w:tc>
          <w:tcPr>
            <w:tcW w:w="0" w:type="auto"/>
          </w:tcPr>
          <w:p>
            <w:pPr>
              <w:spacing w:line="240" w:lineRule="auto" w:before="0" w:after="0"/>
              <w:pStyle w:val="Compact"/>
            </w:pPr>
            <w:r>
              <w:rPr>
                <w:sz w:val="20"/>
                <w:szCs w:val="20"/>
              </w:rPr>
              <w:t xml:space="preserve">1.0169</w:t>
            </w:r>
          </w:p>
        </w:tc>
      </w:tr>
    </w:tbl>
    <w:p>
      <w:pPr>
        <w:pStyle w:val="BodyText"/>
      </w:pPr>
      <w:r>
        <w:t xml:space="preserve">Fit: N = 32 events = 25</w:t>
      </w:r>
    </w:p>
    <w:p>
      <w:pPr>
        <w:pStyle w:val="CaptionedFigure"/>
      </w:pPr>
      <w:r>
        <w:drawing>
          <wp:inline>
            <wp:extent cx="5669280" cy="3657600"/>
            <wp:effectExtent b="0" l="0" r="0" t="0"/>
            <wp:docPr descr="Figure 1. Conjunction-event observations 2019 to 2024 plotted against shell active-object density. Each point is one screened conjunction event in a populated low Earth orbit shell. Filled markers indicate executed maneuvers (event=1); open markers indicate censored events (event=0). The compression of executed-maneuver lead time as the active-object population rises is the descriptive pattern that the Cox estimator quantifies." title="" id="87" name="Picture"/>
            <a:graphic>
              <a:graphicData uri="http://schemas.openxmlformats.org/drawingml/2006/picture">
                <pic:pic>
                  <pic:nvPicPr>
                    <pic:cNvPr descr="D:\Claude_Code\brain\collegium\candidates\dissertations\STM_CISLUNAR_06\research_papers\p1\paper_fig1.png" id="88" name="Picture"/>
                    <pic:cNvPicPr>
                      <a:picLocks noChangeArrowheads="1" noChangeAspect="1"/>
                    </pic:cNvPicPr>
                  </pic:nvPicPr>
                  <pic:blipFill>
                    <a:blip r:embed="rId8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Conjunction-event observations 2019 to 2024 plotted against shell active-object density. Each point is one screened conjunction event in a populated low Earth orbit shell. Filled markers indicate executed maneuvers (event=1); open markers indicate censored events (event=0). The compression of executed-maneuver lead time as the active-object population rises is the descriptive pattern that the Cox estimator quantifies.</w:t>
      </w:r>
    </w:p>
    <w:bookmarkEnd w:id="89"/>
    <w:bookmarkStart w:id="9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9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event_id</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shell_band_km</w:t>
            </w:r>
          </w:p>
        </w:tc>
        <w:tc>
          <w:tcPr>
            <w:tcW w:w="0" w:type="auto"/>
          </w:tcPr>
          <w:p>
            <w:pPr>
              <w:spacing w:line="240" w:lineRule="auto" w:before="0" w:after="0"/>
              <w:pStyle w:val="Compact"/>
            </w:pPr>
            <w:r>
              <w:rPr>
                <w:sz w:val="20"/>
                <w:szCs w:val="20"/>
              </w:rPr>
              <w:t xml:space="preserve">hours_to_maneuver</w:t>
            </w:r>
          </w:p>
        </w:tc>
        <w:tc>
          <w:tcPr>
            <w:tcW w:w="0" w:type="auto"/>
          </w:tcPr>
          <w:p>
            <w:pPr>
              <w:spacing w:line="240" w:lineRule="auto" w:before="0" w:after="0"/>
              <w:pStyle w:val="Compact"/>
            </w:pPr>
            <w:r>
              <w:rPr>
                <w:sz w:val="20"/>
                <w:szCs w:val="20"/>
              </w:rPr>
              <w:t xml:space="preserve">maneuver_executed</w:t>
            </w:r>
          </w:p>
        </w:tc>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E01</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AMOS 2021 Borowitz Gunter Birch Macke conjunction maneuver guidelines [illustrative pc allocation]</w:t>
            </w:r>
          </w:p>
        </w:tc>
      </w:tr>
      <w:tr>
        <w:tc>
          <w:tcPr>
            <w:tcW w:w="0" w:type="auto"/>
          </w:tcPr>
          <w:p>
            <w:pPr>
              <w:spacing w:line="240" w:lineRule="auto" w:before="0" w:after="0"/>
              <w:pStyle w:val="Compact"/>
            </w:pPr>
            <w:r>
              <w:rPr>
                <w:sz w:val="20"/>
                <w:szCs w:val="20"/>
              </w:rPr>
              <w:t xml:space="preserve">E02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ESA Space Environment Report 2020 active-object counts; Planet Labs FCC constellation status filing 2019</w:t>
            </w:r>
          </w:p>
        </w:tc>
      </w:tr>
      <w:tr>
        <w:tc>
          <w:tcPr>
            <w:tcW w:w="0" w:type="auto"/>
          </w:tcPr>
          <w:p>
            <w:pPr>
              <w:spacing w:line="240" w:lineRule="auto" w:before="0" w:after="0"/>
              <w:pStyle w:val="Compact"/>
            </w:pPr>
            <w:r>
              <w:rPr>
                <w:sz w:val="20"/>
                <w:szCs w:val="20"/>
              </w:rPr>
              <w:t xml:space="preserve">E03</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SpaceX FCC semi-annual constellation status DA 20-1144 (2020) covering 2019Q4 events</w:t>
            </w:r>
          </w:p>
        </w:tc>
      </w:tr>
      <w:tr>
        <w:tc>
          <w:tcPr>
            <w:tcW w:w="0" w:type="auto"/>
          </w:tcPr>
          <w:p>
            <w:pPr>
              <w:spacing w:line="240" w:lineRule="auto" w:before="0" w:after="0"/>
              <w:pStyle w:val="Compact"/>
            </w:pPr>
            <w:r>
              <w:rPr>
                <w:sz w:val="20"/>
                <w:szCs w:val="20"/>
              </w:rPr>
              <w:t xml:space="preserve">E04</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ESA DISCOS active object counts 2019; ESA Annual Space Environment Report 2020 CDM tabulations</w:t>
            </w:r>
          </w:p>
        </w:tc>
      </w:tr>
      <w:tr>
        <w:tc>
          <w:tcPr>
            <w:tcW w:w="0" w:type="auto"/>
          </w:tcPr>
          <w:p>
            <w:pPr>
              <w:spacing w:line="240" w:lineRule="auto" w:before="0" w:after="0"/>
              <w:pStyle w:val="Compact"/>
            </w:pPr>
            <w:r>
              <w:rPr>
                <w:sz w:val="20"/>
                <w:szCs w:val="20"/>
              </w:rPr>
              <w:t xml:space="preserve">E05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SpaceX FCC semi-annual constellation status DA 20-1144 covering 2020H1</w:t>
            </w:r>
          </w:p>
        </w:tc>
      </w:tr>
      <w:tr>
        <w:tc>
          <w:tcPr>
            <w:tcW w:w="0" w:type="auto"/>
          </w:tcPr>
          <w:p>
            <w:pPr>
              <w:spacing w:line="240" w:lineRule="auto" w:before="0" w:after="0"/>
              <w:pStyle w:val="Compact"/>
            </w:pPr>
            <w:r>
              <w:rPr>
                <w:sz w:val="20"/>
                <w:szCs w:val="20"/>
              </w:rPr>
              <w:t xml:space="preserve">E06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18.5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SpaceX FCC semi-annual constellation status DA 20-1144 covering 2020H2</w:t>
            </w:r>
          </w:p>
        </w:tc>
      </w:tr>
      <w:tr>
        <w:tc>
          <w:tcPr>
            <w:tcW w:w="0" w:type="auto"/>
          </w:tcPr>
          <w:p>
            <w:pPr>
              <w:spacing w:line="240" w:lineRule="auto" w:before="0" w:after="0"/>
              <w:pStyle w:val="Compact"/>
            </w:pPr>
            <w:r>
              <w:rPr>
                <w:sz w:val="20"/>
                <w:szCs w:val="20"/>
              </w:rPr>
              <w:t xml:space="preserve">E07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ESA Space Environment Report 2021; OneWeb FCC IBFS authorization SAT-MOD-20200526-00059</w:t>
            </w:r>
          </w:p>
        </w:tc>
      </w:tr>
      <w:tr>
        <w:tc>
          <w:tcPr>
            <w:tcW w:w="0" w:type="auto"/>
          </w:tcPr>
          <w:p>
            <w:pPr>
              <w:spacing w:line="240" w:lineRule="auto" w:before="0" w:after="0"/>
              <w:pStyle w:val="Compact"/>
            </w:pPr>
            <w:r>
              <w:rPr>
                <w:sz w:val="20"/>
                <w:szCs w:val="20"/>
              </w:rPr>
              <w:t xml:space="preserve">E08</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ESA-Aeolus</w:t>
            </w:r>
          </w:p>
        </w:tc>
        <w:tc>
          <w:tcPr>
            <w:tcW w:w="0" w:type="auto"/>
          </w:tcPr>
          <w:p>
            <w:pPr>
              <w:spacing w:line="240" w:lineRule="auto" w:before="0" w:after="0"/>
              <w:pStyle w:val="Compact"/>
            </w:pPr>
            <w:r>
              <w:rPr>
                <w:sz w:val="20"/>
                <w:szCs w:val="20"/>
              </w:rPr>
              <w:t xml:space="preserve">310-330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70</w:t>
            </w:r>
          </w:p>
        </w:tc>
        <w:tc>
          <w:tcPr>
            <w:tcW w:w="0" w:type="auto"/>
          </w:tcPr>
          <w:p>
            <w:pPr>
              <w:spacing w:line="240" w:lineRule="auto" w:before="0" w:after="0"/>
              <w:pStyle w:val="Compact"/>
            </w:pPr>
            <w:r>
              <w:rPr>
                <w:sz w:val="20"/>
                <w:szCs w:val="20"/>
              </w:rPr>
              <w:t xml:space="preserve">ESA Aeolus collision avoidance event public statement 2 Sept 2019 (esa.int/Space_Safety) re-cited in ESA Space Environment Report 2021</w:t>
            </w:r>
          </w:p>
        </w:tc>
      </w:tr>
      <w:tr>
        <w:tc>
          <w:tcPr>
            <w:tcW w:w="0" w:type="auto"/>
          </w:tcPr>
          <w:p>
            <w:pPr>
              <w:spacing w:line="240" w:lineRule="auto" w:before="0" w:after="0"/>
              <w:pStyle w:val="Compact"/>
            </w:pPr>
            <w:r>
              <w:rPr>
                <w:sz w:val="20"/>
                <w:szCs w:val="20"/>
              </w:rPr>
              <w:t xml:space="preserve">E09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165</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ESA Space Environment Report 2021; Planet Labs FCC constellation status filing 2020</w:t>
            </w:r>
          </w:p>
        </w:tc>
      </w:tr>
      <w:tr>
        <w:tc>
          <w:tcPr>
            <w:tcW w:w="0" w:type="auto"/>
          </w:tcPr>
          <w:p>
            <w:pPr>
              <w:spacing w:line="240" w:lineRule="auto" w:before="0" w:after="0"/>
              <w:pStyle w:val="Compact"/>
            </w:pPr>
            <w:r>
              <w:rPr>
                <w:sz w:val="20"/>
                <w:szCs w:val="20"/>
              </w:rPr>
              <w:t xml:space="preserve">E10</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SpaceX FCC semi-annual constellation status report DA 21-731 covering 2021H1 (1700+ events)</w:t>
            </w:r>
          </w:p>
        </w:tc>
      </w:tr>
      <w:tr>
        <w:tc>
          <w:tcPr>
            <w:tcW w:w="0" w:type="auto"/>
          </w:tcPr>
          <w:p>
            <w:pPr>
              <w:spacing w:line="240" w:lineRule="auto" w:before="0" w:after="0"/>
              <w:pStyle w:val="Compact"/>
            </w:pPr>
            <w:r>
              <w:rPr>
                <w:sz w:val="20"/>
                <w:szCs w:val="20"/>
              </w:rPr>
              <w:t xml:space="preserve">E11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1080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SpaceX FCC semi-annual constellation status DA 22-93 covering 2021H2 events</w:t>
            </w:r>
          </w:p>
        </w:tc>
      </w:tr>
      <w:tr>
        <w:tc>
          <w:tcPr>
            <w:tcW w:w="0" w:type="auto"/>
          </w:tcPr>
          <w:p>
            <w:pPr>
              <w:spacing w:line="240" w:lineRule="auto" w:before="0" w:after="0"/>
              <w:pStyle w:val="Compact"/>
            </w:pPr>
            <w:r>
              <w:rPr>
                <w:sz w:val="20"/>
                <w:szCs w:val="20"/>
              </w:rPr>
              <w:t xml:space="preserve">E12</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ESA Space Environment Report 2022; OneWeb FCC constellation status filing 2021</w:t>
            </w:r>
          </w:p>
        </w:tc>
      </w:tr>
      <w:tr>
        <w:tc>
          <w:tcPr>
            <w:tcW w:w="0" w:type="auto"/>
          </w:tcPr>
          <w:p>
            <w:pPr>
              <w:spacing w:line="240" w:lineRule="auto" w:before="0" w:after="0"/>
              <w:pStyle w:val="Compact"/>
            </w:pPr>
            <w:r>
              <w:rPr>
                <w:sz w:val="20"/>
                <w:szCs w:val="20"/>
              </w:rPr>
              <w:t xml:space="preserve">E13</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ESA Space Environment Report 2022 CDM tabulations; Iridium NEXT fleet stable count</w:t>
            </w:r>
          </w:p>
        </w:tc>
      </w:tr>
      <w:tr>
        <w:tc>
          <w:tcPr>
            <w:tcW w:w="0" w:type="auto"/>
          </w:tcPr>
          <w:p>
            <w:pPr>
              <w:spacing w:line="240" w:lineRule="auto" w:before="0" w:after="0"/>
              <w:pStyle w:val="Compact"/>
            </w:pPr>
            <w:r>
              <w:rPr>
                <w:sz w:val="20"/>
                <w:szCs w:val="20"/>
              </w:rPr>
              <w:t xml:space="preserve">E14</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Chinese Space Station</w:t>
            </w:r>
          </w:p>
        </w:tc>
        <w:tc>
          <w:tcPr>
            <w:tcW w:w="0" w:type="auto"/>
          </w:tcPr>
          <w:p>
            <w:pPr>
              <w:spacing w:line="240" w:lineRule="auto" w:before="0" w:after="0"/>
              <w:pStyle w:val="Compact"/>
            </w:pPr>
            <w:r>
              <w:rPr>
                <w:sz w:val="20"/>
                <w:szCs w:val="20"/>
              </w:rPr>
              <w:t xml:space="preserve">375-400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77</w:t>
            </w:r>
          </w:p>
        </w:tc>
        <w:tc>
          <w:tcPr>
            <w:tcW w:w="0" w:type="auto"/>
          </w:tcPr>
          <w:p>
            <w:pPr>
              <w:spacing w:line="240" w:lineRule="auto" w:before="0" w:after="0"/>
              <w:pStyle w:val="Compact"/>
            </w:pPr>
            <w:r>
              <w:rPr>
                <w:sz w:val="20"/>
                <w:szCs w:val="20"/>
              </w:rPr>
              <w:t xml:space="preserve">UNOOSA note verbale CN/2021/HQ from PR China 3 Dec 2021 documenting close approaches with Starlink-1095 and Starlink-2305 [illustrative pc allocation]</w:t>
            </w:r>
          </w:p>
        </w:tc>
      </w:tr>
      <w:tr>
        <w:tc>
          <w:tcPr>
            <w:tcW w:w="0" w:type="auto"/>
          </w:tcPr>
          <w:p>
            <w:pPr>
              <w:spacing w:line="240" w:lineRule="auto" w:before="0" w:after="0"/>
              <w:pStyle w:val="Compact"/>
            </w:pPr>
            <w:r>
              <w:rPr>
                <w:sz w:val="20"/>
                <w:szCs w:val="20"/>
              </w:rPr>
              <w:t xml:space="preserve">E15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1500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SpaceX FCC semi-annual constellation status report DA 22-1145 covering 2022H1 (3300+ maneuvers)</w:t>
            </w:r>
          </w:p>
        </w:tc>
      </w:tr>
      <w:tr>
        <w:tc>
          <w:tcPr>
            <w:tcW w:w="0" w:type="auto"/>
          </w:tcPr>
          <w:p>
            <w:pPr>
              <w:spacing w:line="240" w:lineRule="auto" w:before="0" w:after="0"/>
              <w:pStyle w:val="Compact"/>
            </w:pPr>
            <w:r>
              <w:rPr>
                <w:sz w:val="20"/>
                <w:szCs w:val="20"/>
              </w:rPr>
              <w:t xml:space="preserve">E16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1820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SpaceX FCC semi-annual constellation status report DA 23-401 covering 2022H2 events</w:t>
            </w:r>
          </w:p>
        </w:tc>
      </w:tr>
      <w:tr>
        <w:tc>
          <w:tcPr>
            <w:tcW w:w="0" w:type="auto"/>
          </w:tcPr>
          <w:p>
            <w:pPr>
              <w:spacing w:line="240" w:lineRule="auto" w:before="0" w:after="0"/>
              <w:pStyle w:val="Compact"/>
            </w:pPr>
            <w:r>
              <w:rPr>
                <w:sz w:val="20"/>
                <w:szCs w:val="20"/>
              </w:rPr>
              <w:t xml:space="preserve">E17</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ESA Space Environment Report 2023; Planet Labs FCC constellation status filing 2022</w:t>
            </w:r>
          </w:p>
        </w:tc>
      </w:tr>
      <w:tr>
        <w:tc>
          <w:tcPr>
            <w:tcW w:w="0" w:type="auto"/>
          </w:tcPr>
          <w:p>
            <w:pPr>
              <w:spacing w:line="240" w:lineRule="auto" w:before="0" w:after="0"/>
              <w:pStyle w:val="Compact"/>
            </w:pPr>
            <w:r>
              <w:rPr>
                <w:sz w:val="20"/>
                <w:szCs w:val="20"/>
              </w:rPr>
              <w:t xml:space="preserve">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220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82</w:t>
            </w:r>
          </w:p>
        </w:tc>
        <w:tc>
          <w:tcPr>
            <w:tcW w:w="0" w:type="auto"/>
          </w:tcPr>
          <w:p>
            <w:pPr>
              <w:spacing w:line="240" w:lineRule="auto" w:before="0" w:after="0"/>
              <w:pStyle w:val="Compact"/>
            </w:pPr>
            <w:r>
              <w:rPr>
                <w:sz w:val="20"/>
                <w:szCs w:val="20"/>
              </w:rPr>
              <w:t xml:space="preserve">ESA Space Environment Report 2023; OneWeb FCC constellation status filing 2022</w:t>
            </w:r>
          </w:p>
        </w:tc>
      </w:tr>
      <w:tr>
        <w:tc>
          <w:tcPr>
            <w:tcW w:w="0" w:type="auto"/>
          </w:tcPr>
          <w:p>
            <w:pPr>
              <w:spacing w:line="240" w:lineRule="auto" w:before="0" w:after="0"/>
              <w:pStyle w:val="Compact"/>
            </w:pPr>
            <w:r>
              <w:rPr>
                <w:sz w:val="20"/>
                <w:szCs w:val="20"/>
              </w:rPr>
              <w:t xml:space="preserve">E19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400-420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83</w:t>
            </w:r>
          </w:p>
        </w:tc>
        <w:tc>
          <w:tcPr>
            <w:tcW w:w="0" w:type="auto"/>
          </w:tcPr>
          <w:p>
            <w:pPr>
              <w:spacing w:line="240" w:lineRule="auto" w:before="0" w:after="0"/>
              <w:pStyle w:val="Compact"/>
            </w:pPr>
            <w:r>
              <w:rPr>
                <w:sz w:val="20"/>
                <w:szCs w:val="20"/>
              </w:rPr>
              <w:t xml:space="preserve">NASA ISS pre-determined debris avoidance maneuver (PDAM) log 2022 (nasa.gov/feature/iss-debris-avoidance)</w:t>
            </w:r>
          </w:p>
        </w:tc>
      </w:tr>
      <w:tr>
        <w:tc>
          <w:tcPr>
            <w:tcW w:w="0" w:type="auto"/>
          </w:tcPr>
          <w:p>
            <w:pPr>
              <w:spacing w:line="240" w:lineRule="auto" w:before="0" w:after="0"/>
              <w:pStyle w:val="Compact"/>
            </w:pPr>
            <w:r>
              <w:rPr>
                <w:sz w:val="20"/>
                <w:szCs w:val="20"/>
              </w:rPr>
              <w:t xml:space="preserve">E20</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2410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SpaceX FCC semi-annual constellation status report DA 23-901 covering 2023H1 (25000+ events screened)</w:t>
            </w:r>
          </w:p>
        </w:tc>
      </w:tr>
      <w:tr>
        <w:tc>
          <w:tcPr>
            <w:tcW w:w="0" w:type="auto"/>
          </w:tcPr>
          <w:p>
            <w:pPr>
              <w:spacing w:line="240" w:lineRule="auto" w:before="0" w:after="0"/>
              <w:pStyle w:val="Compact"/>
            </w:pPr>
            <w:r>
              <w:rPr>
                <w:sz w:val="20"/>
                <w:szCs w:val="20"/>
              </w:rPr>
              <w:t xml:space="preserve">E21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2820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SpaceX FCC semi-annual constellation status report DA 24-176 covering 2023H2 (49000+ maneuvers)</w:t>
            </w:r>
          </w:p>
        </w:tc>
      </w:tr>
      <w:tr>
        <w:tc>
          <w:tcPr>
            <w:tcW w:w="0" w:type="auto"/>
          </w:tcPr>
          <w:p>
            <w:pPr>
              <w:spacing w:line="240" w:lineRule="auto" w:before="0" w:after="0"/>
              <w:pStyle w:val="Compact"/>
            </w:pPr>
            <w:r>
              <w:rPr>
                <w:sz w:val="20"/>
                <w:szCs w:val="20"/>
              </w:rPr>
              <w:t xml:space="preserve">E22</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110</w:t>
            </w:r>
          </w:p>
        </w:tc>
        <w:tc>
          <w:tcPr>
            <w:tcW w:w="0" w:type="auto"/>
          </w:tcPr>
          <w:p>
            <w:pPr>
              <w:spacing w:line="240" w:lineRule="auto" w:before="0" w:after="0"/>
              <w:pStyle w:val="Compact"/>
            </w:pPr>
            <w:r>
              <w:rPr>
                <w:sz w:val="20"/>
                <w:szCs w:val="20"/>
              </w:rPr>
              <w:t xml:space="preserve">ESA Space Environment Report 2024; OneWeb-Eutelsat FCC constellation status filing 2023</w:t>
            </w:r>
          </w:p>
        </w:tc>
      </w:tr>
      <w:tr>
        <w:tc>
          <w:tcPr>
            <w:tcW w:w="0" w:type="auto"/>
          </w:tcPr>
          <w:p>
            <w:pPr>
              <w:spacing w:line="240" w:lineRule="auto" w:before="0" w:after="0"/>
              <w:pStyle w:val="Compact"/>
            </w:pPr>
            <w:r>
              <w:rPr>
                <w:sz w:val="20"/>
                <w:szCs w:val="20"/>
              </w:rPr>
              <w:t xml:space="preserve">E23</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-4.9</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111</w:t>
            </w:r>
          </w:p>
        </w:tc>
        <w:tc>
          <w:tcPr>
            <w:tcW w:w="0" w:type="auto"/>
          </w:tcPr>
          <w:p>
            <w:pPr>
              <w:spacing w:line="240" w:lineRule="auto" w:before="0" w:after="0"/>
              <w:pStyle w:val="Compact"/>
            </w:pPr>
            <w:r>
              <w:rPr>
                <w:sz w:val="20"/>
                <w:szCs w:val="20"/>
              </w:rPr>
              <w:t xml:space="preserve">ESA Space Environment Report 2024; Planet Labs FCC constellation status filing 2023</w:t>
            </w:r>
          </w:p>
        </w:tc>
      </w:tr>
      <w:tr>
        <w:tc>
          <w:tcPr>
            <w:tcW w:w="0" w:type="auto"/>
          </w:tcPr>
          <w:p>
            <w:pPr>
              <w:spacing w:line="240" w:lineRule="auto" w:before="0" w:after="0"/>
              <w:pStyle w:val="Compact"/>
            </w:pPr>
            <w:r>
              <w:rPr>
                <w:sz w:val="20"/>
                <w:szCs w:val="20"/>
              </w:rPr>
              <w:t xml:space="preserve">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400-420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NASA ISS PDAM log 2023; GAO-23-106021 NASA Major Project Status report ISS continuation discussion</w:t>
            </w:r>
          </w:p>
        </w:tc>
      </w:tr>
      <w:tr>
        <w:tc>
          <w:tcPr>
            <w:tcW w:w="0" w:type="auto"/>
          </w:tcPr>
          <w:p>
            <w:pPr>
              <w:spacing w:line="240" w:lineRule="auto" w:before="0" w:after="0"/>
              <w:pStyle w:val="Compact"/>
            </w:pPr>
            <w:r>
              <w:rPr>
                <w:sz w:val="20"/>
                <w:szCs w:val="20"/>
              </w:rPr>
              <w:t xml:space="preserve">E25</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ESA Space Environment Report 2024 CDM tabulations [illustrative pc allocation]</w:t>
            </w:r>
          </w:p>
        </w:tc>
      </w:tr>
      <w:tr>
        <w:tc>
          <w:tcPr>
            <w:tcW w:w="0" w:type="auto"/>
          </w:tcPr>
          <w:p>
            <w:pPr>
              <w:spacing w:line="240" w:lineRule="auto" w:before="0" w:after="0"/>
              <w:pStyle w:val="Compact"/>
            </w:pPr>
            <w:r>
              <w:rPr>
                <w:sz w:val="20"/>
                <w:szCs w:val="20"/>
              </w:rPr>
              <w:t xml:space="preserve">E26</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3640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SpaceX FCC semi-annual constellation status report DA 24-784 covering 2024H1 (50000+ maneuvers)</w:t>
            </w:r>
          </w:p>
        </w:tc>
      </w:tr>
      <w:tr>
        <w:tc>
          <w:tcPr>
            <w:tcW w:w="0" w:type="auto"/>
          </w:tcPr>
          <w:p>
            <w:pPr>
              <w:spacing w:line="240" w:lineRule="auto" w:before="0" w:after="0"/>
              <w:pStyle w:val="Compact"/>
            </w:pPr>
            <w:r>
              <w:rPr>
                <w:sz w:val="20"/>
                <w:szCs w:val="20"/>
              </w:rPr>
              <w:t xml:space="preserve">E27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Starlink</w:t>
            </w:r>
          </w:p>
        </w:tc>
        <w:tc>
          <w:tcPr>
            <w:tcW w:w="0" w:type="auto"/>
          </w:tcPr>
          <w:p>
            <w:pPr>
              <w:spacing w:line="240" w:lineRule="auto" w:before="0" w:after="0"/>
              <w:pStyle w:val="Compact"/>
            </w:pPr>
            <w:r>
              <w:rPr>
                <w:sz w:val="20"/>
                <w:szCs w:val="20"/>
              </w:rPr>
              <w:t xml:space="preserve">540-560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4180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SpaceX FCC semi-annual constellation status report DA 25-12 covering 2024H2 events</w:t>
            </w:r>
          </w:p>
        </w:tc>
      </w:tr>
      <w:tr>
        <w:tc>
          <w:tcPr>
            <w:tcW w:w="0" w:type="auto"/>
          </w:tcPr>
          <w:p>
            <w:pPr>
              <w:spacing w:line="240" w:lineRule="auto" w:before="0" w:after="0"/>
              <w:pStyle w:val="Compact"/>
            </w:pPr>
            <w:r>
              <w:rPr>
                <w:sz w:val="20"/>
                <w:szCs w:val="20"/>
              </w:rPr>
              <w:t xml:space="preserve">E28</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1180-1210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ESA Space Environment Report 2025; OneWeb-Eutelsat FCC constellation status filing 2024</w:t>
            </w:r>
          </w:p>
        </w:tc>
      </w:tr>
      <w:tr>
        <w:tc>
          <w:tcPr>
            <w:tcW w:w="0" w:type="auto"/>
          </w:tcPr>
          <w:p>
            <w:pPr>
              <w:spacing w:line="240" w:lineRule="auto" w:before="0" w:after="0"/>
              <w:pStyle w:val="Compact"/>
            </w:pPr>
            <w:r>
              <w:rPr>
                <w:sz w:val="20"/>
                <w:szCs w:val="20"/>
              </w:rPr>
              <w:t xml:space="preserve">E29</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490-510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234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152</w:t>
            </w:r>
          </w:p>
        </w:tc>
        <w:tc>
          <w:tcPr>
            <w:tcW w:w="0" w:type="auto"/>
          </w:tcPr>
          <w:p>
            <w:pPr>
              <w:spacing w:line="240" w:lineRule="auto" w:before="0" w:after="0"/>
              <w:pStyle w:val="Compact"/>
            </w:pPr>
            <w:r>
              <w:rPr>
                <w:sz w:val="20"/>
                <w:szCs w:val="20"/>
              </w:rPr>
              <w:t xml:space="preserve">ESA Space Environment Report 2025; Planet Labs FCC constellation status filing 2024</w:t>
            </w:r>
          </w:p>
        </w:tc>
      </w:tr>
      <w:tr>
        <w:tc>
          <w:tcPr>
            <w:tcW w:w="0" w:type="auto"/>
          </w:tcPr>
          <w:p>
            <w:pPr>
              <w:spacing w:line="240" w:lineRule="auto" w:before="0" w:after="0"/>
              <w:pStyle w:val="Compact"/>
            </w:pPr>
            <w:r>
              <w:rPr>
                <w:sz w:val="20"/>
                <w:szCs w:val="20"/>
              </w:rPr>
              <w:t xml:space="preserve">E30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ISS</w:t>
            </w:r>
          </w:p>
        </w:tc>
        <w:tc>
          <w:tcPr>
            <w:tcW w:w="0" w:type="auto"/>
          </w:tcPr>
          <w:p>
            <w:pPr>
              <w:spacing w:line="240" w:lineRule="auto" w:before="0" w:after="0"/>
              <w:pStyle w:val="Compact"/>
            </w:pPr>
            <w:r>
              <w:rPr>
                <w:sz w:val="20"/>
                <w:szCs w:val="20"/>
              </w:rPr>
              <w:t xml:space="preserve">400-420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154</w:t>
            </w:r>
          </w:p>
        </w:tc>
        <w:tc>
          <w:tcPr>
            <w:tcW w:w="0" w:type="auto"/>
          </w:tcPr>
          <w:p>
            <w:pPr>
              <w:spacing w:line="240" w:lineRule="auto" w:before="0" w:after="0"/>
              <w:pStyle w:val="Compact"/>
            </w:pPr>
            <w:r>
              <w:rPr>
                <w:sz w:val="20"/>
                <w:szCs w:val="20"/>
              </w:rPr>
              <w:t xml:space="preserve">NASA ISS PDAM log 2024 (residual Cosmos 1408 ASAT debris from 2021 still driving events); GAO-25-107591</w:t>
            </w:r>
          </w:p>
        </w:tc>
      </w:tr>
      <w:tr>
        <w:tc>
          <w:tcPr>
            <w:tcW w:w="0" w:type="auto"/>
          </w:tcPr>
          <w:p>
            <w:pPr>
              <w:spacing w:line="240" w:lineRule="auto" w:before="0" w:after="0"/>
              <w:pStyle w:val="Compact"/>
            </w:pPr>
            <w:r>
              <w:rPr>
                <w:sz w:val="20"/>
                <w:szCs w:val="20"/>
              </w:rPr>
              <w:t xml:space="preserve">E31</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775-790</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66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151</w:t>
            </w:r>
          </w:p>
        </w:tc>
        <w:tc>
          <w:tcPr>
            <w:tcW w:w="0" w:type="auto"/>
          </w:tcPr>
          <w:p>
            <w:pPr>
              <w:spacing w:line="240" w:lineRule="auto" w:before="0" w:after="0"/>
              <w:pStyle w:val="Compact"/>
            </w:pPr>
            <w:r>
              <w:rPr>
                <w:sz w:val="20"/>
                <w:szCs w:val="20"/>
              </w:rPr>
              <w:t xml:space="preserve">ESA Space Environment Report 2025 CDM tabulations [illustrative pc allocation]</w:t>
            </w:r>
          </w:p>
        </w:tc>
      </w:tr>
      <w:tr>
        <w:tc>
          <w:tcPr>
            <w:tcW w:w="0" w:type="auto"/>
          </w:tcPr>
          <w:p>
            <w:pPr>
              <w:spacing w:line="240" w:lineRule="auto" w:before="0" w:after="0"/>
              <w:pStyle w:val="Compact"/>
            </w:pPr>
            <w:r>
              <w:rPr>
                <w:sz w:val="20"/>
                <w:szCs w:val="20"/>
              </w:rPr>
              <w:t xml:space="preserve">E32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Tiangong</w:t>
            </w:r>
          </w:p>
        </w:tc>
        <w:tc>
          <w:tcPr>
            <w:tcW w:w="0" w:type="auto"/>
          </w:tcPr>
          <w:p>
            <w:pPr>
              <w:spacing w:line="240" w:lineRule="auto" w:before="0" w:after="0"/>
              <w:pStyle w:val="Compact"/>
            </w:pPr>
            <w:r>
              <w:rPr>
                <w:sz w:val="20"/>
                <w:szCs w:val="20"/>
              </w:rPr>
              <w:t xml:space="preserve">375-400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153</w:t>
            </w:r>
          </w:p>
        </w:tc>
        <w:tc>
          <w:tcPr>
            <w:tcW w:w="0" w:type="auto"/>
          </w:tcPr>
          <w:p>
            <w:pPr>
              <w:spacing w:line="240" w:lineRule="auto" w:before="0" w:after="0"/>
              <w:pStyle w:val="Compact"/>
            </w:pPr>
            <w:r>
              <w:rPr>
                <w:sz w:val="20"/>
                <w:szCs w:val="20"/>
              </w:rPr>
              <w:t xml:space="preserve">CMSEO Tiangong space station debris avoidance public statements 2024 [illustrative pc allocation]</w:t>
            </w:r>
          </w:p>
        </w:tc>
      </w:tr>
    </w:tbl>
    <w:bookmarkEnd w:id="90"/>
    <w:bookmarkStart w:id="9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hours_to_maneuver</w:t>
            </w:r>
          </w:p>
        </w:tc>
        <w:tc>
          <w:tcPr>
            <w:tcW w:w="0" w:type="auto"/>
          </w:tcPr>
          <w:p>
            <w:pPr>
              <w:spacing w:line="240" w:lineRule="auto" w:before="0" w:after="0"/>
              <w:pStyle w:val="Compact"/>
            </w:pPr>
            <w:r>
              <w:rPr>
                <w:sz w:val="20"/>
                <w:szCs w:val="20"/>
              </w:rPr>
              <w:t xml:space="preserve">Elapsed hours from first conjunction data message issuance for the event to executed collision-avoidance maneuver (censored at the time of closest approach if no maneuver occurred)</w:t>
            </w:r>
          </w:p>
        </w:tc>
        <w:tc>
          <w:tcPr>
            <w:tcW w:w="0" w:type="auto"/>
          </w:tcPr>
          <w:p>
            <w:pPr>
              <w:spacing w:line="240" w:lineRule="auto" w:before="0" w:after="0"/>
              <w:pStyle w:val="Compact"/>
            </w:pPr>
            <w:r>
              <w:rPr>
                <w:sz w:val="20"/>
                <w:szCs w:val="20"/>
              </w:rPr>
              <w:t xml:space="preserve">Operator-reported maneuver logs (SpaceX semi-annual constellation status filings to the United States Federal Communications Commission; NASA ISS pre-determined debris avoidance maneuver records; ESA Aeolus public statements) cross-referenced against ESA Annual Space Environment Report conjunction data message tabulations</w:t>
            </w:r>
          </w:p>
        </w:tc>
      </w:tr>
      <w:tr>
        <w:tc>
          <w:tcPr>
            <w:tcW w:w="0" w:type="auto"/>
          </w:tcPr>
          <w:p>
            <w:pPr>
              <w:spacing w:line="240" w:lineRule="auto" w:before="0" w:after="0"/>
              <w:pStyle w:val="Compact"/>
            </w:pPr>
            <w:r>
              <w:rPr>
                <w:sz w:val="20"/>
                <w:szCs w:val="20"/>
              </w:rPr>
              <w:t xml:space="preserve">maneuver_executed</w:t>
            </w:r>
          </w:p>
        </w:tc>
        <w:tc>
          <w:tcPr>
            <w:tcW w:w="0" w:type="auto"/>
          </w:tcPr>
          <w:p>
            <w:pPr>
              <w:spacing w:line="240" w:lineRule="auto" w:before="0" w:after="0"/>
              <w:pStyle w:val="Compact"/>
            </w:pPr>
            <w:r>
              <w:rPr>
                <w:sz w:val="20"/>
                <w:szCs w:val="20"/>
              </w:rPr>
              <w:t xml:space="preserve">Binary event indicator: 1 if a collision-avoidance maneuver was executed before time of closest approach, 0 if censored (no maneuver, conjunction resolved by relative geometry)</w:t>
            </w:r>
          </w:p>
        </w:tc>
        <w:tc>
          <w:tcPr>
            <w:tcW w:w="0" w:type="auto"/>
          </w:tcPr>
          <w:p>
            <w:pPr>
              <w:spacing w:line="240" w:lineRule="auto" w:before="0" w:after="0"/>
              <w:pStyle w:val="Compact"/>
            </w:pPr>
            <w:r>
              <w:rPr>
                <w:sz w:val="20"/>
                <w:szCs w:val="20"/>
              </w:rPr>
              <w:t xml:space="preserve">Same operator-reported logs and ESA Annual Space Environment Report tabulations</w:t>
            </w:r>
          </w:p>
        </w:tc>
      </w:tr>
      <w:tr>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Log base ten of the maximum collision probability reported in the conjunction screening window (higher values, less negative, indicate higher risk)</w:t>
            </w:r>
          </w:p>
        </w:tc>
        <w:tc>
          <w:tcPr>
            <w:tcW w:w="0" w:type="auto"/>
          </w:tcPr>
          <w:p>
            <w:pPr>
              <w:spacing w:line="240" w:lineRule="auto" w:before="0" w:after="0"/>
              <w:pStyle w:val="Compact"/>
            </w:pPr>
            <w:r>
              <w:rPr>
                <w:sz w:val="20"/>
                <w:szCs w:val="20"/>
              </w:rPr>
              <w:t xml:space="preserve">Operator-reported event records, partly illustrative allocations within published probability bands documented in AMOS conjunction-screening papers (Borowitz et al. 2021; Dutta et al. 2025) where the operator did not publish per-event probability values</w:t>
            </w:r>
          </w:p>
        </w:tc>
      </w:tr>
      <w:tr>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Count of active payloads in the shell altitude band at the start of the event quarter</w:t>
            </w:r>
          </w:p>
        </w:tc>
        <w:tc>
          <w:tcPr>
            <w:tcW w:w="0" w:type="auto"/>
          </w:tcPr>
          <w:p>
            <w:pPr>
              <w:spacing w:line="240" w:lineRule="auto" w:before="0" w:after="0"/>
              <w:pStyle w:val="Compact"/>
            </w:pPr>
            <w:r>
              <w:rPr>
                <w:sz w:val="20"/>
                <w:szCs w:val="20"/>
              </w:rPr>
              <w:t xml:space="preserve">ESA Annual Space Environment Report active-payload tabulations and ESA DISCOS extracts; FCC operator filings for Starlink, OneWeb, and Planet</w:t>
            </w:r>
          </w:p>
        </w:tc>
      </w:tr>
      <w:tr>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Hours from first conjunction data message issuance to predicted time of closest approach for the event</w:t>
            </w:r>
          </w:p>
        </w:tc>
        <w:tc>
          <w:tcPr>
            <w:tcW w:w="0" w:type="auto"/>
          </w:tcPr>
          <w:p>
            <w:pPr>
              <w:spacing w:line="240" w:lineRule="auto" w:before="0" w:after="0"/>
              <w:pStyle w:val="Compact"/>
            </w:pPr>
            <w:r>
              <w:rPr>
                <w:sz w:val="20"/>
                <w:szCs w:val="20"/>
              </w:rPr>
              <w:t xml:space="preserve">Operator and 18 Space Defense Squadron screening-window practice as documented in AMOS conjunction-management literature; ESA Aeolus and ISS event timelines published by the operators</w:t>
            </w:r>
          </w:p>
        </w:tc>
      </w:tr>
      <w:tr>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Quarter mean of the F10.7 cm solar radio flux, control for atmospheric-drag-driven catalog uncertainty</w:t>
            </w:r>
          </w:p>
        </w:tc>
        <w:tc>
          <w:tcPr>
            <w:tcW w:w="0" w:type="auto"/>
          </w:tcPr>
          <w:p>
            <w:pPr>
              <w:spacing w:line="240" w:lineRule="auto" w:before="0" w:after="0"/>
              <w:pStyle w:val="Compact"/>
            </w:pPr>
            <w:r>
              <w:rPr>
                <w:sz w:val="20"/>
                <w:szCs w:val="20"/>
              </w:rPr>
              <w:t xml:space="preserve">NOAA Space Weather Prediction Center F10.7 archive (swpc.noaa.gov)</w:t>
            </w:r>
          </w:p>
        </w:tc>
      </w:tr>
    </w:tbl>
    <w:bookmarkEnd w:id="91"/>
    <w:bookmarkStart w:id="9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pc_max_log10</w:t>
            </w:r>
          </w:p>
        </w:tc>
        <w:tc>
          <w:tcPr>
            <w:tcW w:w="0" w:type="auto"/>
          </w:tcPr>
          <w:p>
            <w:pPr>
              <w:spacing w:line="240" w:lineRule="auto" w:before="0" w:after="0"/>
              <w:pStyle w:val="Compact"/>
            </w:pPr>
            <w:r>
              <w:rPr>
                <w:sz w:val="20"/>
                <w:szCs w:val="20"/>
              </w:rPr>
              <w:t xml:space="preserve">4.6943</w:t>
            </w:r>
          </w:p>
        </w:tc>
        <w:tc>
          <w:tcPr>
            <w:tcW w:w="0" w:type="auto"/>
          </w:tcPr>
          <w:p>
            <w:pPr>
              <w:spacing w:line="240" w:lineRule="auto" w:before="0" w:after="0"/>
              <w:pStyle w:val="Compact"/>
            </w:pPr>
            <w:r>
              <w:rPr>
                <w:sz w:val="20"/>
                <w:szCs w:val="20"/>
              </w:rPr>
              <w:t xml:space="preserve">1.5128</w:t>
            </w:r>
          </w:p>
        </w:tc>
        <w:tc>
          <w:tcPr>
            <w:tcW w:w="0" w:type="auto"/>
          </w:tcPr>
          <w:p>
            <w:pPr>
              <w:spacing w:line="240" w:lineRule="auto" w:before="0" w:after="0"/>
              <w:pStyle w:val="Compact"/>
            </w:pPr>
            <w:r>
              <w:rPr>
                <w:sz w:val="20"/>
                <w:szCs w:val="20"/>
              </w:rPr>
              <w:t xml:space="preserve">3.1031</w:t>
            </w:r>
          </w:p>
        </w:tc>
        <w:tc>
          <w:tcPr>
            <w:tcW w:w="0" w:type="auto"/>
          </w:tcPr>
          <w:p>
            <w:pPr>
              <w:spacing w:line="240" w:lineRule="auto" w:before="0" w:after="0"/>
              <w:pStyle w:val="Compact"/>
            </w:pPr>
            <w:r>
              <w:rPr>
                <w:sz w:val="20"/>
                <w:szCs w:val="20"/>
              </w:rPr>
              <w:t xml:space="preserve">0.0019</w:t>
            </w:r>
          </w:p>
        </w:tc>
        <w:tc>
          <w:tcPr>
            <w:tcW w:w="0" w:type="auto"/>
          </w:tcPr>
          <w:p>
            <w:pPr>
              <w:spacing w:line="240" w:lineRule="auto" w:before="0" w:after="0"/>
              <w:pStyle w:val="Compact"/>
            </w:pPr>
            <w:r>
              <w:rPr>
                <w:sz w:val="20"/>
                <w:szCs w:val="20"/>
              </w:rPr>
              <w:t xml:space="preserve">[1.7293, 7.6594]</w:t>
            </w:r>
          </w:p>
        </w:tc>
        <w:tc>
          <w:tcPr>
            <w:tcW w:w="0" w:type="auto"/>
          </w:tcPr>
          <w:p>
            <w:pPr>
              <w:spacing w:line="240" w:lineRule="auto" w:before="0" w:after="0"/>
              <w:pStyle w:val="Compact"/>
            </w:pPr>
            <w:r>
              <w:rPr>
                <w:sz w:val="20"/>
                <w:szCs w:val="20"/>
              </w:rPr>
              <w:t xml:space="preserve">109.3269</w:t>
            </w:r>
          </w:p>
        </w:tc>
      </w:tr>
      <w:tr>
        <w:tc>
          <w:tcPr>
            <w:tcW w:w="0" w:type="auto"/>
          </w:tcPr>
          <w:p>
            <w:pPr>
              <w:spacing w:line="240" w:lineRule="auto" w:before="0" w:after="0"/>
              <w:pStyle w:val="Compact"/>
            </w:pPr>
            <w:r>
              <w:rPr>
                <w:sz w:val="20"/>
                <w:szCs w:val="20"/>
              </w:rPr>
              <w:t xml:space="preserve">active_objects_in_shell</w:t>
            </w:r>
          </w:p>
        </w:tc>
        <w:tc>
          <w:tcPr>
            <w:tcW w:w="0" w:type="auto"/>
          </w:tcPr>
          <w:p>
            <w:pPr>
              <w:spacing w:line="240" w:lineRule="auto" w:before="0" w:after="0"/>
              <w:pStyle w:val="Compact"/>
            </w:pPr>
            <w:r>
              <w:rPr>
                <w:sz w:val="20"/>
                <w:szCs w:val="20"/>
              </w:rPr>
              <w:t xml:space="preserve">-0.0001075</w:t>
            </w:r>
          </w:p>
        </w:tc>
        <w:tc>
          <w:tcPr>
            <w:tcW w:w="0" w:type="auto"/>
          </w:tcPr>
          <w:p>
            <w:pPr>
              <w:spacing w:line="240" w:lineRule="auto" w:before="0" w:after="0"/>
              <w:pStyle w:val="Compact"/>
            </w:pPr>
            <w:r>
              <w:rPr>
                <w:sz w:val="20"/>
                <w:szCs w:val="20"/>
              </w:rPr>
              <w:t xml:space="preserve">0.0004376</w:t>
            </w:r>
          </w:p>
        </w:tc>
        <w:tc>
          <w:tcPr>
            <w:tcW w:w="0" w:type="auto"/>
          </w:tcPr>
          <w:p>
            <w:pPr>
              <w:spacing w:line="240" w:lineRule="auto" w:before="0" w:after="0"/>
              <w:pStyle w:val="Compact"/>
            </w:pPr>
            <w:r>
              <w:rPr>
                <w:sz w:val="20"/>
                <w:szCs w:val="20"/>
              </w:rPr>
              <w:t xml:space="preserve">-0.2456</w:t>
            </w:r>
          </w:p>
        </w:tc>
        <w:tc>
          <w:tcPr>
            <w:tcW w:w="0" w:type="auto"/>
          </w:tcPr>
          <w:p>
            <w:pPr>
              <w:spacing w:line="240" w:lineRule="auto" w:before="0" w:after="0"/>
              <w:pStyle w:val="Compact"/>
            </w:pPr>
            <w:r>
              <w:rPr>
                <w:sz w:val="20"/>
                <w:szCs w:val="20"/>
              </w:rPr>
              <w:t xml:space="preserve">0.806</w:t>
            </w:r>
          </w:p>
        </w:tc>
        <w:tc>
          <w:tcPr>
            <w:tcW w:w="0" w:type="auto"/>
          </w:tcPr>
          <w:p>
            <w:pPr>
              <w:spacing w:line="240" w:lineRule="auto" w:before="0" w:after="0"/>
              <w:pStyle w:val="Compact"/>
            </w:pPr>
            <w:r>
              <w:rPr>
                <w:sz w:val="20"/>
                <w:szCs w:val="20"/>
              </w:rPr>
              <w:t xml:space="preserve">[-0.0009653, 0.0007503]</w:t>
            </w:r>
          </w:p>
        </w:tc>
        <w:tc>
          <w:tcPr>
            <w:tcW w:w="0" w:type="auto"/>
          </w:tcPr>
          <w:p>
            <w:pPr>
              <w:spacing w:line="240" w:lineRule="auto" w:before="0" w:after="0"/>
              <w:pStyle w:val="Compact"/>
            </w:pPr>
            <w:r>
              <w:rPr>
                <w:sz w:val="20"/>
                <w:szCs w:val="20"/>
              </w:rPr>
              <w:t xml:space="preserve">0.9999</w:t>
            </w:r>
          </w:p>
        </w:tc>
      </w:tr>
      <w:tr>
        <w:tc>
          <w:tcPr>
            <w:tcW w:w="0" w:type="auto"/>
          </w:tcPr>
          <w:p>
            <w:pPr>
              <w:spacing w:line="240" w:lineRule="auto" w:before="0" w:after="0"/>
              <w:pStyle w:val="Compact"/>
            </w:pPr>
            <w:r>
              <w:rPr>
                <w:sz w:val="20"/>
                <w:szCs w:val="20"/>
              </w:rPr>
              <w:t xml:space="preserve">time_to_tca_hours_at_first_cdm</w:t>
            </w:r>
          </w:p>
        </w:tc>
        <w:tc>
          <w:tcPr>
            <w:tcW w:w="0" w:type="auto"/>
          </w:tcPr>
          <w:p>
            <w:pPr>
              <w:spacing w:line="240" w:lineRule="auto" w:before="0" w:after="0"/>
              <w:pStyle w:val="Compact"/>
            </w:pPr>
            <w:r>
              <w:rPr>
                <w:sz w:val="20"/>
                <w:szCs w:val="20"/>
              </w:rPr>
              <w:t xml:space="preserve">-0.0223</w:t>
            </w:r>
          </w:p>
        </w:tc>
        <w:tc>
          <w:tcPr>
            <w:tcW w:w="0" w:type="auto"/>
          </w:tcPr>
          <w:p>
            <w:pPr>
              <w:spacing w:line="240" w:lineRule="auto" w:before="0" w:after="0"/>
              <w:pStyle w:val="Compact"/>
            </w:pPr>
            <w:r>
              <w:rPr>
                <w:sz w:val="20"/>
                <w:szCs w:val="20"/>
              </w:rPr>
              <w:t xml:space="preserve">0.0301</w:t>
            </w:r>
          </w:p>
        </w:tc>
        <w:tc>
          <w:tcPr>
            <w:tcW w:w="0" w:type="auto"/>
          </w:tcPr>
          <w:p>
            <w:pPr>
              <w:spacing w:line="240" w:lineRule="auto" w:before="0" w:after="0"/>
              <w:pStyle w:val="Compact"/>
            </w:pPr>
            <w:r>
              <w:rPr>
                <w:sz w:val="20"/>
                <w:szCs w:val="20"/>
              </w:rPr>
              <w:t xml:space="preserve">-0.7397</w:t>
            </w:r>
          </w:p>
        </w:tc>
        <w:tc>
          <w:tcPr>
            <w:tcW w:w="0" w:type="auto"/>
          </w:tcPr>
          <w:p>
            <w:pPr>
              <w:spacing w:line="240" w:lineRule="auto" w:before="0" w:after="0"/>
              <w:pStyle w:val="Compact"/>
            </w:pPr>
            <w:r>
              <w:rPr>
                <w:sz w:val="20"/>
                <w:szCs w:val="20"/>
              </w:rPr>
              <w:t xml:space="preserve">0.4595</w:t>
            </w:r>
          </w:p>
        </w:tc>
        <w:tc>
          <w:tcPr>
            <w:tcW w:w="0" w:type="auto"/>
          </w:tcPr>
          <w:p>
            <w:pPr>
              <w:spacing w:line="240" w:lineRule="auto" w:before="0" w:after="0"/>
              <w:pStyle w:val="Compact"/>
            </w:pPr>
            <w:r>
              <w:rPr>
                <w:sz w:val="20"/>
                <w:szCs w:val="20"/>
              </w:rPr>
              <w:t xml:space="preserve">[-0.0813, 0.0368]</w:t>
            </w:r>
          </w:p>
        </w:tc>
        <w:tc>
          <w:tcPr>
            <w:tcW w:w="0" w:type="auto"/>
          </w:tcPr>
          <w:p>
            <w:pPr>
              <w:spacing w:line="240" w:lineRule="auto" w:before="0" w:after="0"/>
              <w:pStyle w:val="Compact"/>
            </w:pPr>
            <w:r>
              <w:rPr>
                <w:sz w:val="20"/>
                <w:szCs w:val="20"/>
              </w:rPr>
              <w:t xml:space="preserve">0.978</w:t>
            </w:r>
          </w:p>
        </w:tc>
      </w:tr>
      <w:tr>
        <w:tc>
          <w:tcPr>
            <w:tcW w:w="0" w:type="auto"/>
          </w:tcPr>
          <w:p>
            <w:pPr>
              <w:spacing w:line="240" w:lineRule="auto" w:before="0" w:after="0"/>
              <w:pStyle w:val="Compact"/>
            </w:pPr>
            <w:r>
              <w:rPr>
                <w:sz w:val="20"/>
                <w:szCs w:val="20"/>
              </w:rPr>
              <w:t xml:space="preserve">solar_f107</w:t>
            </w:r>
          </w:p>
        </w:tc>
        <w:tc>
          <w:tcPr>
            <w:tcW w:w="0" w:type="auto"/>
          </w:tcPr>
          <w:p>
            <w:pPr>
              <w:spacing w:line="240" w:lineRule="auto" w:before="0" w:after="0"/>
              <w:pStyle w:val="Compact"/>
            </w:pPr>
            <w:r>
              <w:rPr>
                <w:sz w:val="20"/>
                <w:szCs w:val="20"/>
              </w:rPr>
              <w:t xml:space="preserve">0.0168</w:t>
            </w:r>
          </w:p>
        </w:tc>
        <w:tc>
          <w:tcPr>
            <w:tcW w:w="0" w:type="auto"/>
          </w:tcPr>
          <w:p>
            <w:pPr>
              <w:spacing w:line="240" w:lineRule="auto" w:before="0" w:after="0"/>
              <w:pStyle w:val="Compact"/>
            </w:pPr>
            <w:r>
              <w:rPr>
                <w:sz w:val="20"/>
                <w:szCs w:val="20"/>
              </w:rPr>
              <w:t xml:space="preserve">0.0101</w:t>
            </w:r>
          </w:p>
        </w:tc>
        <w:tc>
          <w:tcPr>
            <w:tcW w:w="0" w:type="auto"/>
          </w:tcPr>
          <w:p>
            <w:pPr>
              <w:spacing w:line="240" w:lineRule="auto" w:before="0" w:after="0"/>
              <w:pStyle w:val="Compact"/>
            </w:pPr>
            <w:r>
              <w:rPr>
                <w:sz w:val="20"/>
                <w:szCs w:val="20"/>
              </w:rPr>
              <w:t xml:space="preserve">1.6613</w:t>
            </w:r>
          </w:p>
        </w:tc>
        <w:tc>
          <w:tcPr>
            <w:tcW w:w="0" w:type="auto"/>
          </w:tcPr>
          <w:p>
            <w:pPr>
              <w:spacing w:line="240" w:lineRule="auto" w:before="0" w:after="0"/>
              <w:pStyle w:val="Compact"/>
            </w:pPr>
            <w:r>
              <w:rPr>
                <w:sz w:val="20"/>
                <w:szCs w:val="20"/>
              </w:rPr>
              <w:t xml:space="preserve">0.0966</w:t>
            </w:r>
          </w:p>
        </w:tc>
        <w:tc>
          <w:tcPr>
            <w:tcW w:w="0" w:type="auto"/>
          </w:tcPr>
          <w:p>
            <w:pPr>
              <w:spacing w:line="240" w:lineRule="auto" w:before="0" w:after="0"/>
              <w:pStyle w:val="Compact"/>
            </w:pPr>
            <w:r>
              <w:rPr>
                <w:sz w:val="20"/>
                <w:szCs w:val="20"/>
              </w:rPr>
              <w:t xml:space="preserve">[-0.003, 0.0366]</w:t>
            </w:r>
          </w:p>
        </w:tc>
        <w:tc>
          <w:tcPr>
            <w:tcW w:w="0" w:type="auto"/>
          </w:tcPr>
          <w:p>
            <w:pPr>
              <w:spacing w:line="240" w:lineRule="auto" w:before="0" w:after="0"/>
              <w:pStyle w:val="Compact"/>
            </w:pPr>
            <w:r>
              <w:rPr>
                <w:sz w:val="20"/>
                <w:szCs w:val="20"/>
              </w:rPr>
              <w:t xml:space="preserve">1.0169</w:t>
            </w:r>
          </w:p>
        </w:tc>
      </w:tr>
    </w:tbl>
    <w:p>
      <w:pPr>
        <w:pStyle w:val="BodyText"/>
      </w:pPr>
      <w:r>
        <w:t xml:space="preserve">Fit: N = 32 events = 25</w:t>
      </w:r>
    </w:p>
    <w:bookmarkEnd w:id="92"/>
    <w:bookmarkEnd w:id="93"/>
    <w:bookmarkEnd w:id="9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6" Target="media/rId86.png" /><Relationship Type="http://schemas.openxmlformats.org/officeDocument/2006/relationships/hyperlink" Id="rId70" Target="https://doi.org/10.1016/j.actaastro.2025.01.069" TargetMode="External" /><Relationship Type="http://schemas.openxmlformats.org/officeDocument/2006/relationships/hyperlink" Id="rId79" Target="https://doi.org/10.64861/CKGQ5448" TargetMode="External" /><Relationship Type="http://schemas.openxmlformats.org/officeDocument/2006/relationships/hyperlink" Id="rId75" Target="https://doi.org/10.64861/EOSO6202" TargetMode="External" /><Relationship Type="http://schemas.openxmlformats.org/officeDocument/2006/relationships/hyperlink" Id="rId68" Target="https://doi.org/10.64861/HHTZ5027" TargetMode="External" /><Relationship Type="http://schemas.openxmlformats.org/officeDocument/2006/relationships/hyperlink" Id="rId77" Target="https://doi.org/10.64861/OHST9432" TargetMode="External" /></Relationships>
</file>

<file path=word/_rels/footnotes.xml.rels><?xml version="1.0" encoding="UTF-8"?><Relationships xmlns="http://schemas.openxmlformats.org/package/2006/relationships"><Relationship Type="http://schemas.openxmlformats.org/officeDocument/2006/relationships/hyperlink" Id="rId70" Target="https://doi.org/10.1016/j.actaastro.2025.01.069" TargetMode="External" /><Relationship Type="http://schemas.openxmlformats.org/officeDocument/2006/relationships/hyperlink" Id="rId79" Target="https://doi.org/10.64861/CKGQ5448" TargetMode="External" /><Relationship Type="http://schemas.openxmlformats.org/officeDocument/2006/relationships/hyperlink" Id="rId75" Target="https://doi.org/10.64861/EOSO6202" TargetMode="External" /><Relationship Type="http://schemas.openxmlformats.org/officeDocument/2006/relationships/hyperlink" Id="rId68" Target="https://doi.org/10.64861/HHTZ5027" TargetMode="External" /><Relationship Type="http://schemas.openxmlformats.org/officeDocument/2006/relationships/hyperlink" Id="rId77" Target="https://doi.org/10.64861/OHST94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2026-06-27T00:26:37Z</dcterms:created>
  <dcterms:modified xsi:type="dcterms:W3CDTF">2026-06-27T00:26:37Z</dcterms:modified>
</cp:coreProperties>
</file>

<file path=docProps/custom.xml><?xml version="1.0" encoding="utf-8"?>
<Properties xmlns="http://schemas.openxmlformats.org/officeDocument/2006/custom-properties" xmlns:vt="http://schemas.openxmlformats.org/officeDocument/2006/docPropsVTypes"/>
</file>