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PRICING THE COMMONS: CONSTRUCTING AN EMPIRICAL CONGESTION-COST CURVE FOR PRIORITY RIGHT-OF-WAY IN LOW EARTH ORBIT</w:t>
      </w:r>
    </w:p>
    <w:p>
      <w:pPr>
        <w:jc w:val="center"/>
      </w:pPr>
    </w:p>
    <w:p>
      <w:pPr>
        <w:jc w:val="center"/>
      </w:pPr>
      <w:r>
        <w:rPr>
          <w:rFonts w:ascii="Times New Roman" w:hAnsi="Times New Roman"/>
          <w:sz w:val="24"/>
        </w:rPr>
        <w:t>by</w:t>
      </w:r>
    </w:p>
    <w:p>
      <w:pPr>
        <w:jc w:val="center"/>
      </w:pPr>
      <w:r>
        <w:rPr>
          <w:rFonts w:ascii="Times New Roman" w:hAnsi="Times New Roman"/>
          <w:b/>
          <w:sz w:val="28"/>
        </w:rPr>
        <w:t>Marcus Halloran</w:t>
      </w:r>
    </w:p>
    <w:p>
      <w:pPr>
        <w:jc w:val="center"/>
      </w:pPr>
      <w:r>
        <w:rPr>
          <w:rFonts w:ascii="Times New Roman" w:hAnsi="Times New Roman"/>
          <w:sz w:val="24"/>
        </w:rPr>
        <w:t>1B-SDA-103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Low Earth orbit is a commons whose marginal cost has never been measured. Every active payload added to a populated shell extracts a small but real safety margin from every other payload already in residence, and that margin is paid back in three currencies: propellant expended on collision-avoidance maneuvers, operator labor consumed by the conjunction-screening cycle, and mission availability lost to off-nominal pointing and downlink interruptions during avoidance burns [1, 4, 6]. The first currency is an engineering quantity that the operations literature has documented at increasing fidelity for more than a decade [4, 5, 7]. The second and third are observable in operator filings and in the conjunction data message stream issued by the United States Space Force [9, 11]. None of these have been combined into a calibrated price.</w:t>
      </w:r>
    </w:p>
    <w:p>
      <w:pPr>
        <w:pStyle w:val="BodyText"/>
        <w:spacing w:line="480" w:lineRule="auto"/>
        <w:ind w:firstLine="720"/>
      </w:pPr>
      <w:r>
        <w:t xml:space="preserve">That absence is the problem. Policy scholars have named the externality, has called for capacity management, and has proposed orbital-use fees that, under standard welfare assumptions, would more than quadruple the realized value of the space industry by internalizing the collision-risk and debris-generation externalities operators currently impose on one another [3, 16]. Each of these prescriptions presumes a marginal social-cost schedule that does not yet exist in the published record. The economics literature gestures at the schedule’s existence and proposes mechanisms that would clear it [3, 16, 27]. The capacity-management literature formalizes the engineering and operational quantities that the schedule would have to respect, but stops short of expressing those quantities in price terms [2, 8]. The operations literature documents the per-event cost of avoidance with rising precision, but does not aggregate per-event observations into a population-level marginal externality [1, 4, 5, 6, 7, 9]. Three strands of inquiry have grown up beside one another, and the gap between them is precisely the gap that has prevented any defensible Pigouvian instrument from being designed, debated, or implemented.</w:t>
      </w:r>
    </w:p>
    <w:p>
      <w:pPr>
        <w:pStyle w:val="BodyText"/>
        <w:spacing w:line="480" w:lineRule="auto"/>
        <w:ind w:firstLine="720"/>
      </w:pPr>
      <w:r>
        <w:t xml:space="preserve">The thesis of this dissertation is that the gap is now closable. Conjunction data messages are issued in a standardized format at high cadence by the 18th Space Defense Squadron. Operator-reported maneuver counts are public for the largest constellations through filings with the United States Federal Communications Commission</w:t>
      </w:r>
      <w:r>
        <w:t xml:space="preserve"> </w:t>
      </w:r>
      <w:hyperlink w:anchor="ref-11">
        <w:r>
          <w:rPr>
            <w:rStyle w:val="Hyperlink"/>
          </w:rPr>
          <w:t xml:space="preserve">[11]</w:t>
        </w:r>
      </w:hyperlink>
      <w:r>
        <w:t xml:space="preserve">. Independent active-object catalogs and avoidance-event tallies are published annually by the European Space Agency Space Debris Office [12, 17]. The atmospheric driver of catalog uncertainty is recorded continuously by the National Oceanic and Atmospheric Administration Space Weather Prediction Center</w:t>
      </w:r>
      <w:r>
        <w:t xml:space="preserve"> </w:t>
      </w:r>
      <w:hyperlink w:anchor="ref-14">
        <w:r>
          <w:rPr>
            <w:rStyle w:val="Hyperlink"/>
          </w:rPr>
          <w:t xml:space="preserve">[14]</w:t>
        </w:r>
      </w:hyperlink>
      <w:r>
        <w:t xml:space="preserve">. The engineering conversion from screened conjunction event to executed delta-v expenditure is documented in the coordinated-maneuver and decision-support literature with sufficient resolution to support quantitative translation [4, 5, 7]. The inputs required to estimate a marginal social-cost curve for the LEO commons are, for the first time, observable at scale. The dissertation builds the curve.</w:t>
      </w:r>
    </w:p>
    <w:bookmarkEnd w:id="61"/>
    <w:bookmarkStart w:id="62" w:name="X75239aac2e8b9e214a46c3a6161f02e737ac065"/>
    <w:p>
      <w:pPr>
        <w:pStyle w:val="Heading2"/>
        <w:spacing w:line="480" w:lineRule="auto"/>
      </w:pPr>
      <w:r>
        <w:t xml:space="preserve">1.2 Stakes for NASA and the Jet Propulsion Laboratory</w:t>
      </w:r>
    </w:p>
    <w:p>
      <w:pPr>
        <w:pStyle w:val="FirstParagraph"/>
        <w:spacing w:line="480" w:lineRule="auto"/>
      </w:pPr>
      <w:r>
        <w:t xml:space="preserve">The stakes for the United States civil space enterprise, and in particular for the National Aeronautics and Space Administration and for the Jet Propulsion Laboratory as its principal flight-system development partner, are not abstract. NASA owns and operates the International Space Station, conducts pre-determined debris avoidance maneuvers on it under conditions documented in the public record, and bears the propellant and crew-time consequences of every such maneuver. NASA also owns and operates a fleet of Earth-observing missions in the most heavily populated altitude bands, in which the per-quarter rate of conjunction data message receipt has risen with the deployment of large commercial constellations over the 2019 through 2025 sample window [11, 12]. The Government Accountability Office has tracked NASA’s major project portfolio under conditions of rising operational complexity, and its periodic status reports demonstrate that program cost and schedule margins are sensitive to operational disturbances that propagate through the development-to-flight pipeline</w:t>
      </w:r>
      <w:r>
        <w:t xml:space="preserve"> </w:t>
      </w:r>
      <w:hyperlink w:anchor="ref-13">
        <w:r>
          <w:rPr>
            <w:rStyle w:val="Hyperlink"/>
          </w:rPr>
          <w:t xml:space="preserve">[13]</w:t>
        </w:r>
      </w:hyperlink>
      <w:r>
        <w:t xml:space="preserve">. An empirical congestion-cost curve is therefore not a tool of academic interest only; it is an instrument by which NASA can quantify the implicit subsidy that incumbent missions extend to marginal entrants every time the conjunction screening system flags an event involving a NASA spacecraft and a non-cooperative or under-cooperative third party.</w:t>
      </w:r>
    </w:p>
    <w:p>
      <w:pPr>
        <w:pStyle w:val="BodyText"/>
        <w:spacing w:line="480" w:lineRule="auto"/>
        <w:ind w:firstLine="720"/>
      </w:pPr>
      <w:r>
        <w:t xml:space="preserve">The Jet Propulsion Laboratory’s stake is parallel and complementary. JPL designs and operates the flight systems most affected by long-duration mission-availability constraints, and its trajectory designers, navigation engineers, and mission operations staff are precisely the population whose labor and propellant the externality consumes. JPL is also the institution with the deepest analytical capacity in the federally funded research and development center ecosystem for translating engineering observations into trajectory-level cost accountings. A defensible price for orbital priority right-of-way provides JPL with a quantitative lever that is currently missing from the conversation between the laboratory and its mission directorates: a way to express, in dollars or in delta-v, the cost of operating in a shell whose density has been allowed to rise without internalization, and a way to express, symmetrically, the value that JPL-designed avoidance algorithms create when they reduce the burn budget required to maintain a target collision probability [4, 7].</w:t>
      </w:r>
    </w:p>
    <w:p>
      <w:pPr>
        <w:pStyle w:val="BodyText"/>
        <w:spacing w:line="480" w:lineRule="auto"/>
        <w:ind w:firstLine="720"/>
      </w:pPr>
      <w:r>
        <w:t xml:space="preserve">The third institutional stakeholder is the broader civil and commercial space community whose welfare is the subject of the economics literature on the orbital commons [3, 16, 27, 28]. The proposed orbital-use fees would, under standard welfare calculus, raise the value of the industry by internalizing congestion and debris externalities, but the fee instrument that achieves the welfare gain must be set at the marginal social cost of the externality, and that cost has not been estimated. The contribution proposed here is therefore a contribution to the design space of every orbital-use-fee, priority-right-of-way, or coordinated-maneuver-guideline proposal in the public record [2, 6, 9]. The same estimate that quantifies the implicit subsidy NASA extends quantifies the implicit transfer that any future fee instrument would correct.</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The gap that this dissertation addresses is methodological as well as substantive. The domain literature on orbital congestion, in both its policy and its operations strands, has been written largely from inside the engineering tradition, in which the natural unit of analysis is the spacecraft, the maneuver, or the catalog snapshot, and in which causal language is reserved for physical mechanisms. The econometric method literature, by contrast, supplies a set of identification strategies, panel and survival estimators, and welfare-calculus translations that the domain literature has not yet adopted at the scale this problem requires. The dissertation argues that the closure of the gap depends on importing the second tradition into the first.</w:t>
      </w:r>
    </w:p>
    <w:p>
      <w:pPr>
        <w:pStyle w:val="BodyText"/>
        <w:spacing w:line="480" w:lineRule="auto"/>
        <w:ind w:firstLine="720"/>
      </w:pPr>
      <w:r>
        <w:t xml:space="preserve">Specifically, three method imports are required. The first is the use of panel fixed-effects estimators at the shell-quarter level, which absorb time-invariant shell heterogeneity and time-invariant operator-fleet characteristics, isolating the variation in the marginal cost that arises from changes in shell density rather than from the cross-section of shells. The capacity-management literature has come close to this structure but has stopped at descriptive indicator families rather than estimated coefficients [2, 8]. The second is the use of survival, and in particular Cox proportional-hazards, estimators to model the time from first conjunction data message to executed maneuver, which is the cleanest available quantitative trace of how operators actually price risk into the avoidance decision</w:t>
      </w:r>
      <w:r>
        <w:t xml:space="preserve"> </w:t>
      </w:r>
      <w:hyperlink w:anchor="ref-15">
        <w:r>
          <w:rPr>
            <w:rStyle w:val="Hyperlink"/>
          </w:rPr>
          <w:t xml:space="preserve">[15]</w:t>
        </w:r>
      </w:hyperlink>
      <w:r>
        <w:t xml:space="preserve">. The operations literature documents the inputs to this decision but has not run the estimator on the public record. The third is the use of instrumental-variables specifications, with launch-manifest commitments as instruments for current-period density, to address the endogeneity that arises if operators select uncongested shells in anticipation of future congestion. Each of these three imports is standard in applied econometrics, and each is conspicuously absent from the orbital-congestion literature.</w:t>
      </w:r>
    </w:p>
    <w:p>
      <w:pPr>
        <w:pStyle w:val="BodyText"/>
        <w:spacing w:line="480" w:lineRule="auto"/>
        <w:ind w:firstLine="720"/>
      </w:pPr>
      <w:r>
        <w:t xml:space="preserve">The reverse direction of import is equally consequential. The econometric method literature on commons and congestion externalities has been written largely in the context of terrestrial resources, where the marginal-entry decision is observable and the avoidance technology is known. Orbit is unusual in that the avoidance technology is itself the trace from which the marginal cost is recovered: the executed maneuver is simultaneously the cost paid and the data point that reveals the price. This inversion has implications for the econometric specification, in particular for the treatment of selection on observed conjunction data messages and for the interpretation of operator heterogeneity as a fixed-effect rather than a control-variable problem [1, 4]. The dissertation contributes to the methodological literature by making this inversion explicit and by reporting the specifications under which the inversion holds.</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this dissertation offers is one estimate, expressed as a single falsifiable proposition.</w:t>
      </w:r>
    </w:p>
    <w:p>
      <w:pPr>
        <w:pStyle w:val="BodyText"/>
        <w:spacing w:line="480" w:lineRule="auto"/>
        <w:ind w:firstLine="720"/>
      </w:pPr>
      <w:r>
        <w:rPr>
          <w:b/>
          <w:bCs/>
        </w:rPr>
        <w:t xml:space="preserve">Proposition.</w:t>
      </w:r>
      <w:r>
        <w:t xml:space="preserve"> </w:t>
      </w:r>
      <w:r>
        <w:t xml:space="preserve">The marginal social cost of an additional active object in a populated low Earth orbit shell, measured as the expected incremental delta-v expenditure by incumbent operators per quarter holding constant shell altitude, inclination band, solar activity, and operator-fleet composition, is strictly positive at observed shell densities; is monotonically non-decreasing in shell active-object density above a threshold density to be estimated from the data; and is, at observed densities in the most populated shells during the 2019 through 2025 sample period, large enough to justify a non-zero Pigouvian right-of-way fee under a transparently stated set of welfare assumptions consistent with the economics literature [3, 16, 27].</w:t>
      </w:r>
    </w:p>
    <w:p>
      <w:pPr>
        <w:pStyle w:val="BodyText"/>
        <w:spacing w:line="480" w:lineRule="auto"/>
        <w:ind w:firstLine="720"/>
      </w:pPr>
      <w:r>
        <w:t xml:space="preserve">The proposition is falsifiable in three distinct ways. A credibly identified null estimate of the partial derivative of incumbent delta-v expenditure with respect to shell density, with a confidence interval that covers zero under both the panel fixed-effects and the instrumental-variables specification, would refute the first clause. A monotonically decreasing or non-monotone estimated cost curve, after the threshold density is estimated, would refute the second clause. A welfare integration that returns a fee bounded above by deadweight loss under any reasonable assumption about the elasticity of demand for orbital access would refute the third clause</w:t>
      </w:r>
      <w:r>
        <w:t xml:space="preserve"> </w:t>
      </w:r>
      <w:hyperlink w:anchor="ref-3">
        <w:r>
          <w:rPr>
            <w:rStyle w:val="Hyperlink"/>
          </w:rPr>
          <w:t xml:space="preserve">[3]</w:t>
        </w:r>
      </w:hyperlink>
      <w:r>
        <w:t xml:space="preserve">. The estimate is therefore not a thesis statement of the conventional kind; it is a measurement that can be rejected by a sufficiently careful replication, and that asks to be rejected on those terms if the data do not support it.</w:t>
      </w:r>
    </w:p>
    <w:p>
      <w:pPr>
        <w:pStyle w:val="BodyText"/>
        <w:spacing w:line="480" w:lineRule="auto"/>
        <w:ind w:firstLine="720"/>
      </w:pPr>
      <w:r>
        <w:t xml:space="preserve">The proposition is also disciplined in what it does not claim. It does not claim a unique fee schedule. It does not claim that the estimated cost curve is invariant to the operator-fleet composition observed in the sample window. It does not claim that the welfare integration generalizes outside the welfare assumptions under which it is reported. It claims one estimate, derived from named public sources, under stated identification assumptions, and reported with the sensitivity of every downstream quantity to every assumption made along the way.</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in six further chapters. Chapter 2 reviews the three strands of literature whose intersection the contribution occupies. It treats the economics literature on the orbital commons, beginning with the proposition that orbit is a congestible common-pool resource [3, 16] and continuing through the formal treatment of congestion taxation in the space commons</w:t>
      </w:r>
      <w:r>
        <w:t xml:space="preserve"> </w:t>
      </w:r>
      <w:hyperlink w:anchor="ref-27">
        <w:r>
          <w:rPr>
            <w:rStyle w:val="Hyperlink"/>
          </w:rPr>
          <w:t xml:space="preserve">[27]</w:t>
        </w:r>
      </w:hyperlink>
      <w:r>
        <w:t xml:space="preserve">, the evaluation of potential space-resources markets</w:t>
      </w:r>
      <w:r>
        <w:t xml:space="preserve"> </w:t>
      </w:r>
      <w:hyperlink w:anchor="ref-28">
        <w:r>
          <w:rPr>
            <w:rStyle w:val="Hyperlink"/>
          </w:rPr>
          <w:t xml:space="preserve">[28]</w:t>
        </w:r>
      </w:hyperlink>
      <w:r>
        <w:t xml:space="preserve">, the economic value analysis of on-orbit servicing for geosynchronous communication satellites</w:t>
      </w:r>
      <w:r>
        <w:t xml:space="preserve"> </w:t>
      </w:r>
      <w:hyperlink w:anchor="ref-29">
        <w:r>
          <w:rPr>
            <w:rStyle w:val="Hyperlink"/>
          </w:rPr>
          <w:t xml:space="preserve">[29]</w:t>
        </w:r>
      </w:hyperlink>
      <w:r>
        <w:t xml:space="preserve">, and the broader treatment of the new-space transition [30, 31]. It treats the capacity-management literature, in particular the formal account of the interaction between space capacity management and space traffic management and its proposed indicator families for orbit carrying capacity [2, 8]. It treats the operations literature on collision avoidance, including the per-event documentation of risk-metric thresholds, fuel cost, and lead time [1, 4, 5, 6, 7, 9], the broader system-of-systems treatment of autonomy and policy co-design</w:t>
      </w:r>
      <w:r>
        <w:t xml:space="preserve"> </w:t>
      </w:r>
      <w:hyperlink w:anchor="ref-10">
        <w:r>
          <w:rPr>
            <w:rStyle w:val="Hyperlink"/>
          </w:rPr>
          <w:t xml:space="preserve">[10]</w:t>
        </w:r>
      </w:hyperlink>
      <w:r>
        <w:t xml:space="preserve">, and the related work on the future risk environment in adjacent regimes</w:t>
      </w:r>
      <w:r>
        <w:t xml:space="preserve"> </w:t>
      </w:r>
      <w:hyperlink w:anchor="ref-18">
        <w:r>
          <w:rPr>
            <w:rStyle w:val="Hyperlink"/>
          </w:rPr>
          <w:t xml:space="preserve">[18]</w:t>
        </w:r>
      </w:hyperlink>
      <w:r>
        <w:t xml:space="preserve">. The chapter closes with a synthesis of the three strands that locates the contribution at their intersection and identifies the specific bridge the dissertation is building.</w:t>
      </w:r>
    </w:p>
    <w:p>
      <w:pPr>
        <w:pStyle w:val="BodyText"/>
        <w:spacing w:line="480" w:lineRule="auto"/>
        <w:ind w:firstLine="720"/>
      </w:pPr>
      <w:r>
        <w:t xml:space="preserve">Chapter 3 develops the theoretical framework. It formalizes the orbital commons as a congestion externality in which the marginal entrant imposes a cost on incumbent operators that the entrant does not pay [3, 16, 27]. It derives the marginal social-cost schedule that an internalizing fee instrument would require [3, 27]. It connects the schedule to the operator decision documented in the operations literature by showing that, under standard assumptions about operator behavior under collision-probability thresholds [4, 7], the executed avoidance maneuver is the revealed shadow price of the externality. The chapter closes with the derivation of the panel and survival specifications that recover the schedule from observed maneuver behavior and with an explicit statement of the welfare assumptions under which the schedule translates into a fee.</w:t>
      </w:r>
    </w:p>
    <w:p>
      <w:pPr>
        <w:pStyle w:val="BodyText"/>
        <w:spacing w:line="480" w:lineRule="auto"/>
        <w:ind w:firstLine="720"/>
      </w:pPr>
      <w:r>
        <w:t xml:space="preserve">Chapter 4 describes the data. It documents the conjunction data message record issued by the 18th Space Defense Squadron, the operator-reported maneuver logs filed with the Federal Communications Commission</w:t>
      </w:r>
      <w:r>
        <w:t xml:space="preserve"> </w:t>
      </w:r>
      <w:hyperlink w:anchor="ref-11">
        <w:r>
          <w:rPr>
            <w:rStyle w:val="Hyperlink"/>
          </w:rPr>
          <w:t xml:space="preserve">[11]</w:t>
        </w:r>
      </w:hyperlink>
      <w:r>
        <w:t xml:space="preserve">, the European Space Agency Space Environment Reports and DISCOS catalog [12, 17], the NOAA Space Weather Prediction Center solar-flux archive</w:t>
      </w:r>
      <w:r>
        <w:t xml:space="preserve"> </w:t>
      </w:r>
      <w:hyperlink w:anchor="ref-14">
        <w:r>
          <w:rPr>
            <w:rStyle w:val="Hyperlink"/>
          </w:rPr>
          <w:t xml:space="preserve">[14]</w:t>
        </w:r>
      </w:hyperlink>
      <w:r>
        <w:t xml:space="preserve">, and the Government Accountability Office NASA Major Projects status reports</w:t>
      </w:r>
      <w:r>
        <w:t xml:space="preserve"> </w:t>
      </w:r>
      <w:hyperlink w:anchor="ref-13">
        <w:r>
          <w:rPr>
            <w:rStyle w:val="Hyperlink"/>
          </w:rPr>
          <w:t xml:space="preserve">[13]</w:t>
        </w:r>
      </w:hyperlink>
      <w:r>
        <w:t xml:space="preserve">. It states the inclusion and exclusion criteria for the estimating sample, the variables constructed from each source, the cross-checks performed between sources, and the data-provenance rules under which no synthetic, simulated, or unattributed observation enters the analysis.</w:t>
      </w:r>
    </w:p>
    <w:p>
      <w:pPr>
        <w:pStyle w:val="BodyText"/>
        <w:spacing w:line="480" w:lineRule="auto"/>
        <w:ind w:firstLine="720"/>
      </w:pPr>
      <w:r>
        <w:t xml:space="preserve">Chapter 5 presents the estimation strategy and the results. It reports the shell-quarter panel fixed-effects estimate of the marginal cost of an additional active object, the Cox proportional-hazards estimate of the conjunction-to-maneuver decision</w:t>
      </w:r>
      <w:r>
        <w:t xml:space="preserve"> </w:t>
      </w:r>
      <w:hyperlink w:anchor="ref-15">
        <w:r>
          <w:rPr>
            <w:rStyle w:val="Hyperlink"/>
          </w:rPr>
          <w:t xml:space="preserve">[15]</w:t>
        </w:r>
      </w:hyperlink>
      <w:r>
        <w:t xml:space="preserve">, and the instrumental-variables robustness specification using launch-manifest commitments as the instrument for current-period density. It then reports the combined marginal social-cost schedule, the welfare integration under a transparent set of assumptions [3, 16, 27], and the sensitivity of the implied fee to each assumption.</w:t>
      </w:r>
    </w:p>
    <w:p>
      <w:pPr>
        <w:pStyle w:val="BodyText"/>
        <w:spacing w:line="480" w:lineRule="auto"/>
        <w:ind w:firstLine="720"/>
      </w:pPr>
      <w:r>
        <w:t xml:space="preserve">Chapter 6 discusses threats to validity. It treats selection on observed conjunction data messages, operator heterogeneity in maneuver policy, the exogeneity of entry into populated shells, the welfare-calculus extrapolation, and the generalizability of the estimated schedule beyond the 2019 through 2025 sample window. It reports the robustness specifications under which each threat is mitigated and the residual uncertainty that remains.</w:t>
      </w:r>
    </w:p>
    <w:p>
      <w:pPr>
        <w:pStyle w:val="BodyText"/>
        <w:spacing w:line="480" w:lineRule="auto"/>
        <w:ind w:firstLine="720"/>
      </w:pPr>
      <w:r>
        <w:t xml:space="preserve">Chapter 7 concludes. It summarizes the estimated cost curve, the implied Pigouvian fee schedule, and the sensitivity bands around both. It states the implications for NASA’s operational portfolio, for JPL’s mission-design and navigation work, and for the broader policy conversation about orbital-use fees, capacity management, and priority right-of-way assignment [2, 3, 6, 9, 16]. It identifies the further work that the contribution invites, including the extension of the framework to geosynchronous and cislunar regimes [18, 20, 21, 22], the integration of the estimate with system-of-systems analyses of future space traffic management autonomy</w:t>
      </w:r>
      <w:r>
        <w:t xml:space="preserve"> </w:t>
      </w:r>
      <w:hyperlink w:anchor="ref-10">
        <w:r>
          <w:rPr>
            <w:rStyle w:val="Hyperlink"/>
          </w:rPr>
          <w:t xml:space="preserve">[10]</w:t>
        </w:r>
      </w:hyperlink>
      <w:r>
        <w:t xml:space="preserve">, and the eventual incorporation of the estimate into the design of an operational priority-right-of-way assignment instrument that the United States civil space community can defend, contest, and refine on empirical rather than rhetorical grounds.</w:t>
      </w:r>
    </w:p>
    <w:p>
      <w:pPr>
        <w:pStyle w:val="BodyText"/>
        <w:spacing w:line="480" w:lineRule="auto"/>
        <w:ind w:firstLine="720"/>
      </w:pPr>
      <w:r>
        <w:t xml:space="preserve">The dissertation is, in short, an effort to convert observable operator behavior into a defensible price for orbital priority right-of-way. The price is one number, surrounded by stated assumptions and bounded by reported sensitivities. It is a number whose absence has, until now, prevented the policy conversation from progressing past the stage at which the externality was named. The contribution is to supply the number, on terms that can be rejected if the data do not support them.</w:t>
      </w:r>
    </w:p>
    <w:bookmarkEnd w:id="65"/>
    <w:bookmarkEnd w:id="66"/>
    <w:bookmarkStart w:id="79" w:name="chapter-2.-literature-review"/>
    <w:p>
      <w:pPr>
        <w:pStyle w:val="Heading1"/>
        <w:spacing w:line="480" w:lineRule="auto"/>
      </w:pPr>
      <w:r>
        <w:t xml:space="preserve">Chapter 2. Literature Review</w:t>
      </w:r>
    </w:p>
    <w:bookmarkStart w:id="67" w:name="Xd9118242323f624773c77b8f79c9055f8660029"/>
    <w:p>
      <w:pPr>
        <w:pStyle w:val="Heading2"/>
        <w:spacing w:line="480" w:lineRule="auto"/>
      </w:pPr>
      <w:r>
        <w:t xml:space="preserve">2.1 Introduction and Architecture of the Review</w:t>
      </w:r>
    </w:p>
    <w:p>
      <w:pPr>
        <w:pStyle w:val="FirstParagraph"/>
        <w:spacing w:line="480" w:lineRule="auto"/>
      </w:pPr>
      <w:r>
        <w:t xml:space="preserve">This chapter reviews two literatures that have developed in substantial isolation from one another and whose unjoined state defines the empirical opportunity of the dissertation. The first is the technical and policy literature on low Earth orbit (LEO) congestion, conjunction screening, collision-avoidance maneuvering, and orbital capacity management. The second is the cliometric and econometric literature on the valuation of congestible commons, the construction of marginal-cost schedules from revealed behavior, and the design of Pigouvian instruments where the structural cost function must be estimated rather than assumed. Each literature has matured to a point at which it generates a coherent set of constructs and claims. Neither has yet been integrated with the other to produce a calibrated, falsifiable price for orbital priority right-of-way. The review therefore proceeds in four parts: a survey of the domain technical literature in Section 2.2; a survey of the methodological literature in Section 2.3; a structured account in Section 2.4 of the points at which the two strands gesture toward one another without making contact; and a formal articulation in Section 2.5 of the gap that the three-paper dissertation programme is constructed to close.</w:t>
      </w:r>
    </w:p>
    <w:p>
      <w:pPr>
        <w:pStyle w:val="BodyText"/>
        <w:spacing w:line="480" w:lineRule="auto"/>
        <w:ind w:firstLine="720"/>
      </w:pPr>
      <w:r>
        <w:t xml:space="preserve">Three preliminary points govern the scope of the review. First, the dissertation is empirical, not normative, and the review accordingly emphasizes work whose constructs and measurements can be tied to observable data on conjunctions, maneuvers, propellant expenditures, and shell populations. Normative work on whether orbital fees should exist enters the review only insofar as it has produced cost-side parameters that an estimator can test. Second, the review treats the operations-engineering literature, the orbital-economics literature, and the space-governance literature as three lobes of one technical literature rather than as separate domains, because their constructs are sequentially dependent: a governance proposal presupposes a capacity-management metric, which presupposes an operations-engineering measurement of the cost of avoidance. Third, the review is explicit about which sources contribute cost-side observation, which contribute structural theory, and which contribute identification strategy, because the contribution of the dissertation depends on combining all three.</w:t>
      </w:r>
    </w:p>
    <w:bookmarkEnd w:id="67"/>
    <w:bookmarkStart w:id="72" w:name="Xcb3778e598902c25e2483d5c2ff882648dc204a"/>
    <w:p>
      <w:pPr>
        <w:pStyle w:val="Heading2"/>
        <w:spacing w:line="480" w:lineRule="auto"/>
      </w:pPr>
      <w:r>
        <w:t xml:space="preserve">2.2 The Domain Technical Literature: Conjunction Screening, Avoidance Maneuvers, and Capacity Management</w:t>
      </w:r>
    </w:p>
    <w:bookmarkStart w:id="68" w:name="X6bddbb868d9ec5cf3978e9915962ff9e10379f5"/>
    <w:p>
      <w:pPr>
        <w:pStyle w:val="Heading3"/>
        <w:spacing w:line="480" w:lineRule="auto"/>
      </w:pPr>
      <w:r>
        <w:t xml:space="preserve">2.2.1 The conjunction-to-maneuver decision as a measured object</w:t>
      </w:r>
    </w:p>
    <w:p>
      <w:pPr>
        <w:pStyle w:val="FirstParagraph"/>
        <w:spacing w:line="480" w:lineRule="auto"/>
      </w:pPr>
      <w:r>
        <w:t xml:space="preserve">The contemporary operations literature treats the conjunction-to-maneuver decision as a structured, observable process whose components admit quantitative characterization. Dutta and colleagues formalize collision-avoidance maneuver planning under control uncertainty and mission-availability constraints and explicitly model the per-event delta-v cost of avoidance as a function of risk threshold, lead time, and operator policy</w:t>
      </w:r>
      <w:r>
        <w:t xml:space="preserve"> </w:t>
      </w:r>
      <w:hyperlink w:anchor="ref-1">
        <w:r>
          <w:rPr>
            <w:rStyle w:val="Hyperlink"/>
          </w:rPr>
          <w:t xml:space="preserve">[1]</w:t>
        </w:r>
      </w:hyperlink>
      <w:r>
        <w:t xml:space="preserve">. Their treatment establishes that maneuver cost is not a fixed engineering quantity but a decision-conditional one: the same conjunction can produce a wide range of propellant expenditures depending on when the operator commits, what residual risk the operator tolerates, and how mission constraints bound the feasible burn. This places the conjunction-to-maneuver decision firmly within the class of revealed-preference decisions that an econometric estimator can exploit, because the operator’s choice of when and how to maneuver is observable and is responsive to a measurable risk signal.</w:t>
      </w:r>
    </w:p>
    <w:p>
      <w:pPr>
        <w:pStyle w:val="BodyText"/>
        <w:spacing w:line="480" w:lineRule="auto"/>
        <w:ind w:firstLine="720"/>
      </w:pPr>
      <w:r>
        <w:t xml:space="preserve">Ryan, Leung, Shteinman, Yeo, and Hejduk extend this conditional framing by documenting the decision-support tooling that operators actually use to evaluate conjunctions and plan maneuvers</w:t>
      </w:r>
      <w:r>
        <w:t xml:space="preserve"> </w:t>
      </w:r>
      <w:hyperlink w:anchor="ref-4">
        <w:r>
          <w:rPr>
            <w:rStyle w:val="Hyperlink"/>
          </w:rPr>
          <w:t xml:space="preserve">[4]</w:t>
        </w:r>
      </w:hyperlink>
      <w:r>
        <w:t xml:space="preserve">. Their account is important for two reasons. First, it confirms that the cost of acting on a conjunction is itself an output of a structured decision pipeline whose parameters operators record. Second, it documents that the screening volume an operator faces is a function not only of the on-orbit population but of the screening thresholds, sensor coverage, and data-sharing arrangements that govern the upstream catalog. Both points matter for the dissertation. The first means that per-event cost is identifiable from operator-reported records when those records are pooled across a sufficient panel. The second means that any panel specification must account for time variation in screening thresholds as a confound on the relationship between shell population and observed maneuver count.</w:t>
      </w:r>
    </w:p>
    <w:p>
      <w:pPr>
        <w:pStyle w:val="BodyText"/>
        <w:spacing w:line="480" w:lineRule="auto"/>
        <w:ind w:firstLine="720"/>
      </w:pPr>
      <w:r>
        <w:t xml:space="preserve">Alfano, Oltrogge, and Arona supply the underlying measurement theory by characterizing the positional and dimensional accuracy requirements for space traffic coordination and management and by tying those requirements to conjunction-screening behavior</w:t>
      </w:r>
      <w:r>
        <w:t xml:space="preserve"> </w:t>
      </w:r>
      <w:hyperlink w:anchor="ref-5">
        <w:r>
          <w:rPr>
            <w:rStyle w:val="Hyperlink"/>
          </w:rPr>
          <w:t xml:space="preserve">[5]</w:t>
        </w:r>
      </w:hyperlink>
      <w:r>
        <w:t xml:space="preserve">. Their work establishes that the size of the safety volume around a resident space object, and therefore the rate at which the screening system flags conjunctions for that object, depends on the uncertainty of the orbital state estimate. This produces a structural channel by which atmospheric drag and solar activity enter the cost function: in periods of elevated solar flux, the uncertainty volume expands, the flagged conjunction rate rises, and the per-object avoidance burden grows even at constant shell population. The dissertation programme exploits this channel directly by including a solar-flux covariate in the panel specification</w:t>
      </w:r>
      <w:r>
        <w:t xml:space="preserve"> </w:t>
      </w:r>
      <w:hyperlink w:anchor="ref-15">
        <w:r>
          <w:rPr>
            <w:rStyle w:val="Hyperlink"/>
          </w:rPr>
          <w:t xml:space="preserve">[15]</w:t>
        </w:r>
      </w:hyperlink>
      <w:r>
        <w:t xml:space="preserve"> </w:t>
      </w:r>
      <w:r>
        <w:t xml:space="preserve">and by treating screening intensity as a moderator on the population-to-cost relationship.</w:t>
      </w:r>
    </w:p>
    <w:p>
      <w:pPr>
        <w:pStyle w:val="BodyText"/>
        <w:spacing w:line="480" w:lineRule="auto"/>
        <w:ind w:firstLine="720"/>
      </w:pPr>
      <w:r>
        <w:t xml:space="preserve">Antunes de Sa and colleagues advance the operations literature one step further by characterizing a novel coordinated optimal-avoidance maneuver framework for space traffic management</w:t>
      </w:r>
      <w:r>
        <w:t xml:space="preserve"> </w:t>
      </w:r>
      <w:hyperlink w:anchor="ref-7">
        <w:r>
          <w:rPr>
            <w:rStyle w:val="Hyperlink"/>
          </w:rPr>
          <w:t xml:space="preserve">[7]</w:t>
        </w:r>
      </w:hyperlink>
      <w:r>
        <w:t xml:space="preserve">. The framework is methodologically important because it documents, for the first time at the conference-paper level, an explicit functional relationship between risk-metric thresholds and the resulting fuel-usage outcomes of executed maneuvers. Three features of their result are load-bearing for the present dissertation. First, the framework produces an engineering conversion factor between executed-maneuver counts and delta-v expenditure, which the dissertation programme uses to construct the delta-v dependent variable from operator-reported maneuver logs</w:t>
      </w:r>
      <w:r>
        <w:t xml:space="preserve"> </w:t>
      </w:r>
      <w:hyperlink w:anchor="ref-15">
        <w:r>
          <w:rPr>
            <w:rStyle w:val="Hyperlink"/>
          </w:rPr>
          <w:t xml:space="preserve">[15]</w:t>
        </w:r>
      </w:hyperlink>
      <w:r>
        <w:t xml:space="preserve">. Second, the framework demonstrates that coordinated avoidance lowers aggregate fuel usage relative to uncoordinated avoidance, which establishes a structural argument that the marginal cost of an additional entrant rises faster than linearly in shell population, because uncoordinated entrants degrade the coordination set available to incumbents. Third, the framework confirms that shorter lead times produce larger correction burns, which is the structural micro-foundation for the time-on-the-clock estimator in the first companion paper of the dissertation</w:t>
      </w:r>
      <w:r>
        <w:t xml:space="preserve"> </w:t>
      </w:r>
      <w:hyperlink w:anchor="ref-15">
        <w:r>
          <w:rPr>
            <w:rStyle w:val="Hyperlink"/>
          </w:rPr>
          <w:t xml:space="preserve">[15]</w:t>
        </w:r>
      </w:hyperlink>
      <w:r>
        <w:t xml:space="preserve">.</w:t>
      </w:r>
    </w:p>
    <w:bookmarkEnd w:id="68"/>
    <w:bookmarkStart w:id="69" w:name="X896917e845c6dbd24e0f1320bd3cbcd4ea30a8c"/>
    <w:p>
      <w:pPr>
        <w:pStyle w:val="Heading3"/>
        <w:spacing w:line="480" w:lineRule="auto"/>
      </w:pPr>
      <w:r>
        <w:t xml:space="preserve">2.2.2 Compliance, guidelines, and the structural asymmetry of the commons</w:t>
      </w:r>
    </w:p>
    <w:p>
      <w:pPr>
        <w:pStyle w:val="FirstParagraph"/>
        <w:spacing w:line="480" w:lineRule="auto"/>
      </w:pPr>
      <w:r>
        <w:t xml:space="preserve">Two related Borowitz-led contributions move the operations literature from per-event measurement to population-level structural claims. Borowitz, Gunter, Birch, and Macke investigate the cost consequences of potential collision-maneuver guidelines for future space traffic management and document the foundational asymmetry that operators currently pay the maneuver cost while the marginal entrant does not</w:t>
      </w:r>
      <w:r>
        <w:t xml:space="preserve"> </w:t>
      </w:r>
      <w:hyperlink w:anchor="ref-6">
        <w:r>
          <w:rPr>
            <w:rStyle w:val="Hyperlink"/>
          </w:rPr>
          <w:t xml:space="preserve">[6]</w:t>
        </w:r>
      </w:hyperlink>
      <w:r>
        <w:t xml:space="preserve">. This is the most consequential single statement in the operations literature for the economic question the dissertation poses, because it identifies a structural externality whose cost side is in principle measurable from operator-reported maneuver records. The asymmetry is what makes orbital congestion a Pigouvian problem rather than a coordination problem. Without it, the question of pricing right-of-way would be a question of contract design rather than of welfare economics.</w:t>
      </w:r>
    </w:p>
    <w:p>
      <w:pPr>
        <w:pStyle w:val="BodyText"/>
        <w:spacing w:line="480" w:lineRule="auto"/>
        <w:ind w:firstLine="720"/>
      </w:pPr>
      <w:r>
        <w:t xml:space="preserve">Borowitz, Gunter, Gregoire, Stueck, Venkatram, and Newman extend this line by exploring the empirical impact of compliance with maneuvering guidelines on aggregate fuel usage and on conjunction outcomes</w:t>
      </w:r>
      <w:r>
        <w:t xml:space="preserve"> </w:t>
      </w:r>
      <w:hyperlink w:anchor="ref-9">
        <w:r>
          <w:rPr>
            <w:rStyle w:val="Hyperlink"/>
          </w:rPr>
          <w:t xml:space="preserve">[9]</w:t>
        </w:r>
      </w:hyperlink>
      <w:r>
        <w:t xml:space="preserve">. The 2024 paper is a methodological complement to the 2021 paper because it demonstrates that the cost paid by incumbents under non-compliance is observable in the same data streams (operator filings, ESA environment reports, public maneuver logs) that the dissertation uses as its primary cost-side panel. The combined Borowitz contribution thus establishes, for the operations literature, that the population-level externality cost of orbital congestion is identifiable in publicly available records.</w:t>
      </w:r>
    </w:p>
    <w:p>
      <w:pPr>
        <w:pStyle w:val="BodyText"/>
        <w:spacing w:line="480" w:lineRule="auto"/>
        <w:ind w:firstLine="720"/>
      </w:pPr>
      <w:r>
        <w:t xml:space="preserve">Jain and Borowitz add a complementary system-level argument by treating space traffic management as a system-of-systems autonomy and policy co-design problem</w:t>
      </w:r>
      <w:r>
        <w:t xml:space="preserve"> </w:t>
      </w:r>
      <w:hyperlink w:anchor="ref-10">
        <w:r>
          <w:rPr>
            <w:rStyle w:val="Hyperlink"/>
          </w:rPr>
          <w:t xml:space="preserve">[10]</w:t>
        </w:r>
      </w:hyperlink>
      <w:r>
        <w:t xml:space="preserve">. Their account is important for the dissertation because it places the autonomy and decision-support architecture (which determines the rate at which conjunctions are screened, evaluated, and converted into maneuver decisions) inside the policy design problem rather than outside it. The implication is that any congestion-cost estimate is conditional on the operating policy regime, and the dissertation accordingly reports cost estimates under the screening-threshold regime of the sample period while acknowledging that future changes to that regime would shift the cost schedule.</w:t>
      </w:r>
    </w:p>
    <w:bookmarkEnd w:id="69"/>
    <w:bookmarkStart w:id="70" w:name="Xadb33a9f10ace4f1c924f42e9e4e047de6925bc"/>
    <w:p>
      <w:pPr>
        <w:pStyle w:val="Heading3"/>
        <w:spacing w:line="480" w:lineRule="auto"/>
      </w:pPr>
      <w:r>
        <w:t xml:space="preserve">2.2.3 Capacity management, indicators, and the price-vs-safety reading of congestion</w:t>
      </w:r>
    </w:p>
    <w:p>
      <w:pPr>
        <w:pStyle w:val="FirstParagraph"/>
        <w:spacing w:line="480" w:lineRule="auto"/>
      </w:pPr>
      <w:r>
        <w:t xml:space="preserve">The capacity-management strand of the technical literature, anchored by Colombo and colleagues, formalizes the relationship between space capacity management and space traffic management and proposes families of indicators for orbit carrying capacity [2, 8]. Their treatment is the most rigorous available statement of how capacity is to be measured at the population level, and it is the natural counterpart on the safety side of the price-on-the-economics side that the dissertation seeks to estimate. Two features of the Colombo contribution warrant emphasis. First, it treats orbit carrying capacity as a multi-dimensional construct whose components include collision risk, fragmentation potential, and operator-policy responsiveness. The dissertation respects this multi-dimensional structure by estimating cost effects conditional on shell altitude, inclination band, and operator fleet composition rather than aggregating to an undifferentiated shell-mean. Second, it treats congestion as a safety quantity rather than a price quantity, which is precisely the framing that the dissertation programme is designed to complement rather than to displace. The two readings of congestion (the safety reading and the price reading) are not substitutes; they are complementary projections of the same underlying cost function onto different policy surfaces.</w:t>
      </w:r>
    </w:p>
    <w:p>
      <w:pPr>
        <w:pStyle w:val="BodyText"/>
        <w:spacing w:line="480" w:lineRule="auto"/>
        <w:ind w:firstLine="720"/>
      </w:pPr>
      <w:r>
        <w:t xml:space="preserve">Shahady contributes a related observation from the geosynchronous orbit (GEO) literature: the future risk of debris and contested environments increases the intrinsic and actual cost of GEO slots</w:t>
      </w:r>
      <w:r>
        <w:t xml:space="preserve"> </w:t>
      </w:r>
      <w:hyperlink w:anchor="ref-18">
        <w:r>
          <w:rPr>
            <w:rStyle w:val="Hyperlink"/>
          </w:rPr>
          <w:t xml:space="preserve">[18]</w:t>
        </w:r>
      </w:hyperlink>
      <w:r>
        <w:t xml:space="preserve">. The Shahady result is methodologically important for two reasons. First, it demonstrates that the cost of orbital access can be priced from observable risk and environmental conditions in at least one orbital regime, which is a proof of concept for the broader project of pricing LEO right-of-way. Second, it identifies risk-induced cost escalation as a recoverable parameter, which suggests that the dissertation’s LEO estimates will admit a parallel risk-amplification interpretation in the densest shells.</w:t>
      </w:r>
    </w:p>
    <w:p>
      <w:pPr>
        <w:pStyle w:val="BodyText"/>
        <w:spacing w:line="480" w:lineRule="auto"/>
        <w:ind w:firstLine="720"/>
      </w:pPr>
      <w:r>
        <w:t xml:space="preserve">The catalog-and-environment work of Smith, Folcik, and Linares on comparative debris modeling using NASA Standard Breakup Model output and Space Fence data provides a further measurement layer relevant to the dissertation</w:t>
      </w:r>
      <w:r>
        <w:t xml:space="preserve"> </w:t>
      </w:r>
      <w:hyperlink w:anchor="ref-19">
        <w:r>
          <w:rPr>
            <w:rStyle w:val="Hyperlink"/>
          </w:rPr>
          <w:t xml:space="preserve">[19]</w:t>
        </w:r>
      </w:hyperlink>
      <w:r>
        <w:t xml:space="preserve">. Their comparative analysis documents the sensitivity of population estimates to the choice of debris model and to the sensor architecture supplying the catalog. This matters for the dissertation because the active-object population variable in the panel is drawn from ESA DISCOS and from the ESA Annual Space Environment Report [12, 17]; the Smith et al. analysis supports the validity of those sources as inputs while flagging the residual uncertainty that any panel specification must acknowledge.</w:t>
      </w:r>
    </w:p>
    <w:bookmarkEnd w:id="70"/>
    <w:bookmarkStart w:id="71" w:name="X41d528df9b6a3faa5d3e1f53359e6f0918ac77e"/>
    <w:p>
      <w:pPr>
        <w:pStyle w:val="Heading3"/>
        <w:spacing w:line="480" w:lineRule="auto"/>
      </w:pPr>
      <w:r>
        <w:t xml:space="preserve">2.2.4 The cislunar and broader operational frontier</w:t>
      </w:r>
    </w:p>
    <w:p>
      <w:pPr>
        <w:pStyle w:val="FirstParagraph"/>
        <w:spacing w:line="480" w:lineRule="auto"/>
      </w:pPr>
      <w:r>
        <w:t xml:space="preserve">A small but informative cislunar literature documents the operational stress that anticipated cislunar traffic places on the SSA architecture supporting LEO congestion measurement. Cunio, Bever, and Flewelling propose payload and constellation designs for solar exclusion-avoiding cislunar SSA, identifying the geometry constraints that bound observability of cislunar objects</w:t>
      </w:r>
      <w:r>
        <w:t xml:space="preserve"> </w:t>
      </w:r>
      <w:hyperlink w:anchor="ref-20">
        <w:r>
          <w:rPr>
            <w:rStyle w:val="Hyperlink"/>
          </w:rPr>
          <w:t xml:space="preserve">[20]</w:t>
        </w:r>
      </w:hyperlink>
      <w:r>
        <w:t xml:space="preserve">. McCarthy and Chiappina formalize autonomous trajectory planning for cislunar space, demonstrating that the autonomy stack required to operate at cislunar distances generalizes from LEO operations</w:t>
      </w:r>
      <w:r>
        <w:t xml:space="preserve"> </w:t>
      </w:r>
      <w:hyperlink w:anchor="ref-21">
        <w:r>
          <w:rPr>
            <w:rStyle w:val="Hyperlink"/>
          </w:rPr>
          <w:t xml:space="preserve">[21]</w:t>
        </w:r>
      </w:hyperlink>
      <w:r>
        <w:t xml:space="preserve">. Schmedeman, Gerber, and Herber propose a mission-oriented framework for evaluating SSA data quality, supplying a normative standard that the dissertation’s data-quality discussion adapts for the LEO domain</w:t>
      </w:r>
      <w:r>
        <w:t xml:space="preserve"> </w:t>
      </w:r>
      <w:hyperlink w:anchor="ref-22">
        <w:r>
          <w:rPr>
            <w:rStyle w:val="Hyperlink"/>
          </w:rPr>
          <w:t xml:space="preserve">[22]</w:t>
        </w:r>
      </w:hyperlink>
      <w:r>
        <w:t xml:space="preserve">. Stottler and Howe document delay/disruption tolerant reinforcement-learning communication systems that anticipate the bandwidth-constrained operations cislunar SDA will require</w:t>
      </w:r>
      <w:r>
        <w:t xml:space="preserve"> </w:t>
      </w:r>
      <w:hyperlink w:anchor="ref-23">
        <w:r>
          <w:rPr>
            <w:rStyle w:val="Hyperlink"/>
          </w:rPr>
          <w:t xml:space="preserve">[23]</w:t>
        </w:r>
      </w:hyperlink>
      <w:r>
        <w:t xml:space="preserve">. Reid’s conceptual framework for rapid space launch capability speaks to the supply side of the entry decision that the dissertation treats as plausibly exogenous over the 2019 to 2025 window</w:t>
      </w:r>
      <w:r>
        <w:t xml:space="preserve"> </w:t>
      </w:r>
      <w:hyperlink w:anchor="ref-24">
        <w:r>
          <w:rPr>
            <w:rStyle w:val="Hyperlink"/>
          </w:rPr>
          <w:t xml:space="preserve">[24]</w:t>
        </w:r>
      </w:hyperlink>
      <w:r>
        <w:t xml:space="preserve">. Mutholib, Abdul Rahim, and Gunawan document AI-based decision-support architectures for satellite anomaly identification that resemble the conjunction decision-support architectures the dissertation exploits</w:t>
      </w:r>
      <w:r>
        <w:t xml:space="preserve"> </w:t>
      </w:r>
      <w:hyperlink w:anchor="ref-26">
        <w:r>
          <w:rPr>
            <w:rStyle w:val="Hyperlink"/>
          </w:rPr>
          <w:t xml:space="preserve">[26]</w:t>
        </w:r>
      </w:hyperlink>
      <w:r>
        <w:t xml:space="preserve">. These contributions are not directly load-bearing for the LEO estimator but they discipline the dissertation’s scope claims: the empirical estimates are valid for the LEO regime of the sample period, and their generalization to cislunar regimes is not assumed.</w:t>
      </w:r>
    </w:p>
    <w:p>
      <w:pPr>
        <w:pStyle w:val="BodyText"/>
        <w:spacing w:line="480" w:lineRule="auto"/>
        <w:ind w:firstLine="720"/>
      </w:pPr>
      <w:r>
        <w:t xml:space="preserve">The new-space-evolution literature provides essential context for the entry-exit dynamics the dissertation panel exploits. Denis and colleagues document the transition from new space to big space, including the scaling of launch cadence that produced the densification of the Starlink primary band over the sample period</w:t>
      </w:r>
      <w:r>
        <w:t xml:space="preserve"> </w:t>
      </w:r>
      <w:hyperlink w:anchor="ref-30">
        <w:r>
          <w:rPr>
            <w:rStyle w:val="Hyperlink"/>
          </w:rPr>
          <w:t xml:space="preserve">[30]</w:t>
        </w:r>
      </w:hyperlink>
      <w:r>
        <w:t xml:space="preserve">. Zancan, Paravano, Locatelli, and Trucco map the evolving governance of the space sector from legacy to new-space models and identify the regulatory transitions that may discontinuously shift the cost function in future periods</w:t>
      </w:r>
      <w:r>
        <w:t xml:space="preserve"> </w:t>
      </w:r>
      <w:hyperlink w:anchor="ref-31">
        <w:r>
          <w:rPr>
            <w:rStyle w:val="Hyperlink"/>
          </w:rPr>
          <w:t xml:space="preserve">[31]</w:t>
        </w:r>
      </w:hyperlink>
      <w:r>
        <w:t xml:space="preserve">. Drenthe, Zandbergen, Curran, and Van Pelt estimate the cost structure of commercial smallsat launch vehicles, providing the supply-side cost basis for the entry decisions whose downstream congestion costs the dissertation prices</w:t>
      </w:r>
      <w:r>
        <w:t xml:space="preserve"> </w:t>
      </w:r>
      <w:hyperlink w:anchor="ref-33">
        <w:r>
          <w:rPr>
            <w:rStyle w:val="Hyperlink"/>
          </w:rPr>
          <w:t xml:space="preserve">[33]</w:t>
        </w:r>
      </w:hyperlink>
      <w:r>
        <w:t xml:space="preserve">. Liu and colleagues estimate the economic value of on-orbit servicing for geosynchronous satellites, illustrating that orbital infrastructure value can be quantitatively recovered when the right operator-reported records are available</w:t>
      </w:r>
      <w:r>
        <w:t xml:space="preserve"> </w:t>
      </w:r>
      <w:hyperlink w:anchor="ref-29">
        <w:r>
          <w:rPr>
            <w:rStyle w:val="Hyperlink"/>
          </w:rPr>
          <w:t xml:space="preserve">[29]</w:t>
        </w:r>
      </w:hyperlink>
      <w:r>
        <w:t xml:space="preserve">. McKeown, Dempster, Saydam, and Coulton consider how potential space-resources markets should be evaluated, framing the broader market-design question into which the dissertation’s congestion-fee estimate ultimately feeds</w:t>
      </w:r>
      <w:r>
        <w:t xml:space="preserve"> </w:t>
      </w:r>
      <w:hyperlink w:anchor="ref-28">
        <w:r>
          <w:rPr>
            <w:rStyle w:val="Hyperlink"/>
          </w:rPr>
          <w:t xml:space="preserve">[28]</w:t>
        </w:r>
      </w:hyperlink>
      <w:r>
        <w:t xml:space="preserve">.</w:t>
      </w:r>
    </w:p>
    <w:bookmarkEnd w:id="71"/>
    <w:bookmarkEnd w:id="72"/>
    <w:bookmarkStart w:id="76" w:name="X1d61194eb7686dfdbfc90f52c109cc04183e1a2"/>
    <w:p>
      <w:pPr>
        <w:pStyle w:val="Heading2"/>
        <w:spacing w:line="480" w:lineRule="auto"/>
      </w:pPr>
      <w:r>
        <w:t xml:space="preserve">2.3 The Cliometric and Econometric Methodology Literature: Pricing Congestible Commons</w:t>
      </w:r>
    </w:p>
    <w:bookmarkStart w:id="73" w:name="Xf2f44060b0018af1bfa251b79976c7cb737c205"/>
    <w:p>
      <w:pPr>
        <w:pStyle w:val="Heading3"/>
        <w:spacing w:line="480" w:lineRule="auto"/>
      </w:pPr>
      <w:r>
        <w:t xml:space="preserve">2.3.1 The economics of orbital congestion as a textbook commons</w:t>
      </w:r>
    </w:p>
    <w:p>
      <w:pPr>
        <w:pStyle w:val="FirstParagraph"/>
        <w:spacing w:line="480" w:lineRule="auto"/>
      </w:pPr>
      <w:r>
        <w:t xml:space="preserve">The economics literature on orbital congestion is anchored by Weinzierl’s account of the space economy and its claim that orbital-use fees would substantially increase the realized value of the industry [3, 16]. Three features of the Weinzierl contribution are foundational for the dissertation. First, it identifies orbit as a textbook congestible commons in the standard Pigouvian sense: the marginal entrant pays none of the avoidance cost the incumbent population pays, and the resulting equilibrium overuses the commons relative to the social optimum. Second, it asserts that a properly designed orbital-use fee would more than quadruple the realized value of the space industry, a normative claim whose calibration requires a cost-side estimate that the literature has not produced. Third, it situates orbital congestion in the broader analytic tradition of pricing congestible network goods, which licenses the dissertation’s use of standard panel and survival estimators for the empirical implementation. The Weinzierl contribution defines the policy stake of the empirical question without resolving the empirical question itself.</w:t>
      </w:r>
    </w:p>
    <w:p>
      <w:pPr>
        <w:pStyle w:val="BodyText"/>
        <w:spacing w:line="480" w:lineRule="auto"/>
        <w:ind w:firstLine="720"/>
      </w:pPr>
      <w:r>
        <w:t xml:space="preserve">Beal, Deschamps, and Moulin extend the orbital-economics literature with a formal treatment of taxing congestion of the space commons</w:t>
      </w:r>
      <w:r>
        <w:t xml:space="preserve"> </w:t>
      </w:r>
      <w:hyperlink w:anchor="ref-27">
        <w:r>
          <w:rPr>
            <w:rStyle w:val="Hyperlink"/>
          </w:rPr>
          <w:t xml:space="preserve">[27]</w:t>
        </w:r>
      </w:hyperlink>
      <w:r>
        <w:t xml:space="preserve">. Their contribution is methodologically important because it formalizes the welfare-economic case for a Pigouvian instrument under explicit assumptions about the cost function and the elasticity of demand for orbital access. The dissertation programme adopts the welfare-calculus framework Beal and colleagues articulate, including the transparent reporting of fee sensitivities under alternative welfare assumptions</w:t>
      </w:r>
      <w:r>
        <w:t xml:space="preserve"> </w:t>
      </w:r>
      <w:hyperlink w:anchor="ref-15">
        <w:r>
          <w:rPr>
            <w:rStyle w:val="Hyperlink"/>
          </w:rPr>
          <w:t xml:space="preserve">[15]</w:t>
        </w:r>
      </w:hyperlink>
      <w:r>
        <w:t xml:space="preserve">. The Beal contribution also clarifies that the design of a congestion tax requires both the level of marginal cost (recovered in the first paper of the dissertation programme</w:t>
      </w:r>
      <w:r>
        <w:t xml:space="preserve"> </w:t>
      </w:r>
      <w:hyperlink w:anchor="ref-15">
        <w:r>
          <w:rPr>
            <w:rStyle w:val="Hyperlink"/>
          </w:rPr>
          <w:t xml:space="preserve">[15]</w:t>
        </w:r>
      </w:hyperlink>
      <w:r>
        <w:t xml:space="preserve">) and the elasticity of marginal cost with respect to shell population (recovered in the second paper). The two-parameter requirement is exactly the structural decomposition the dissertation produces.</w:t>
      </w:r>
    </w:p>
    <w:bookmarkEnd w:id="73"/>
    <w:bookmarkStart w:id="74" w:name="X54c8efe96ff12aaf17dfcde7e4f69e60eb6e8a3"/>
    <w:p>
      <w:pPr>
        <w:pStyle w:val="Heading3"/>
        <w:spacing w:line="480" w:lineRule="auto"/>
      </w:pPr>
      <w:r>
        <w:t xml:space="preserve">2.3.2 Identification strategy in the empirical pricing of congestion</w:t>
      </w:r>
    </w:p>
    <w:p>
      <w:pPr>
        <w:pStyle w:val="FirstParagraph"/>
        <w:spacing w:line="480" w:lineRule="auto"/>
      </w:pPr>
      <w:r>
        <w:t xml:space="preserve">The econometric strategy of the dissertation draws on three distinct identification traditions in the cliometric literature on congestible-commons pricing. The first is the panel fixed-effects tradition, in which the marginal cost of an additional unit of use is estimated from variation in use intensity across panel units (here, shell-quarters) holding constant time-invariant unit characteristics and time-varying aggregate shocks. The second is the survival-analysis tradition, in which the hazard of a costly event (here, the executed avoidance maneuver) is estimated as a function of time-varying covariates that proxy the underlying risk environment. The third is the structural-elasticity tradition, in which a log-log specification recovers the elasticity of cost with respect to use directly, foregoing the level fit of the fixed-effects specification in exchange for direct identification of the parameter that long-horizon fee schedules depend on.</w:t>
      </w:r>
    </w:p>
    <w:p>
      <w:pPr>
        <w:pStyle w:val="BodyText"/>
        <w:spacing w:line="480" w:lineRule="auto"/>
        <w:ind w:firstLine="720"/>
      </w:pPr>
      <w:r>
        <w:t xml:space="preserve">The dissertation programme operationalizes all three traditions. The first paper estimates a shell-quarter panel of incumbent delta-v expenditure on lagged active-object density with shell and quarter fixed effects</w:t>
      </w:r>
      <w:r>
        <w:t xml:space="preserve"> </w:t>
      </w:r>
      <w:hyperlink w:anchor="ref-15">
        <w:r>
          <w:rPr>
            <w:rStyle w:val="Hyperlink"/>
          </w:rPr>
          <w:t xml:space="preserve">[15]</w:t>
        </w:r>
      </w:hyperlink>
      <w:r>
        <w:t xml:space="preserve">. The first companion paper estimates a Cox proportional-hazards model on time-to-maneuver at the conjunction-event level with shell density, reported maximum collision probability, lead time, and solar flux as covariates</w:t>
      </w:r>
      <w:r>
        <w:t xml:space="preserve"> </w:t>
      </w:r>
      <w:hyperlink w:anchor="ref-15">
        <w:r>
          <w:rPr>
            <w:rStyle w:val="Hyperlink"/>
          </w:rPr>
          <w:t xml:space="preserve">[15]</w:t>
        </w:r>
      </w:hyperlink>
      <w:r>
        <w:t xml:space="preserve">. The second companion paper estimates a log-log specification of per-object delta-v expenditure on shell population and reports the resulting elasticity directly</w:t>
      </w:r>
      <w:r>
        <w:t xml:space="preserve"> </w:t>
      </w:r>
      <w:hyperlink w:anchor="ref-15">
        <w:r>
          <w:rPr>
            <w:rStyle w:val="Hyperlink"/>
          </w:rPr>
          <w:t xml:space="preserve">[15]</w:t>
        </w:r>
      </w:hyperlink>
      <w:r>
        <w:t xml:space="preserve">. The three estimates together produce the level, hazard, and elasticity parameters that a defensible Pigouvian fee schedule requires.</w:t>
      </w:r>
    </w:p>
    <w:p>
      <w:pPr>
        <w:pStyle w:val="BodyText"/>
        <w:spacing w:line="480" w:lineRule="auto"/>
        <w:ind w:firstLine="720"/>
      </w:pPr>
      <w:r>
        <w:t xml:space="preserve">The identification logic of the panel specification rests on the plausibility of exogenous entry into a given LEO shell conditional on shell-quarter fixed effects. The argument is that launch manifests are set months to years in advance and that dispense altitudes are dictated by mission requirements rather than by the prior quarter’s conjunction-data-message volume. This argument is supported by the Denis et al. characterization of the new-space supply pipeline</w:t>
      </w:r>
      <w:r>
        <w:t xml:space="preserve"> </w:t>
      </w:r>
      <w:hyperlink w:anchor="ref-30">
        <w:r>
          <w:rPr>
            <w:rStyle w:val="Hyperlink"/>
          </w:rPr>
          <w:t xml:space="preserve">[30]</w:t>
        </w:r>
      </w:hyperlink>
      <w:r>
        <w:t xml:space="preserve"> </w:t>
      </w:r>
      <w:r>
        <w:t xml:space="preserve">and by the Drenthe et al. cost-structure analysis of smallsat launch vehicles</w:t>
      </w:r>
      <w:r>
        <w:t xml:space="preserve"> </w:t>
      </w:r>
      <w:hyperlink w:anchor="ref-33">
        <w:r>
          <w:rPr>
            <w:rStyle w:val="Hyperlink"/>
          </w:rPr>
          <w:t xml:space="preserve">[33]</w:t>
        </w:r>
      </w:hyperlink>
      <w:r>
        <w:t xml:space="preserve">, both of which document that launch-decision lead times exceed the quarterly variation in shell-level congestion realizations. The exogeneity claim is supplemented in the dissertation by an instrumental-variables specification that uses launch-manifest commitments lagged by twelve months as the instrument for current-period density</w:t>
      </w:r>
      <w:r>
        <w:t xml:space="preserve"> </w:t>
      </w:r>
      <w:hyperlink w:anchor="ref-15">
        <w:r>
          <w:rPr>
            <w:rStyle w:val="Hyperlink"/>
          </w:rPr>
          <w:t xml:space="preserve">[15]</w:t>
        </w:r>
      </w:hyperlink>
      <w:r>
        <w:t xml:space="preserve">.</w:t>
      </w:r>
    </w:p>
    <w:p>
      <w:pPr>
        <w:pStyle w:val="BodyText"/>
        <w:spacing w:line="480" w:lineRule="auto"/>
        <w:ind w:firstLine="720"/>
      </w:pPr>
      <w:r>
        <w:t xml:space="preserve">The identification logic of the survival specification rests on the assumption that conditional on reported collision probability and lead time, the hazard of executing a maneuver is determined by the operator’s decision policy rather than by unobserved correlates of the event. This is the standard Cox proportional-hazards identifying assumption applied to the maneuver-decision context. The operations literature supports the assumption directly: Dutta et al. and Antunes de Sa et al. document that the operator’s decision policy is the proximate determinant of the maneuver hazard once risk and lead time are fixed [1, 7], and Ryan et al. document that the decision policy is observable through the decision-support tool outputs</w:t>
      </w:r>
      <w:r>
        <w:t xml:space="preserve"> </w:t>
      </w:r>
      <w:hyperlink w:anchor="ref-4">
        <w:r>
          <w:rPr>
            <w:rStyle w:val="Hyperlink"/>
          </w:rPr>
          <w:t xml:space="preserve">[4]</w:t>
        </w:r>
      </w:hyperlink>
      <w:r>
        <w:t xml:space="preserve">.</w:t>
      </w:r>
    </w:p>
    <w:p>
      <w:pPr>
        <w:pStyle w:val="BodyText"/>
        <w:spacing w:line="480" w:lineRule="auto"/>
        <w:ind w:firstLine="720"/>
      </w:pPr>
      <w:r>
        <w:t xml:space="preserve">The identification logic of the log-log specification rests on the more demanding assumption of a constant elasticity across the observed range of shell populations. The dissertation programme reports this elasticity as a structural parameter while acknowledging in its sensitivity discussion that the constant-elasticity functional form may fail at the extremes of the observed range</w:t>
      </w:r>
      <w:r>
        <w:t xml:space="preserve"> </w:t>
      </w:r>
      <w:hyperlink w:anchor="ref-15">
        <w:r>
          <w:rPr>
            <w:rStyle w:val="Hyperlink"/>
          </w:rPr>
          <w:t xml:space="preserve">[15]</w:t>
        </w:r>
      </w:hyperlink>
      <w:r>
        <w:t xml:space="preserve">. The elasticity estimate is the parameter that capacity-management indicators and Pigouvian fee schedules require [2, 3, 27], and the log-log specification is the standard method for recovering it.</w:t>
      </w:r>
    </w:p>
    <w:bookmarkEnd w:id="74"/>
    <w:bookmarkStart w:id="75" w:name="X661b88b07ab61a304ba7bdd6c219f194224bb88"/>
    <w:p>
      <w:pPr>
        <w:pStyle w:val="Heading3"/>
        <w:spacing w:line="480" w:lineRule="auto"/>
      </w:pPr>
      <w:r>
        <w:t xml:space="preserve">2.3.3 Provenance and the construction of cost-side observation</w:t>
      </w:r>
    </w:p>
    <w:p>
      <w:pPr>
        <w:pStyle w:val="FirstParagraph"/>
        <w:spacing w:line="480" w:lineRule="auto"/>
      </w:pPr>
      <w:r>
        <w:t xml:space="preserve">A distinctive feature of the dissertation programme is that every observation in the estimating sample carries an explicit source string. The provenance discipline is borrowed from the cliometric tradition’s insistence on transparent data construction and is implemented through three documented sources: the SpaceX semi-annual constellation status reports filed with the FCC</w:t>
      </w:r>
      <w:r>
        <w:t xml:space="preserve"> </w:t>
      </w:r>
      <w:hyperlink w:anchor="ref-11">
        <w:r>
          <w:rPr>
            <w:rStyle w:val="Hyperlink"/>
          </w:rPr>
          <w:t xml:space="preserve">[11]</w:t>
        </w:r>
      </w:hyperlink>
      <w:r>
        <w:t xml:space="preserve">, the ESA Annual Space Environment Report and DISCOS extracts [12, 17], and the NOAA F10.7 cm solar radio flux archive</w:t>
      </w:r>
      <w:r>
        <w:t xml:space="preserve"> </w:t>
      </w:r>
      <w:hyperlink w:anchor="ref-14">
        <w:r>
          <w:rPr>
            <w:rStyle w:val="Hyperlink"/>
          </w:rPr>
          <w:t xml:space="preserve">[14]</w:t>
        </w:r>
      </w:hyperlink>
      <w:r>
        <w:t xml:space="preserve">. The conversion from operator-reported maneuver counts to delta-v expenditure draws on the impulsive-burn conversion documented in the coordinated-avoidance frameworks literature</w:t>
      </w:r>
      <w:r>
        <w:t xml:space="preserve"> </w:t>
      </w:r>
      <w:hyperlink w:anchor="ref-7">
        <w:r>
          <w:rPr>
            <w:rStyle w:val="Hyperlink"/>
          </w:rPr>
          <w:t xml:space="preserve">[7]</w:t>
        </w:r>
      </w:hyperlink>
      <w:r>
        <w:t xml:space="preserve">. The GAO NASA Major Projects status reports supply an independent cross-check on operator-reported counts for missions where NASA participation generates a parallel record</w:t>
      </w:r>
      <w:r>
        <w:t xml:space="preserve"> </w:t>
      </w:r>
      <w:hyperlink w:anchor="ref-13">
        <w:r>
          <w:rPr>
            <w:rStyle w:val="Hyperlink"/>
          </w:rPr>
          <w:t xml:space="preserve">[13]</w:t>
        </w:r>
      </w:hyperlink>
      <w:r>
        <w:t xml:space="preserve">.</w:t>
      </w:r>
    </w:p>
    <w:p>
      <w:pPr>
        <w:pStyle w:val="BodyText"/>
        <w:spacing w:line="480" w:lineRule="auto"/>
        <w:ind w:firstLine="720"/>
      </w:pPr>
      <w:r>
        <w:t xml:space="preserve">The provenance discipline is not cosmetic. It is the mechanism by which the dissertation’s congestion-cost estimate is made auditable and falsifiable. A reader who disputes the estimate can trace each cost-side observation to its named source and can re-estimate the specification under an alternative source-weighting scheme. This is the cliometric standard the methodology literature requires of any empirical claim about a price recovered from revealed behavior, and the dissertation programme adopts it explicitly.</w:t>
      </w:r>
    </w:p>
    <w:bookmarkEnd w:id="75"/>
    <w:bookmarkEnd w:id="76"/>
    <w:bookmarkStart w:id="77" w:name="points-of-tangency-without-contact"/>
    <w:p>
      <w:pPr>
        <w:pStyle w:val="Heading2"/>
        <w:spacing w:line="480" w:lineRule="auto"/>
      </w:pPr>
      <w:r>
        <w:t xml:space="preserve">2.4 Points of Tangency Without Contact</w:t>
      </w:r>
    </w:p>
    <w:p>
      <w:pPr>
        <w:pStyle w:val="FirstParagraph"/>
        <w:spacing w:line="480" w:lineRule="auto"/>
      </w:pPr>
      <w:r>
        <w:t xml:space="preserve">The two literatures gesture toward one another at four points and make contact at none.</w:t>
      </w:r>
    </w:p>
    <w:p>
      <w:pPr>
        <w:pStyle w:val="BodyText"/>
        <w:spacing w:line="480" w:lineRule="auto"/>
        <w:ind w:firstLine="720"/>
      </w:pPr>
      <w:r>
        <w:t xml:space="preserve">The first point of tangency is the Borowitz statement of the structural asymmetry of the commons</w:t>
      </w:r>
      <w:r>
        <w:t xml:space="preserve"> </w:t>
      </w:r>
      <w:hyperlink w:anchor="ref-6">
        <w:r>
          <w:rPr>
            <w:rStyle w:val="Hyperlink"/>
          </w:rPr>
          <w:t xml:space="preserve">[6]</w:t>
        </w:r>
      </w:hyperlink>
      <w:r>
        <w:t xml:space="preserve">. The operations literature names the asymmetry. The economics literature predicts that the asymmetry produces a positive Pigouvian fee under standard welfare assumptions [3, 27]. Neither literature combines the two halves into an estimated fee.</w:t>
      </w:r>
    </w:p>
    <w:p>
      <w:pPr>
        <w:pStyle w:val="BodyText"/>
        <w:spacing w:line="480" w:lineRule="auto"/>
        <w:ind w:firstLine="720"/>
      </w:pPr>
      <w:r>
        <w:t xml:space="preserve">The second point of tangency is the Colombo capacity-management framework [2, 8]. The framework proposes families of indicators for orbit carrying capacity. The economics literature requires a marginal cost schedule. The indicator families could in principle be parameterized to recover the marginal cost schedule, but the parameterization has not been performed in the published literature.</w:t>
      </w:r>
    </w:p>
    <w:p>
      <w:pPr>
        <w:pStyle w:val="BodyText"/>
        <w:spacing w:line="480" w:lineRule="auto"/>
        <w:ind w:firstLine="720"/>
      </w:pPr>
      <w:r>
        <w:t xml:space="preserve">The third point of tangency is the Antunes de Sa coordinated-avoidance framework</w:t>
      </w:r>
      <w:r>
        <w:t xml:space="preserve"> </w:t>
      </w:r>
      <w:hyperlink w:anchor="ref-7">
        <w:r>
          <w:rPr>
            <w:rStyle w:val="Hyperlink"/>
          </w:rPr>
          <w:t xml:space="preserve">[7]</w:t>
        </w:r>
      </w:hyperlink>
      <w:r>
        <w:t xml:space="preserve">. The framework documents an engineering conversion between maneuver count and delta-v expenditure. The economics literature requires a cost variable in physical units. The conversion factor could in principle be used to construct the cost variable, but the construction has not been performed at the population level in the published literature.</w:t>
      </w:r>
    </w:p>
    <w:p>
      <w:pPr>
        <w:pStyle w:val="BodyText"/>
        <w:spacing w:line="480" w:lineRule="auto"/>
        <w:ind w:firstLine="720"/>
      </w:pPr>
      <w:r>
        <w:t xml:space="preserve">The fourth point of tangency is the Weinzierl assertion that orbital-use fees would more than quadruple the value of the industry [3, 16]. The assertion presupposes a calibrated marginal cost schedule. The published literature does not calibrate the schedule. The assertion therefore stands as a rhetorical claim rather than an empirical result.</w:t>
      </w:r>
    </w:p>
    <w:p>
      <w:pPr>
        <w:pStyle w:val="BodyText"/>
        <w:spacing w:line="480" w:lineRule="auto"/>
        <w:ind w:firstLine="720"/>
      </w:pPr>
      <w:r>
        <w:t xml:space="preserve">The four points of tangency define a single missing piece of work: the empirical bridge that uses the operations-literature cost data to estimate the economics-literature price. The dissertation programme is constructed to be that bridge.</w:t>
      </w:r>
    </w:p>
    <w:bookmarkEnd w:id="77"/>
    <w:bookmarkStart w:id="78" w:name="X7bac93042af37c4187c0c70c70dc1b77ed9602d"/>
    <w:p>
      <w:pPr>
        <w:pStyle w:val="Heading2"/>
        <w:spacing w:line="480" w:lineRule="auto"/>
      </w:pPr>
      <w:r>
        <w:t xml:space="preserve">2.5 The Synthesized Gap and the Dissertation’s Position</w:t>
      </w:r>
    </w:p>
    <w:p>
      <w:pPr>
        <w:pStyle w:val="FirstParagraph"/>
        <w:spacing w:line="480" w:lineRule="auto"/>
      </w:pPr>
      <w:r>
        <w:t xml:space="preserve">The synthesized gap is therefore not a topic that has been omitted from the literature but a connection that has not been made. The operations literature has produced cost-side measurement at increasing fidelity [1, 4, 5, 7, 9]. The capacity-management literature has produced population-level indicators at increasing rigor [2, 8]. The economics literature has produced normative claims at increasing precision about what a properly calibrated Pigouvian fee would accomplish [3, 16, 27]. What has not been produced is an estimator that takes the operations-literature cost data as its dependent variable, the capacity-management literature’s population indicators as its independent variable, and the economics literature’s welfare calculus as its policy translation. That estimator is the contribution of this dissertation.</w:t>
      </w:r>
    </w:p>
    <w:p>
      <w:pPr>
        <w:pStyle w:val="BodyText"/>
        <w:spacing w:line="480" w:lineRule="auto"/>
        <w:ind w:firstLine="720"/>
      </w:pPr>
      <w:r>
        <w:t xml:space="preserve">The dissertation positions itself at the intersection in four specific ways. First, it adopts the operations literature’s per-event cost construction [1, 4, 7] and aggregates it to the shell-quarter level using the engineering conversion factor of the coordinated-avoidance framework</w:t>
      </w:r>
      <w:r>
        <w:t xml:space="preserve"> </w:t>
      </w:r>
      <w:hyperlink w:anchor="ref-7">
        <w:r>
          <w:rPr>
            <w:rStyle w:val="Hyperlink"/>
          </w:rPr>
          <w:t xml:space="preserve">[7]</w:t>
        </w:r>
      </w:hyperlink>
      <w:r>
        <w:t xml:space="preserve">. Second, it adopts the capacity-management literature’s shell-altitude and inclination-band stratification</w:t>
      </w:r>
      <w:r>
        <w:t xml:space="preserve"> </w:t>
      </w:r>
      <w:hyperlink w:anchor="ref-2">
        <w:r>
          <w:rPr>
            <w:rStyle w:val="Hyperlink"/>
          </w:rPr>
          <w:t xml:space="preserve">[2]</w:t>
        </w:r>
      </w:hyperlink>
      <w:r>
        <w:t xml:space="preserve"> </w:t>
      </w:r>
      <w:r>
        <w:t xml:space="preserve">and conditions all estimates on those strata. Third, it adopts the economics literature’s Pigouvian welfare calculus [3, 27] and reports the implied fee schedule under transparent welfare assumptions with reported sensitivities. Fourth, it adopts the cliometric provenance standard and ties every observation in the estimating sample to a named source [11, 12, 13, 14, 17].</w:t>
      </w:r>
    </w:p>
    <w:p>
      <w:pPr>
        <w:pStyle w:val="BodyText"/>
        <w:spacing w:line="480" w:lineRule="auto"/>
        <w:ind w:firstLine="720"/>
      </w:pPr>
      <w:r>
        <w:t xml:space="preserve">The hypothesis the dissertation tests is single and is articulated at the level of the unjoined-literatures synthesis. The null is that the marginal social cost of an additional active object in a populated LEO shell, measured as the expected incremental delta-v expenditure by incumbent operators per quarter, is statistically indistinguishable from zero. The alternative is that the marginal social cost is strictly positive, monotonically increasing in shell population above a threshold density, and large enough at observed densities to justify a non-zero Pigouvian right-of-way fee under the welfare calculus articulated in the economics literature [3, 27]. The first companion paper estimates the hazard component of the cost using a Cox proportional-hazards specification on a thirty-two-event conjunction panel and recovers a large and precise positive coefficient on log reported collision probability</w:t>
      </w:r>
      <w:r>
        <w:t xml:space="preserve"> </w:t>
      </w:r>
      <w:hyperlink w:anchor="ref-15">
        <w:r>
          <w:rPr>
            <w:rStyle w:val="Hyperlink"/>
          </w:rPr>
          <w:t xml:space="preserve">[15]</w:t>
        </w:r>
      </w:hyperlink>
      <w:r>
        <w:t xml:space="preserve">. The second companion paper estimates the elasticity component using a log-log specification on a thirty-five-observation shell-quarter panel and recovers a super-unitary elasticity with a 95 percent confidence interval that excludes sub-linear regimes</w:t>
      </w:r>
      <w:r>
        <w:t xml:space="preserve"> </w:t>
      </w:r>
      <w:hyperlink w:anchor="ref-15">
        <w:r>
          <w:rPr>
            <w:rStyle w:val="Hyperlink"/>
          </w:rPr>
          <w:t xml:space="preserve">[15]</w:t>
        </w:r>
      </w:hyperlink>
      <w:r>
        <w:t xml:space="preserve">. The dissertation chapter that integrates these two estimates with the level panel specification produces the marginal-cost schedule the literature has not constructed and translates it into a Pigouvian fee under the Beal-Deschamps-Moulin welfare framework</w:t>
      </w:r>
      <w:r>
        <w:t xml:space="preserve"> </w:t>
      </w:r>
      <w:hyperlink w:anchor="ref-27">
        <w:r>
          <w:rPr>
            <w:rStyle w:val="Hyperlink"/>
          </w:rPr>
          <w:t xml:space="preserve">[27]</w:t>
        </w:r>
      </w:hyperlink>
      <w:r>
        <w:t xml:space="preserve"> </w:t>
      </w:r>
      <w:r>
        <w:t xml:space="preserve">with sensitivities reported under the Weinzierl welfare assumptions</w:t>
      </w:r>
      <w:r>
        <w:t xml:space="preserve"> </w:t>
      </w:r>
      <w:hyperlink w:anchor="ref-3">
        <w:r>
          <w:rPr>
            <w:rStyle w:val="Hyperlink"/>
          </w:rPr>
          <w:t xml:space="preserve">[3]</w:t>
        </w:r>
      </w:hyperlink>
      <w:r>
        <w:t xml:space="preserve">.</w:t>
      </w:r>
    </w:p>
    <w:p>
      <w:pPr>
        <w:pStyle w:val="BodyText"/>
        <w:spacing w:line="480" w:lineRule="auto"/>
        <w:ind w:firstLine="720"/>
      </w:pPr>
      <w:r>
        <w:t xml:space="preserve">Three caveats discipline the contribution. First, the empirical estimates are valid for the LEO regime of the 2019 to 2025 sample period under the screening-threshold regime that prevailed during that period [4, 5]. Their generalization to alternative screening regimes, to the GEO regime</w:t>
      </w:r>
      <w:r>
        <w:t xml:space="preserve"> </w:t>
      </w:r>
      <w:hyperlink w:anchor="ref-18">
        <w:r>
          <w:rPr>
            <w:rStyle w:val="Hyperlink"/>
          </w:rPr>
          <w:t xml:space="preserve">[18]</w:t>
        </w:r>
      </w:hyperlink>
      <w:r>
        <w:t xml:space="preserve">, or to the cislunar regime [20, 21, 22] is a question for subsequent work and is not assumed. Second, the welfare-calculus translation from marginal cost to Pigouvian fee depends on assumptions about deadweight loss and elasticity of demand for orbital access that the data do not directly identify, and the dissertation accordingly reports a fee schedule rather than a single number [3, 27]. Third, the policy implications travel only as far as the structural cost function the dissertation estimates; the political-economy questions of fee administration, jurisdictional authority, and compliance enforcement are governance questions whose treatment is partial in the existing literature [10, 31] and lies outside the empirical scope of the dissertation.</w:t>
      </w:r>
    </w:p>
    <w:p>
      <w:pPr>
        <w:pStyle w:val="BodyText"/>
        <w:spacing w:line="480" w:lineRule="auto"/>
        <w:ind w:firstLine="720"/>
      </w:pPr>
      <w:r>
        <w:t xml:space="preserve">The chapter closes with the observation that the structural readiness of the unjoined literatures for the join the dissertation performs is itself a recent development. The operations-engineering work required to produce per-event cost measurement at the necessary fidelity matured during the early 2020s [1, 4, 6, 7, 9]. The capacity-management work required to produce population-level indicators at the necessary rigor matured in parallel [2, 8]. The economics work establishing the welfare framework for orbital congestion was available earlier but acquired empirical urgency only as the new-space launch cadence densified the Starlink primary band over the same period [3, 27, 30, 33]. The dissertation is therefore not a delayed synthesis of a long-static literature but a timely synthesis of three converging literatures whose joint maturation has, for the first time, made the empirical price of orbital priority right-of-way recoverable from the public record. The remainder of the dissertation executes that recovery.</w:t>
      </w:r>
    </w:p>
    <w:bookmarkEnd w:id="78"/>
    <w:bookmarkEnd w:id="79"/>
    <w:bookmarkStart w:id="88" w:name="Xcfcc00a3ded59aed0c781c16bfc121f2a509603"/>
    <w:p>
      <w:pPr>
        <w:pStyle w:val="Heading1"/>
        <w:spacing w:line="480" w:lineRule="auto"/>
      </w:pPr>
      <w:r>
        <w:t xml:space="preserve">Chapter 3. Theoretical Framework and Hypotheses</w:t>
      </w:r>
    </w:p>
    <w:bookmarkStart w:id="80" w:name="purpose-and-position-of-the-chapter"/>
    <w:p>
      <w:pPr>
        <w:pStyle w:val="Heading2"/>
        <w:spacing w:line="480" w:lineRule="auto"/>
      </w:pPr>
      <w:r>
        <w:t xml:space="preserve">3.1 Purpose and Position of the Chapter</w:t>
      </w:r>
    </w:p>
    <w:p>
      <w:pPr>
        <w:pStyle w:val="FirstParagraph"/>
        <w:spacing w:line="480" w:lineRule="auto"/>
      </w:pPr>
      <w:r>
        <w:t xml:space="preserve">This chapter specifies the theoretical framework that disciplines the empirical work in the chapters that follow. It states the mechanism by which an additional active object in a populated low Earth orbit shell imposes a marginal social cost on the incumbent population of operators, articulates the causal logic that translates that mechanism into an estimable parameter, and renders the resulting empirical claim as a single pair of formal hypotheses, H0 and H1. The chapter does not introduce new data, nor does it estimate the cost curve itself. Its work is to convert the qualitative literature on the orbital commons [3, 6] and the engineering literature on collision avoidance [1, 4, 5, 7] into a structure tight enough that the central contribution of the dissertation, namely the marginal social-cost schedule of orbital congestion, can be falsified rather than merely asserted.</w:t>
      </w:r>
    </w:p>
    <w:p>
      <w:pPr>
        <w:pStyle w:val="BodyText"/>
        <w:spacing w:line="480" w:lineRule="auto"/>
        <w:ind w:firstLine="720"/>
      </w:pPr>
      <w:r>
        <w:t xml:space="preserve">The framework rests on three premises that the literature supports individually and that this dissertation joins. The first premise is that low Earth orbit is a congestible commons: the cost of operating in a shell depends on how many other active objects already occupy that shell, and the marginal entrant does not pay that cost at the point of entry [3, 6]. The second premise is that the operator’s collision-avoidance maneuver is the revealed shadow price of congestion: when an operator burns propellant to avoid a flagged conjunction, that propellant expenditure is a directly observable transfer from operator to environment that quantifies the cost the entrant did not pay [1, 4, 6, 7]. The third premise is that the conjunction-screening pipeline, by virtue of its combinatorial structure, generates a population-to-cost mapping that can in principle be estimated from operator behavior at the shell-quarter level [2, 7]. The hypotheses in Section 3.7 follow directly from these premises.</w:t>
      </w:r>
    </w:p>
    <w:bookmarkEnd w:id="80"/>
    <w:bookmarkStart w:id="81" w:name="Xa8ab16852ec6391f6f98f0feecc98e24d46ca98"/>
    <w:p>
      <w:pPr>
        <w:pStyle w:val="Heading2"/>
        <w:spacing w:line="480" w:lineRule="auto"/>
      </w:pPr>
      <w:r>
        <w:t xml:space="preserve">3.2 The Commons Structure of a Populated Orbital Shell</w:t>
      </w:r>
    </w:p>
    <w:p>
      <w:pPr>
        <w:pStyle w:val="FirstParagraph"/>
        <w:spacing w:line="480" w:lineRule="auto"/>
      </w:pPr>
      <w:r>
        <w:t xml:space="preserve">The economics literature on orbital congestion frames the problem as a textbook commons in which a non-excludable, rivalrous resource (the safety margin of a given shell) is drawn down by every new active object placed in that shell, while none of the cost of the drawdown is charged at the point of entry</w:t>
      </w:r>
      <w:r>
        <w:t xml:space="preserve"> </w:t>
      </w:r>
      <w:hyperlink w:anchor="ref-3">
        <w:r>
          <w:rPr>
            <w:rStyle w:val="Hyperlink"/>
          </w:rPr>
          <w:t xml:space="preserve">[3]</w:t>
        </w:r>
      </w:hyperlink>
      <w:r>
        <w:t xml:space="preserve">. This structural diagnosis has been repeated in the operations literature, which observes that operators currently pay the costs of maneuvering to avoid causing collisions while the marginal entrant does not contribute to that cost at entry</w:t>
      </w:r>
      <w:r>
        <w:t xml:space="preserve"> </w:t>
      </w:r>
      <w:hyperlink w:anchor="ref-6">
        <w:r>
          <w:rPr>
            <w:rStyle w:val="Hyperlink"/>
          </w:rPr>
          <w:t xml:space="preserve">[6]</w:t>
        </w:r>
      </w:hyperlink>
      <w:r>
        <w:t xml:space="preserve">. Capacity-management proposals have likewise treated the shell as a finite-volume container whose carrying capacity is bounded by an indicator family that includes per-object screening burden, residual collision risk, and propellant cost of avoidance</w:t>
      </w:r>
      <w:r>
        <w:t xml:space="preserve"> </w:t>
      </w:r>
      <w:hyperlink w:anchor="ref-2">
        <w:r>
          <w:rPr>
            <w:rStyle w:val="Hyperlink"/>
          </w:rPr>
          <w:t xml:space="preserve">[2]</w:t>
        </w:r>
      </w:hyperlink>
      <w:r>
        <w:t xml:space="preserve">. The three traditions agree that the shell is a commons; they disagree on whether the externality is best characterized as a safety quantity, a per-event engineering cost, or a price.</w:t>
      </w:r>
    </w:p>
    <w:p>
      <w:pPr>
        <w:pStyle w:val="BodyText"/>
        <w:spacing w:line="480" w:lineRule="auto"/>
        <w:ind w:firstLine="720"/>
      </w:pPr>
      <w:r>
        <w:t xml:space="preserve">This dissertation treats the shell as a commons in the welfare-economic sense: a resource for which the social marginal cost of an additional unit of use exceeds the private marginal cost paid by the entrant, and for which a Pigouvian correction restores the efficient level of use</w:t>
      </w:r>
      <w:r>
        <w:t xml:space="preserve"> </w:t>
      </w:r>
      <w:hyperlink w:anchor="ref-3">
        <w:r>
          <w:rPr>
            <w:rStyle w:val="Hyperlink"/>
          </w:rPr>
          <w:t xml:space="preserve">[3]</w:t>
        </w:r>
      </w:hyperlink>
      <w:r>
        <w:t xml:space="preserve">. The unit of use is one active object resident in the shell for one quarter. The social marginal cost is the expected incremental delta-v expenditure that incumbent operators must commit, in the quarter and thereafter, to maintain their realized collision risk at their chosen tolerances [4, 7]. The private marginal cost of entry is, to a first approximation, zero: launch licensing does not price congestion at the shell level, and the entrant does not compensate incumbents for the incremental screening and maneuvering burden it imposes [3, 6]. The gap between social and private marginal cost is the externality the cost curve in this dissertation aims to measure.</w:t>
      </w:r>
    </w:p>
    <w:p>
      <w:pPr>
        <w:pStyle w:val="BodyText"/>
        <w:spacing w:line="480" w:lineRule="auto"/>
        <w:ind w:firstLine="720"/>
      </w:pPr>
      <w:r>
        <w:t xml:space="preserve">A clarifying note on the choice of unit is required. The commons framing could in principle be applied at finer or coarser spatial resolutions: at the level of an individual conjunction pair, at the level of an altitude band aggregated over inclinations, or at the level of an entire low Earth orbit population. The shell-quarter unit is chosen because it matches the resolution at which the data-generating processes operate. Conjunction screening is conducted continuously but is reported in catalog cycles that align naturally to the quarter [4, 5]. Operator maneuver logs and constellation status reports are filed in semi-annual or quarterly cycles</w:t>
      </w:r>
      <w:r>
        <w:t xml:space="preserve"> </w:t>
      </w:r>
      <w:hyperlink w:anchor="ref-11">
        <w:r>
          <w:rPr>
            <w:rStyle w:val="Hyperlink"/>
          </w:rPr>
          <w:t xml:space="preserve">[11]</w:t>
        </w:r>
      </w:hyperlink>
      <w:r>
        <w:t xml:space="preserve">. The active-object catalog snapshot is published at intervals that map cleanly to the quarter</w:t>
      </w:r>
      <w:r>
        <w:t xml:space="preserve"> </w:t>
      </w:r>
      <w:hyperlink w:anchor="ref-12">
        <w:r>
          <w:rPr>
            <w:rStyle w:val="Hyperlink"/>
          </w:rPr>
          <w:t xml:space="preserve">[12]</w:t>
        </w:r>
      </w:hyperlink>
      <w:r>
        <w:t xml:space="preserve">. The shell-quarter therefore is the smallest unit at which a closed accounting of cost and population is feasible without imputation.</w:t>
      </w:r>
    </w:p>
    <w:bookmarkEnd w:id="81"/>
    <w:bookmarkStart w:id="82" w:name="Xf261a7043a3f4f21ff781533098a7f5c0a01c7b"/>
    <w:p>
      <w:pPr>
        <w:pStyle w:val="Heading2"/>
        <w:spacing w:line="480" w:lineRule="auto"/>
      </w:pPr>
      <w:r>
        <w:t xml:space="preserve">3.3 The Conjunction-Screening Mechanism and Its Combinatorial Structure</w:t>
      </w:r>
    </w:p>
    <w:p>
      <w:pPr>
        <w:pStyle w:val="FirstParagraph"/>
        <w:spacing w:line="480" w:lineRule="auto"/>
      </w:pPr>
      <w:r>
        <w:t xml:space="preserve">The mechanism that converts shell population into per-incumbent cost is the conjunction-screening pipeline. The pipeline observes the resident catalog, propagates each object forward, and flags pairs whose predicted minimum separation falls below a configured threshold. Each flagged pair is converted into a conjunction data message that enters the operator’s decision queue, where it is resolved either by a maneuver or by waiting for the close approach to pass without incident [1, 4]. The structural feature of this pipeline that matters for the present argument is its combinatorics: in a shell of N active objects, the number of distinct pairs is N(N-1)/2, which is quadratic in N. Holding screening thresholds constant, the rate at which any individual object enters into flagged pairs therefore grows approximately linearly with N, and the rate at which the population as a whole produces flagged events grows approximately as N squared [2, 7].</w:t>
      </w:r>
    </w:p>
    <w:p>
      <w:pPr>
        <w:pStyle w:val="BodyText"/>
        <w:spacing w:line="480" w:lineRule="auto"/>
        <w:ind w:firstLine="720"/>
      </w:pPr>
      <w:r>
        <w:t xml:space="preserve">The combinatorial baseline is the structural anchor of the framework. It implies that the per-incumbent screening burden, measured as flagged conjunctions per object per unit time, has a population-elasticity of approximately unity even before any operator behavioral response is considered. The companion empirical paper estimates a fitted elasticity of per-object delta-v expenditure with respect to shell population of 1.110, with a tight confidence interval that places the true value squarely in the super-unitary neighborhood while not ruling out the bare-linear baseline of unity [2, 6, 7]. The framework here predicts that result. The combinatorial scaling produces the unitary baseline; the behavioral and uncertainty channels described in Sections 3.4 and 3.5 are what push the realized elasticity above unity.</w:t>
      </w:r>
    </w:p>
    <w:p>
      <w:pPr>
        <w:pStyle w:val="BodyText"/>
        <w:spacing w:line="480" w:lineRule="auto"/>
        <w:ind w:firstLine="720"/>
      </w:pPr>
      <w:r>
        <w:t xml:space="preserve">Two structural caveats apply. First, the combinatorial baseline assumes constant screening thresholds. In the empirical sample, screening thresholds have tightened over time as catalog accuracy has improved</w:t>
      </w:r>
      <w:r>
        <w:t xml:space="preserve"> </w:t>
      </w:r>
      <w:hyperlink w:anchor="ref-5">
        <w:r>
          <w:rPr>
            <w:rStyle w:val="Hyperlink"/>
          </w:rPr>
          <w:t xml:space="preserve">[5]</w:t>
        </w:r>
      </w:hyperlink>
      <w:r>
        <w:t xml:space="preserve">. Tightening thresholds increase the count of flagged pairs at any given N, which would by itself push the apparent population-elasticity above unity even in the absence of any behavioral channel. The robustness specifications in the empirical chapters hold the threshold fixed at the most conservative value in the sample to isolate the structural mechanism from the screening-policy artifact. Second, the combinatorial baseline assumes that pair-formation rates are independent across pairs. In dense shells with structured orbital geometry, pair formation is correlated by inclination and right ascension of the ascending node, and conjunction events cluster in time and space [4, 7]. The clustering is empirically modest at the resolutions used here, but it implies that the constant-elasticity functional form is an approximation rather than an exact structural identity, and that the elasticity is best read as a local rather than a global parameter.</w:t>
      </w:r>
    </w:p>
    <w:bookmarkEnd w:id="82"/>
    <w:bookmarkStart w:id="83" w:name="X40fa702f9e53bb80b2a9de548f91e9f37510a2a"/>
    <w:p>
      <w:pPr>
        <w:pStyle w:val="Heading2"/>
        <w:spacing w:line="480" w:lineRule="auto"/>
      </w:pPr>
      <w:r>
        <w:t xml:space="preserve">3.4 The Operator Decision and the Revealed Shadow Price</w:t>
      </w:r>
    </w:p>
    <w:p>
      <w:pPr>
        <w:pStyle w:val="FirstParagraph"/>
        <w:spacing w:line="480" w:lineRule="auto"/>
      </w:pPr>
      <w:r>
        <w:t xml:space="preserve">The conjunction-screening pipeline produces a stream of flagged events. The operator’s response converts that stream into a cost. The cost is paid in two coins: the propellant expended by the executed maneuver and the operator time consumed by the decision itself [4, 7]. The companion event-level paper estimates the time-on-the-clock channel directly with a Cox proportional-hazards model on a panel of thirty-two conjunction events; the present framework supplies the structural reasoning that makes that estimator the appropriate one.</w:t>
      </w:r>
    </w:p>
    <w:p>
      <w:pPr>
        <w:pStyle w:val="BodyText"/>
        <w:spacing w:line="480" w:lineRule="auto"/>
        <w:ind w:firstLine="720"/>
      </w:pPr>
      <w:r>
        <w:t xml:space="preserve">The operator’s decision is a sequential risk-management problem under uncertainty [1, 4]. At each screening cycle, the operator receives an updated conjunction data message that revises the maximum reported collision probability for the pair. The operator may execute a maneuver, defer the decision, or treat the event as resolved. The execution decision commits a known propellant cost in exchange for the elimination of a probabilistic loss. The deferral decision preserves optionality but accepts a residual probability of either an executed maneuver later in the window, at higher propellant cost because the lead time is shorter</w:t>
      </w:r>
      <w:r>
        <w:t xml:space="preserve"> </w:t>
      </w:r>
      <w:hyperlink w:anchor="ref-6">
        <w:r>
          <w:rPr>
            <w:rStyle w:val="Hyperlink"/>
          </w:rPr>
          <w:t xml:space="preserve">[6]</w:t>
        </w:r>
      </w:hyperlink>
      <w:r>
        <w:t xml:space="preserve">, or an unavoided close approach with residual collision risk. The hazard formulation in the companion paper captures both features: the instantaneous rate of executing a maneuver is conditional on the reported probability, the available lead time, and the operational environment surrounding the encounter [1, 6, 7].</w:t>
      </w:r>
    </w:p>
    <w:p>
      <w:pPr>
        <w:pStyle w:val="BodyText"/>
        <w:spacing w:line="480" w:lineRule="auto"/>
        <w:ind w:firstLine="720"/>
      </w:pPr>
      <w:r>
        <w:t xml:space="preserve">The revealed shadow price interpretation follows from two facts about this decision. First, when the operator executes the maneuver, the propellant expenditure is directly observable in the form of catalog ephemeris changes and operator-reported delta-v consumption</w:t>
      </w:r>
      <w:r>
        <w:t xml:space="preserve"> </w:t>
      </w:r>
      <w:hyperlink w:anchor="ref-11">
        <w:r>
          <w:rPr>
            <w:rStyle w:val="Hyperlink"/>
          </w:rPr>
          <w:t xml:space="preserve">[11]</w:t>
        </w:r>
      </w:hyperlink>
      <w:r>
        <w:t xml:space="preserve">. Second, the operator’s willingness to spend that propellant rather than absorb the residual risk is the operator’s revealed valuation of the risk reduction the maneuver purchases [4, 7]. Aggregating these revealed valuations across events and shells produces a population-level estimate of the cost the marginal entrant did not pay. The shadow-price interpretation does not require the assumption that operators are minimizing a particular objective function; it requires only that the maneuver decision be a positive-cost response to a measurable risk signal. The Cox estimate in the companion event-level paper, in which the coefficient on log base ten maximum reported collision probability is large and statistically distinguishable from zero, is the empirical confirmation that operators behave in a way consistent with this interpretation [1, 4, 6, 7].</w:t>
      </w:r>
    </w:p>
    <w:p>
      <w:pPr>
        <w:pStyle w:val="BodyText"/>
        <w:spacing w:line="480" w:lineRule="auto"/>
        <w:ind w:firstLine="720"/>
      </w:pPr>
      <w:r>
        <w:t xml:space="preserve">A further structural point is required to connect the per-event shadow price to the per-shell marginal cost. The companion event-level paper finds that shell density does not enter the per-event hazard in a statistically distinguishable way, conditional on reported probability. The framework interprets this as evidence that shell density operates on the cost equation through the event-rate channel, not through the per-event decision channel. The total per-incumbent cost in a shell-quarter is therefore the product of the event rate (which scales with shell population through the combinatorial channel) and the expected per-event cost (which scales with the operator’s revealed valuation of risk reduction). The two-step decomposition is what justifies estimating the shell-quarter delta-v panel and the event-level hazard panel separately and combining the results into a single marginal cost schedule.</w:t>
      </w:r>
    </w:p>
    <w:bookmarkEnd w:id="83"/>
    <w:bookmarkStart w:id="84" w:name="X8eb7bd86473dee100ceb59a75aeef317b0dbbce"/>
    <w:p>
      <w:pPr>
        <w:pStyle w:val="Heading2"/>
        <w:spacing w:line="480" w:lineRule="auto"/>
      </w:pPr>
      <w:r>
        <w:t xml:space="preserve">3.5 Uncertainty Amplification and the Super-Linear Channel</w:t>
      </w:r>
    </w:p>
    <w:p>
      <w:pPr>
        <w:pStyle w:val="FirstParagraph"/>
        <w:spacing w:line="480" w:lineRule="auto"/>
      </w:pPr>
      <w:r>
        <w:t xml:space="preserve">The combinatorial baseline of Section 3.3 predicts a unitary population-elasticity of per-incumbent screening burden. The revealed shadow-price logic of Section 3.4 converts that burden into a per-incumbent cost without altering the baseline scaling. The companion log-log paper, however, estimates an elasticity of per-object delta-v expenditure with respect to shell population of 1.110, with a confidence interval that comfortably excludes any sub-unitary interpretation [2, 3, 6, 7]. The framework attributes the gap between the unitary structural baseline and the super-unitary empirical estimate to a third channel: uncertainty amplification under dense screening.</w:t>
      </w:r>
    </w:p>
    <w:p>
      <w:pPr>
        <w:pStyle w:val="BodyText"/>
        <w:spacing w:line="480" w:lineRule="auto"/>
        <w:ind w:firstLine="720"/>
      </w:pPr>
      <w:r>
        <w:t xml:space="preserve">The mechanism is documented in the operations literature [1, 4, 5, 6, 7]. As the rate of flagged events per object rises, two compounding effects degrade the per-event decision environment. First, orbit-prediction uncertainty propagates through the screening calculation, and the per-event probability of an executed maneuver rises faster than the per-event flagged count alone would predict [1, 5]. Second, operator decision capacity is finite, and as the queue of pending events lengthens, the operator is forced to commit to maneuvers under shorter effective lead times, which increases the propellant cost of each executed burn [6, 7]. The first effect is a property of the catalog and the screening physics; the second is a property of the operator’s bounded attention. Both push the realized per-object delta-v expenditure above what the combinatorial baseline would predict.</w:t>
      </w:r>
    </w:p>
    <w:p>
      <w:pPr>
        <w:pStyle w:val="BodyText"/>
        <w:spacing w:line="480" w:lineRule="auto"/>
        <w:ind w:firstLine="720"/>
      </w:pPr>
      <w:r>
        <w:t xml:space="preserve">The framework therefore makes a structural prediction that the data can test. If the combinatorial baseline alone were operative, the fitted population-elasticity would be approximately unity. If uncertainty amplification is operative, the fitted elasticity should be above unity, with the magnitude of the excess set by the strength of the amplification channel. The companion estimate of 1.110 places the elasticity in exactly the predicted region [2, 6, 7]. The point estimate is not the falsifying contribution of the dissertation; the falsifying contribution is the sign and the level of the marginal social cost, which Section 3.7 specifies. The elasticity is the structural complement: it characterizes how the marginal social cost evolves as the shell fills, and it is the parameter that any long-horizon fee schedule must take as input [2, 3].</w:t>
      </w:r>
    </w:p>
    <w:bookmarkEnd w:id="84"/>
    <w:bookmarkStart w:id="85" w:name="causal-logic-and-the-estimand"/>
    <w:p>
      <w:pPr>
        <w:pStyle w:val="Heading2"/>
        <w:spacing w:line="480" w:lineRule="auto"/>
      </w:pPr>
      <w:r>
        <w:t xml:space="preserve">3.6 Causal Logic and the Estimand</w:t>
      </w:r>
    </w:p>
    <w:p>
      <w:pPr>
        <w:pStyle w:val="FirstParagraph"/>
        <w:spacing w:line="480" w:lineRule="auto"/>
      </w:pPr>
      <w:r>
        <w:t xml:space="preserve">The framework now supports a clean statement of the causal logic that underlies the empirical chapters. The treatment is the placement of an additional active object in a populated shell, indexed at the shell-quarter resolution. The outcome is the expected incremental delta-v expenditure committed by incumbent operators within that shell during that quarter and a small number of subsequent quarters, summed across operators. The estimand is the partial derivative of incumbent maneuver cost with respect to shell active-object density, holding constant shell altitude, inclination band, solar activity, operator fleet composition, and screening threshold. The estimand is the marginal social cost of an additional unit of use of the commons, in the welfare sense of Section 3.2.</w:t>
      </w:r>
    </w:p>
    <w:p>
      <w:pPr>
        <w:pStyle w:val="BodyText"/>
        <w:spacing w:line="480" w:lineRule="auto"/>
        <w:ind w:firstLine="720"/>
      </w:pPr>
      <w:r>
        <w:t xml:space="preserve">Identification rests on two features of the data-generating process that the prospectus has already named and the empirical chapters will operationalize. First, entry into a given shell during the sample period is plausibly exogenous to that shell’s short-run maneuver-cost realization for incumbents, because launch manifests are committed months to years in advance and dispense altitudes are fixed by mission requirements rather than by the prior quarter’s conjunction-message volume. This supports a panel fixed-effects specification at the shell-quarter level with operator-fleet controls. Second, the structural asymmetry that incumbents pay maneuver cost while the marginal entrant does not anchors the cost side of the welfare calculation</w:t>
      </w:r>
      <w:r>
        <w:t xml:space="preserve"> </w:t>
      </w:r>
      <w:hyperlink w:anchor="ref-6">
        <w:r>
          <w:rPr>
            <w:rStyle w:val="Hyperlink"/>
          </w:rPr>
          <w:t xml:space="preserve">[6]</w:t>
        </w:r>
      </w:hyperlink>
      <w:r>
        <w:t xml:space="preserve">. The engineering link between the conjunction-message rate and the delta-v cost is supplied by the coordinated-maneuver frameworks that document the conversion factors used by operators in practice</w:t>
      </w:r>
      <w:r>
        <w:t xml:space="preserve"> </w:t>
      </w:r>
      <w:hyperlink w:anchor="ref-7">
        <w:r>
          <w:rPr>
            <w:rStyle w:val="Hyperlink"/>
          </w:rPr>
          <w:t xml:space="preserve">[7]</w:t>
        </w:r>
      </w:hyperlink>
      <w:r>
        <w:t xml:space="preserve">.</w:t>
      </w:r>
    </w:p>
    <w:p>
      <w:pPr>
        <w:pStyle w:val="BodyText"/>
        <w:spacing w:line="480" w:lineRule="auto"/>
        <w:ind w:firstLine="720"/>
      </w:pPr>
      <w:r>
        <w:t xml:space="preserve">Three threats to identification must be acknowledged within the framework itself rather than left to robustness checks. The first is reverse causation: if an operator selects a shell because it is uncongested, current-period density is endogenous to expected cost. The framework addresses this with the lagged-manifest instrument identified in the prospectus, which uses launch-manifest commitments at horizons that predate observable congestion realizations. The second is operator heterogeneity: operators differ in their stated maneuver policies, and a pooled estimate without operator controls would conflate behavior with structure [1, 4]. The framework addresses this with operator fixed effects and with a restricted specification on operators that publish a stated maneuver policy. The third is the welfare-calculus extrapolation: translating an estimated marginal cost into a Pigouvian fee requires assumptions about deadweight loss and elasticity of demand for orbital access that the data do not directly identify</w:t>
      </w:r>
      <w:r>
        <w:t xml:space="preserve"> </w:t>
      </w:r>
      <w:hyperlink w:anchor="ref-3">
        <w:r>
          <w:rPr>
            <w:rStyle w:val="Hyperlink"/>
          </w:rPr>
          <w:t xml:space="preserve">[3]</w:t>
        </w:r>
      </w:hyperlink>
      <w:r>
        <w:t xml:space="preserve">. The framework treats this as a sensitivity rather than an identification problem, and the empirical chapters will report the fee under transparent welfare assumptions rather than asserting a single number.</w:t>
      </w:r>
    </w:p>
    <w:bookmarkEnd w:id="85"/>
    <w:bookmarkStart w:id="86" w:name="formal-hypotheses"/>
    <w:p>
      <w:pPr>
        <w:pStyle w:val="Heading2"/>
        <w:spacing w:line="480" w:lineRule="auto"/>
      </w:pPr>
      <w:r>
        <w:t xml:space="preserve">3.7 Formal Hypotheses</w:t>
      </w:r>
    </w:p>
    <w:p>
      <w:pPr>
        <w:pStyle w:val="FirstParagraph"/>
        <w:spacing w:line="480" w:lineRule="auto"/>
      </w:pPr>
      <w:r>
        <w:t xml:space="preserve">The framework supports the same single pair of hypotheses the prospectus advanced, now expressed in terms the empirical chapters can test directly.</w:t>
      </w:r>
    </w:p>
    <w:p>
      <w:pPr>
        <w:pStyle w:val="BodyText"/>
        <w:spacing w:line="480" w:lineRule="auto"/>
        <w:ind w:firstLine="720"/>
      </w:pPr>
      <w:r>
        <w:rPr>
          <w:b/>
          <w:bCs/>
        </w:rPr>
        <w:t xml:space="preserve">H0 (null hypothesis).</w:t>
      </w:r>
      <w:r>
        <w:t xml:space="preserve"> </w:t>
      </w:r>
      <w:r>
        <w:t xml:space="preserve">The marginal social cost of an additional active object in a populated low Earth orbit shell, measured as the expected incremental delta-v expenditure committed by incumbent operators per quarter and aggregated to the shell level, is statistically indistinguishable from zero. Formally, let mu denote the partial derivative of incumbent per-quarter delta-v with respect to shell active-object density, evaluated at observed densities and conditional on the controls named in Section 3.6. H0 states that mu equals zero.</w:t>
      </w:r>
    </w:p>
    <w:p>
      <w:pPr>
        <w:pStyle w:val="BodyText"/>
        <w:spacing w:line="480" w:lineRule="auto"/>
        <w:ind w:firstLine="720"/>
      </w:pPr>
      <w:r>
        <w:rPr>
          <w:b/>
          <w:bCs/>
        </w:rPr>
        <w:t xml:space="preserve">H1 (alternative hypothesis).</w:t>
      </w:r>
      <w:r>
        <w:t xml:space="preserve"> </w:t>
      </w:r>
      <w:r>
        <w:t xml:space="preserve">The marginal social cost mu is strictly positive, monotonically non-decreasing in shell active-object density above a threshold density, and large enough at observed densities to justify a non-zero Pigouvian right-of-way fee under the welfare assumptions stated in the economics literature</w:t>
      </w:r>
      <w:r>
        <w:t xml:space="preserve"> </w:t>
      </w:r>
      <w:hyperlink w:anchor="ref-3">
        <w:r>
          <w:rPr>
            <w:rStyle w:val="Hyperlink"/>
          </w:rPr>
          <w:t xml:space="preserve">[3]</w:t>
        </w:r>
      </w:hyperlink>
      <w:r>
        <w:t xml:space="preserve">. The alternative is composite: it specifies a sign, a monotonicity restriction, and a magnitude floor, each of which the empirical chapters will test.</w:t>
      </w:r>
    </w:p>
    <w:p>
      <w:pPr>
        <w:pStyle w:val="BodyText"/>
        <w:spacing w:line="480" w:lineRule="auto"/>
        <w:ind w:firstLine="720"/>
      </w:pPr>
      <w:r>
        <w:t xml:space="preserve">Two structural corollaries follow from H1 and provide auxiliary diagnostics rather than primary hypotheses. The first corollary is that the population-elasticity of per-object delta-v expenditure is positive and statistically distinguishable from zero, with the framework predicting a value at or above unity and the companion empirical paper estimating 1.110 [2, 3, 6, 7]. The second corollary is that the per-event hazard of an executed maneuver responds positively to reported collision probability, conditional on lead time and shell density, with the framework predicting a large positive coefficient and the companion event-level paper estimating a log hazard ratio of 4.69 [1, 4, 6, 7]. The corollaries are not the falsifying claim; they are the structural fingerprints that the framework predicts and that the data can corroborate or refute.</w:t>
      </w:r>
    </w:p>
    <w:p>
      <w:pPr>
        <w:pStyle w:val="BodyText"/>
        <w:spacing w:line="480" w:lineRule="auto"/>
        <w:ind w:firstLine="720"/>
      </w:pPr>
      <w:r>
        <w:t xml:space="preserve">The falsifying claim is the cost curve itself. A credibly identified null result on mu, or a non-monotone curve, or a curve whose magnitude is too small to support a non-zero fee under any defensible welfare calculus, would refute the central contribution of the dissertation. The empirical chapters are designed to permit each of those outcomes. The framework does not protect them.</w:t>
      </w:r>
    </w:p>
    <w:bookmarkEnd w:id="86"/>
    <w:bookmarkStart w:id="87" w:name="Xdd49f784d433cf0cbe6baead014a842798172b7"/>
    <w:p>
      <w:pPr>
        <w:pStyle w:val="Heading2"/>
        <w:spacing w:line="480" w:lineRule="auto"/>
      </w:pPr>
      <w:r>
        <w:t xml:space="preserve">3.8 Scope, Boundary Conditions, and What the Framework Does Not Claim</w:t>
      </w:r>
    </w:p>
    <w:p>
      <w:pPr>
        <w:pStyle w:val="FirstParagraph"/>
        <w:spacing w:line="480" w:lineRule="auto"/>
      </w:pPr>
      <w:r>
        <w:t xml:space="preserve">The framework as stated has three boundary conditions that the empirical chapters honor and that future work would have to relax explicitly.</w:t>
      </w:r>
    </w:p>
    <w:p>
      <w:pPr>
        <w:pStyle w:val="BodyText"/>
        <w:spacing w:line="480" w:lineRule="auto"/>
        <w:ind w:firstLine="720"/>
      </w:pPr>
      <w:r>
        <w:t xml:space="preserve">First, the framework is restricted to low Earth orbit. The orbital-economics literature observes that the marginal cost structure of geosynchronous slots differs in kind from that of low Earth orbit shells because the relevant scarcity is longitudinal slot allocation rather than volumetric congestion</w:t>
      </w:r>
      <w:r>
        <w:t xml:space="preserve"> </w:t>
      </w:r>
      <w:hyperlink w:anchor="ref-3">
        <w:r>
          <w:rPr>
            <w:rStyle w:val="Hyperlink"/>
          </w:rPr>
          <w:t xml:space="preserve">[3]</w:t>
        </w:r>
      </w:hyperlink>
      <w:r>
        <w:t xml:space="preserve">. The framework does not extend to that regime, and the empirical sample excludes it.</w:t>
      </w:r>
    </w:p>
    <w:p>
      <w:pPr>
        <w:pStyle w:val="BodyText"/>
        <w:spacing w:line="480" w:lineRule="auto"/>
        <w:ind w:firstLine="720"/>
      </w:pPr>
      <w:r>
        <w:t xml:space="preserve">Second, the framework treats the conjunction-screening pipeline as the binding mechanism through which population converts into cost. Other mechanisms exist. Frequency-coordination conflicts impose an entry cost that is not captured here. Launch-window contention imposes a cost at the dispense altitude that is paid before the active object becomes resident in the shell. Debris-generation events impose a cost that is realized over much longer horizons than the quarter</w:t>
      </w:r>
      <w:r>
        <w:t xml:space="preserve"> </w:t>
      </w:r>
      <w:hyperlink w:anchor="ref-12">
        <w:r>
          <w:rPr>
            <w:rStyle w:val="Hyperlink"/>
          </w:rPr>
          <w:t xml:space="preserve">[12]</w:t>
        </w:r>
      </w:hyperlink>
      <w:r>
        <w:t xml:space="preserve">. The framework is a marginal-cost framework for the screening-and-maneuver channel only. Its silence on the other channels is a scope statement, not an implicit claim that those channels are negligible.</w:t>
      </w:r>
    </w:p>
    <w:p>
      <w:pPr>
        <w:pStyle w:val="BodyText"/>
        <w:spacing w:line="480" w:lineRule="auto"/>
        <w:ind w:firstLine="720"/>
      </w:pPr>
      <w:r>
        <w:t xml:space="preserve">Third, the framework treats the operator’s revealed shadow price as the relevant cost measure for the welfare calculation. It does not claim that the revealed price equals the social-welfare-maximizing price. The gap between the revealed and the welfare-maximizing prices is the subject of the sensitivity analysis in the empirical chapters, and the framework’s contribution is to identify the revealed price rather than to assert it as the correct one</w:t>
      </w:r>
      <w:r>
        <w:t xml:space="preserve"> </w:t>
      </w:r>
      <w:hyperlink w:anchor="ref-3">
        <w:r>
          <w:rPr>
            <w:rStyle w:val="Hyperlink"/>
          </w:rPr>
          <w:t xml:space="preserve">[3]</w:t>
        </w:r>
      </w:hyperlink>
      <w:r>
        <w:t xml:space="preserve">.</w:t>
      </w:r>
    </w:p>
    <w:p>
      <w:pPr>
        <w:pStyle w:val="BodyText"/>
        <w:spacing w:line="480" w:lineRule="auto"/>
        <w:ind w:firstLine="720"/>
      </w:pPr>
      <w:r>
        <w:t xml:space="preserve">The framework as a whole is intended to be the smallest theoretical structure capable of supporting the falsifiable contribution. It joins the economics, capacity-management, and operations literatures at the points where they touch [1, 2, 3, 4, 5, 6, 7], borrows the combinatorial structure of conjunction screening as its structural backbone, and renders the central empirical claim as a single pair of hypotheses with auxiliary structural corollaries. The chapters that follow operationalize this framework in two complementary specifications, a shell-quarter panel and an event-level hazard model, whose joint output is the marginal social-cost schedule that is the dissertation’s contribution.</w:t>
      </w:r>
    </w:p>
    <w:bookmarkEnd w:id="87"/>
    <w:bookmarkEnd w:id="88"/>
    <w:bookmarkStart w:id="96" w:name="chapter-4.-data-and-measurement"/>
    <w:p>
      <w:pPr>
        <w:pStyle w:val="Heading1"/>
        <w:spacing w:line="480" w:lineRule="auto"/>
      </w:pPr>
      <w:r>
        <w:t xml:space="preserve">Chapter 4. Data and Measurement</w:t>
      </w:r>
    </w:p>
    <w:bookmarkStart w:id="89" w:name="purpose-and-scope-of-the-chapter"/>
    <w:p>
      <w:pPr>
        <w:pStyle w:val="Heading2"/>
        <w:spacing w:line="480" w:lineRule="auto"/>
      </w:pPr>
      <w:r>
        <w:t xml:space="preserve">4.1 Purpose and Scope of the Chapter</w:t>
      </w:r>
    </w:p>
    <w:p>
      <w:pPr>
        <w:pStyle w:val="FirstParagraph"/>
        <w:spacing w:line="480" w:lineRule="auto"/>
      </w:pPr>
      <w:r>
        <w:t xml:space="preserve">The empirical claims advanced in Chapters 5 and 6 of this dissertation rest on a small set of public datasets assembled into two analytic objects: a shell-quarter panel of incumbent collision-avoidance expenditure and an event-level survival sample of conjunction-to-maneuver decisions. The credibility of the marginal social cost estimate, and of the structural elasticity that scales it across populations, depends entirely on whether each row in those analytic objects can be traced to a named primary record issued by a recognized authority. This chapter discharges that obligation. It identifies every primary source used in the two papers that anchor the dissertation programme, defines the unit of analysis at which the data are aligned, and documents, variable by variable, how the values that enter the regressions are constructed from the original records. No quantitative result is reported here that has not already been computed in the underlying paper; the chapter’s contribution is documentary rather than estimative.</w:t>
      </w:r>
    </w:p>
    <w:p>
      <w:pPr>
        <w:pStyle w:val="BodyText"/>
        <w:spacing w:line="480" w:lineRule="auto"/>
        <w:ind w:firstLine="720"/>
      </w:pPr>
      <w:r>
        <w:t xml:space="preserve">Three considerations motivate the level of detail that follows. First, the prospectus committed the dissertation to a posture in which every variable in the analysis is traceable to a named source and no synthetic, simulated, or undocumented data enters the estimating sample. That commitment is meaningful only if the audit trail is visible at the row level. Second, the operations literature on collision avoidance has matured to the point at which the engineering quantities required to translate maneuver counts into propellant expenditure are documented in the public record, and the structural argument of the dissertation hinges on connecting those quantities to operator-reported behavior in a manner that other researchers can reproduce [4, 5, 7]. Third, the policy claim that a non-zero Pigouvian right-of-way fee is defensible at observed densities is a claim about real operators, real shells, and real propellant, not about a calibrated synthetic environment; the chapter accordingly treats provenance as a load-bearing element of the welfare argument rather than as an administrative afterthought [3, 6].</w:t>
      </w:r>
    </w:p>
    <w:bookmarkEnd w:id="89"/>
    <w:bookmarkStart w:id="90" w:name="unit-of-analysis"/>
    <w:p>
      <w:pPr>
        <w:pStyle w:val="Heading2"/>
        <w:spacing w:line="480" w:lineRule="auto"/>
      </w:pPr>
      <w:r>
        <w:t xml:space="preserve">4.2 Unit of Analysis</w:t>
      </w:r>
    </w:p>
    <w:p>
      <w:pPr>
        <w:pStyle w:val="FirstParagraph"/>
        <w:spacing w:line="480" w:lineRule="auto"/>
      </w:pPr>
      <w:r>
        <w:t xml:space="preserve">The dissertation operates at two units of analysis, one per paper, and the two are deliberately aligned on the same observational base.</w:t>
      </w:r>
    </w:p>
    <w:p>
      <w:pPr>
        <w:pStyle w:val="BodyText"/>
        <w:spacing w:line="480" w:lineRule="auto"/>
        <w:ind w:firstLine="720"/>
      </w:pPr>
      <w:r>
        <w:t xml:space="preserve">The first unit is the shell-quarter. A shell is a contiguous altitude band in low Earth orbit, bounded above and below by altitudes that operators use to dispense and station-keep their fleets, and characterized by a common dynamical environment over the analytic horizon. Six shells enter the estimating panel: the Starlink primary band at 500 to 550 kilometres, an adjacent band at 550 to 600 kilometres, a very low Earth orbit band at 335 to 355 kilometres, a heritage band at 750 to 800 kilometres, the Iridium NEXT band at 1100 to 1200 kilometres, and the OneWeb band at 1200 to 1300 kilometres. A quarter is a standard calendar quarter, beginning on the first day of January, April, July, or October. The shell-quarter is therefore an (altitude band, calendar quarter) pair, and a row in the shell-quarter panel records the shell’s active-payload population at the start of the quarter together with the aggregate avoidance expenditure attributed to incumbent operators during the quarter.</w:t>
      </w:r>
    </w:p>
    <w:p>
      <w:pPr>
        <w:pStyle w:val="BodyText"/>
        <w:spacing w:line="480" w:lineRule="auto"/>
        <w:ind w:firstLine="720"/>
      </w:pPr>
      <w:r>
        <w:t xml:space="preserve">The second unit is the conjunction event. An event is initiated by the first conjunction data message that the screening authority issues for a given pair of catalogued objects and is closed either by the executed collision-avoidance maneuver of one of the two objects or by the passage of the predicted time of closest approach without maneuver. Each event sits inside exactly one shell-quarter, by virtue of the altitude of the primary object at the moment the first message is issued and the calendar timestamp on that message. The event-level sample comprises thirty-two such events selected from the public operator-reported record between 2019 and 2024, with twenty-five terminating in an executed maneuver and seven right-censored at the predicted time of closest approach.</w:t>
      </w:r>
    </w:p>
    <w:p>
      <w:pPr>
        <w:pStyle w:val="BodyText"/>
        <w:spacing w:line="480" w:lineRule="auto"/>
        <w:ind w:firstLine="720"/>
      </w:pPr>
      <w:r>
        <w:t xml:space="preserve">The alignment between the two units is not incidental. The shell-quarter panel and the event-level sample share the same shell definitions, the same calendar boundaries, and the same operator universe, so that the level estimate produced in the first paper and the structural elasticity produced in the second paper can be combined into a single marginal cost schedule in Chapter 7 without crosswalking between observational frames. The hazard-side estimate produced in paper two fixes the relationship between risk and the operator decision; the panel estimate produced in paper one fixes the relationship between shell density and the aggregate cost paid; the shared shell-quarter spine is what allows both halves to be expressed in the same units of delta-v per active object per quarter.</w:t>
      </w:r>
    </w:p>
    <w:bookmarkEnd w:id="90"/>
    <w:bookmarkStart w:id="91" w:name="primary-sources"/>
    <w:p>
      <w:pPr>
        <w:pStyle w:val="Heading2"/>
        <w:spacing w:line="480" w:lineRule="auto"/>
      </w:pPr>
      <w:r>
        <w:t xml:space="preserve">4.3 Primary Sources</w:t>
      </w:r>
    </w:p>
    <w:p>
      <w:pPr>
        <w:pStyle w:val="FirstParagraph"/>
        <w:spacing w:line="480" w:lineRule="auto"/>
      </w:pPr>
      <w:r>
        <w:t xml:space="preserve">Four authoritative sources anchor the data, complemented by an engineering-translation literature that is used to convert recorded maneuver counts into delta-v expenditure. Each is named here, with its institutional issuer and the specific filings or editions drawn upon for the analytic horizon 2019 through 2024.</w:t>
      </w:r>
    </w:p>
    <w:p>
      <w:pPr>
        <w:pStyle w:val="BodyText"/>
        <w:spacing w:line="480" w:lineRule="auto"/>
        <w:ind w:firstLine="720"/>
      </w:pPr>
      <w:r>
        <w:t xml:space="preserve">The first source is the public conjunction data message and catalog record issued by the United States Space Force 18th Space Defense Squadron through Space-Track.org. Space-Track provides standardized conjunction data messages, on-orbit catalog snapshots, and decay messages under a registered-user agreement. The catalog snapshots constitute the underlying population from which the shell-quarter active-object density panel is built, and the conjunction data message stream constitutes the underlying event population from which the hazard-side sample is drawn. The prospectus identified this dataset as the primary anchor for the empirical strategy and Chapters 5 and 6 retain that posture.</w:t>
      </w:r>
    </w:p>
    <w:p>
      <w:pPr>
        <w:pStyle w:val="BodyText"/>
        <w:spacing w:line="480" w:lineRule="auto"/>
        <w:ind w:firstLine="720"/>
      </w:pPr>
      <w:r>
        <w:t xml:space="preserve">The second source is the corpus of semi-annual constellation status reports filed by SpaceX with the United States Federal Communications Commission, identified by Federal Communications Commission accession numbers DA 20-1144 through DA 25-12 across the 2020 through 2025 filing windows. These reports disclose, on a half-year cadence, the number of Starlink spacecraft on orbit, the number of conjunction screenings against the active fleet, and the count of executed collision-avoidance maneuvers. They are the single most consequential cost-side input to the shell-quarter panel for the Starlink primary band and adjacent shells, because the operator that flies the largest fraction of the population in those shells also reports its maneuver activity at a cadence and granularity that no other operator matches in the public record. Operator filings and public statements from OneWeb, Planet, Iridium, the European Space Agency Aeolus mission, the Chinese Tiangong programme, and the National Aeronautics and Space Administration pre-determined debris avoidance maneuver record for the International Space Station supply the balance of the operator universe.</w:t>
      </w:r>
    </w:p>
    <w:p>
      <w:pPr>
        <w:pStyle w:val="BodyText"/>
        <w:spacing w:line="480" w:lineRule="auto"/>
        <w:ind w:firstLine="720"/>
      </w:pPr>
      <w:r>
        <w:t xml:space="preserve">The third source is the European Space Agency Annual Space Environment Report, issued by the European Space Agency Space Debris Office, with editions consulted for the calendar years 2020 through 2025. The European Space Agency report is used in two roles. As an independent cross-check, its active-payload tabulations are compared to the Space-Track catalog snapshots at quarter boundaries, and the difference between the two sources is treated as a measurement uncertainty band on shell population. As a primary tabulation, its active-payload counts by orbital regime supply the population values that enter the log-log specification estimated in the second paper, on the grounds that the European Space Agency report applies a consistent active-payload definition across the analytic horizon. The Database and Information System Characterising Objects in Space, the European Space Agency’s public catalog extract, supplies the underlying row-level records that the annual report aggregates and is used to derive shell-specific active-payload counts where the report’s tabulations are stated at the broader regime level.</w:t>
      </w:r>
    </w:p>
    <w:p>
      <w:pPr>
        <w:pStyle w:val="BodyText"/>
        <w:spacing w:line="480" w:lineRule="auto"/>
        <w:ind w:firstLine="720"/>
      </w:pPr>
      <w:r>
        <w:t xml:space="preserve">The fourth source is the F10.7 centimetre solar radio flux archive maintained by the National Oceanic and Atmospheric Administration Space Weather Prediction Center. The archive supplies daily and monthly values of the F10.7 index across the analytic horizon, and the quarter mean of the daily index is used as the solar covariate in both the shell-quarter panel and the event-level survival model. The covariate carries no proprietary content and enters the analysis at the same calendar resolution as the rest of the data.</w:t>
      </w:r>
    </w:p>
    <w:p>
      <w:pPr>
        <w:pStyle w:val="BodyText"/>
        <w:spacing w:line="480" w:lineRule="auto"/>
        <w:ind w:firstLine="720"/>
      </w:pPr>
      <w:r>
        <w:t xml:space="preserve">A small set of administrative records is consulted for cross-validation but contributes no row to the estimating samples. United States Government Accountability Office major project status reports GAO-23-106021, GAO-24-106767, and GAO-25-107591 are read for confirmation of programmatic context surrounding the National Aeronautics and Space Administration spacecraft that contribute International Space Station maneuver events.</w:t>
      </w:r>
    </w:p>
    <w:p>
      <w:pPr>
        <w:pStyle w:val="BodyText"/>
        <w:spacing w:line="480" w:lineRule="auto"/>
        <w:ind w:firstLine="720"/>
      </w:pPr>
      <w:r>
        <w:t xml:space="preserve">The engineering translation that converts maneuver counts into delta-v expenditure draws on the coordinated optimal avoidance framework documented at the Advanced Maui Optical and Space Surveillance Technologies Conference</w:t>
      </w:r>
      <w:r>
        <w:t xml:space="preserve"> </w:t>
      </w:r>
      <w:hyperlink w:anchor="ref-7">
        <w:r>
          <w:rPr>
            <w:rStyle w:val="Hyperlink"/>
          </w:rPr>
          <w:t xml:space="preserve">[7]</w:t>
        </w:r>
      </w:hyperlink>
      <w:r>
        <w:t xml:space="preserve">, the decision-support tooling for risk assessment and maneuver planning documented at the same venue in an earlier edition</w:t>
      </w:r>
      <w:r>
        <w:t xml:space="preserve"> </w:t>
      </w:r>
      <w:hyperlink w:anchor="ref-4">
        <w:r>
          <w:rPr>
            <w:rStyle w:val="Hyperlink"/>
          </w:rPr>
          <w:t xml:space="preserve">[4]</w:t>
        </w:r>
      </w:hyperlink>
      <w:r>
        <w:t xml:space="preserve">, and the situational-awareness positional and dimensional accuracy requirements published alongside them</w:t>
      </w:r>
      <w:r>
        <w:t xml:space="preserve"> </w:t>
      </w:r>
      <w:hyperlink w:anchor="ref-5">
        <w:r>
          <w:rPr>
            <w:rStyle w:val="Hyperlink"/>
          </w:rPr>
          <w:t xml:space="preserve">[5]</w:t>
        </w:r>
      </w:hyperlink>
      <w:r>
        <w:t xml:space="preserve">. The conversion factors used by operators in practice, the impulsive-burn approximation that anchors the conversion, and the relationship between risk-metric thresholds and fuel usage are documented in those references rather than derived afresh here. The maneuver-guidelines literature supplies the structural argument that lead time materially affects the propellant cost of the eventual burn, because shorter lead times force larger correction burns</w:t>
      </w:r>
      <w:r>
        <w:t xml:space="preserve"> </w:t>
      </w:r>
      <w:hyperlink w:anchor="ref-6">
        <w:r>
          <w:rPr>
            <w:rStyle w:val="Hyperlink"/>
          </w:rPr>
          <w:t xml:space="preserve">[6]</w:t>
        </w:r>
      </w:hyperlink>
      <w:r>
        <w:t xml:space="preserve">.</w:t>
      </w:r>
    </w:p>
    <w:bookmarkEnd w:id="91"/>
    <w:bookmarkStart w:id="92" w:name="construction-of-the-shell-quarter-panel"/>
    <w:p>
      <w:pPr>
        <w:pStyle w:val="Heading2"/>
        <w:spacing w:line="480" w:lineRule="auto"/>
      </w:pPr>
      <w:r>
        <w:t xml:space="preserve">4.4 Construction of the Shell-Quarter Panel</w:t>
      </w:r>
    </w:p>
    <w:p>
      <w:pPr>
        <w:pStyle w:val="FirstParagraph"/>
        <w:spacing w:line="480" w:lineRule="auto"/>
      </w:pPr>
      <w:r>
        <w:t xml:space="preserve">The shell-quarter panel is the analytic object that the first paper estimates. It contains thirty-five shell-quarter rows distributed across the six shells named above and across the calendar quarters from the first quarter of 2019 to the fourth quarter of 2024. Each row is constructed in three measured steps.</w:t>
      </w:r>
    </w:p>
    <w:p>
      <w:pPr>
        <w:pStyle w:val="BodyText"/>
        <w:spacing w:line="480" w:lineRule="auto"/>
        <w:ind w:firstLine="720"/>
      </w:pPr>
      <w:r>
        <w:t xml:space="preserve">The first step constructs the active-payload population in the shell at the start of the quarter. The Space-Track catalog snapshot nearest to the first day of the quarter is filtered to active payloads, in orbit, with mean motion and inclination within the shell’s defining altitude band. The European Space Agency Annual Space Environment Report tabulation for the same regime and the same calendar period is used as a cross-check, with the row-level Database and Information System Characterising Objects in Space extract supplying shell-specific disaggregation where the report itself is stated at the broader regime level. Where the two sources agree to within five percent of the population, the Space-Track count is used as the recorded value. Where they diverge by more than five percent, the European Space Agency value is used and the divergence is recorded in the data file as a quality flag. The range of populations across the panel runs from twelve active payloads in the early CAPSTONE-era very low altitude observations to two thousand six hundred and ten in the densest Starlink-band quarter at the end of the sample. No quarter is dropped from the panel for missing population data; every shell-quarter in the analytic horizon is represented.</w:t>
      </w:r>
    </w:p>
    <w:p>
      <w:pPr>
        <w:pStyle w:val="BodyText"/>
        <w:spacing w:line="480" w:lineRule="auto"/>
        <w:ind w:firstLine="720"/>
      </w:pPr>
      <w:r>
        <w:t xml:space="preserve">The second step constructs the aggregate incumbent collision-avoidance delta-v expenditure during the quarter. For each operator with active payloads in the shell during the quarter, the recorded maneuver count is taken from the operator’s primary public record. For Starlink-band shells the recorded count comes from the semi-annual constellation status reports filed by SpaceX with the Federal Communications Commission and is allocated to the calendar quarter pro rata across the half-year of the filing using the operator’s stated screening volume as the allocation weight. For the Iridium NEXT and OneWeb shells the recorded count comes from the corresponding operator filings, allocated using the same pro-rata convention. For the very low Earth orbit and heritage bands the recorded count comes from the operator filings and public statements of Planet, Iridium, the European Space Agency Aeolus mission, the Chinese Tiangong programme, and the International Space Station pre-determined debris avoidance maneuver record. Each maneuver count is converted to a delta-v value using the impulsive-burn conversion documented in the coordinated optimal avoidance framework</w:t>
      </w:r>
      <w:r>
        <w:t xml:space="preserve"> </w:t>
      </w:r>
      <w:hyperlink w:anchor="ref-7">
        <w:r>
          <w:rPr>
            <w:rStyle w:val="Hyperlink"/>
          </w:rPr>
          <w:t xml:space="preserve">[7]</w:t>
        </w:r>
      </w:hyperlink>
      <w:r>
        <w:t xml:space="preserve">, which connects risk-metric thresholds and lead times to propellant expenditure, and the conversion factor is recorded explicitly in the data file alongside the input count. The per-active-object expenditure is the quarter total divided by the shell-quarter active-payload population.</w:t>
      </w:r>
    </w:p>
    <w:p>
      <w:pPr>
        <w:pStyle w:val="BodyText"/>
        <w:spacing w:line="480" w:lineRule="auto"/>
        <w:ind w:firstLine="720"/>
      </w:pPr>
      <w:r>
        <w:t xml:space="preserve">The third step constructs the auxiliary covariates that enter the multivariate specification of the first paper. The screening intensity covariate is the count of conjunction data messages issued during the quarter for primaries in the shell, taken directly from the Space-Track stream. The solar covariate is the quarter mean of the daily F10.7 centimetre flux from the National Oceanic and Atmospheric Administration archive. The shell fixed effect is a dummy on the six shells defined above; the quarter fixed effect is a dummy on the twenty-four quarters across the analytic horizon. None of these covariates carries proprietary content, and none is derived from a synthetic source.</w:t>
      </w:r>
    </w:p>
    <w:p>
      <w:pPr>
        <w:pStyle w:val="BodyText"/>
        <w:spacing w:line="480" w:lineRule="auto"/>
        <w:ind w:firstLine="720"/>
      </w:pPr>
      <w:r>
        <w:t xml:space="preserve">The dependent variable in the log-log specification estimated by the second paper is the same per-active-object delta-v value constructed in the second step. The independent variable in that specification is the shell-quarter active-payload population constructed in the first step. The two papers therefore share the same dependent and primary independent variables; what differs is the functional form of the right-hand side and the choice of covariates absorbed into the conditioning set. This alignment is deliberate: the level coefficient from the first paper sets the price at the current population, and the elasticity from the second paper sets the rate at which that price must rise as the population grows, and the two parameters are defensibly combined in Chapter 7 precisely because they are estimated on a shared observational base.</w:t>
      </w:r>
    </w:p>
    <w:bookmarkEnd w:id="92"/>
    <w:bookmarkStart w:id="93" w:name="X4a61f3895aa65190f6aa8e801012b4a96a7ae1c"/>
    <w:p>
      <w:pPr>
        <w:pStyle w:val="Heading2"/>
        <w:spacing w:line="480" w:lineRule="auto"/>
      </w:pPr>
      <w:r>
        <w:t xml:space="preserve">4.5 Construction of the Event-Level Survival Sample</w:t>
      </w:r>
    </w:p>
    <w:p>
      <w:pPr>
        <w:pStyle w:val="FirstParagraph"/>
        <w:spacing w:line="480" w:lineRule="auto"/>
      </w:pPr>
      <w:r>
        <w:t xml:space="preserve">The event-level survival sample is the analytic object that the second paper of the dissertation estimates. It contains thirty-two conjunction events drawn from populated low Earth orbit shells across 2019 through 2024, of which twenty-five terminate in an executed collision-avoidance maneuver and seven are right-censored at the predicted time of closest approach. Each event is constructed in four measured steps.</w:t>
      </w:r>
    </w:p>
    <w:p>
      <w:pPr>
        <w:pStyle w:val="BodyText"/>
        <w:spacing w:line="480" w:lineRule="auto"/>
        <w:ind w:firstLine="720"/>
      </w:pPr>
      <w:r>
        <w:t xml:space="preserve">The first step identifies the event. A candidate event is any conjunction pair for which an operator within the dissertation’s six-shell universe has disclosed, in its semi-annual constellation status report, in its pre-determined debris avoidance maneuver record, in a public statement, or in a regulatory filing, that a conjunction data message was issued and a maneuver decision was taken. Where the operator’s disclosure does not include the time of the first conjunction data message, the disclosure is matched against the Space-Track conjunction data message stream by primary catalog number, secondary catalog number, and predicted time of closest approach, and the timestamp on the matched first conjunction data message is used as the clock start. Where the match is unambiguous the event is admitted to the sample; where it is ambiguous the event is excluded and the exclusion is recorded in the data file.</w:t>
      </w:r>
    </w:p>
    <w:p>
      <w:pPr>
        <w:pStyle w:val="BodyText"/>
        <w:spacing w:line="480" w:lineRule="auto"/>
        <w:ind w:firstLine="720"/>
      </w:pPr>
      <w:r>
        <w:t xml:space="preserve">The second step constructs the survival outcome. The dependent variable is the elapsed time in hours between the clock start and the executed maneuver. For events that terminate without a maneuver the dependent variable is the elapsed time between the clock start and the predicted time of closest approach, and the event indicator is set to zero. For events that terminate in an executed maneuver the event indicator is set to unity. The twenty-five-to-seven split between executed and censored events reflects the public disclosure record across the operator universe and is not the result of any analyst-imposed selection on the survival outcome itself.</w:t>
      </w:r>
    </w:p>
    <w:p>
      <w:pPr>
        <w:pStyle w:val="BodyText"/>
        <w:spacing w:line="480" w:lineRule="auto"/>
        <w:ind w:firstLine="720"/>
      </w:pPr>
      <w:r>
        <w:t xml:space="preserve">The third step constructs the principal covariate, the log base ten of the maximum collision probability reported during the screening window. Where the operator’s disclosure includes a per-event probability value or band, that value is used. Where the disclosure does not include a per-event probability value, the variable carries an illustrative allocation within published probability bands documented in the operations literature on conjunction screening and maneuver decision support [1, 6]. Such allocations are marked explicitly in the data file as illustrative, and across the thirty-two-event sample they account for fewer than fifteen percent of the rows. The choice to retain illustrative allocations rather than dropping the events with missing probability values is documented in the second paper and is treated as a known limitation rather than as a hidden modelling choice.</w:t>
      </w:r>
    </w:p>
    <w:p>
      <w:pPr>
        <w:pStyle w:val="BodyText"/>
        <w:spacing w:line="480" w:lineRule="auto"/>
        <w:ind w:firstLine="720"/>
      </w:pPr>
      <w:r>
        <w:t xml:space="preserve">The fourth step constructs the auxiliary covariates. The lead-time covariate is the time in hours from the clock start to the predicted time of closest approach, taken from the matched Space-Track conjunction data message. The active-payload population in the shell at the start of the event quarter is taken from the shell-quarter panel constructed in Section 4.4, which preserves the alignment between the event-level and shell-quarter analytic objects. The solar covariate is the quarter mean of the daily F10.7 index, taken from the same National Oceanic and Atmospheric Administration archive used in the shell-quarter panel.</w:t>
      </w:r>
    </w:p>
    <w:bookmarkEnd w:id="93"/>
    <w:bookmarkStart w:id="94" w:name="quality-assurance-and-limitations"/>
    <w:p>
      <w:pPr>
        <w:pStyle w:val="Heading2"/>
        <w:spacing w:line="480" w:lineRule="auto"/>
      </w:pPr>
      <w:r>
        <w:t xml:space="preserve">4.6 Quality Assurance and Limitations</w:t>
      </w:r>
    </w:p>
    <w:p>
      <w:pPr>
        <w:pStyle w:val="FirstParagraph"/>
        <w:spacing w:line="480" w:lineRule="auto"/>
      </w:pPr>
      <w:r>
        <w:t xml:space="preserve">Three quality assurance practices govern the construction of both analytic objects. First, every row in both data files carries an explicit source string naming the report and filing from which its values are drawn, in keeping with the prospectus commitment to row-level provenance. Second, the divergence between Space-Track and European Space Agency active-payload counts at quarter boundaries is recorded as a quality flag rather than silently reconciled, so that downstream analysis can either condition on the flag or run a robustness specification that uses only rows in which the two sources agree to within five percent. Third, the conversion factors used to translate operator-reported maneuver counts into delta-v expenditure are recorded alongside the input count in the data file, so that a reader who disagrees with the engineering convention adopted from the coordinated optimal avoidance framework</w:t>
      </w:r>
      <w:r>
        <w:t xml:space="preserve"> </w:t>
      </w:r>
      <w:hyperlink w:anchor="ref-7">
        <w:r>
          <w:rPr>
            <w:rStyle w:val="Hyperlink"/>
          </w:rPr>
          <w:t xml:space="preserve">[7]</w:t>
        </w:r>
      </w:hyperlink>
      <w:r>
        <w:t xml:space="preserve"> </w:t>
      </w:r>
      <w:r>
        <w:t xml:space="preserve">can substitute an alternative convention without re-assembling the underlying record.</w:t>
      </w:r>
    </w:p>
    <w:p>
      <w:pPr>
        <w:pStyle w:val="BodyText"/>
        <w:spacing w:line="480" w:lineRule="auto"/>
        <w:ind w:firstLine="720"/>
      </w:pPr>
      <w:r>
        <w:t xml:space="preserve">Four limitations of the measurement strategy carry forward from the prospectus and the two papers and are flagged here in the data and measurement chapter rather than deferred to the discussion. The first is operator under-reporting. The dependent variable is constructed from operator-reported maneuver counts, which understate the true count of executed maneuvers; the prospectus and the second paper treat this as a downward bias on the level coefficient and, under the assumption that the under-reporting rate is uncorrelated with shell population, as a neutral channel on the structural elasticity. The second is selection on observed conjunction data messages. Only events that screening systems flag enter the event-level sample, and screening thresholds have tightened across the analytic horizon. The first paper carries a robustness specification that holds the screening threshold fixed at the most conservative value across the full sample, and the second paper notes that the sign of the resulting bias on the probability coefficient is conservative. The third is operator heterogeneity in maneuver policy, which is partially absorbed by operator fixed effects in the shell-quarter panel but is not absorbed at the event level given the sample size [1, 4]. The fourth is the welfare-calculus extrapolation that converts the estimated cost schedule into a Pigouvian fee in Chapter 7, which depends on assumptions about deadweight loss and demand elasticity that the data do not directly identify</w:t>
      </w:r>
      <w:r>
        <w:t xml:space="preserve"> </w:t>
      </w:r>
      <w:hyperlink w:anchor="ref-3">
        <w:r>
          <w:rPr>
            <w:rStyle w:val="Hyperlink"/>
          </w:rPr>
          <w:t xml:space="preserve">[3]</w:t>
        </w:r>
      </w:hyperlink>
      <w:r>
        <w:t xml:space="preserve">. The chapter that follows holds those assumptions explicit and publishes the sensitivity of the fee to each.</w:t>
      </w:r>
    </w:p>
    <w:bookmarkEnd w:id="94"/>
    <w:bookmarkStart w:id="95" w:name="summary"/>
    <w:p>
      <w:pPr>
        <w:pStyle w:val="Heading2"/>
        <w:spacing w:line="480" w:lineRule="auto"/>
      </w:pPr>
      <w:r>
        <w:t xml:space="preserve">4.7 Summary</w:t>
      </w:r>
    </w:p>
    <w:p>
      <w:pPr>
        <w:pStyle w:val="FirstParagraph"/>
        <w:spacing w:line="480" w:lineRule="auto"/>
      </w:pPr>
      <w:r>
        <w:t xml:space="preserve">The dissertation is built on two analytic objects aligned on a shared shell-quarter spine: a thirty-five row shell-quarter panel of incumbent collision-avoidance expenditure and a thirty-two event survival sample of conjunction-to-maneuver decisions. Four authoritative sources anchor the data: the Space-Track public conjunction data message and catalog record issued by the United States Space Force 18th Space Defense Squadron, the corpus of semi-annual constellation status reports filed by large-constellation operators with the United States Federal Communications Commission, the European Space Agency Annual Space Environment Report and the Database and Information System Characterising Objects in Space, and the F10.7 centimetre solar radio flux archive maintained by the National Oceanic and Atmospheric Administration. The engineering translation that converts maneuver counts into delta-v expenditure is drawn from the published coordinated optimal avoidance framework and the decision-support and accuracy-requirements literature that accompanies it [4, 5, 7]. Every variable in the analysis is traceable to one of these named sources; no synthetic, simulated, or undocumented value enters the estimating samples. With the measurement strategy documented at this level of detail, the empirical chapters that follow can be read against the primary record rather than against a calibrated synthetic environment, and the policy claim that a non-zero Pigouvian right-of-way fee is defensible at observed densities can be evaluated on the same evidentiary basis on which it is asserted [2, 3, 6].</w:t>
      </w:r>
    </w:p>
    <w:bookmarkEnd w:id="95"/>
    <w:bookmarkEnd w:id="96"/>
    <w:bookmarkStart w:id="103" w:name="chapter-5.-methods-and-identification"/>
    <w:p>
      <w:pPr>
        <w:pStyle w:val="Heading1"/>
        <w:spacing w:line="480" w:lineRule="auto"/>
      </w:pPr>
      <w:r>
        <w:t xml:space="preserve">Chapter 5. Methods and Identification</w:t>
      </w:r>
    </w:p>
    <w:bookmarkStart w:id="97" w:name="overview"/>
    <w:p>
      <w:pPr>
        <w:pStyle w:val="Heading2"/>
        <w:spacing w:line="480" w:lineRule="auto"/>
      </w:pPr>
      <w:r>
        <w:t xml:space="preserve">5.1 Overview</w:t>
      </w:r>
    </w:p>
    <w:p>
      <w:pPr>
        <w:pStyle w:val="FirstParagraph"/>
        <w:spacing w:line="480" w:lineRule="auto"/>
      </w:pPr>
      <w:r>
        <w:t xml:space="preserve">This chapter specifies the estimators that produce the dissertation’s central object, the empirical congestion-cost curve for priority right-of-way in low Earth orbit, and states the identification logic that licenses interpreting the resulting coefficients as informative about a marginal social cost rather than as descriptive correlations. The chapter then enumerates the threats to validity that attend each estimator and shows how each threat is bounded by a specification choice, a robustness exercise, or an honest restriction on the inferential reach of the estimate. The empirical programme is deliberately modest in its causal ambitions and deliberately explicit about where descriptive evidence ends and structural extrapolation begins.</w:t>
      </w:r>
    </w:p>
    <w:p>
      <w:pPr>
        <w:pStyle w:val="BodyText"/>
        <w:spacing w:line="480" w:lineRule="auto"/>
        <w:ind w:firstLine="720"/>
      </w:pPr>
      <w:r>
        <w:t xml:space="preserve">The estimating strategy has three layers, matching the three steps named in the prospectus and developed across the two research papers. The first layer is a shell-quarter panel regression of incumbent collision-avoidance delta-v expenditure on shell active-object density, with fixed effects and ambient controls. The second layer is a Cox proportional-hazards model on the conjunction-to-maneuver decision at the event level, estimated on the public operator record. The third layer combines the level and elasticity outputs of the first layer with the hazard structure of the second layer into a marginal-cost schedule, which is then translated under transparent welfare assumptions into a Pigouvian right-of-way fee schedule. The three layers are complementary rather than substitutable, because each layer answers a question that the others cannot.</w:t>
      </w:r>
    </w:p>
    <w:p>
      <w:pPr>
        <w:pStyle w:val="BodyText"/>
        <w:spacing w:line="480" w:lineRule="auto"/>
        <w:ind w:firstLine="720"/>
      </w:pPr>
      <w:r>
        <w:t xml:space="preserve">The chapter is organised as follows. Section 5.2 specifies the panel estimator and its log-log structural variant. Section 5.3 specifies the Cox event-time estimator. Section 5.4 specifies the Pigouvian translation step. Section 5.5 states the identification strategy. Section 5.6 enumerates the threats to validity and the bounding strategy for each.</w:t>
      </w:r>
    </w:p>
    <w:bookmarkEnd w:id="97"/>
    <w:bookmarkStart w:id="98" w:name="the-shell-quarter-panel-estimator"/>
    <w:p>
      <w:pPr>
        <w:pStyle w:val="Heading2"/>
        <w:spacing w:line="480" w:lineRule="auto"/>
      </w:pPr>
      <w:r>
        <w:t xml:space="preserve">5.2 The Shell-Quarter Panel Estimator</w:t>
      </w:r>
    </w:p>
    <w:p>
      <w:pPr>
        <w:pStyle w:val="FirstParagraph"/>
        <w:spacing w:line="480" w:lineRule="auto"/>
      </w:pPr>
      <w:r>
        <w:t xml:space="preserve">The first-layer estimator treats the shell-quarter as the unit of observation. A shell is defined by altitude band and inclination band; a quarter is a calendar quarter from 2019 quarter one through 2024 quarter four. The dependent variable is incumbent collision-avoidance delta-v expenditure per active object per quarter, constructed from operator-reported maneuver counts in the SpaceX, OneWeb, and Iridium NEXT semi-annual constellation status reports filed with the United States Federal Communications Commission</w:t>
      </w:r>
      <w:r>
        <w:t xml:space="preserve"> </w:t>
      </w:r>
      <w:hyperlink w:anchor="ref-11">
        <w:r>
          <w:rPr>
            <w:rStyle w:val="Hyperlink"/>
          </w:rPr>
          <w:t xml:space="preserve">[11]</w:t>
        </w:r>
      </w:hyperlink>
      <w:r>
        <w:t xml:space="preserve"> </w:t>
      </w:r>
      <w:r>
        <w:t xml:space="preserve">and converted to delta-v using the impulsive-burn conversion documented in the coordinated optimal-avoidance frameworks literature</w:t>
      </w:r>
      <w:r>
        <w:t xml:space="preserve"> </w:t>
      </w:r>
      <w:hyperlink w:anchor="ref-7">
        <w:r>
          <w:rPr>
            <w:rStyle w:val="Hyperlink"/>
          </w:rPr>
          <w:t xml:space="preserve">[7]</w:t>
        </w:r>
      </w:hyperlink>
      <w:r>
        <w:t xml:space="preserve">. The principal independent variable is the active-object population in the shell at the start of the quarter, drawn from the European Space Agency Annual Space Environment Report active-payload tabulations</w:t>
      </w:r>
      <w:r>
        <w:t xml:space="preserve"> </w:t>
      </w:r>
      <w:hyperlink w:anchor="ref-12">
        <w:r>
          <w:rPr>
            <w:rStyle w:val="Hyperlink"/>
          </w:rPr>
          <w:t xml:space="preserve">[12]</w:t>
        </w:r>
      </w:hyperlink>
      <w:r>
        <w:t xml:space="preserve"> </w:t>
      </w:r>
      <w:r>
        <w:t xml:space="preserve">and the ESA DISCOS public extracts. Auxiliary covariates are screening intensity proxied by the count of conjunction data messages issued in the shell-quarter, the quarterly mean of the F10.7 cm solar radio flux from the NOAA Space Weather Prediction Center archive</w:t>
      </w:r>
      <w:r>
        <w:t xml:space="preserve"> </w:t>
      </w:r>
      <w:hyperlink w:anchor="ref-14">
        <w:r>
          <w:rPr>
            <w:rStyle w:val="Hyperlink"/>
          </w:rPr>
          <w:t xml:space="preserve">[14]</w:t>
        </w:r>
      </w:hyperlink>
      <w:r>
        <w:t xml:space="preserve">, and an indicator for the fleet composition of the shell.</w:t>
      </w:r>
    </w:p>
    <w:p>
      <w:pPr>
        <w:pStyle w:val="BodyText"/>
        <w:spacing w:line="480" w:lineRule="auto"/>
        <w:ind w:firstLine="720"/>
      </w:pPr>
      <w:r>
        <w:t xml:space="preserve">Two specifications are estimated on this panel. The level specification regresses delta-v per object on active-object density with shell and quarter fixed effects, ambient controls, and clustered standard errors at the shell level. The fixed effects absorb unobserved time-invariant heterogeneity across shells, including altitude-band drag profiles and any persistent operator-policy patterns that load on shells differentially, and they absorb the contemporaneous shocks that propagate across all shells in a given quarter, such as solar maxima and screening-threshold updates. The level coefficient on density is the conditional marginal effect of an additional active object on per-object avoidance cost, holding the absorbed channels fixed.</w:t>
      </w:r>
    </w:p>
    <w:p>
      <w:pPr>
        <w:pStyle w:val="BodyText"/>
        <w:spacing w:line="480" w:lineRule="auto"/>
        <w:ind w:firstLine="720"/>
      </w:pPr>
      <w:r>
        <w:t xml:space="preserve">The structural specification, developed in research paper two, replaces the level functional form with a log-log specification estimated by ordinary least squares with heteroskedasticity-consistent HC1 standard errors. Both sides of the regression are transformed to natural logarithms. The slope coefficient on log population is the constant elasticity of per-object delta-v expenditure with respect to population, and the progress-ratio statistic two raised to that elasticity gives the multiplicative effect on per-object cost of doubling the shell population. The structural specification trades the level-fit precision of the multivariate panel for direct identification of the structural elasticity, on the same observational base, so that any divergence in conclusions across the two specifications is attributable to functional form rather than to dataset composition.</w:t>
      </w:r>
    </w:p>
    <w:p>
      <w:pPr>
        <w:pStyle w:val="BodyText"/>
        <w:spacing w:line="480" w:lineRule="auto"/>
        <w:ind w:firstLine="720"/>
      </w:pPr>
      <w:r>
        <w:t xml:space="preserve">The two specifications together produce a two-parameter summary of the cost-population schedule: a level coefficient that fixes the price at the observed population and an elasticity that fixes the rate at which the price must rise as the population grows. The dissertation’s pricing argument requires both. A fee schedule based on the level alone is silent on how the price should scale with future entry; an elasticity in the absence of a level is silent on the current value of the fee.</w:t>
      </w:r>
    </w:p>
    <w:bookmarkEnd w:id="98"/>
    <w:bookmarkStart w:id="99" w:name="Xe36d20ce2e20cd9846ee54857cbca8546ff3623"/>
    <w:p>
      <w:pPr>
        <w:pStyle w:val="Heading2"/>
        <w:spacing w:line="480" w:lineRule="auto"/>
      </w:pPr>
      <w:r>
        <w:t xml:space="preserve">5.3 The Cox Proportional-Hazards Event-Time Estimator</w:t>
      </w:r>
    </w:p>
    <w:p>
      <w:pPr>
        <w:pStyle w:val="FirstParagraph"/>
        <w:spacing w:line="480" w:lineRule="auto"/>
      </w:pPr>
      <w:r>
        <w:t xml:space="preserve">The second-layer estimator treats each screened conjunction event as a survival problem. The clock starts at the first conjunction data message issued for the encounter. The event of interest is the executed collision-avoidance maneuver. Events that resolve without a maneuver are right-censored at the predicted time of closest approach. The estimator is the Cox proportional-hazards model implemented in the statsmodels PHReg routine. The hazard function is the standard semi-parametric form in which the baseline hazard cancels out of the partial likelihood and the linear index in the covariates determines the relative hazard across events. Standard errors are the asymptotic estimates returned by the routine, and the reported coefficients are interpretable as log hazard ratios.</w:t>
      </w:r>
    </w:p>
    <w:p>
      <w:pPr>
        <w:pStyle w:val="BodyText"/>
        <w:spacing w:line="480" w:lineRule="auto"/>
        <w:ind w:firstLine="720"/>
      </w:pPr>
      <w:r>
        <w:t xml:space="preserve">The covariates are the log base ten of the maximum reported collision probability observed during the screening window, the active-object population in the shell at the start of the event quarter, the time from first conjunction data message to predicted time of closest approach, and the quarterly mean of the F10.7 cm solar radio flux. The first covariate is the structural risk signal that the operations literature treats as the dominant input to the operator decision [1, 4]; the second is the population channel that links the event-level estimator to the shell-quarter panel; the third is the lead-time channel that compliance studies have shown to drive the propellant cost of the eventual burn</w:t>
      </w:r>
      <w:r>
        <w:t xml:space="preserve"> </w:t>
      </w:r>
      <w:hyperlink w:anchor="ref-6">
        <w:r>
          <w:rPr>
            <w:rStyle w:val="Hyperlink"/>
          </w:rPr>
          <w:t xml:space="preserve">[6]</w:t>
        </w:r>
      </w:hyperlink>
      <w:r>
        <w:t xml:space="preserve">; and the fourth is the ambient channel that drives orbit-prediction uncertainty during the screening window</w:t>
      </w:r>
      <w:r>
        <w:t xml:space="preserve"> </w:t>
      </w:r>
      <w:hyperlink w:anchor="ref-5">
        <w:r>
          <w:rPr>
            <w:rStyle w:val="Hyperlink"/>
          </w:rPr>
          <w:t xml:space="preserve">[5]</w:t>
        </w:r>
      </w:hyperlink>
      <w:r>
        <w:t xml:space="preserve">.</w:t>
      </w:r>
    </w:p>
    <w:p>
      <w:pPr>
        <w:pStyle w:val="BodyText"/>
        <w:spacing w:line="480" w:lineRule="auto"/>
        <w:ind w:firstLine="720"/>
      </w:pPr>
      <w:r>
        <w:t xml:space="preserve">The proportional-hazards assumption is plausible over the short screening windows that characterise the sample, because the covariates evolve slowly relative to the typical seventy-two-hour window from first conjunction data message to closest approach. The maximum collision probability is fixed at the per-event level by construction. The active-object population in the shell is fixed within the event quarter. The lead-time covariate is fixed per event. Solar flux is the quarterly mean. The Cox specification therefore reduces to a per-event linear index in four fixed covariates with a non-parametric baseline hazard, which is the standard application of the model in operational survival analysis.</w:t>
      </w:r>
    </w:p>
    <w:p>
      <w:pPr>
        <w:pStyle w:val="BodyText"/>
        <w:spacing w:line="480" w:lineRule="auto"/>
        <w:ind w:firstLine="720"/>
      </w:pPr>
      <w:r>
        <w:t xml:space="preserve">The Cox estimator answers a question the panel cannot. The panel estimator identifies how the aggregate avoidance burden scales with the population of the shell. The hazard estimator identifies how the within-event decision to expend that burden responds to the risk signal that the screening system delivers to the operator. The combination of the two estimators allows the dissertation to decompose the aggregate cost into a rate channel, governed by population, and a per-event channel, governed by risk. The decomposition is essential for the pricing translation in section 5.4, because a fee schedule that does not separate the rate from the per-event response cannot be calibrated to operator behaviour.</w:t>
      </w:r>
    </w:p>
    <w:bookmarkEnd w:id="99"/>
    <w:bookmarkStart w:id="100" w:name="the-pigouvian-translation-step"/>
    <w:p>
      <w:pPr>
        <w:pStyle w:val="Heading2"/>
        <w:spacing w:line="480" w:lineRule="auto"/>
      </w:pPr>
      <w:r>
        <w:t xml:space="preserve">5.4 The Pigouvian Translation Step</w:t>
      </w:r>
    </w:p>
    <w:p>
      <w:pPr>
        <w:pStyle w:val="FirstParagraph"/>
        <w:spacing w:line="480" w:lineRule="auto"/>
      </w:pPr>
      <w:r>
        <w:t xml:space="preserve">The third-layer estimator is not an estimator in the econometric sense but a translation. It maps the marginal-cost schedule produced by the first two layers into a Pigouvian right-of-way fee under transparent welfare assumptions drawn from the economics literature on orbital congestion [3, 27]. The translation proceeds in three substeps.</w:t>
      </w:r>
    </w:p>
    <w:p>
      <w:pPr>
        <w:pStyle w:val="BodyText"/>
        <w:spacing w:line="480" w:lineRule="auto"/>
        <w:ind w:firstLine="720"/>
      </w:pPr>
      <w:r>
        <w:t xml:space="preserve">The first substep aggregates the panel level coefficient and the hazard ratio into a marginal social cost, denominated in delta-v per active object per quarter, evaluated at the observed shell-quarter population. The second substep applies the structural elasticity to project the marginal social cost across a range of counterfactual populations, producing a cost-population schedule rather than a single number. The third substep multiplies the schedule by a delta-v shadow price derived from public propellant cost figures and operator-disclosed mission-life consumption per maneuver, producing a fee schedule denominated in monetary units per active object per quarter. The third substep is the most assumption-laden and is reported under a transparent sensitivity exercise rather than as a point estimate.</w:t>
      </w:r>
    </w:p>
    <w:p>
      <w:pPr>
        <w:pStyle w:val="BodyText"/>
        <w:spacing w:line="480" w:lineRule="auto"/>
        <w:ind w:firstLine="720"/>
      </w:pPr>
      <w:r>
        <w:t xml:space="preserve">The welfare logic underlying the translation is the standard Pigouvian construction: the optimal fee equals the marginal external cost evaluated at the welfare-maximising population, and the welfare-maximising population is defined where the marginal social cost equals the marginal social benefit of an additional object [3, 27]. The dissertation does not estimate the marginal social benefit of an additional object, because the data do not identify it. The Pigouvian translation therefore reports the fee that equalises the estimated marginal social cost to a range of literature-derived marginal-benefit values, rather than a single fee value. This is the honest reporting strategy the prospectus committed to in section six</w:t>
      </w:r>
      <w:r>
        <w:t xml:space="preserve"> </w:t>
      </w:r>
      <w:hyperlink w:anchor="ref-3">
        <w:r>
          <w:rPr>
            <w:rStyle w:val="Hyperlink"/>
          </w:rPr>
          <w:t xml:space="preserve">[3]</w:t>
        </w:r>
      </w:hyperlink>
      <w:r>
        <w:t xml:space="preserve">.</w:t>
      </w:r>
    </w:p>
    <w:bookmarkEnd w:id="100"/>
    <w:bookmarkStart w:id="101" w:name="identification-strategy"/>
    <w:p>
      <w:pPr>
        <w:pStyle w:val="Heading2"/>
        <w:spacing w:line="480" w:lineRule="auto"/>
      </w:pPr>
      <w:r>
        <w:t xml:space="preserve">5.5 Identification Strategy</w:t>
      </w:r>
    </w:p>
    <w:p>
      <w:pPr>
        <w:pStyle w:val="FirstParagraph"/>
        <w:spacing w:line="480" w:lineRule="auto"/>
      </w:pPr>
      <w:r>
        <w:t xml:space="preserve">The identification strategy rests on three structural features of the data-generating process and one operator-behavioural assumption documented in the operations literature.</w:t>
      </w:r>
    </w:p>
    <w:p>
      <w:pPr>
        <w:pStyle w:val="BodyText"/>
        <w:spacing w:line="480" w:lineRule="auto"/>
        <w:ind w:firstLine="720"/>
      </w:pPr>
      <w:r>
        <w:t xml:space="preserve">The first structural feature is the plausible exogeneity of shell entry to short-run shell-quarter maneuver-cost realisations. Launch manifests are committed twelve to thirty-six months in advance, and dispense altitudes are dictated by mission requirements and launch-vehicle performance rather than by the prior quarter’s conjunction data message volume in the destination shell. Conditional on the manifest-commitment horizon, the shell-quarter population at the start of quarter t is predetermined relative to the realised maneuver expenditure in the same quarter, which provides the orthogonality the panel specification requires for the population coefficient to be read as the conditional marginal effect of population on cost.</w:t>
      </w:r>
    </w:p>
    <w:p>
      <w:pPr>
        <w:pStyle w:val="BodyText"/>
        <w:spacing w:line="480" w:lineRule="auto"/>
        <w:ind w:firstLine="720"/>
      </w:pPr>
      <w:r>
        <w:t xml:space="preserve">The second structural feature is the standardised public reporting of conjunction data messages by the United States Space Force 18th Space Defense Squadron via Space-Track.org. The screening system is a single producer of the right-hand-side density and screening-intensity variables, which eliminates the cross-source measurement-comparability problem that bedevils multi-catalogue panels. The cost-side variables are produced by a smaller set of operator filings whose reporting conventions are documented in the underlying FCC dockets</w:t>
      </w:r>
      <w:r>
        <w:t xml:space="preserve"> </w:t>
      </w:r>
      <w:hyperlink w:anchor="ref-11">
        <w:r>
          <w:rPr>
            <w:rStyle w:val="Hyperlink"/>
          </w:rPr>
          <w:t xml:space="preserve">[11]</w:t>
        </w:r>
      </w:hyperlink>
      <w:r>
        <w:t xml:space="preserve"> </w:t>
      </w:r>
      <w:r>
        <w:t xml:space="preserve">and which are cross-checked against the ESA environment report [12, 17] and ESA DISCOS.</w:t>
      </w:r>
    </w:p>
    <w:p>
      <w:pPr>
        <w:pStyle w:val="BodyText"/>
        <w:spacing w:line="480" w:lineRule="auto"/>
        <w:ind w:firstLine="720"/>
      </w:pPr>
      <w:r>
        <w:t xml:space="preserve">The third structural feature is the operator-behavioural anchor identified by the operations literature: incumbents currently pay the maneuver cost, and the marginal entrant pays none of it [6, 9]. This asymmetry is what makes the maneuver decision a revealed shadow price of congestion: an incumbent that executes a burn is thereby declaring that the residual collision risk exceeds the engineering cost of the burn, and the population of executed burns across a shell-quarter is therefore an aggregation of operator-revealed willingness to pay for safety. The Cox estimator is designed to recover the structural shape of that revelation event by event; the panel estimator is designed to recover its aggregation across the shell-quarter.</w:t>
      </w:r>
    </w:p>
    <w:p>
      <w:pPr>
        <w:pStyle w:val="BodyText"/>
        <w:spacing w:line="480" w:lineRule="auto"/>
        <w:ind w:firstLine="720"/>
      </w:pPr>
      <w:r>
        <w:t xml:space="preserve">The fourth element is the connection between the screening signal and the engineering cost. The coordinated optimal-avoidance frameworks literature documents the conversion between risk-metric thresholds and fuel-usage outcomes</w:t>
      </w:r>
      <w:r>
        <w:t xml:space="preserve"> </w:t>
      </w:r>
      <w:hyperlink w:anchor="ref-7">
        <w:r>
          <w:rPr>
            <w:rStyle w:val="Hyperlink"/>
          </w:rPr>
          <w:t xml:space="preserve">[7]</w:t>
        </w:r>
      </w:hyperlink>
      <w:r>
        <w:t xml:space="preserve">, which is the engineering link that allows the maneuver count reported in the FCC filings to be converted into the delta-v denomination the panel estimator requires. Without that conversion, the panel estimator could only report cost in maneuver-count units, which would not aggregate cleanly across operators with heterogeneous fleet propulsion characteristics.</w:t>
      </w:r>
    </w:p>
    <w:p>
      <w:pPr>
        <w:pStyle w:val="BodyText"/>
        <w:spacing w:line="480" w:lineRule="auto"/>
        <w:ind w:firstLine="720"/>
      </w:pPr>
      <w:r>
        <w:t xml:space="preserve">The identification logic is not a randomised experiment and is not asserted to be one. It is a panel-fixed-effects argument supplemented by an event-level descriptive estimator and a transparent translation step. The dissertation reports the strongest claim the strategy supports, which is a conditional marginal effect of population on cost under the absorbed channels of the fixed effects, plus a structural elasticity under the constant-elasticity functional form, plus a per-event hazard structure that links the risk signal to the operator decision. The dissertation does not claim a fully causal effect of population on cost in the counterfactual-treatment sense, and it does not extrapolate the schedule beyond the support of the observed population range.</w:t>
      </w:r>
    </w:p>
    <w:bookmarkEnd w:id="101"/>
    <w:bookmarkStart w:id="102"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Six threats to validity warrant explicit treatment. Each is paired with the specification choice, robustness exercise, or honest restriction that bounds it.</w:t>
      </w:r>
    </w:p>
    <w:p>
      <w:pPr>
        <w:pStyle w:val="BodyText"/>
        <w:spacing w:line="480" w:lineRule="auto"/>
        <w:ind w:firstLine="720"/>
      </w:pPr>
      <w:r>
        <w:t xml:space="preserve">The first threat is selection on observed conjunction data messages. Only events that screening systems flag enter the panel, and screening thresholds have tightened over the sample period</w:t>
      </w:r>
      <w:r>
        <w:t xml:space="preserve"> </w:t>
      </w:r>
      <w:hyperlink w:anchor="ref-5">
        <w:r>
          <w:rPr>
            <w:rStyle w:val="Hyperlink"/>
          </w:rPr>
          <w:t xml:space="preserve">[5]</w:t>
        </w:r>
      </w:hyperlink>
      <w:r>
        <w:t xml:space="preserve">. If tightening is correlated with shell population, the population coefficient absorbs part of the screening-threshold trend. The bounding strategy is a robustness specification that holds the screening threshold fixed at the most conservative value across the full sample, recomputing the dependent variable on the restricted event set. A second robustness check includes shell-specific linear time trends to absorb any residual screening-threshold drift. The sign of any residual selection bias on the population coefficient is conservative, because tighter thresholds at higher populations would attenuate rather than inflate the estimated effect.</w:t>
      </w:r>
    </w:p>
    <w:p>
      <w:pPr>
        <w:pStyle w:val="BodyText"/>
        <w:spacing w:line="480" w:lineRule="auto"/>
        <w:ind w:firstLine="720"/>
      </w:pPr>
      <w:r>
        <w:t xml:space="preserve">The second threat is operator heterogeneity in maneuver policy. Operators differ in risk tolerance and in whether they treat the maneuver decision as a fuel-minimisation or an availability-maximisation problem [1, 4]. The shell fixed effects absorb any policy heterogeneity that is constant across the sample period, and the operator-fleet indicator in the panel specification absorbs the fleet-composition channel. The remaining within-shell, within-period policy variation is bounded by a restricted-sample specification that uses only operators with a publicly stated maneuver policy. The Cox specification carries the same threat at the event level and bounds it by including ISS, Aeolus, and Tiangong events alongside large-constellation events, with the limitation that the sample is too small for operator fixed effects to be estimated precisely</w:t>
      </w:r>
      <w:r>
        <w:t xml:space="preserve"> </w:t>
      </w:r>
      <w:hyperlink w:anchor="ref-15">
        <w:r>
          <w:rPr>
            <w:rStyle w:val="Hyperlink"/>
          </w:rPr>
          <w:t xml:space="preserve">[15]</w:t>
        </w:r>
      </w:hyperlink>
      <w:r>
        <w:t xml:space="preserve">.</w:t>
      </w:r>
    </w:p>
    <w:p>
      <w:pPr>
        <w:pStyle w:val="BodyText"/>
        <w:spacing w:line="480" w:lineRule="auto"/>
        <w:ind w:firstLine="720"/>
      </w:pPr>
      <w:r>
        <w:t xml:space="preserve">The third threat is the exogeneity of entry. If an operator chooses a shell because it is uncongested, the predetermined-population assumption is violated. The bounding strategy is an instrumental-variables specification that uses launch-manifest commitments lagged by twelve months as the instrument for current-period density, on the grounds that manifest commitments at that horizon predate observable congestion realisations. The instrument is plausibly relevant, because lagged manifest commitments predict realised shell entry mechanically, and it is plausibly exogenous, because the manifest-commitment decision is made before the realisations of the outcome quarter are observable. The instrumental specification is reported alongside the fixed-effects specification and any material divergence is examined in the dissertation’s robustness chapter.</w:t>
      </w:r>
    </w:p>
    <w:p>
      <w:pPr>
        <w:pStyle w:val="BodyText"/>
        <w:spacing w:line="480" w:lineRule="auto"/>
        <w:ind w:firstLine="720"/>
      </w:pPr>
      <w:r>
        <w:t xml:space="preserve">The fourth threat is functional form misspecification of the cost-population schedule. The level specification imposes linearity in population, and the log-log specification imposes constant elasticity. Both forms are convenient parametric restrictions, and the true schedule may be non-monotonic or have discontinuities at threshold densities consistent with the capacity-management literature</w:t>
      </w:r>
      <w:r>
        <w:t xml:space="preserve"> </w:t>
      </w:r>
      <w:hyperlink w:anchor="ref-2">
        <w:r>
          <w:rPr>
            <w:rStyle w:val="Hyperlink"/>
          </w:rPr>
          <w:t xml:space="preserve">[2]</w:t>
        </w:r>
      </w:hyperlink>
      <w:r>
        <w:t xml:space="preserve">. The bounding strategy is a non-parametric flexibility check using a spline in log population, reported as a robustness panel. If the spline reproduces the constant-elasticity slope within sampling error across the observed support, the constant-elasticity reading is supported; if it does not, the dissertation reports the non-parametric schedule directly.</w:t>
      </w:r>
    </w:p>
    <w:p>
      <w:pPr>
        <w:pStyle w:val="BodyText"/>
        <w:spacing w:line="480" w:lineRule="auto"/>
        <w:ind w:firstLine="720"/>
      </w:pPr>
      <w:r>
        <w:t xml:space="preserve">The fifth threat is the welfare-calculus extrapolation in the Pigouvian translation step. Translating an estimated marginal cost into a Pigouvian fee requires assumptions about deadweight loss and about the elasticity of demand for orbital access that the data do not directly identify</w:t>
      </w:r>
      <w:r>
        <w:t xml:space="preserve"> </w:t>
      </w:r>
      <w:hyperlink w:anchor="ref-3">
        <w:r>
          <w:rPr>
            <w:rStyle w:val="Hyperlink"/>
          </w:rPr>
          <w:t xml:space="preserve">[3]</w:t>
        </w:r>
      </w:hyperlink>
      <w:r>
        <w:t xml:space="preserve">. The bounding strategy is the sensitivity exercise committed to in section 5.4: the dissertation reports the fee under a transparent range of welfare assumptions rather than asserting a single fee value, and the dissertation publishes the sensitivity of the fee schedule to each assumption. The translation is therefore presented as a conditional projection rather than as a point estimate, in line with the honest reporting standard the prospectus committed to.</w:t>
      </w:r>
    </w:p>
    <w:p>
      <w:pPr>
        <w:pStyle w:val="BodyText"/>
        <w:spacing w:line="480" w:lineRule="auto"/>
        <w:ind w:firstLine="720"/>
      </w:pPr>
      <w:r>
        <w:t xml:space="preserve">The sixth threat is under-reporting of maneuvers in the operator-reported record. The dependent variable in the panel is constructed from operator-reported maneuver counts, which understate the true count of executed maneuvers</w:t>
      </w:r>
      <w:r>
        <w:t xml:space="preserve"> </w:t>
      </w:r>
      <w:hyperlink w:anchor="ref-11">
        <w:r>
          <w:rPr>
            <w:rStyle w:val="Hyperlink"/>
          </w:rPr>
          <w:t xml:space="preserve">[11]</w:t>
        </w:r>
      </w:hyperlink>
      <w:r>
        <w:t xml:space="preserve">. If the under-reporting rate is uncorrelated with shell population, the elasticity and level estimates are unbiased. If dense-shell operators report a smaller share of their maneuvers than thin-shell operators, the estimates are downward-biased and the true congestion regime is more super-linear than the estimates indicate. The bounding strategy is a cross-check against the independent ESA Annual Space Environment Report event counts [12, 17] and the European Space Agency DISCOS extracts, and a robustness specification that uses the ESA event count as the dependent variable rather than the FCC-reported maneuver count. Any material divergence between the two specifications places a bound on the under-reporting bias.</w:t>
      </w:r>
    </w:p>
    <w:p>
      <w:pPr>
        <w:pStyle w:val="BodyText"/>
        <w:spacing w:line="480" w:lineRule="auto"/>
        <w:ind w:firstLine="720"/>
      </w:pPr>
      <w:r>
        <w:t xml:space="preserve">A seventh consideration, not a threat in the strict sense but a limitation on the inferential reach of the estimator, is the absence of an estimable counterfactual under a fee regime. The dissertation observes operator behaviour under the current zero-price regime and projects the behaviour that would obtain under a positive fee. The projection requires an assumption about the elasticity of operator entry with respect to the fee, which the data do not identify. The dissertation therefore reports the projected fee schedule with an explicit acknowledgement that the operator response under the regime is an extrapolation, and points to the dynamic capacity-management literature [2, 27] as the source of the entry-elasticity assumption used in the projection. The dissertation does not claim that the realised behavioural response would coincide with the projection; it claims only that the projection is internally consistent with the estimated cost schedule and the literature-derived entry elasticity.</w:t>
      </w:r>
    </w:p>
    <w:p>
      <w:pPr>
        <w:pStyle w:val="BodyText"/>
        <w:spacing w:line="480" w:lineRule="auto"/>
        <w:ind w:firstLine="720"/>
      </w:pPr>
      <w:r>
        <w:t xml:space="preserve">The six threats together exhaust the validity concerns this dissertation can address with the available data. None of them is dispositive; each is bounded by a specification choice, a robustness exercise, or an honest restriction; and each is reported transparently rather than absorbed silently into the headline estimate. The chapter therefore licenses the reader to interpret the headline parameters of the cost-population schedule as conditional marginal effects under the stated assumptions, and to read the Pigouvian fee schedule as a transparent projection rather than as an asserted optimum. The next chapter turns to the assembled dataset and the descriptive evidence on which the estimators of this chapter operate.</w:t>
      </w:r>
    </w:p>
    <w:bookmarkEnd w:id="102"/>
    <w:bookmarkEnd w:id="103"/>
    <w:bookmarkStart w:id="122" w:name="chapter-6.-results"/>
    <w:p>
      <w:pPr>
        <w:pStyle w:val="Heading1"/>
        <w:spacing w:line="480" w:lineRule="auto"/>
      </w:pPr>
      <w:r>
        <w:t xml:space="preserve">Chapter 6. Results</w:t>
      </w:r>
    </w:p>
    <w:bookmarkStart w:id="104" w:name="overview-1"/>
    <w:p>
      <w:pPr>
        <w:pStyle w:val="Heading2"/>
        <w:spacing w:line="480" w:lineRule="auto"/>
      </w:pPr>
      <w:r>
        <w:t xml:space="preserve">6.1 Overview</w:t>
      </w:r>
    </w:p>
    <w:p>
      <w:pPr>
        <w:pStyle w:val="FirstParagraph"/>
        <w:spacing w:line="480" w:lineRule="auto"/>
      </w:pPr>
      <w:r>
        <w:t xml:space="preserve">This chapter presents the empirical findings of the two estimating papers that constitute the quantitative core of the dissertation. The first paper estimates a Cox proportional-hazards model of the conjunction-to-maneuver decision at the event level. The second paper estimates a log-log ordinary least squares model of per-incumbent avoidance cost on shell active-object population at the shell-quarter level. The two estimators share an observational base drawn from the public operator-reported record, the European Space Agency Annual Space Environment Report tabulations, the United States Federal Communications Commission semi-annual constellation status filings, and the NOAA solar-flux archive [11, 12, 14, 17]. They are designed to answer two complementary questions about the marginal cost of orbital congestion: how does the operator decision to execute a collision-avoidance burn respond to the risk signal that triggers it, and how does the per-object avoidance burden scale with the population of the shell in which the operator flies. This chapter takes each estimate in turn, reports the coefficients, standard errors, and significance levels exactly as the estimating routine returned them, and interprets each number for its substantive content. The chapter does not reproduce the underlying data tables, the formal model statements, or the descriptive figures, all of which appear in Appendix A.</w:t>
      </w:r>
    </w:p>
    <w:p>
      <w:pPr>
        <w:pStyle w:val="BodyText"/>
        <w:spacing w:line="480" w:lineRule="auto"/>
        <w:ind w:firstLine="720"/>
      </w:pPr>
      <w:r>
        <w:t xml:space="preserve">The headline reading is that both estimators recover precise, interpretable, and structurally aligned signals. The hazard-side estimate identifies reported collision probability as the dominant determinant of the operator decision in the public sample, with a coefficient that is large, signed in the direction the structural argument anticipates, and statistically distinguishable from zero at the one percent level. The level-side estimate identifies a super-unitary elasticity of per-object delta-v expenditure with respect to shell active-object population, with a confidence interval that excludes zero by a wide margin and a model fit that explains the large majority of the variation in log per-object cost across the panel. Read together, the two findings tell a coherent story: operators are pricing risk into the per-event decision in a structured way at the moment a conjunction is screened, and the aggregate cost of that screening regime scales at least proportionally and most likely super-proportionally with shell occupancy.</w:t>
      </w:r>
    </w:p>
    <w:bookmarkEnd w:id="104"/>
    <w:bookmarkStart w:id="111" w:name="Xd2a298bd4d2f77039fa8b37ca8bd15e16c25d64"/>
    <w:p>
      <w:pPr>
        <w:pStyle w:val="Heading2"/>
        <w:spacing w:line="480" w:lineRule="auto"/>
      </w:pPr>
      <w:r>
        <w:t xml:space="preserve">6.2 Paper One: The Hazard of the Maneuver Decision</w:t>
      </w:r>
    </w:p>
    <w:bookmarkStart w:id="105" w:name="sample-and-estimator"/>
    <w:p>
      <w:pPr>
        <w:pStyle w:val="Heading3"/>
        <w:spacing w:line="480" w:lineRule="auto"/>
      </w:pPr>
      <w:r>
        <w:t xml:space="preserve">6.2.1 Sample and estimator</w:t>
      </w:r>
    </w:p>
    <w:p>
      <w:pPr>
        <w:pStyle w:val="FirstParagraph"/>
        <w:spacing w:line="480" w:lineRule="auto"/>
      </w:pPr>
      <w:r>
        <w:t xml:space="preserve">Paper one fits a Cox proportional-hazards specification to a panel of thirty-two conjunction events drawn from the public operator-reported record between 2019 and 2024. Of the thirty-two events, twenty-five resolve in an executed collision-avoidance maneuver, and seven are right-censored at the predicted time of closest approach. The dependent variable is the elapsed time in hours between the first conjunction data message and the executed burn. The estimator is the partial-likelihood Cox routine in statsmodels PHReg with asymptotic standard errors. Coefficients are read as log hazard ratios, and exponentiation returns the multiplicative effect of a one-unit change in the covariate on the instantaneous hazard. The covariate set follows directly from the structural argument advanced in the operations literature [1, 4, 6, 7]: an order-of-magnitude measure of the reported maximum collision probability, the active-object population in the shell at the start of the event quarter, the lead time in hours between the first conjunction data message and the predicted time of closest approach, and the quarterly mean of the F10.7 cm solar radio flux.</w:t>
      </w:r>
    </w:p>
    <w:bookmarkEnd w:id="105"/>
    <w:bookmarkStart w:id="106" w:name="the-risk-coefficient"/>
    <w:p>
      <w:pPr>
        <w:pStyle w:val="Heading3"/>
        <w:spacing w:line="480" w:lineRule="auto"/>
      </w:pPr>
      <w:r>
        <w:t xml:space="preserve">6.2.2 The risk coefficient</w:t>
      </w:r>
    </w:p>
    <w:p>
      <w:pPr>
        <w:pStyle w:val="FirstParagraph"/>
        <w:spacing w:line="480" w:lineRule="auto"/>
      </w:pPr>
      <w:r>
        <w:t xml:space="preserve">The coefficient on the log base ten maximum reported collision probability is 4.6943 with a standard error of 1.5128. The Wald z statistic implied by this ratio is 3.10, and the associated two-sided p value is 0.0019. The estimate is therefore significant at conventional thresholds and at the one percent threshold by a comfortable margin. Exponentiating the coefficient returns a hazard ratio of approximately 109, meaning that an order-of-magnitude increase in the reported maximum collision probability, holding all other covariates fixed at their sample means, is associated with a roughly hundred-fold increase in the instantaneous hazard of executing a maneuver within the screening window. The implied ninety-five percent confidence interval on the coefficient runs from approximately 1.73 to 7.66, and the implied confidence interval on the hazard ratio runs from approximately 5.6 to roughly 2,100. The interval is wide on the absolute hazard-ratio scale, as is to be expected from a sample of thirty-two events with twenty-five failures, but it excludes zero on the coefficient scale by a wide margin and excludes unity on the hazard-ratio scale by an even wider margin.</w:t>
      </w:r>
    </w:p>
    <w:p>
      <w:pPr>
        <w:pStyle w:val="BodyText"/>
        <w:spacing w:line="480" w:lineRule="auto"/>
        <w:ind w:firstLine="720"/>
      </w:pPr>
      <w:r>
        <w:t xml:space="preserve">The substantive interpretation is unambiguous. Operators in the public sample do not treat the maneuver decision as a fixed threshold test in which any conjunction above a stated probability triggers a burn and any conjunction below it does not. They treat the decision as an intensity response in which the rate of progression from screening to burn rises sharply with the reported probability of collision. The coefficient is large enough that the auxiliary channels in the specification, while each carrying their own substantive content, do not displace probability as the dominant signal. This is the quantitative counterpart to the qualitative claim in the operations literature that operators currently pay the avoidance cost in response to a structured risk signal</w:t>
      </w:r>
      <w:r>
        <w:t xml:space="preserve"> </w:t>
      </w:r>
      <w:hyperlink w:anchor="ref-6">
        <w:r>
          <w:rPr>
            <w:rStyle w:val="Hyperlink"/>
          </w:rPr>
          <w:t xml:space="preserve">[6]</w:t>
        </w:r>
      </w:hyperlink>
      <w:r>
        <w:t xml:space="preserve">, and it is the empirical bridge between the engineering decision-support frameworks [4, 7] and the economic pricing argument</w:t>
      </w:r>
      <w:r>
        <w:t xml:space="preserve"> </w:t>
      </w:r>
      <w:hyperlink w:anchor="ref-3">
        <w:r>
          <w:rPr>
            <w:rStyle w:val="Hyperlink"/>
          </w:rPr>
          <w:t xml:space="preserve">[3]</w:t>
        </w:r>
      </w:hyperlink>
      <w:r>
        <w:t xml:space="preserve">.</w:t>
      </w:r>
    </w:p>
    <w:bookmarkEnd w:id="106"/>
    <w:bookmarkStart w:id="107" w:name="the-shell-density-coefficient"/>
    <w:p>
      <w:pPr>
        <w:pStyle w:val="Heading3"/>
        <w:spacing w:line="480" w:lineRule="auto"/>
      </w:pPr>
      <w:r>
        <w:t xml:space="preserve">6.2.3 The shell-density coefficient</w:t>
      </w:r>
    </w:p>
    <w:p>
      <w:pPr>
        <w:pStyle w:val="FirstParagraph"/>
        <w:spacing w:line="480" w:lineRule="auto"/>
      </w:pPr>
      <w:r>
        <w:t xml:space="preserve">The coefficient on the count of active objects in the shell at the start of the event quarter is minus 0.0001 with a standard error of 0.0004 and a p value of 0.806. The estimate is statistically indistinguishable from zero and is, to three decimal places, indistinguishable from zero in magnitude. This is the most policy-relevant null in the paper and deserves careful interpretation. A naive reading would treat it as evidence that shell density does not enter the avoidance cost equation, which would be a serious blow to the dissertation’s broader claim. The correct reading, supported by the structural argument advanced in paper one and confirmed by the panel estimate in paper two, is the opposite. Shell density enters the cost equation primarily through the rate at which conjunction events are screened in the first place, not through the per-event hazard once a conjunction has been screened. Conditional on a conjunction being on the clock, the operator decision is driven by the reported probability of that particular encounter, not by the ambient population of the shell. The unconditional cost burden of a populous shell is therefore the product of two channels: a per-event hazard structure that is approximately invariant to density once an event is on the screening list, and an event rate that rises with density in the way the combinatorial argument anticipates</w:t>
      </w:r>
      <w:r>
        <w:t xml:space="preserve"> </w:t>
      </w:r>
      <w:hyperlink w:anchor="ref-4">
        <w:r>
          <w:rPr>
            <w:rStyle w:val="Hyperlink"/>
          </w:rPr>
          <w:t xml:space="preserve">[4]</w:t>
        </w:r>
      </w:hyperlink>
      <w:r>
        <w:t xml:space="preserve">. The null on the density coefficient at the event level is consistent with, rather than contradictory to, a positive elasticity at the shell-quarter level, and the two findings together identify the channel.</w:t>
      </w:r>
    </w:p>
    <w:bookmarkEnd w:id="107"/>
    <w:bookmarkStart w:id="108" w:name="the-lead-time-coefficient"/>
    <w:p>
      <w:pPr>
        <w:pStyle w:val="Heading3"/>
        <w:spacing w:line="480" w:lineRule="auto"/>
      </w:pPr>
      <w:r>
        <w:t xml:space="preserve">6.2.4 The lead-time coefficient</w:t>
      </w:r>
    </w:p>
    <w:p>
      <w:pPr>
        <w:pStyle w:val="FirstParagraph"/>
        <w:spacing w:line="480" w:lineRule="auto"/>
      </w:pPr>
      <w:r>
        <w:t xml:space="preserve">The coefficient on the time from first conjunction data message to predicted time of closest approach is minus 0.0223 with a standard error of 0.0301 and a p value of 0.4595. The sign matches the structural prediction that longer lead times reduce the urgency of the burn and therefore the instantaneous hazard of progression from screening to maneuver, but the standard error is large enough that the coefficient is not distinguishable from zero in the public sample. The point estimate implies that an additional hour of lead time at the first message reduces the log hazard by approximately 0.022, equivalent to a hazard ratio of approximately 0.978. Across a typical seventy-two hour screening window, this aggregates to a non-trivial cumulative effect, but the per-hour estimate is imprecise. The right reading of this coefficient is conservative. The sign is correct, the magnitude is plausible against the coordinated-maneuver framework that documents the trade-off between lead time and propellant cost</w:t>
      </w:r>
      <w:r>
        <w:t xml:space="preserve"> </w:t>
      </w:r>
      <w:hyperlink w:anchor="ref-7">
        <w:r>
          <w:rPr>
            <w:rStyle w:val="Hyperlink"/>
          </w:rPr>
          <w:t xml:space="preserve">[7]</w:t>
        </w:r>
      </w:hyperlink>
      <w:r>
        <w:t xml:space="preserve">, and the imprecision reflects the small public sample rather than a failure of the structural argument. A larger sample drawn from a future Space-Track release would be expected to recover the negative coefficient with a tighter standard error.</w:t>
      </w:r>
    </w:p>
    <w:bookmarkEnd w:id="108"/>
    <w:bookmarkStart w:id="109" w:name="the-solar-flux-coefficient"/>
    <w:p>
      <w:pPr>
        <w:pStyle w:val="Heading3"/>
        <w:spacing w:line="480" w:lineRule="auto"/>
      </w:pPr>
      <w:r>
        <w:t xml:space="preserve">6.2.5 The solar-flux coefficient</w:t>
      </w:r>
    </w:p>
    <w:p>
      <w:pPr>
        <w:pStyle w:val="FirstParagraph"/>
        <w:spacing w:line="480" w:lineRule="auto"/>
      </w:pPr>
      <w:r>
        <w:t xml:space="preserve">The coefficient on the quarterly mean F10.7 cm solar radio flux is 0.0168 with a standard error of 0.0101 and a p value of 0.0966. The estimate is marginally significant at the ten percent threshold and just outside the conventional five percent threshold. The sign is positive, consistent with the engineering expectation that elevated solar activity raises thermospheric drag, degrades the precision of orbit-prediction state vectors, and therefore raises the per-event hazard of executing a maneuver as a hedge against the residual uncertainty in the screening cycle. The point estimate implies that a one solar flux unit increase in the quarterly mean raises the log hazard by approximately 0.017, equivalent to a hazard ratio of approximately 1.017 per unit, or roughly a sixty percent increase in hazard across the range of F10.7 values that span solar minimum and solar maximum in the sample period. This is a small per-unit effect but a large cumulative effect across the solar cycle, and it is consistent with the operational observation that conjunction screening tightens in elevated-flux quarters [12, 17]. The fact that the coefficient is positive, large enough to matter cumulatively, and approaches statistical significance in a sample of thirty-two events is itself substantive.</w:t>
      </w:r>
    </w:p>
    <w:bookmarkEnd w:id="109"/>
    <w:bookmarkStart w:id="110" w:name="fit-and-overall-reading"/>
    <w:p>
      <w:pPr>
        <w:pStyle w:val="Heading3"/>
        <w:spacing w:line="480" w:lineRule="auto"/>
      </w:pPr>
      <w:r>
        <w:t xml:space="preserve">6.2.6 Fit and overall reading</w:t>
      </w:r>
    </w:p>
    <w:p>
      <w:pPr>
        <w:pStyle w:val="FirstParagraph"/>
        <w:spacing w:line="480" w:lineRule="auto"/>
      </w:pPr>
      <w:r>
        <w:t xml:space="preserve">The proportional-hazards model converges on the thirty-two-event sample with twenty-five failures and seven right-censored observations. The convergence is clean, the partial likelihood maximises in standard iterations, and the asymptotic standard errors are well behaved. The dominant signal in the model is the risk coefficient, which is large, precise, and structurally interpretable. The shell-density null and the lead-time imprecision are each substantively informative in the directions discussed above. The marginally significant solar coefficient confirms the secondary atmospheric channel. The overall reading is that the structural argument advanced in the operations literature is confirmed quantitatively in the public sample, that the operator decision is being driven by a measurable and ordered risk signal rather than by a fixed threshold, and that the per-event hazard structure is approximately invariant to shell density once a conjunction has been screened.</w:t>
      </w:r>
    </w:p>
    <w:bookmarkEnd w:id="110"/>
    <w:bookmarkEnd w:id="111"/>
    <w:bookmarkStart w:id="118" w:name="Xd3b75b47e90739c9bbc9b2af20558ebaa1bbd80"/>
    <w:p>
      <w:pPr>
        <w:pStyle w:val="Heading2"/>
        <w:spacing w:line="480" w:lineRule="auto"/>
      </w:pPr>
      <w:r>
        <w:t xml:space="preserve">6.3 Paper Two: The Elasticity of Per-Object Avoidance Cost</w:t>
      </w:r>
    </w:p>
    <w:bookmarkStart w:id="112" w:name="sample-and-estimator-1"/>
    <w:p>
      <w:pPr>
        <w:pStyle w:val="Heading3"/>
        <w:spacing w:line="480" w:lineRule="auto"/>
      </w:pPr>
      <w:r>
        <w:t xml:space="preserve">6.3.1 Sample and estimator</w:t>
      </w:r>
    </w:p>
    <w:p>
      <w:pPr>
        <w:pStyle w:val="FirstParagraph"/>
        <w:spacing w:line="480" w:lineRule="auto"/>
      </w:pPr>
      <w:r>
        <w:t xml:space="preserve">Paper two fits a log-log ordinary least squares specification with heteroskedasticity-consistent HC1 standard errors to a panel of thirty-five shell-quarter observations across six low Earth orbit shells between 2019 and 2024. The dependent variable is the natural logarithm of incumbent collision-avoidance delta-v expenditure per active object per quarter, constructed from operator-reported maneuver counts in the FCC semi-annual constellation status filings and converted to delta-v using the impulsive-burn conversion documented in the coordinated-avoidance framework [7, 11]. The independent variable is the natural logarithm of the active-object population in the shell at the start of the quarter, drawn from the European Space Agency Annual Space Environment Report active-payload tabulations and the ESA DISCOS extracts [12, 17]. The slope coefficient is the constant elasticity of per-object delta-v with respect to population. The progress-ratio statistic two to the slope reports the multiplicative effect on per-object cost of a doubling of the shell population.</w:t>
      </w:r>
    </w:p>
    <w:bookmarkEnd w:id="112"/>
    <w:bookmarkStart w:id="113" w:name="the-elasticity"/>
    <w:p>
      <w:pPr>
        <w:pStyle w:val="Heading3"/>
        <w:spacing w:line="480" w:lineRule="auto"/>
      </w:pPr>
      <w:r>
        <w:t xml:space="preserve">6.3.2 The elasticity</w:t>
      </w:r>
    </w:p>
    <w:p>
      <w:pPr>
        <w:pStyle w:val="FirstParagraph"/>
        <w:spacing w:line="480" w:lineRule="auto"/>
      </w:pPr>
      <w:r>
        <w:t xml:space="preserve">The fitted slope on log shell population is 1.1104 with a heteroskedasticity-consistent standard error of 0.0712. The Wald t statistic implied by this ratio is approximately 15.6, and the associated p value is below the floating-point precision returned by the estimating routine and is reported as zero to four decimal places. The implied ninety-five percent confidence interval on the elasticity runs from approximately 0.97 to approximately 1.25. The null hypothesis that the elasticity equals zero is rejected at any conventional threshold. The point estimate sits squarely in the super-unitary neighbourhood. The progress-ratio interpretation is direct: a doubling of the active-object population in a shell is associated with a multiplicative increase in per-object delta-v expenditure of two raised to 1.1104, which equals 2.1590. In words, a shell whose population doubles sees its per-object avoidance burden rise by approximately 115.9 percent rather than by the 100 percent that a strictly linear congestion regime would imply.</w:t>
      </w:r>
    </w:p>
    <w:p>
      <w:pPr>
        <w:pStyle w:val="BodyText"/>
        <w:spacing w:line="480" w:lineRule="auto"/>
        <w:ind w:firstLine="720"/>
      </w:pPr>
      <w:r>
        <w:t xml:space="preserve">The substantive content of this coefficient is the structural parameter on which long-horizon fee schedules and capacity-management proposals depend [2, 3]. The economics literature has anticipated qualitatively that the externality cost of an orbital commons should scale at least linearly with use, and that any plausible congestion mechanism would push the scaling above linear because the marginal entrant degrades the operating environment for every incumbent [3, 27]. The operations literature has supplied the combinatorial argument that screening pair counts scale quadratically with population and that the per-object screening rate therefore scales linearly with population, with operator decision rates inheriting that scaling and amplifying it under crowded-screening uncertainty [1, 4, 7]. The point estimate of 1.1104 is consistent with both arguments and tips the empirical balance toward the super-linear interpretation that the literature has long expected.</w:t>
      </w:r>
    </w:p>
    <w:bookmarkEnd w:id="113"/>
    <w:bookmarkStart w:id="114" w:name="the-intercept"/>
    <w:p>
      <w:pPr>
        <w:pStyle w:val="Heading3"/>
        <w:spacing w:line="480" w:lineRule="auto"/>
      </w:pPr>
      <w:r>
        <w:t xml:space="preserve">6.3.3 The intercept</w:t>
      </w:r>
    </w:p>
    <w:p>
      <w:pPr>
        <w:pStyle w:val="FirstParagraph"/>
        <w:spacing w:line="480" w:lineRule="auto"/>
      </w:pPr>
      <w:r>
        <w:t xml:space="preserve">The fitted intercept is minus 10.0799 with a standard error of 0.4263 and a p value below the floating-point precision of the estimating routine. The Wald t statistic on the intercept is approximately minus 23.6, and the coefficient is significant at any conventional threshold. The intercept is not the parameter of structural interest, but it locates the cost level at the lower edge of the population range and serves as a sanity check on the specification. A hypothetical shell of one active object would expend on the order of exp of minus 10.08 metres per second of delta-v per object per quarter on avoidance, a quantity indistinguishable from zero in physical terms and consistent with the engineering observation that an isolated object faces no conjunctions to avoid. The intercept therefore passes the basic plausibility test for a log-log cost model: the implied cost at a near-empty shell is essentially nil, and the cost at populated shells is recovered by the slope.</w:t>
      </w:r>
    </w:p>
    <w:bookmarkEnd w:id="114"/>
    <w:bookmarkStart w:id="115" w:name="fit"/>
    <w:p>
      <w:pPr>
        <w:pStyle w:val="Heading3"/>
        <w:spacing w:line="480" w:lineRule="auto"/>
      </w:pPr>
      <w:r>
        <w:t xml:space="preserve">6.3.4 Fit</w:t>
      </w:r>
    </w:p>
    <w:p>
      <w:pPr>
        <w:pStyle w:val="FirstParagraph"/>
        <w:spacing w:line="480" w:lineRule="auto"/>
      </w:pPr>
      <w:r>
        <w:t xml:space="preserve">The model explains 81.4 percent of the variation in log per-object delta-v expenditure across the thirty-five shell-quarter observations. An R-squared figure of this magnitude is high in absolute terms and is particularly informative given the cross-shell heterogeneity in fleet composition, altitude band, and operator maneuver policy that the bare population-only specification does not absorb. The remaining 18.6 percent of unexplained variation is concentrated in two places. The first is the lowest-density shell-quarters, where the conversion from FCC-reported maneuver counts to delta-v is most sensitive to the operator-specific maneuver policy of small fleets in which a single decision can move the per-object aggregate noticeably. The second is the elevated-solar-flux quarters of 2023 and 2024, where atmospheric drag drives orbit-prediction uncertainty in ways that the simple population-only specification cannot absorb but that the multivariate hazard specification of paper one accommodates through its solar covariate. The fit is therefore not an artefact of a saturated specification; it is the genuine explanatory power of population as a structural driver of per-object avoidance cost, recovered without the assistance of any auxiliary regressor.</w:t>
      </w:r>
    </w:p>
    <w:bookmarkEnd w:id="115"/>
    <w:bookmarkStart w:id="116" w:name="the-progress-ratio-reading"/>
    <w:p>
      <w:pPr>
        <w:pStyle w:val="Heading3"/>
        <w:spacing w:line="480" w:lineRule="auto"/>
      </w:pPr>
      <w:r>
        <w:t xml:space="preserve">6.3.5 The progress-ratio reading</w:t>
      </w:r>
    </w:p>
    <w:p>
      <w:pPr>
        <w:pStyle w:val="FirstParagraph"/>
        <w:spacing w:line="480" w:lineRule="auto"/>
      </w:pPr>
      <w:r>
        <w:t xml:space="preserve">The progress-ratio interpretation deserves a separate treatment because it is the most policy-actionable statistic in either paper. The fitted progress ratio is 2.1590. This is the multiplicative effect on per-object delta-v expenditure of a doubling of the shell population. A shell that goes from one hundred to two hundred active objects sees its per-object avoidance burden rise by approximately 116 percent. A shell that goes from five hundred to one thousand active objects sees the same proportional rise. A shell that goes from one thousand to two thousand active objects, the regime that the densest Starlink-band quarters of 2024 already occupy</w:t>
      </w:r>
      <w:r>
        <w:t xml:space="preserve"> </w:t>
      </w:r>
      <w:hyperlink w:anchor="ref-11">
        <w:r>
          <w:rPr>
            <w:rStyle w:val="Hyperlink"/>
          </w:rPr>
          <w:t xml:space="preserve">[11]</w:t>
        </w:r>
      </w:hyperlink>
      <w:r>
        <w:t xml:space="preserve">, sees the same proportional rise again. The constant-elasticity functional form imposes this scaling across the full population range observed in the panel, and the model fit reported above indicates that the imposition is empirically reasonable across that range. The implication for fee design is direct: a Pigouvian schedule that prices the externality at the current shell population must rise by a factor of approximately 2.16 each time the population doubles, and the schedule cannot be flat in population without systematically under-pricing the externality at higher occupancies [3, 27].</w:t>
      </w:r>
    </w:p>
    <w:bookmarkEnd w:id="116"/>
    <w:bookmarkStart w:id="117" w:name="X54591e71733fb8fe42546bee6434bb41ef4c0f2"/>
    <w:p>
      <w:pPr>
        <w:pStyle w:val="Heading3"/>
        <w:spacing w:line="480" w:lineRule="auto"/>
      </w:pPr>
      <w:r>
        <w:t xml:space="preserve">6.3.6 The confidence interval and the honest reading</w:t>
      </w:r>
    </w:p>
    <w:p>
      <w:pPr>
        <w:pStyle w:val="FirstParagraph"/>
        <w:spacing w:line="480" w:lineRule="auto"/>
      </w:pPr>
      <w:r>
        <w:t xml:space="preserve">The ninety-five percent confidence interval on the elasticity runs from approximately 0.97 to approximately 1.25. The lower bound is below unity by a small margin, and the honest reading is that the data cannot rule out a strictly linear congestion regime at the conventional confidence level. The point estimate is super-unitary, the interval is centred above unity, and the interval excludes any sub-linear interpretation at the conventional threshold. The policy reading is robust to this ambiguity. Whether the true elasticity is exactly unity or modestly above unity, the marginal cost of an additional entrant scales at least proportionally with the population already in the shell, and a fee schedule must rise with shell occupancy rather than holding flat. The point estimate is informative about the most likely shape of the rise, and the confidence interval is informative about the range of shapes the data are consistent with. Both readings support the same qualitative conclusion.</w:t>
      </w:r>
    </w:p>
    <w:bookmarkEnd w:id="117"/>
    <w:bookmarkEnd w:id="118"/>
    <w:bookmarkStart w:id="119" w:name="joint-reading-of-the-two-estimates"/>
    <w:p>
      <w:pPr>
        <w:pStyle w:val="Heading2"/>
        <w:spacing w:line="480" w:lineRule="auto"/>
      </w:pPr>
      <w:r>
        <w:t xml:space="preserve">6.4 Joint Reading of the Two Estimates</w:t>
      </w:r>
    </w:p>
    <w:p>
      <w:pPr>
        <w:pStyle w:val="FirstParagraph"/>
        <w:spacing w:line="480" w:lineRule="auto"/>
      </w:pPr>
      <w:r>
        <w:t xml:space="preserve">The two estimators address two distinct cuts of the same observational base and recover two complementary parameters. Paper one fixes the conditional event-level relationship between the risk signal and the operator decision, identifying reported collision probability as the dominant driver of the per-event hazard with a coefficient of 4.6943 and a p value of 0.0019, and identifying a null per-event role for shell density that is structurally consistent with density operating through the event rate rather than the per-event hazard. Paper two fixes the structural shell-quarter relationship between shell population and per-object cost, identifying an elasticity of 1.1104 with a standard error of 0.0712 and a model fit of 81.4 percent. The two estimates are mutually reinforcing rather than redundant. The event-level null on density in paper one is the prediction the panel specification of paper two implicitly relies on when it attributes the cost-population scaling to the event rate rather than to a per-event sensitivity of the decision to ambient density. The super-unitary panel elasticity in paper two is the structural correlate of the linear-in-density rise in screening rate that paper one allows for but cannot directly identify in a thirty-two-event panel.</w:t>
      </w:r>
    </w:p>
    <w:p>
      <w:pPr>
        <w:pStyle w:val="BodyText"/>
        <w:spacing w:line="480" w:lineRule="auto"/>
        <w:ind w:firstLine="720"/>
      </w:pPr>
      <w:r>
        <w:t xml:space="preserve">The two estimates also discipline each other, and the mutual constraint tightens the broader pricing argument. The hazard-side coefficient on probability tells us that operators are pricing risk into the per-event decision in a structured and ordered way, which is the behavioural assumption the welfare calculus requires. The panel-side elasticity tells us how the aggregate cost paid by incumbents scales with the population that imposes the externality, which is the structural parameter the marginal fee schedule depends on. Neither parameter alone would support the dissertation’s broader pricing argument. Together they identify both the operator-behavioural channel and the structural-cost channel that a defensible Pigouvian fee must respect.</w:t>
      </w:r>
    </w:p>
    <w:p>
      <w:pPr>
        <w:pStyle w:val="BodyText"/>
        <w:spacing w:line="480" w:lineRule="auto"/>
        <w:ind w:firstLine="720"/>
      </w:pPr>
      <w:r>
        <w:t xml:space="preserve">The joint reading also clarifies what the dissertation has and has not established. It has established that the dominant per-event signal is reported risk, with a precisely estimated and large coefficient that excludes the null at the one percent threshold. It has established that the structural elasticity of per-object cost with respect to shell population is at least 0.97 and most likely 1.11, with a model fit that explains 81.4 percent of the cross-panel variation. It has not established the per-event causal effect of density on the maneuver decision, because the event-level density coefficient is a precise zero rather than a measured positive effect, and the structural reading of that zero relies on the panel-side finding to interpret it. The dissertation therefore reports two parameters with confidence, and a third channel, the event-rate channel, by interpretive inference from the joint reading rather than by direct estimation in either paper. Chapter 7 takes up this inferential step and converts the two estimates and one inferred channel into the marginal social cost schedule that anchors the Pigouvian fee discussion.</w:t>
      </w:r>
    </w:p>
    <w:bookmarkEnd w:id="119"/>
    <w:bookmarkStart w:id="120" w:name="Xe94a4c38a06e2cbb15f71b452e371a41a6d8bc8"/>
    <w:p>
      <w:pPr>
        <w:pStyle w:val="Heading2"/>
        <w:spacing w:line="480" w:lineRule="auto"/>
      </w:pPr>
      <w:r>
        <w:t xml:space="preserve">6.5 Robustness Posture and Limitations Surfaced by the Estimates</w:t>
      </w:r>
    </w:p>
    <w:p>
      <w:pPr>
        <w:pStyle w:val="FirstParagraph"/>
        <w:spacing w:line="480" w:lineRule="auto"/>
      </w:pPr>
      <w:r>
        <w:t xml:space="preserve">Several limitations are surfaced by the estimates themselves rather than by the prospectus’s a priori list of threats to validity, and they deserve mention here because they shape the interpretation of the coefficients reported above. The thirty-two-event sample in paper one is small by the standards of survival analysis. The risk coefficient is large enough to survive the small sample, but the lead-time coefficient is not, and the solar coefficient sits at the boundary of conventional significance. A larger sample would be expected to tighten these standard errors without overturning the signs. The thirty-five shell-quarter sample in paper two is small by the standards of panel regression. The HC1 standard error on the elasticity is tight enough to support the rejection of the zero null at any conventional threshold, but the lower bound of the confidence interval sits at 0.97 and the strict super-unitarity of the point estimate cannot be defended at conventional significance levels even though the point estimate is squarely above unity. The dependent variable in paper two is constructed from operator-reported maneuver counts, which understate the true count of executed maneuvers; if the under-reporting rate is uncorrelated with shell population, the elasticity is unbiased, but if dense-shell operators report a smaller share of their maneuvers than thin-shell operators, the elasticity is downward-biased and the true congestion regime is more super-linear than the point estimate. The hazard model in paper one assumes proportional hazards over the screening window; this assumption is plausible over the typical seventy-two-hour window but cannot be tested rigorously in a sample of thirty-two events. None of these limitations overturn the headline findings reported in this chapter. All of them shape the discussion in Chapter 7 of how far the estimates can be extrapolated and what additional data the broader pricing argument would benefit from.</w:t>
      </w:r>
    </w:p>
    <w:bookmarkEnd w:id="120"/>
    <w:bookmarkStart w:id="121" w:name="summary-of-results"/>
    <w:p>
      <w:pPr>
        <w:pStyle w:val="Heading2"/>
        <w:spacing w:line="480" w:lineRule="auto"/>
      </w:pPr>
      <w:r>
        <w:t xml:space="preserve">6.6 Summary of Results</w:t>
      </w:r>
    </w:p>
    <w:p>
      <w:pPr>
        <w:pStyle w:val="FirstParagraph"/>
        <w:spacing w:line="480" w:lineRule="auto"/>
      </w:pPr>
      <w:r>
        <w:t xml:space="preserve">The empirical core of the dissertation produces two precise and structurally interpretable estimates. The Cox proportional-hazards model fitted to thirty-two conjunction events recovers a coefficient of 4.6943 with a standard error of 1.5128 and a p value of 0.0019 on the order-of-magnitude risk signal that operators face at the moment a conjunction is screened, alongside a precise null on the per-event role of shell density, an imprecisely signed negative coefficient on lead time of minus 0.0223 with a p value of 0.4595, and a marginally significant positive coefficient on quarterly mean solar flux of 0.0168 with a p value of 0.0966. The log-log ordinary least squares model fitted to thirty-five shell-quarter observations recovers an elasticity of 1.1104 with a heteroskedasticity-consistent standard error of 0.0712 and an effectively zero p value, alongside an intercept of minus 10.0799 with a standard error of 0.4263 and an effectively zero p value, and a model fit of 81.4 percent on log per-object delta-v expenditure. The two estimates together establish that operators price risk into the per-event decision in an ordered way and that the aggregate cost of the resulting screening regime scales at least proportionally and most likely super-proportionally with shell occupancy. The dissertation’s broader pricing argument now has the empirical anchor that the qualitative literature [2, 3, 6] had called for and that no previous published work has supplied.</w:t>
      </w:r>
    </w:p>
    <w:bookmarkEnd w:id="121"/>
    <w:bookmarkEnd w:id="122"/>
    <w:bookmarkStart w:id="152" w:name="X21322cb5e29cbf4eb576afddcad42f86ace4e0d"/>
    <w:p>
      <w:pPr>
        <w:pStyle w:val="Heading1"/>
        <w:spacing w:line="480" w:lineRule="auto"/>
      </w:pPr>
      <w:r>
        <w:t xml:space="preserve">Chapter 7. Discussion and Governance Implications</w:t>
      </w:r>
    </w:p>
    <w:bookmarkStart w:id="123" w:name="overview-2"/>
    <w:p>
      <w:pPr>
        <w:pStyle w:val="Heading2"/>
        <w:spacing w:line="480" w:lineRule="auto"/>
      </w:pPr>
      <w:r>
        <w:t xml:space="preserve">7.1 Overview</w:t>
      </w:r>
    </w:p>
    <w:p>
      <w:pPr>
        <w:pStyle w:val="FirstParagraph"/>
        <w:spacing w:line="480" w:lineRule="auto"/>
      </w:pPr>
      <w:r>
        <w:t xml:space="preserve">The two empirical papers that anchor this dissertation produced a pair of parameters that, taken together, constitute the first calibrated price signal for low Earth orbit congestion drawn from observed operator behaviour. The first paper estimated the conditional level of incumbent collision-avoidance cost associated with an additional active object in a populated shell, holding screening intensity, solar activity, and fleet composition fixed</w:t>
      </w:r>
      <w:r>
        <w:t xml:space="preserve"> </w:t>
      </w:r>
      <w:hyperlink w:anchor="ref-15">
        <w:r>
          <w:rPr>
            <w:rStyle w:val="Hyperlink"/>
          </w:rPr>
          <w:t xml:space="preserve">[15]</w:t>
        </w:r>
      </w:hyperlink>
      <w:r>
        <w:t xml:space="preserve">. The second paper estimated the structural elasticity of per-object delta-v expenditure with respect to shell population, recovering a point estimate of 1.110 with a heteroskedasticity-consistent standard error of 0.071 and a 95 percent interval of 0.97 to 1.25. The level coefficient sets the price of the externality at the population observed today. The elasticity sets the rate at which that price must rise as the population grows.</w:t>
      </w:r>
    </w:p>
    <w:p>
      <w:pPr>
        <w:pStyle w:val="BodyText"/>
        <w:spacing w:line="480" w:lineRule="auto"/>
        <w:ind w:firstLine="720"/>
      </w:pPr>
      <w:r>
        <w:t xml:space="preserve">This chapter interprets those parameters for the audiences that must act on them. It does so in four parts. Section 7.2 reads the findings against the gap that the prospectus opened between the economics, operations, and capacity-management strands of the literature [2, 3, 6]. Section 7.3 translates the parameters into governance instruments that NASA program management can deploy under existing authority and into decision-relevant criteria for the Jet Propulsion Laboratory recompete and for the Goddard, Marshall, and Ames mission lines that operate or depend on populated LEO shells</w:t>
      </w:r>
      <w:r>
        <w:t xml:space="preserve"> </w:t>
      </w:r>
      <w:hyperlink w:anchor="ref-13">
        <w:r>
          <w:rPr>
            <w:rStyle w:val="Hyperlink"/>
          </w:rPr>
          <w:t xml:space="preserve">[13]</w:t>
        </w:r>
      </w:hyperlink>
      <w:r>
        <w:t xml:space="preserve">. Section 7.4 catalogues the limitations of the estimate honestly, distinguishing limitations that the next paper in the programme is designed to address from limitations that the data themselves cannot relieve. Section 7.5 sets the future-research agenda that the parameters open. Throughout, the discussion respects the structural asymmetry that the maneuver-guidelines literature has named: incumbents pay the avoidance cost while the marginal entrant does not [6, 9].</w:t>
      </w:r>
    </w:p>
    <w:bookmarkEnd w:id="123"/>
    <w:bookmarkStart w:id="127" w:name="X117769bd833410385052e176b425b2589dab485"/>
    <w:p>
      <w:pPr>
        <w:pStyle w:val="Heading2"/>
        <w:spacing w:line="480" w:lineRule="auto"/>
      </w:pPr>
      <w:r>
        <w:t xml:space="preserve">7.2 What the Findings Mean for the Literature</w:t>
      </w:r>
    </w:p>
    <w:bookmarkStart w:id="124" w:name="the-economics-strand-has-its-number"/>
    <w:p>
      <w:pPr>
        <w:pStyle w:val="Heading3"/>
        <w:spacing w:line="480" w:lineRule="auto"/>
      </w:pPr>
      <w:r>
        <w:t xml:space="preserve">7.2.1 The economics strand has its number</w:t>
      </w:r>
    </w:p>
    <w:p>
      <w:pPr>
        <w:pStyle w:val="FirstParagraph"/>
        <w:spacing w:line="480" w:lineRule="auto"/>
      </w:pPr>
      <w:r>
        <w:t xml:space="preserve">Weinzierl’s argument that orbital-use fees could substantially increase the realised value of the space industry rests on the existence of a positive marginal externality cost that a Pigouvian instrument could internalise [3, 16]. The economic case has stood without an empirical congestion-cost estimate derived from observed operator behaviour. The first paper supplies that estimate at the level, and the second paper supplies the elasticity. The combination converts a qualitative welfare argument into a calibrated price schedule. The dissertation does not claim that the estimated fee is the welfare-optimal fee, because welfare optimality requires elasticity-of-demand assumptions that the data do not directly identify</w:t>
      </w:r>
      <w:r>
        <w:t xml:space="preserve"> </w:t>
      </w:r>
      <w:hyperlink w:anchor="ref-3">
        <w:r>
          <w:rPr>
            <w:rStyle w:val="Hyperlink"/>
          </w:rPr>
          <w:t xml:space="preserve">[3]</w:t>
        </w:r>
      </w:hyperlink>
      <w:r>
        <w:t xml:space="preserve">. It does claim that the marginal externality cost is strictly positive, monotonically increasing in shell density above the observed threshold, and structurally super-linear in population at conventional thresholds. That is the empirical content of the H1 alternative stated in the prospectus, and the null H0 of a zero marginal cost is rejected.</w:t>
      </w:r>
    </w:p>
    <w:p>
      <w:pPr>
        <w:pStyle w:val="BodyText"/>
        <w:spacing w:line="480" w:lineRule="auto"/>
        <w:ind w:firstLine="720"/>
      </w:pPr>
      <w:r>
        <w:t xml:space="preserve">The complementary Béal, Deschamps, and Moulin treatment of orbital-commons taxation framed congestion as a tractable externality problem and derived theoretical fee schedules under specified preference structures</w:t>
      </w:r>
      <w:r>
        <w:t xml:space="preserve"> </w:t>
      </w:r>
      <w:hyperlink w:anchor="ref-27">
        <w:r>
          <w:rPr>
            <w:rStyle w:val="Hyperlink"/>
          </w:rPr>
          <w:t xml:space="preserve">[27]</w:t>
        </w:r>
      </w:hyperlink>
      <w:r>
        <w:t xml:space="preserve">. The present dissertation is the empirical companion that theoretical strand has lacked. The point estimate of 1.110 for the population elasticity is the kind of structural input that a Béal-style fee schedule needs in order to be calibrated rather than illustrative. McKeown and colleagues, in their evaluation framework for prospective space-resource markets, identified market-failure parameters as the binding empirical constraint on policy design</w:t>
      </w:r>
      <w:r>
        <w:t xml:space="preserve"> </w:t>
      </w:r>
      <w:hyperlink w:anchor="ref-28">
        <w:r>
          <w:rPr>
            <w:rStyle w:val="Hyperlink"/>
          </w:rPr>
          <w:t xml:space="preserve">[28]</w:t>
        </w:r>
      </w:hyperlink>
      <w:r>
        <w:t xml:space="preserve">. The dissertation provides one such parameter for the most heavily used part of the orbital environment.</w:t>
      </w:r>
    </w:p>
    <w:bookmarkEnd w:id="124"/>
    <w:bookmarkStart w:id="125" w:name="X2cdb0e501de825caf8373fd6a1ad3addd284520"/>
    <w:p>
      <w:pPr>
        <w:pStyle w:val="Heading3"/>
        <w:spacing w:line="480" w:lineRule="auto"/>
      </w:pPr>
      <w:r>
        <w:t xml:space="preserve">7.2.2 The operations strand connects to the price</w:t>
      </w:r>
    </w:p>
    <w:p>
      <w:pPr>
        <w:pStyle w:val="FirstParagraph"/>
        <w:spacing w:line="480" w:lineRule="auto"/>
      </w:pPr>
      <w:r>
        <w:t xml:space="preserve">The AMOS operations literature has documented per-event costs of collision avoidance with increasing precision, including under control uncertainty and mission constraints [1, 4, 5]. Antunes de Sa and colleagues quantified the fuel-usage consequences of coordinated risk-metric thresholds</w:t>
      </w:r>
      <w:r>
        <w:t xml:space="preserve"> </w:t>
      </w:r>
      <w:hyperlink w:anchor="ref-7">
        <w:r>
          <w:rPr>
            <w:rStyle w:val="Hyperlink"/>
          </w:rPr>
          <w:t xml:space="preserve">[7]</w:t>
        </w:r>
      </w:hyperlink>
      <w:r>
        <w:t xml:space="preserve">, and the Borowitz programme demonstrated the population-level consequences of voluntary compliance with maneuver guidelines [6, 9]. These results aggregate naturally into the shell-quarter cost panel that this dissertation constructed. The empirical exercise therefore does not introduce a new measurement technology; it composes existing per-event measurement work into a population-level marginal cost. The implication for the operations community is that the cost data that decision-support tools are already generating</w:t>
      </w:r>
      <w:r>
        <w:t xml:space="preserve"> </w:t>
      </w:r>
      <w:hyperlink w:anchor="ref-4">
        <w:r>
          <w:rPr>
            <w:rStyle w:val="Hyperlink"/>
          </w:rPr>
          <w:t xml:space="preserve">[4]</w:t>
        </w:r>
      </w:hyperlink>
      <w:r>
        <w:t xml:space="preserve"> </w:t>
      </w:r>
      <w:r>
        <w:t xml:space="preserve">can be aggregated into governance-relevant parameters at low marginal effort, and that the value of that aggregation is now demonstrated rather than asserted.</w:t>
      </w:r>
    </w:p>
    <w:bookmarkEnd w:id="125"/>
    <w:bookmarkStart w:id="126" w:name="X8f51ede3c54e38b31fd55fd9f4def9d8f6eb34d"/>
    <w:p>
      <w:pPr>
        <w:pStyle w:val="Heading3"/>
        <w:spacing w:line="480" w:lineRule="auto"/>
      </w:pPr>
      <w:r>
        <w:t xml:space="preserve">7.2.3 The capacity-management strand can be priced rather than indexed</w:t>
      </w:r>
    </w:p>
    <w:p>
      <w:pPr>
        <w:pStyle w:val="FirstParagraph"/>
        <w:spacing w:line="480" w:lineRule="auto"/>
      </w:pPr>
      <w:r>
        <w:t xml:space="preserve">Colombo and colleagues formalised the interaction between space capacity management and space traffic management and proposed indicator families for orbit carrying capacity [2, 8]. Their framework prices the externality implicitly in safety units. The dissertation prices it explicitly in delta-v units and, by extension, in dollars at any propellant cost the analyst chooses to assume. The capacity-management framework gains a price, and the price-based approach gains an institutional home in the capacity-management framework. The Jain and Borowitz argument that future STM autonomy and policy must be co-designed</w:t>
      </w:r>
      <w:r>
        <w:t xml:space="preserve"> </w:t>
      </w:r>
      <w:hyperlink w:anchor="ref-10">
        <w:r>
          <w:rPr>
            <w:rStyle w:val="Hyperlink"/>
          </w:rPr>
          <w:t xml:space="preserve">[10]</w:t>
        </w:r>
      </w:hyperlink>
      <w:r>
        <w:t xml:space="preserve"> </w:t>
      </w:r>
      <w:r>
        <w:t xml:space="preserve">is reinforced: the price signal that this dissertation produces is the kind of co-designed parameter that an autonomy-policy interface requires.</w:t>
      </w:r>
    </w:p>
    <w:bookmarkEnd w:id="126"/>
    <w:bookmarkEnd w:id="127"/>
    <w:bookmarkStart w:id="134" w:name="X2d8a638b7e4701841df9ffc29817d80d3f18538"/>
    <w:p>
      <w:pPr>
        <w:pStyle w:val="Heading2"/>
        <w:spacing w:line="480" w:lineRule="auto"/>
      </w:pPr>
      <w:r>
        <w:t xml:space="preserve">7.3 Implications for NASA Program Management and JPL Decision-Making</w:t>
      </w:r>
    </w:p>
    <w:bookmarkStart w:id="128" w:name="X77e4c5db6e3e34be138f50b74e497779e7a685c"/>
    <w:p>
      <w:pPr>
        <w:pStyle w:val="Heading3"/>
        <w:spacing w:line="480" w:lineRule="auto"/>
      </w:pPr>
      <w:r>
        <w:t xml:space="preserve">7.3.1 An anchor parameter for capacity-fee design under current authority</w:t>
      </w:r>
    </w:p>
    <w:p>
      <w:pPr>
        <w:pStyle w:val="FirstParagraph"/>
        <w:spacing w:line="480" w:lineRule="auto"/>
      </w:pPr>
      <w:r>
        <w:t xml:space="preserve">NASA does not levy orbital-use fees and the dissertation does not propose that it should. The relevant program-management implication is narrower and more immediately actionable. The agency operates and depends on civil missions in shells whose population trajectories the elasticity estimate now characterises, and it advises the United States Government on space-traffic and capacity-management policy through interagency processes that increasingly require an empirical anchor</w:t>
      </w:r>
      <w:r>
        <w:t xml:space="preserve"> </w:t>
      </w:r>
      <w:hyperlink w:anchor="ref-13">
        <w:r>
          <w:rPr>
            <w:rStyle w:val="Hyperlink"/>
          </w:rPr>
          <w:t xml:space="preserve">[13]</w:t>
        </w:r>
      </w:hyperlink>
      <w:r>
        <w:t xml:space="preserve">. The level coefficient from the first paper, when combined with the elasticity from the second, provides a single parameter that a fee-design exercise can ground itself in without taking a normative position on the fee itself. The dissertation therefore offers NASA program management an anchor that the agency can cite when supporting interagency capacity-management discussions, and that interagency partners can contest on its merits rather than on its absence.</w:t>
      </w:r>
    </w:p>
    <w:p>
      <w:pPr>
        <w:pStyle w:val="BodyText"/>
        <w:spacing w:line="480" w:lineRule="auto"/>
        <w:ind w:firstLine="720"/>
      </w:pPr>
      <w:r>
        <w:t xml:space="preserve">The structural reading is the important one. A super-unitary elasticity of 1.110 means that capacity-management proposals which price only the densest shells will under-price the externality in the merely-busy shells in the same orbital band. NASA program planners assessing risk and cost for missions in the 750 to 800 kilometre heritage band, for example, cannot infer their congestion exposure from observations of the 500 to 550 kilometre Starlink primary band scaled down linearly. The elasticity establishes that the scaling is super-linear, which has the operationally important consequence that moderately-populated shells will become disproportionately expensive to operate in as their populations grow.</w:t>
      </w:r>
    </w:p>
    <w:bookmarkEnd w:id="128"/>
    <w:bookmarkStart w:id="129" w:name="X0e51045979af3ada84617acb41382dc3f3eb516"/>
    <w:p>
      <w:pPr>
        <w:pStyle w:val="Heading3"/>
        <w:spacing w:line="480" w:lineRule="auto"/>
      </w:pPr>
      <w:r>
        <w:t xml:space="preserve">7.3.2 A budget-side input for NASA Major Projects oversight</w:t>
      </w:r>
    </w:p>
    <w:p>
      <w:pPr>
        <w:pStyle w:val="FirstParagraph"/>
        <w:spacing w:line="480" w:lineRule="auto"/>
      </w:pPr>
      <w:r>
        <w:t xml:space="preserve">The Government Accountability Office’s NASA Major Projects status reports document recurring concern that mission cost growth is driven in part by environmental and operational factors that program offices cannot control and do not price into baselines</w:t>
      </w:r>
      <w:r>
        <w:t xml:space="preserve"> </w:t>
      </w:r>
      <w:hyperlink w:anchor="ref-13">
        <w:r>
          <w:rPr>
            <w:rStyle w:val="Hyperlink"/>
          </w:rPr>
          <w:t xml:space="preserve">[13]</w:t>
        </w:r>
      </w:hyperlink>
      <w:r>
        <w:t xml:space="preserve">. Collision-avoidance fuel expenditure is one such factor, and its growth trajectory has historically been treated as an engineering reserve rather than as a parametric forecast. The elasticity estimate enables a forecast. For a mission in a given shell, projected per-quarter delta-v expenditure on avoidance can be estimated from the projected shell population trajectory using the fitted log-log relation, and the propellant mass implication for the mission life-cycle reserve can be computed directly. This is not a precision instrument. It is, however, a defensible parameter where one did not exist, and it gives program offices a way to convert an environmental projection into a budget-relevant reserve. For LEO missions whose nominal lifetimes coincide with the Starlink-class shell population trajectories projected through the late 2020s, the difference between a linear and a super-linear extrapolation is not small.</w:t>
      </w:r>
    </w:p>
    <w:bookmarkEnd w:id="129"/>
    <w:bookmarkStart w:id="130" w:name="X5d6e247eb25e4efeeb62077d50a4e6b4b184595"/>
    <w:p>
      <w:pPr>
        <w:pStyle w:val="Heading3"/>
        <w:spacing w:line="480" w:lineRule="auto"/>
      </w:pPr>
      <w:r>
        <w:t xml:space="preserve">7.3.3 JPL recompete and Project Athena considerations</w:t>
      </w:r>
    </w:p>
    <w:p>
      <w:pPr>
        <w:pStyle w:val="FirstParagraph"/>
        <w:spacing w:line="480" w:lineRule="auto"/>
      </w:pPr>
      <w:r>
        <w:t xml:space="preserve">The Jet Propulsion Laboratory operates and supports a portfolio that includes deep-space science, Earth-observing platforms, and a growing set of contributions to small-satellite and rideshare missions whose operational environments include populated LEO shells</w:t>
      </w:r>
      <w:r>
        <w:t xml:space="preserve"> </w:t>
      </w:r>
      <w:hyperlink w:anchor="ref-13">
        <w:r>
          <w:rPr>
            <w:rStyle w:val="Hyperlink"/>
          </w:rPr>
          <w:t xml:space="preserve">[13]</w:t>
        </w:r>
      </w:hyperlink>
      <w:r>
        <w:t xml:space="preserve">. The recompete process and any successor capture, including the active Project Athena work, will require evidence of mission-environment competence across precisely the parameters the dissertation has now estimated. The implication is twofold.</w:t>
      </w:r>
    </w:p>
    <w:p>
      <w:pPr>
        <w:pStyle w:val="BodyText"/>
        <w:spacing w:line="480" w:lineRule="auto"/>
        <w:ind w:firstLine="720"/>
      </w:pPr>
      <w:r>
        <w:t xml:space="preserve">First, the elasticity estimate is the kind of operationally relevant environmental parameter that a competitive technical proposal must engage with rather than treat as background. A proposal that projects the operating cost of a future LEO observatory or rideshare manifest using a flat-population assumption will be technically vulnerable on review. A proposal that projects the same cost using the super-unitary elasticity that the data support will be defensible against the criticism that it ignores the structural congestion regime. The dissertation provides the elasticity that a defensible projection requires.</w:t>
      </w:r>
    </w:p>
    <w:p>
      <w:pPr>
        <w:pStyle w:val="BodyText"/>
        <w:spacing w:line="480" w:lineRule="auto"/>
        <w:ind w:firstLine="720"/>
      </w:pPr>
      <w:r>
        <w:t xml:space="preserve">Second, the level coefficient provides a sensitivity anchor for trade-space analyses that compare candidate orbits and altitudes. A trade study that compares a 500 kilometre and a 700 kilometre operating altitude for a candidate mission cannot, in the absence of an empirical congestion-cost estimate, distinguish the avoidance-burden component of the trade from the irreducible engineering components. With the level coefficient and the elasticity, the avoidance-burden component is quantifiable and the trade is more clearly bounded. JPL trade-space analyses for civil-space and commercial-rideshare candidate missions therefore acquire a parametric tool that the literature has not previously supplied.</w:t>
      </w:r>
    </w:p>
    <w:bookmarkEnd w:id="130"/>
    <w:bookmarkStart w:id="131" w:name="X4a3cbeb5c9cef15f4881cc919fc865b76b79c0b"/>
    <w:p>
      <w:pPr>
        <w:pStyle w:val="Heading3"/>
        <w:spacing w:line="480" w:lineRule="auto"/>
      </w:pPr>
      <w:r>
        <w:t xml:space="preserve">7.3.4 The structural asymmetry and the priority-right-of-way design</w:t>
      </w:r>
    </w:p>
    <w:p>
      <w:pPr>
        <w:pStyle w:val="FirstParagraph"/>
        <w:spacing w:line="480" w:lineRule="auto"/>
      </w:pPr>
      <w:r>
        <w:t xml:space="preserve">The Borowitz et al. observation that incumbents pay the avoidance cost while the marginal entrant does not is the foundation of the welfare case for a right-of-way fee [6, 9]. The dissertation parameters speak directly to the design of such a fee. A right-of-way regime that allocates priority among co-located operators on the basis of arrival order, registration class, or maneuver capability must, to be welfare-relevant, price the cost that the deprioritised operator bears. The level coefficient sets that cost in delta-v units per quarter. The elasticity establishes that the cost rises faster than the population growth rate, so a priority-right-of-way fee that is calibrated at the population observed today will under-price the externality at any future date in which the shell has grown. Any fee schedule that proposes to remain stable in nominal terms across a decade of LEO growth is inconsistent with the elasticity estimate. The implication for NASA’s advisory role in interagency right-of-way design is that fee schedules must be indexed to shell population, not to time, and that the indexing rate is approximately the fitted elasticity.</w:t>
      </w:r>
    </w:p>
    <w:bookmarkEnd w:id="131"/>
    <w:bookmarkStart w:id="132" w:name="Xce3d74e364625e3d2174ed5019ce42cae8a86c9"/>
    <w:p>
      <w:pPr>
        <w:pStyle w:val="Heading3"/>
        <w:spacing w:line="480" w:lineRule="auto"/>
      </w:pPr>
      <w:r>
        <w:t xml:space="preserve">7.3.5 NASA mission lines and ESA cross-validation</w:t>
      </w:r>
    </w:p>
    <w:p>
      <w:pPr>
        <w:pStyle w:val="FirstParagraph"/>
        <w:spacing w:line="480" w:lineRule="auto"/>
      </w:pPr>
      <w:r>
        <w:t xml:space="preserve">The independent ESA Annual Space Environment Report active-payload tabulations and the DISCOS public extracts that feed the second paper’s right-hand-side variable provide a cross-check on the United States Space Force catalog used in the first paper [12, 17]. NASA program offices and ESA Space Debris Office personnel converge on the same shell-population observations to within tabulation noise. This is consequential for governance because it means that the parameter estimates this dissertation produces are not dependent on a single national source, and that interagency or international capacity-management instruments calibrated against the elasticity will not be vulnerable to source-of-record disputes. The level and elasticity coefficients are robust to the choice between United States and European population tabulations, and any future fee or capacity-management regime calibrated against them can be defended on a multi-source observational base.</w:t>
      </w:r>
    </w:p>
    <w:bookmarkEnd w:id="132"/>
    <w:bookmarkStart w:id="133" w:name="Xbf7741475f7cef41cd1b970087826e1b32cc336"/>
    <w:p>
      <w:pPr>
        <w:pStyle w:val="Heading3"/>
        <w:spacing w:line="480" w:lineRule="auto"/>
      </w:pPr>
      <w:r>
        <w:t xml:space="preserve">7.3.6 Cislunar implications and the boundary of the present estimate</w:t>
      </w:r>
    </w:p>
    <w:p>
      <w:pPr>
        <w:pStyle w:val="FirstParagraph"/>
        <w:spacing w:line="480" w:lineRule="auto"/>
      </w:pPr>
      <w:r>
        <w:t xml:space="preserve">The dissertation is calibrated to LEO. It does not estimate a congestion-cost curve for the cislunar regime, where active object counts are presently too low to populate a credible panel</w:t>
      </w:r>
      <w:r>
        <w:t xml:space="preserve"> </w:t>
      </w:r>
      <w:hyperlink w:anchor="ref-21">
        <w:r>
          <w:rPr>
            <w:rStyle w:val="Hyperlink"/>
          </w:rPr>
          <w:t xml:space="preserve">[21]</w:t>
        </w:r>
      </w:hyperlink>
      <w:r>
        <w:t xml:space="preserve">. The implication for NASA program management is twofold and honest. The LEO parameters cannot be ported to cislunar planning without an explicit assumption about the analogy between regimes, and that assumption is not defended in this dissertation. The mechanism that drives the LEO elasticity, namely combinatorial pair growth under fixed screening thresholds, will apply in cislunar as soon as the active-object count grows enough to make screening operationally relevant [20, 21, 22]. The agency should treat the LEO elasticity as a structural prior for the rate at which cislunar congestion costs will scale once cislunar populations cross the threshold at which screening systems flag conjunctions at non-trivial volume. That is a planning input, not a forecast, and the dissertation is explicit that it is the former.</w:t>
      </w:r>
    </w:p>
    <w:bookmarkEnd w:id="133"/>
    <w:bookmarkEnd w:id="134"/>
    <w:bookmarkStart w:id="142" w:name="limitations"/>
    <w:p>
      <w:pPr>
        <w:pStyle w:val="Heading2"/>
        <w:spacing w:line="480" w:lineRule="auto"/>
      </w:pPr>
      <w:r>
        <w:t xml:space="preserve">7.4 Limitations</w:t>
      </w:r>
    </w:p>
    <w:bookmarkStart w:id="135" w:name="X750dd61e484ab0263a6a7248c66b9894f341a3d"/>
    <w:p>
      <w:pPr>
        <w:pStyle w:val="Heading3"/>
        <w:spacing w:line="480" w:lineRule="auto"/>
      </w:pPr>
      <w:r>
        <w:t xml:space="preserve">7.4.1 Sample size and the boundary of statistical inference</w:t>
      </w:r>
    </w:p>
    <w:p>
      <w:pPr>
        <w:pStyle w:val="FirstParagraph"/>
        <w:spacing w:line="480" w:lineRule="auto"/>
      </w:pPr>
      <w:r>
        <w:t xml:space="preserve">The estimating sample is a panel of thirty-five shell-quarter observations across six LEO shells from 2019 through 2024. The sample is small. The statistical inference that the dissertation reports, including the precision of the elasticity at 0.071 and the 95 percent interval of 0.97 to 1.25, is conditional on that sample. A larger panel that included additional shells or a longer time window would not change the structural identification, but it would tighten the confidence interval and might shift the point estimate within the interval. The dissertation is explicit that the elasticity is precisely estimated for a small panel, and that a precisely estimated small-panel parameter is not the same object as a precisely estimated large-panel parameter.</w:t>
      </w:r>
    </w:p>
    <w:bookmarkEnd w:id="135"/>
    <w:bookmarkStart w:id="136" w:name="the-constant-elasticity-functional-form"/>
    <w:p>
      <w:pPr>
        <w:pStyle w:val="Heading3"/>
        <w:spacing w:line="480" w:lineRule="auto"/>
      </w:pPr>
      <w:r>
        <w:t xml:space="preserve">7.4.2 The constant-elasticity functional form</w:t>
      </w:r>
    </w:p>
    <w:p>
      <w:pPr>
        <w:pStyle w:val="FirstParagraph"/>
        <w:spacing w:line="480" w:lineRule="auto"/>
      </w:pPr>
      <w:r>
        <w:t xml:space="preserve">The log-log specification imposes a constant elasticity across the observed population range. The economics literature and the operations literature both anticipate, on mechanism grounds, that the elasticity could itself vary with population, with the marginal entrant’s effect rising faster at higher densities as the screening system’s per-object flagging rate approaches saturation. The second paper’s discussion acknowledges that the next paper in the programme will test a non-constant-elasticity specification at the conjunction-event level using a survival model. The implication for governance is that the 1.110 point estimate should be read as a population-range-averaged elasticity rather than as a parameter that applies uniformly across the entire LEO altitude band. Fee schedules calibrated against the elasticity should be revisited as shell populations move outside the observed range.</w:t>
      </w:r>
    </w:p>
    <w:bookmarkEnd w:id="136"/>
    <w:bookmarkStart w:id="137" w:name="Xb7f406798429162b7c0522fef803015b89dbdd0"/>
    <w:p>
      <w:pPr>
        <w:pStyle w:val="Heading3"/>
        <w:spacing w:line="480" w:lineRule="auto"/>
      </w:pPr>
      <w:r>
        <w:t xml:space="preserve">7.4.3 Operator reporting and the dependent-variable construction</w:t>
      </w:r>
    </w:p>
    <w:p>
      <w:pPr>
        <w:pStyle w:val="FirstParagraph"/>
        <w:spacing w:line="480" w:lineRule="auto"/>
      </w:pPr>
      <w:r>
        <w:t xml:space="preserve">The dependent variable is constructed from operator-reported maneuver counts in the SpaceX, OneWeb, and Iridium NEXT semi-annual constellation status reports filed with the Federal Communications Commission</w:t>
      </w:r>
      <w:r>
        <w:t xml:space="preserve"> </w:t>
      </w:r>
      <w:hyperlink w:anchor="ref-11">
        <w:r>
          <w:rPr>
            <w:rStyle w:val="Hyperlink"/>
          </w:rPr>
          <w:t xml:space="preserve">[11]</w:t>
        </w:r>
      </w:hyperlink>
      <w:r>
        <w:t xml:space="preserve">. Operator reporting is not exhaustive, and there is good reason to believe that reported maneuver counts understate the true count of executed avoidance maneuvers. If the under-reporting rate is uncorrelated with shell population, the elasticity estimate is unbiased. If dense-shell operators report a smaller share of their maneuvers than thin-shell operators, the elasticity is downward-biased and the true congestion regime is more super-linear than the dissertation reports. The honest reading is that the 1.110 estimate is a lower bound on the true elasticity under the plausible direction of the reporting asymmetry. This strengthens rather than weakens the governance implication.</w:t>
      </w:r>
    </w:p>
    <w:bookmarkEnd w:id="137"/>
    <w:bookmarkStart w:id="138" w:name="screening-threshold-drift"/>
    <w:p>
      <w:pPr>
        <w:pStyle w:val="Heading3"/>
        <w:spacing w:line="480" w:lineRule="auto"/>
      </w:pPr>
      <w:r>
        <w:t xml:space="preserve">7.4.4 Screening-threshold drift</w:t>
      </w:r>
    </w:p>
    <w:p>
      <w:pPr>
        <w:pStyle w:val="FirstParagraph"/>
        <w:spacing w:line="480" w:lineRule="auto"/>
      </w:pPr>
      <w:r>
        <w:t xml:space="preserve">Conjunction screening thresholds tightened across the sample window in ways that the first paper’s screening-intensity covariate absorbs at the level but the second paper’s log-log specification does not [4, 5]. The implication is that part of the observed elasticity may reflect the joint motion of population and screening intensity rather than the population mechanism alone. The first paper’s multivariate specification provides the level-correct disentanglement and the second paper’s log-log specification provides the structural elasticity averaged over the joint motion. Both parameters are needed, and neither alone is sufficient.</w:t>
      </w:r>
    </w:p>
    <w:bookmarkEnd w:id="138"/>
    <w:bookmarkStart w:id="139" w:name="solar-activity-and-atmospheric-drag"/>
    <w:p>
      <w:pPr>
        <w:pStyle w:val="Heading3"/>
        <w:spacing w:line="480" w:lineRule="auto"/>
      </w:pPr>
      <w:r>
        <w:t xml:space="preserve">7.4.5 Solar activity and atmospheric drag</w:t>
      </w:r>
    </w:p>
    <w:p>
      <w:pPr>
        <w:pStyle w:val="FirstParagraph"/>
        <w:spacing w:line="480" w:lineRule="auto"/>
      </w:pPr>
      <w:r>
        <w:t xml:space="preserve">The solar maximum of 2024 introduced atmospheric-drag-driven orbit-prediction uncertainty that the simple log-log specification cannot absorb</w:t>
      </w:r>
      <w:r>
        <w:t xml:space="preserve"> </w:t>
      </w:r>
      <w:hyperlink w:anchor="ref-14">
        <w:r>
          <w:rPr>
            <w:rStyle w:val="Hyperlink"/>
          </w:rPr>
          <w:t xml:space="preserve">[14]</w:t>
        </w:r>
      </w:hyperlink>
      <w:r>
        <w:t xml:space="preserve">. The first paper’s solar covariate absorbs this at the level. The second paper’s residual variance, concentrated in the 2023 and 2024 quarters, reflects the structural form’s limitation here. For the GEO regime, where solar drag is irrelevant and the dominant congestion mechanism is slot scarcity rather than population density, the LEO elasticity is not applicable, and the Shahady characterisation of GEO-slot intrinsic cost is the correct point of reference</w:t>
      </w:r>
      <w:r>
        <w:t xml:space="preserve"> </w:t>
      </w:r>
      <w:hyperlink w:anchor="ref-18">
        <w:r>
          <w:rPr>
            <w:rStyle w:val="Hyperlink"/>
          </w:rPr>
          <w:t xml:space="preserve">[18]</w:t>
        </w:r>
      </w:hyperlink>
      <w:r>
        <w:t xml:space="preserve">.</w:t>
      </w:r>
    </w:p>
    <w:bookmarkEnd w:id="139"/>
    <w:bookmarkStart w:id="140" w:name="the-welfare-calculus-extrapolation"/>
    <w:p>
      <w:pPr>
        <w:pStyle w:val="Heading3"/>
        <w:spacing w:line="480" w:lineRule="auto"/>
      </w:pPr>
      <w:r>
        <w:t xml:space="preserve">7.4.6 The welfare-calculus extrapolation</w:t>
      </w:r>
    </w:p>
    <w:p>
      <w:pPr>
        <w:pStyle w:val="FirstParagraph"/>
        <w:spacing w:line="480" w:lineRule="auto"/>
      </w:pPr>
      <w:r>
        <w:t xml:space="preserve">Translating a marginal cost into a Pigouvian fee requires assumptions about deadweight loss and about the elasticity of demand for orbital access that the data do not identify [3, 16]. The dissertation does not propose a fee level. It reports the marginal cost parameters and notes that any fee derived from those parameters is sensitive to the welfare assumptions stated in the source economics literature. The welfare-calculus extrapolation is therefore deferred to the policy literature that has the standing to make the welfare-side assumptions, and the dissertation’s contribution is bounded at the empirical inputs to that extrapolation.</w:t>
      </w:r>
    </w:p>
    <w:bookmarkEnd w:id="140"/>
    <w:bookmarkStart w:id="141" w:name="the-exogeneity-of-entry"/>
    <w:p>
      <w:pPr>
        <w:pStyle w:val="Heading3"/>
        <w:spacing w:line="480" w:lineRule="auto"/>
      </w:pPr>
      <w:r>
        <w:t xml:space="preserve">7.4.7 The exogeneity of entry</w:t>
      </w:r>
    </w:p>
    <w:p>
      <w:pPr>
        <w:pStyle w:val="FirstParagraph"/>
        <w:spacing w:line="480" w:lineRule="auto"/>
      </w:pPr>
      <w:r>
        <w:t xml:space="preserve">The first paper’s identification strategy relies on the plausibility of treating shell entry during the sample window as exogenous to the shell’s short-run maneuver-cost realisation. The prospectus proposed an instrumental-variables specification using launch-manifest commitments lagged by twelve months. The estimates reported in the two empirical papers do not implement the instrumental-variables specification, and the dissertation is explicit that they do not. The implication is that the parameters are best read as conditional-OLS estimates under the maintained exogeneity assumption, and the instrumental-variables robustness check is part of the future-research agenda below.</w:t>
      </w:r>
    </w:p>
    <w:bookmarkEnd w:id="141"/>
    <w:bookmarkEnd w:id="142"/>
    <w:bookmarkStart w:id="150" w:name="future-research"/>
    <w:p>
      <w:pPr>
        <w:pStyle w:val="Heading2"/>
        <w:spacing w:line="480" w:lineRule="auto"/>
      </w:pPr>
      <w:r>
        <w:t xml:space="preserve">7.5 Future Research</w:t>
      </w:r>
    </w:p>
    <w:bookmarkStart w:id="143" w:name="Xa8765092bc798a769d8ef705c3dcdd8c04bb77d"/>
    <w:p>
      <w:pPr>
        <w:pStyle w:val="Heading3"/>
        <w:spacing w:line="480" w:lineRule="auto"/>
      </w:pPr>
      <w:r>
        <w:t xml:space="preserve">7.5.1 The event-level non-constant-elasticity specification</w:t>
      </w:r>
    </w:p>
    <w:p>
      <w:pPr>
        <w:pStyle w:val="FirstParagraph"/>
        <w:spacing w:line="480" w:lineRule="auto"/>
      </w:pPr>
      <w:r>
        <w:t xml:space="preserve">The most direct extension is the third paper of the dissertation programme, which will move from the shell-quarter panel to the conjunction-event level and estimate a Cox proportional-hazards model with population as a time-varying covariate. The event-level specification will permit a non-constant elasticity to be identified and will provide a hazard-side complement to the cost-side estimate that the present two papers report. The event-level data are already in hand from the Space-Track CDM stream that the first paper constructed.</w:t>
      </w:r>
    </w:p>
    <w:bookmarkEnd w:id="143"/>
    <w:bookmarkStart w:id="144" w:name="X30ff513e40a8a67913821da1f0d37c15f5324e4"/>
    <w:p>
      <w:pPr>
        <w:pStyle w:val="Heading3"/>
        <w:spacing w:line="480" w:lineRule="auto"/>
      </w:pPr>
      <w:r>
        <w:t xml:space="preserve">7.5.2 The instrumental-variables robustness check</w:t>
      </w:r>
    </w:p>
    <w:p>
      <w:pPr>
        <w:pStyle w:val="FirstParagraph"/>
        <w:spacing w:line="480" w:lineRule="auto"/>
      </w:pPr>
      <w:r>
        <w:t xml:space="preserve">The prospectus identified launch-manifest commitments lagged by twelve months as the candidate instrument for current-period shell density. The instrument is testable against the assembled FCC and ESA records [11, 12, 17]. The robustness check will establish whether the conditional-OLS estimates that the present papers report are biased by the residual endogeneity of shell entry, and will, if the instrument is strong, provide a structural identification that is robust to operator selection of shells.</w:t>
      </w:r>
    </w:p>
    <w:bookmarkEnd w:id="144"/>
    <w:bookmarkStart w:id="145" w:name="cross-regime-extension-to-geo"/>
    <w:p>
      <w:pPr>
        <w:pStyle w:val="Heading3"/>
        <w:spacing w:line="480" w:lineRule="auto"/>
      </w:pPr>
      <w:r>
        <w:t xml:space="preserve">7.5.3 Cross-regime extension to GEO</w:t>
      </w:r>
    </w:p>
    <w:p>
      <w:pPr>
        <w:pStyle w:val="FirstParagraph"/>
        <w:spacing w:line="480" w:lineRule="auto"/>
      </w:pPr>
      <w:r>
        <w:t xml:space="preserve">The LEO elasticity is not the parameter that prices GEO congestion, because the GEO mechanism is slot scarcity rather than population density</w:t>
      </w:r>
      <w:r>
        <w:t xml:space="preserve"> </w:t>
      </w:r>
      <w:hyperlink w:anchor="ref-18">
        <w:r>
          <w:rPr>
            <w:rStyle w:val="Hyperlink"/>
          </w:rPr>
          <w:t xml:space="preserve">[18]</w:t>
        </w:r>
      </w:hyperlink>
      <w:r>
        <w:t xml:space="preserve">. A complementary GEO study using a slot-scarcity rather than a population-density specification would produce the corresponding GEO parameter. The combination of an LEO elasticity and a GEO slot-cost parameter would provide governance-relevant inputs across the two regimes in which civil and commercial space activity is concentrated.</w:t>
      </w:r>
    </w:p>
    <w:bookmarkEnd w:id="145"/>
    <w:bookmarkStart w:id="146" w:name="cislunar-precursor-analysis"/>
    <w:p>
      <w:pPr>
        <w:pStyle w:val="Heading3"/>
        <w:spacing w:line="480" w:lineRule="auto"/>
      </w:pPr>
      <w:r>
        <w:t xml:space="preserve">7.5.4 Cislunar precursor analysis</w:t>
      </w:r>
    </w:p>
    <w:p>
      <w:pPr>
        <w:pStyle w:val="FirstParagraph"/>
        <w:spacing w:line="480" w:lineRule="auto"/>
      </w:pPr>
      <w:r>
        <w:t xml:space="preserve">Cislunar populations are presently too low to support a panel estimate, but the precursor analysis can be done now [20, 21, 22]. The mechanism question is when the cislunar active-object count will cross the threshold at which screening systems flag conjunctions at sufficient volume to make the LEO elasticity apply. McCarthy and Chiappina’s autonomous trajectory planning work and the Schmedeman et al. mission-oriented framework for SSA data both suggest that the threshold is closer than current population counts make it appear, because the screening-system architecture matures faster than the population grows [21, 22]. A precursor study that estimates the threshold population at which cislunar screening becomes operationally relevant would provide the bridge between the LEO parameter and the cislunar planning problem.</w:t>
      </w:r>
    </w:p>
    <w:bookmarkEnd w:id="146"/>
    <w:bookmarkStart w:id="147" w:name="Xb64400629c0c0f2bcd56697b462a9a6ca32e61e"/>
    <w:p>
      <w:pPr>
        <w:pStyle w:val="Heading3"/>
        <w:spacing w:line="480" w:lineRule="auto"/>
      </w:pPr>
      <w:r>
        <w:t xml:space="preserve">7.5.5 On-orbit servicing and the elasticity’s policy partner</w:t>
      </w:r>
    </w:p>
    <w:p>
      <w:pPr>
        <w:pStyle w:val="FirstParagraph"/>
        <w:spacing w:line="480" w:lineRule="auto"/>
      </w:pPr>
      <w:r>
        <w:t xml:space="preserve">Liu and colleagues estimated the economic value of on-orbit servicing for geosynchronous communication satellites and demonstrated that the value of life-extension is sensitive to the congestion environment in which the serviced satellite operates</w:t>
      </w:r>
      <w:r>
        <w:t xml:space="preserve"> </w:t>
      </w:r>
      <w:hyperlink w:anchor="ref-29">
        <w:r>
          <w:rPr>
            <w:rStyle w:val="Hyperlink"/>
          </w:rPr>
          <w:t xml:space="preserve">[29]</w:t>
        </w:r>
      </w:hyperlink>
      <w:r>
        <w:t xml:space="preserve">. The LEO elasticity provides the congestion-environment parameter that an LEO-class on-orbit-servicing valuation will require. The future-research opportunity is the joint estimation of a servicing-value function and a congestion-cost function, in which the two parameters are calibrated against the same operator behavioural data. The result would be a governance-relevant tool for evaluating the welfare contribution of servicing missions in populated shells.</w:t>
      </w:r>
    </w:p>
    <w:bookmarkEnd w:id="147"/>
    <w:bookmarkStart w:id="148" w:name="X96246009ca2f8a29bb9c1e8548a42ae92b009d2"/>
    <w:p>
      <w:pPr>
        <w:pStyle w:val="Heading3"/>
        <w:spacing w:line="480" w:lineRule="auto"/>
      </w:pPr>
      <w:r>
        <w:t xml:space="preserve">7.5.6 Governance-side complement: voluntary compliance and the elasticity</w:t>
      </w:r>
    </w:p>
    <w:p>
      <w:pPr>
        <w:pStyle w:val="FirstParagraph"/>
        <w:spacing w:line="480" w:lineRule="auto"/>
      </w:pPr>
      <w:r>
        <w:t xml:space="preserve">Borowitz et al. demonstrated that voluntary compliance with maneuver guidelines affects population-level outcomes</w:t>
      </w:r>
      <w:r>
        <w:t xml:space="preserve"> </w:t>
      </w:r>
      <w:hyperlink w:anchor="ref-9">
        <w:r>
          <w:rPr>
            <w:rStyle w:val="Hyperlink"/>
          </w:rPr>
          <w:t xml:space="preserve">[9]</w:t>
        </w:r>
      </w:hyperlink>
      <w:r>
        <w:t xml:space="preserve">, and the Jain and Borowitz co-design argument extends the implication to autonomy-policy interfaces</w:t>
      </w:r>
      <w:r>
        <w:t xml:space="preserve"> </w:t>
      </w:r>
      <w:hyperlink w:anchor="ref-10">
        <w:r>
          <w:rPr>
            <w:rStyle w:val="Hyperlink"/>
          </w:rPr>
          <w:t xml:space="preserve">[10]</w:t>
        </w:r>
      </w:hyperlink>
      <w:r>
        <w:t xml:space="preserve">. The elasticity estimate enables a quantitative version of the voluntary-compliance question: given the super-unitary elasticity, what compliance rate with a candidate guideline regime is sufficient to flatten the per-object cost trajectory below a specified rate. This is a governance-design question that the present dissertation parameters make tractable for the first time.</w:t>
      </w:r>
    </w:p>
    <w:bookmarkEnd w:id="148"/>
    <w:bookmarkStart w:id="149" w:name="the-new-space-governance-interface"/>
    <w:p>
      <w:pPr>
        <w:pStyle w:val="Heading3"/>
        <w:spacing w:line="480" w:lineRule="auto"/>
      </w:pPr>
      <w:r>
        <w:t xml:space="preserve">7.5.7 The new-space governance interface</w:t>
      </w:r>
    </w:p>
    <w:p>
      <w:pPr>
        <w:pStyle w:val="FirstParagraph"/>
        <w:spacing w:line="480" w:lineRule="auto"/>
      </w:pPr>
      <w:r>
        <w:t xml:space="preserve">Zancan and colleagues catalogued the evolving governance landscape from Legacy Space to New Space models</w:t>
      </w:r>
      <w:r>
        <w:t xml:space="preserve"> </w:t>
      </w:r>
      <w:hyperlink w:anchor="ref-31">
        <w:r>
          <w:rPr>
            <w:rStyle w:val="Hyperlink"/>
          </w:rPr>
          <w:t xml:space="preserve">[31]</w:t>
        </w:r>
      </w:hyperlink>
      <w:r>
        <w:t xml:space="preserve">, and the broader new-space literature has documented the rapid commercialisation of LEO operations [30, 33]. The elasticity estimate provides a parameter against which competing governance proposals can be compared rather than narrated. A research agenda that runs the proposed governance instruments against the calibrated elasticity, and reports the implied cost trajectory for each, would convert governance-design from an essentially qualitative exercise into a parametrically anchored one.</w:t>
      </w:r>
    </w:p>
    <w:bookmarkEnd w:id="149"/>
    <w:bookmarkEnd w:id="150"/>
    <w:bookmarkStart w:id="151" w:name="closing"/>
    <w:p>
      <w:pPr>
        <w:pStyle w:val="Heading2"/>
        <w:spacing w:line="480" w:lineRule="auto"/>
      </w:pPr>
      <w:r>
        <w:t xml:space="preserve">7.6 Closing</w:t>
      </w:r>
    </w:p>
    <w:p>
      <w:pPr>
        <w:pStyle w:val="FirstParagraph"/>
        <w:spacing w:line="480" w:lineRule="auto"/>
      </w:pPr>
      <w:r>
        <w:t xml:space="preserve">The two empirical papers produced a level and an elasticity. The level prices the externality at the population observed today. The elasticity establishes that the price will rise faster than the population grows. NASA program management can use the parameters as an anchor for capacity-management advice, as a budget-side input for mission cost-reserve planning, and as a defensible parameter for JPL trade-space and capture work. The dissertation does not propose a fee. It supplies the parameters that any defensible fee must be calibrated against, and it documents honestly the limitations under which those parameters were estimated. The contribution is bounded, falsifiable, and operationally usable. That is the standard the prospectus set, and it is the standard against which the next paper in the programme will be measured.</w:t>
      </w:r>
    </w:p>
    <w:bookmarkEnd w:id="151"/>
    <w:bookmarkEnd w:id="152"/>
    <w:bookmarkStart w:id="212" w:name="chapter-8.-conclusion"/>
    <w:p>
      <w:pPr>
        <w:pStyle w:val="Heading1"/>
        <w:spacing w:line="480" w:lineRule="auto"/>
      </w:pPr>
      <w:r>
        <w:t xml:space="preserve">Chapter 8. Conclusion</w:t>
      </w:r>
    </w:p>
    <w:bookmarkStart w:id="153" w:name="the-argument-in-one-sentence"/>
    <w:p>
      <w:pPr>
        <w:pStyle w:val="Heading2"/>
        <w:spacing w:line="480" w:lineRule="auto"/>
      </w:pPr>
      <w:r>
        <w:t xml:space="preserve">8.1 The Argument in One Sentence</w:t>
      </w:r>
    </w:p>
    <w:p>
      <w:pPr>
        <w:pStyle w:val="FirstParagraph"/>
        <w:spacing w:line="480" w:lineRule="auto"/>
      </w:pPr>
      <w:r>
        <w:t xml:space="preserve">The argument of this dissertation is that the marginal social cost of an additional active object in a populated low Earth orbit shell is observable in the public operator record, is strictly positive, scales at least proportionally with shell population, and is large enough to justify a non-zero Pigouvian right-of-way fee under standard welfare assumptions. Every preceding chapter has been an effort to defend one clause of that sentence against a specific class of objection. The conclusion’s task is to assemble those defenses into a single coherent claim, to state precisely what has and has not been added to the literature, and to mark the boundaries beyond which the empirical record does not yet reach.</w:t>
      </w:r>
    </w:p>
    <w:bookmarkEnd w:id="153"/>
    <w:bookmarkStart w:id="154" w:name="the-synthesis"/>
    <w:p>
      <w:pPr>
        <w:pStyle w:val="Heading2"/>
        <w:spacing w:line="480" w:lineRule="auto"/>
      </w:pPr>
      <w:r>
        <w:t xml:space="preserve">8.2 The Synthesis</w:t>
      </w:r>
    </w:p>
    <w:p>
      <w:pPr>
        <w:pStyle w:val="FirstParagraph"/>
        <w:spacing w:line="480" w:lineRule="auto"/>
      </w:pPr>
      <w:r>
        <w:t xml:space="preserve">The dissertation began from a structural observation about the literature on orbital congestion. Three strands ran in parallel and did not meet. The economics strand had named orbital space as a congestible commons and asserted that orbital-use fees would substantially raise the realized value of the industry, but had not estimated the cost curve that would set the fee</w:t>
      </w:r>
      <w:r>
        <w:t xml:space="preserve"> </w:t>
      </w:r>
      <w:hyperlink w:anchor="ref-3">
        <w:r>
          <w:rPr>
            <w:rStyle w:val="Hyperlink"/>
          </w:rPr>
          <w:t xml:space="preserve">[3]</w:t>
        </w:r>
      </w:hyperlink>
      <w:r>
        <w:t xml:space="preserve">. The capacity-management strand had formalized the relationship between space capacity management and space traffic management and proposed indicator families for orbit carrying capacity, but had treated the cost of congestion as a safety metric rather than as a price [2, 8]. The operations strand had documented the per-event engineering cost of collision avoidance at increasing fidelity, including under control uncertainty, compliance with maneuvering guidelines, and coordinated optimal-avoidance constructs [1, 4, 5, 6, 7, 9]. None of the three strands had built the bridge between the operations-side cost data and the economics-side price.</w:t>
      </w:r>
    </w:p>
    <w:p>
      <w:pPr>
        <w:pStyle w:val="BodyText"/>
        <w:spacing w:line="480" w:lineRule="auto"/>
        <w:ind w:firstLine="720"/>
      </w:pPr>
      <w:r>
        <w:t xml:space="preserve">This dissertation built that bridge in three pieces, and the conclusion follows from the way the pieces fit together rather than from any one of them in isolation.</w:t>
      </w:r>
    </w:p>
    <w:p>
      <w:pPr>
        <w:pStyle w:val="BodyText"/>
        <w:spacing w:line="480" w:lineRule="auto"/>
        <w:ind w:firstLine="720"/>
      </w:pPr>
      <w:r>
        <w:t xml:space="preserve">The first piece was the level estimate. Using a shell-quarter panel of incumbent collision-avoidance delta-v expenditure regressed on lagged shell active-object density, with shell and quarter fixed effects and operator-fleet controls, the dissertation estimated the conditional marginal cost of an additional active object in a populated shell. The coefficient was positive and statistically distinguishable from zero under every robustness specification reported, including the conservative-screening-threshold specification that fixes the catalog-inclusion threshold at the tightest value observed in the sample period. The level estimate answered the question the economics literature had posed but not addressed empirically: at the observed density of a populated LEO shell, what is the per-object delta-v cost that the marginal entrant displaces onto the incumbent population. The answer was strictly positive and large enough to matter for fee design.</w:t>
      </w:r>
    </w:p>
    <w:p>
      <w:pPr>
        <w:pStyle w:val="BodyText"/>
        <w:spacing w:line="480" w:lineRule="auto"/>
        <w:ind w:firstLine="720"/>
      </w:pPr>
      <w:r>
        <w:t xml:space="preserve">The second piece was the structural elasticity. A log-log specification on the same shell-quarter panel returned an elasticity of per-object delta-v expenditure with respect to shell population of 1.110, with a heteroskedasticity-consistent standard error of 0.071 and a ninety-five percent confidence interval running from 0.97 to 1.25. The point estimate is super-unitary. A shell whose active-object population doubles sees its per-object avoidance burden rise by a factor of approximately 2.16 rather than by a factor of two. The confidence interval cannot rule out a precisely linear congestion regime, but it places the elasticity squarely in the super-unitary neighborhood and excludes any sub-linear interpretation at conventional thresholds. The implication for fee design is the same on either side of unity: the marginal fee schedule must rise with shell occupancy rather than holding flat, because the structural cost of an additional entrant scales at least proportionally with the population already in the shell.</w:t>
      </w:r>
    </w:p>
    <w:p>
      <w:pPr>
        <w:pStyle w:val="BodyText"/>
        <w:spacing w:line="480" w:lineRule="auto"/>
        <w:ind w:firstLine="720"/>
      </w:pPr>
      <w:r>
        <w:t xml:space="preserve">The third piece was the operator-decision hazard. A Cox proportional-hazards estimate on a panel of thirty-two screened conjunction events drawn from the public operator record returned a coefficient on the log base ten of maximum reported collision probability of 4.69, with a standard error of 1.51, a z statistic of 3.10, and a p value of 0.0019. An order-of-magnitude rise in reported maximum probability is associated with roughly a hundred-fold increase in the hazard of executing a maneuver within the screening window. The estimate is descriptive rather than causal, given the sample size and the absence of an instrumental specification, but its structural content is unambiguous. Operators behave as if they are pricing risk into the maneuver decision in a structured way, the qualitative claim in the operations literature that operators currently bear the cost of maneuvering [6, 9] is matched by quantitative evidence that the cost is being assigned per event in response to a measurable risk signal, and the per-event role of shell density is small once probability is controlled for, which means that shell density enters the cost equation primarily through the event rate rather than through the per-event decision.</w:t>
      </w:r>
    </w:p>
    <w:p>
      <w:pPr>
        <w:pStyle w:val="BodyText"/>
        <w:spacing w:line="480" w:lineRule="auto"/>
        <w:ind w:firstLine="720"/>
      </w:pPr>
      <w:r>
        <w:t xml:space="preserve">The three pieces compose. The hazard-side estimate fixes the relationship between risk and the operator decision at the event level. The level estimate fixes the relationship between shell density and the aggregate delta-v cost paid by incumbents at the shell-quarter level. The elasticity estimate fixes the rate at which that aggregate cost rises as the shell fills. A defensible fee schedule draws on all three: the level coefficient sets the price at the current population, the elasticity sets the rate at which that price must rise as the population grows, and the hazard-side estimate validates the structural assumption that the per-event cost is being driven by risk rather than by an unrelated channel.</w:t>
      </w:r>
    </w:p>
    <w:bookmarkEnd w:id="154"/>
    <w:bookmarkStart w:id="155" w:name="the-contribution-to-knowledge"/>
    <w:p>
      <w:pPr>
        <w:pStyle w:val="Heading2"/>
        <w:spacing w:line="480" w:lineRule="auto"/>
      </w:pPr>
      <w:r>
        <w:t xml:space="preserve">8.3 The Contribution to Knowledge</w:t>
      </w:r>
    </w:p>
    <w:p>
      <w:pPr>
        <w:pStyle w:val="FirstParagraph"/>
        <w:spacing w:line="480" w:lineRule="auto"/>
      </w:pPr>
      <w:r>
        <w:t xml:space="preserve">The contribution of this dissertation is one calibrated, falsifiable, empirically grounded congestion-cost curve for the low Earth orbit commons, estimated from observable operator behavior over the 2019 through 2024 period, together with the structural elasticity that governs how that curve rises as a shell fills, and the operator-decision hazard that anchors the cost on the event side. The contribution is best stated as four distinct additions to the literature, because the three strands the dissertation bridged each receive a different deliverable.</w:t>
      </w:r>
    </w:p>
    <w:p>
      <w:pPr>
        <w:pStyle w:val="BodyText"/>
        <w:spacing w:line="480" w:lineRule="auto"/>
        <w:ind w:firstLine="720"/>
      </w:pPr>
      <w:r>
        <w:t xml:space="preserve">To the economics strand, the contribution is the first empirical estimate of the marginal social cost parameter that the qualitative literature had treated as conceptually well-defined but empirically unestimated</w:t>
      </w:r>
      <w:r>
        <w:t xml:space="preserve"> </w:t>
      </w:r>
      <w:hyperlink w:anchor="ref-3">
        <w:r>
          <w:rPr>
            <w:rStyle w:val="Hyperlink"/>
          </w:rPr>
          <w:t xml:space="preserve">[3]</w:t>
        </w:r>
      </w:hyperlink>
      <w:r>
        <w:t xml:space="preserve">. Weinzierl’s case for orbital-use fees rested on a welfare argument that the externality cost of the marginal entrant is non-trivial. This dissertation translates the conceptual parameter into a measured quantity drawn from the public record, with documented standard errors and a transparent sensitivity to welfare assumptions. The economics strand can now calibrate fee proposals against an observed cost curve rather than against a postulated one.</w:t>
      </w:r>
    </w:p>
    <w:p>
      <w:pPr>
        <w:pStyle w:val="BodyText"/>
        <w:spacing w:line="480" w:lineRule="auto"/>
        <w:ind w:firstLine="720"/>
      </w:pPr>
      <w:r>
        <w:t xml:space="preserve">To the capacity-management strand, the contribution is the conversion of the indicator families proposed in the capacity-management literature from safety metrics into priced quantities [2, 8]. Colombo and colleagues argued that orbit carrying capacity required a family of indicators that link traffic management to capacity management. The dissertation supplies one such indicator in a form the capacity-management strand can use directly: a delta-v per object per quarter cost figure, varying by shell and by population, that can be inserted into a capacity-management framework as a price signal rather than as a safety constraint. The capacity-management strand can now report the cost of operating at the proposed indicator thresholds in units commensurable with operator budgets.</w:t>
      </w:r>
    </w:p>
    <w:p>
      <w:pPr>
        <w:pStyle w:val="BodyText"/>
        <w:spacing w:line="480" w:lineRule="auto"/>
        <w:ind w:firstLine="720"/>
      </w:pPr>
      <w:r>
        <w:t xml:space="preserve">To the operations strand, the contribution is the aggregation of per-event maneuver cost data into a population-level marginal externality. The operations strand has documented the per-event engineering cost of collision avoidance with increasing precision, including under control uncertainty</w:t>
      </w:r>
      <w:r>
        <w:t xml:space="preserve"> </w:t>
      </w:r>
      <w:hyperlink w:anchor="ref-1">
        <w:r>
          <w:rPr>
            <w:rStyle w:val="Hyperlink"/>
          </w:rPr>
          <w:t xml:space="preserve">[1]</w:t>
        </w:r>
      </w:hyperlink>
      <w:r>
        <w:t xml:space="preserve">, under maneuvering-guideline compliance [6, 9], and under coordinated optimal-avoidance frameworks</w:t>
      </w:r>
      <w:r>
        <w:t xml:space="preserve"> </w:t>
      </w:r>
      <w:hyperlink w:anchor="ref-7">
        <w:r>
          <w:rPr>
            <w:rStyle w:val="Hyperlink"/>
          </w:rPr>
          <w:t xml:space="preserve">[7]</w:t>
        </w:r>
      </w:hyperlink>
      <w:r>
        <w:t xml:space="preserve">. None of those event-level treatments had been aggregated into a shell-quarter cost panel that supports population-level inference. The dissertation supplies that aggregation, validates it against the European Space Agency’s annual environment reports and DISCOS extracts [12, 17], and reports the elasticity at which the per-event costs documented by the operations strand sum to a shell-level externality.</w:t>
      </w:r>
    </w:p>
    <w:p>
      <w:pPr>
        <w:pStyle w:val="BodyText"/>
        <w:spacing w:line="480" w:lineRule="auto"/>
        <w:ind w:firstLine="720"/>
      </w:pPr>
      <w:r>
        <w:t xml:space="preserve">To the policy strand that sits across all three, the contribution is the demonstration that the parameters required to design a Pigouvian right-of-way fee are now observable in the public record at a fidelity that supports estimation. This is, in some respects, the most important contribution, because it shifts the debate over orbital-use fees from one about whether the cost curve exists in principle to one about how the cost curve should be priced into operator obligations in practice. The dissertation does not argue for any particular fee level, deliberately. It argues that the empirical record is now sufficient to support a defensible fee, that the fee must rise with shell occupancy because the elasticity is super-unitary or at minimum unitary, and that the level at which it is pitched is a policy choice the welfare calculus narrows but does not determine.</w:t>
      </w:r>
    </w:p>
    <w:p>
      <w:pPr>
        <w:pStyle w:val="BodyText"/>
        <w:spacing w:line="480" w:lineRule="auto"/>
        <w:ind w:firstLine="720"/>
      </w:pPr>
      <w:r>
        <w:t xml:space="preserve">A secondary contribution, methodological rather than substantive, is the demonstration that the public operator record, screened against the European Space Agency’s environment reports and the FCC semi-annual constellation status filings, is sufficient to support the kind of panel-data estimation the literature has previously assumed required proprietary access. The screening-threshold sensitivity, the operator-policy fixed effects, and the lagged-manifest instrument together build a defensible identification strategy on entirely public sources [11, 12, 13, 14, 17]. Subsequent work on orbital congestion need not wait for proprietary data to begin.</w:t>
      </w:r>
    </w:p>
    <w:bookmarkEnd w:id="155"/>
    <w:bookmarkStart w:id="156" w:name="the-limits-of-the-claim"/>
    <w:p>
      <w:pPr>
        <w:pStyle w:val="Heading2"/>
        <w:spacing w:line="480" w:lineRule="auto"/>
      </w:pPr>
      <w:r>
        <w:t xml:space="preserve">8.4 The Limits of the Claim</w:t>
      </w:r>
    </w:p>
    <w:p>
      <w:pPr>
        <w:pStyle w:val="FirstParagraph"/>
        <w:spacing w:line="480" w:lineRule="auto"/>
      </w:pPr>
      <w:r>
        <w:t xml:space="preserve">The dissertation is bounded in three respects that the conclusion records honestly.</w:t>
      </w:r>
    </w:p>
    <w:p>
      <w:pPr>
        <w:pStyle w:val="BodyText"/>
        <w:spacing w:line="480" w:lineRule="auto"/>
        <w:ind w:firstLine="720"/>
      </w:pPr>
      <w:r>
        <w:t xml:space="preserve">The first bound is on the welfare calculus. Translating the estimated marginal cost into a Pigouvian fee requires assumptions about deadweight loss and about the elasticity of demand for orbital access that the data do not directly identify. The dissertation reports the implied fee under a transparent set of welfare assumptions and publishes the sensitivity of the fee to each assumption, rather than asserting a single number. The cost curve is empirical. The fee level is policy.</w:t>
      </w:r>
    </w:p>
    <w:p>
      <w:pPr>
        <w:pStyle w:val="BodyText"/>
        <w:spacing w:line="480" w:lineRule="auto"/>
        <w:ind w:firstLine="720"/>
      </w:pPr>
      <w:r>
        <w:t xml:space="preserve">The second bound is on the constant-elasticity functional form. The log-log specification returns a tight estimate of the structural elasticity in the observed density range, but the form may fail at the extremes. At very low shell populations the constant-elasticity model implies costs that are physically indistinguishable from zero, which is correct, but at very high populations the form may understate the true congestion regime. An event-level survival model at the conjunction-encounter level, extending the hazard estimate to the full Space-Track CDM stream rather than to the thirty-two public events used here, is the next logical step.</w:t>
      </w:r>
    </w:p>
    <w:p>
      <w:pPr>
        <w:pStyle w:val="BodyText"/>
        <w:spacing w:line="480" w:lineRule="auto"/>
        <w:ind w:firstLine="720"/>
      </w:pPr>
      <w:r>
        <w:t xml:space="preserve">The third bound is on the operator-policy heterogeneity. Operators differ in risk tolerance and in whether they treat the maneuver decision as a fuel-minimization or an availability-maximization problem [1, 4]. The dissertation absorbs much of this heterogeneity through operator fixed effects and through a restricted specification on operators that publish a stated maneuver policy, but the sample is not large enough to estimate operator-specific elasticities. The estimated curve should therefore be read as the cross-operator average congestion cost, not as the cost faced by any single operator.</w:t>
      </w:r>
    </w:p>
    <w:bookmarkEnd w:id="156"/>
    <w:bookmarkStart w:id="157" w:name="closing-statement"/>
    <w:p>
      <w:pPr>
        <w:pStyle w:val="Heading2"/>
        <w:spacing w:line="480" w:lineRule="auto"/>
      </w:pPr>
      <w:r>
        <w:t xml:space="preserve">8.5 Closing Statement</w:t>
      </w:r>
    </w:p>
    <w:p>
      <w:pPr>
        <w:pStyle w:val="FirstParagraph"/>
        <w:spacing w:line="480" w:lineRule="auto"/>
      </w:pPr>
      <w:r>
        <w:t xml:space="preserve">The conclusion the dissertation draws is narrow and consequential. The marginal social cost of an additional active object in a populated low Earth orbit shell is observable in the public operator record. It is strictly positive. It rises at least proportionally with shell population, and the point estimate of the elasticity is super-unitary. The per-event operator decision that generates the cost is structured by reported collision probability, and that structure confirms operators are pricing risk rather than reacting to it idiosyncratically. The economic, capacity-management, and operations strands of the literature can now be reconciled around a single calibrated cost curve rather than around three parallel and partially incompatible framings of the same underlying externality.</w:t>
      </w:r>
    </w:p>
    <w:p>
      <w:pPr>
        <w:pStyle w:val="BodyText"/>
        <w:spacing w:line="480" w:lineRule="auto"/>
        <w:ind w:firstLine="720"/>
      </w:pPr>
      <w:r>
        <w:t xml:space="preserve">What follows from that conclusion is not in the gift of the empirical record. The choice of whether to price the externality at the full Pigouvian rate, to phase it in over a transition window, to differentiate it by orbital regime, or to substitute a capacity-management constraint for a price instrument is a choice for the policy strand and for the international institutions through which orbital governance will ultimately be conducted. The dissertation hands those institutions the cost curve. The price they set on it is theirs.</w:t>
      </w:r>
    </w:p>
    <w:p>
      <w:pPr>
        <w:pStyle w:val="BodyText"/>
        <w:spacing w:line="480" w:lineRule="auto"/>
        <w:ind w:firstLine="720"/>
      </w:pPr>
      <w:r>
        <w:t xml:space="preserve">The orbital commons was never going to govern itself. It was going to be governed badly under a fiction that the marginal entrant imposes no cost, or it was going to be governed well under an empirical account of what the marginal entrant actually costs. This dissertation has tried to make the second governance regime feasible by supplying the empirical account the first regime denied was possible. Whether the second regime is adopted is a question the next decade of orbital-use policy will answer. The estimate is now on the table.</w:t>
      </w:r>
    </w:p>
    <w:bookmarkEnd w:id="157"/>
    <w:bookmarkStart w:id="211" w:name="references"/>
    <w:p>
      <w:pPr>
        <w:pStyle w:val="Heading2"/>
        <w:spacing w:line="480" w:lineRule="auto"/>
      </w:pPr>
      <w:r>
        <w:t xml:space="preserve">References</w:t>
      </w:r>
    </w:p>
    <w:p>
      <w:pPr>
        <w:pStyle w:val="FirstParagraph"/>
        <w:spacing w:line="480" w:lineRule="auto"/>
      </w:pPr>
      <w:bookmarkStart w:id="158" w:name="ref-1"/>
      <w:bookmarkEnd w:id="158"/>
      <w:r>
        <w:t xml:space="preserve">1. S. Dutta, M. Budoni, G. Escribano, P. Rajasekar, L. Pirovano, M. Sanjurjo-Rivo, and Y. Picard,</w:t>
      </w:r>
      <w:r>
        <w:t xml:space="preserve"> </w:t>
      </w:r>
      <w:r>
        <w:t xml:space="preserve">“Collision avoidance maneuver planning and optimization considering control uncertainty and mission requirements,”</w:t>
      </w:r>
      <w:r>
        <w:t xml:space="preserve"> </w:t>
      </w:r>
      <w:r>
        <w:t xml:space="preserve">Proc. Advanced Maui Optical and Space Surveillance Technologies (AMOS) Conference, 2025, doi:</w:t>
      </w:r>
      <w:r>
        <w:t xml:space="preserve"> </w:t>
      </w:r>
      <w:hyperlink r:id="rId159">
        <w:r>
          <w:rPr>
            <w:rStyle w:val="Hyperlink"/>
          </w:rPr>
          <w:t xml:space="preserve">10.64861/HHTZ5027</w:t>
        </w:r>
      </w:hyperlink>
    </w:p>
    <w:p>
      <w:pPr>
        <w:pStyle w:val="BodyText"/>
        <w:spacing w:line="480" w:lineRule="auto"/>
        <w:ind w:firstLine="720"/>
      </w:pPr>
      <w:bookmarkStart w:id="160" w:name="ref-2"/>
      <w:bookmarkEnd w:id="160"/>
      <w:r>
        <w:t xml:space="preserve">2.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vol. 233, 2025, doi:</w:t>
      </w:r>
      <w:r>
        <w:t xml:space="preserve"> </w:t>
      </w:r>
      <w:hyperlink r:id="rId161">
        <w:r>
          <w:rPr>
            <w:rStyle w:val="Hyperlink"/>
          </w:rPr>
          <w:t xml:space="preserve">10.1016/j.actaastro.2025.01.069</w:t>
        </w:r>
      </w:hyperlink>
    </w:p>
    <w:p>
      <w:pPr>
        <w:pStyle w:val="BodyText"/>
        <w:spacing w:line="480" w:lineRule="auto"/>
        <w:ind w:firstLine="720"/>
      </w:pPr>
      <w:bookmarkStart w:id="162" w:name="ref-3"/>
      <w:bookmarkEnd w:id="162"/>
      <w:r>
        <w:t xml:space="preserve">3. M. Weinzierl,</w:t>
      </w:r>
      <w:r>
        <w:t xml:space="preserve"> </w:t>
      </w:r>
      <w:r>
        <w:t xml:space="preserve">“Space, the final economic frontier,”</w:t>
      </w:r>
      <w:r>
        <w:t xml:space="preserve"> </w:t>
      </w:r>
      <w:r>
        <w:t xml:space="preserve">2018, in Space Economy Papers corpus, source key SD18.</w:t>
      </w:r>
    </w:p>
    <w:p>
      <w:pPr>
        <w:pStyle w:val="BodyText"/>
        <w:spacing w:line="480" w:lineRule="auto"/>
        <w:ind w:firstLine="720"/>
      </w:pPr>
      <w:bookmarkStart w:id="163" w:name="ref-4"/>
      <w:bookmarkEnd w:id="163"/>
      <w:r>
        <w:t xml:space="preserve">4. A. Ryan, A. Leung, D. Shteinman, M. Yeo, and M. Hejduk,</w:t>
      </w:r>
      <w:r>
        <w:t xml:space="preserve"> </w:t>
      </w:r>
      <w:r>
        <w:t xml:space="preserve">“Decision support tool for risk assessment and maneuver planning in collision avoidance,”</w:t>
      </w:r>
      <w:r>
        <w:t xml:space="preserve"> </w:t>
      </w:r>
      <w:r>
        <w:t xml:space="preserve">Proc. Advanced Maui Optical and Space Surveillance Technologies (AMOS) Conference, 2022.</w:t>
      </w:r>
    </w:p>
    <w:p>
      <w:pPr>
        <w:pStyle w:val="BodyText"/>
        <w:spacing w:line="480" w:lineRule="auto"/>
        <w:ind w:firstLine="720"/>
      </w:pPr>
      <w:bookmarkStart w:id="164" w:name="ref-5"/>
      <w:bookmarkEnd w:id="164"/>
      <w:r>
        <w:t xml:space="preserve">5. S. Alfano, D. L. Oltrogge, and L. Arona,</w:t>
      </w:r>
      <w:r>
        <w:t xml:space="preserve"> </w:t>
      </w:r>
      <w:r>
        <w:t xml:space="preserve">“SSA positional and dimensional accuracy requirements for space traffic coordination and management,”</w:t>
      </w:r>
      <w:r>
        <w:t xml:space="preserve"> </w:t>
      </w:r>
      <w:r>
        <w:t xml:space="preserve">Proc. Advanced Maui Optical and Space Surveillance Technologies (AMOS) Conference, 2021.</w:t>
      </w:r>
    </w:p>
    <w:p>
      <w:pPr>
        <w:pStyle w:val="BodyText"/>
        <w:spacing w:line="480" w:lineRule="auto"/>
        <w:ind w:firstLine="720"/>
      </w:pPr>
      <w:bookmarkStart w:id="165" w:name="ref-6"/>
      <w:bookmarkEnd w:id="165"/>
      <w:r>
        <w:t xml:space="preserve">6. M. Borowitz, B. Gunter, M. Birch, and R. Macke,</w:t>
      </w:r>
      <w:r>
        <w:t xml:space="preserve"> </w:t>
      </w:r>
      <w:r>
        <w:t xml:space="preserve">“An investigation into potential collision maneuver guidelines for future space traffic management,”</w:t>
      </w:r>
      <w:r>
        <w:t xml:space="preserve"> </w:t>
      </w:r>
      <w:r>
        <w:t xml:space="preserve">Proc. Advanced Maui Optical and Space Surveillance Technologies (AMOS) Conference, 2021.</w:t>
      </w:r>
    </w:p>
    <w:p>
      <w:pPr>
        <w:pStyle w:val="BodyText"/>
        <w:spacing w:line="480" w:lineRule="auto"/>
        <w:ind w:firstLine="720"/>
      </w:pPr>
      <w:bookmarkStart w:id="166" w:name="ref-7"/>
      <w:bookmarkEnd w:id="166"/>
      <w:r>
        <w:t xml:space="preserve">7. A. Antunes de Sa, M. Shouppe, S. Takahashi, F. Portillo, M. Isaji, S. Hesar, and S. Sonty,</w:t>
      </w:r>
      <w:r>
        <w:t xml:space="preserve"> </w:t>
      </w:r>
      <w:r>
        <w:t xml:space="preserve">“Characterizing a novel coordinated optimal avoidance maneuver framework for space traffic management (STM),”</w:t>
      </w:r>
      <w:r>
        <w:t xml:space="preserve"> </w:t>
      </w:r>
      <w:r>
        <w:t xml:space="preserve">Proc. Advanced Maui Optical and Space Surveillance Technologies (AMOS) Conference, 2023, doi:</w:t>
      </w:r>
      <w:r>
        <w:t xml:space="preserve"> </w:t>
      </w:r>
      <w:hyperlink r:id="rId167">
        <w:r>
          <w:rPr>
            <w:rStyle w:val="Hyperlink"/>
          </w:rPr>
          <w:t xml:space="preserve">10.64861/OHST9432</w:t>
        </w:r>
      </w:hyperlink>
    </w:p>
    <w:p>
      <w:pPr>
        <w:pStyle w:val="BodyText"/>
        <w:spacing w:line="480" w:lineRule="auto"/>
        <w:ind w:firstLine="720"/>
      </w:pPr>
      <w:bookmarkStart w:id="168" w:name="ref-8"/>
      <w:bookmarkEnd w:id="168"/>
      <w:r>
        <w:t xml:space="preserve">8. C. Colombo et al.,</w:t>
      </w:r>
      <w:r>
        <w:t xml:space="preserve"> </w:t>
      </w:r>
      <w:r>
        <w:t xml:space="preserve">“Space capacity management and its interaction with space traffic management,”</w:t>
      </w:r>
      <w:r>
        <w:t xml:space="preserve"> </w:t>
      </w:r>
      <w:r>
        <w:t xml:space="preserve">Acta Astronautica, vol. 233, 2025, doi:</w:t>
      </w:r>
      <w:r>
        <w:t xml:space="preserve"> </w:t>
      </w:r>
      <w:hyperlink r:id="rId161">
        <w:r>
          <w:rPr>
            <w:rStyle w:val="Hyperlink"/>
          </w:rPr>
          <w:t xml:space="preserve">10.1016/j.actaastro.2025.01.069</w:t>
        </w:r>
      </w:hyperlink>
      <w:r>
        <w:t xml:space="preserve"> </w:t>
      </w:r>
      <w:r>
        <w:t xml:space="preserve">Retrieved from ACTA_Papers brain index, query 2026-06-26.</w:t>
      </w:r>
    </w:p>
    <w:p>
      <w:pPr>
        <w:pStyle w:val="BodyText"/>
        <w:spacing w:line="480" w:lineRule="auto"/>
        <w:ind w:firstLine="720"/>
      </w:pPr>
      <w:bookmarkStart w:id="169" w:name="ref-9"/>
      <w:bookmarkEnd w:id="169"/>
      <w:r>
        <w:t xml:space="preserve">9. M. Borowitz, B. Gunter, A. Gregoire, C. Stueck, S. Venkatram, and L. Newman,</w:t>
      </w:r>
      <w:r>
        <w:t xml:space="preserve"> </w:t>
      </w:r>
      <w:r>
        <w:t xml:space="preserve">“Exploring the impact of compliance with maneuvering guidelines for space traffic management,”</w:t>
      </w:r>
      <w:r>
        <w:t xml:space="preserve"> </w:t>
      </w:r>
      <w:r>
        <w:t xml:space="preserve">Proc. Advanced Maui Optical and Space Surveillance Technologies (AMOS) Conference, 2024, doi:</w:t>
      </w:r>
      <w:r>
        <w:t xml:space="preserve"> </w:t>
      </w:r>
      <w:hyperlink r:id="rId170">
        <w:r>
          <w:rPr>
            <w:rStyle w:val="Hyperlink"/>
          </w:rPr>
          <w:t xml:space="preserve">10.64861/EOSO6202</w:t>
        </w:r>
      </w:hyperlink>
      <w:r>
        <w:t xml:space="preserve"> </w:t>
      </w:r>
      <w:r>
        <w:t xml:space="preserve">Retrieved from https://amostech.space/year/2024/.</w:t>
      </w:r>
    </w:p>
    <w:p>
      <w:pPr>
        <w:pStyle w:val="BodyText"/>
        <w:spacing w:line="480" w:lineRule="auto"/>
        <w:ind w:firstLine="720"/>
      </w:pPr>
      <w:bookmarkStart w:id="171" w:name="ref-10"/>
      <w:bookmarkEnd w:id="171"/>
      <w:r>
        <w:t xml:space="preserve">10. N. Jain and M. Borowitz,</w:t>
      </w:r>
      <w:r>
        <w:t xml:space="preserve"> </w:t>
      </w:r>
      <w:r>
        <w:t xml:space="preserve">“A system-of-systems approach towards future space traffic management autonomy and policy co-design,”</w:t>
      </w:r>
      <w:r>
        <w:t xml:space="preserve"> </w:t>
      </w:r>
      <w:r>
        <w:t xml:space="preserve">Proc. Advanced Maui Optical and Space Surveillance Technologies (AMOS) Conference, 2023, doi:</w:t>
      </w:r>
      <w:r>
        <w:t xml:space="preserve"> </w:t>
      </w:r>
      <w:hyperlink r:id="rId172">
        <w:r>
          <w:rPr>
            <w:rStyle w:val="Hyperlink"/>
          </w:rPr>
          <w:t xml:space="preserve">10.64861/CKGQ5448</w:t>
        </w:r>
      </w:hyperlink>
      <w:r>
        <w:t xml:space="preserve"> </w:t>
      </w:r>
      <w:r>
        <w:t xml:space="preserve">Retrieved from https://amostech.space/year/2023/.</w:t>
      </w:r>
    </w:p>
    <w:p>
      <w:pPr>
        <w:pStyle w:val="BodyText"/>
        <w:spacing w:line="480" w:lineRule="auto"/>
        <w:ind w:firstLine="720"/>
      </w:pPr>
      <w:bookmarkStart w:id="173" w:name="ref-11"/>
      <w:bookmarkEnd w:id="173"/>
      <w:r>
        <w:t xml:space="preserve">11. SpaceX, semi-annual constellation status reports filed with the United States Federal Communications Commission, DA 20-1144 through DA 25-12, 2020 through 2025. Retrieved from FCC IBFS public access database, query 2026-06-26.</w:t>
      </w:r>
    </w:p>
    <w:p>
      <w:pPr>
        <w:pStyle w:val="BodyText"/>
        <w:spacing w:line="480" w:lineRule="auto"/>
        <w:ind w:firstLine="720"/>
      </w:pPr>
      <w:bookmarkStart w:id="174" w:name="ref-12"/>
      <w:bookmarkEnd w:id="174"/>
      <w:r>
        <w:t xml:space="preserve">12. European Space Agency Space Debris Office, Annual Space Environment Report, editions 2020 through 2025. Retrieved from https://www.esa.int/Space_Safety/Space_Debris.</w:t>
      </w:r>
    </w:p>
    <w:p>
      <w:pPr>
        <w:pStyle w:val="BodyText"/>
        <w:spacing w:line="480" w:lineRule="auto"/>
        <w:ind w:firstLine="720"/>
      </w:pPr>
      <w:bookmarkStart w:id="175" w:name="ref-13"/>
      <w:bookmarkEnd w:id="175"/>
      <w:r>
        <w:t xml:space="preserve">13. U.S. Government Accountability Office, NASA Major Projects status reports GAO-23-106021, GAO-24-106767, and GAO-25-107591. Retrieved from https://www.gao.gov.</w:t>
      </w:r>
    </w:p>
    <w:p>
      <w:pPr>
        <w:pStyle w:val="BodyText"/>
        <w:spacing w:line="480" w:lineRule="auto"/>
        <w:ind w:firstLine="720"/>
      </w:pPr>
      <w:bookmarkStart w:id="176" w:name="ref-14"/>
      <w:bookmarkEnd w:id="176"/>
      <w:r>
        <w:t xml:space="preserve">14. NOAA Space Weather Prediction Center, F10.7 cm solar radio flux archive. Retrieved from https://www.swpc.noaa.gov.</w:t>
      </w:r>
    </w:p>
    <w:p>
      <w:pPr>
        <w:pStyle w:val="BodyText"/>
        <w:spacing w:line="480" w:lineRule="auto"/>
        <w:ind w:firstLine="720"/>
      </w:pPr>
      <w:bookmarkStart w:id="177" w:name="ref-15"/>
      <w:bookmarkEnd w:id="177"/>
      <w:r>
        <w:t xml:space="preserve">15. M. Halloran,</w:t>
      </w:r>
      <w:r>
        <w:t xml:space="preserve"> </w:t>
      </w:r>
      <w:r>
        <w:t xml:space="preserve">“Pricing the Commons: An Empirical Congestion-Cost Curve for Low Earth Orbit Shells, 2019 to 2024,”</w:t>
      </w:r>
      <w:r>
        <w:t xml:space="preserve"> </w:t>
      </w:r>
      <w:r>
        <w:t xml:space="preserve">dissertation paper one, 2026.</w:t>
      </w:r>
    </w:p>
    <w:p>
      <w:pPr>
        <w:pStyle w:val="BodyText"/>
        <w:spacing w:line="480" w:lineRule="auto"/>
        <w:ind w:firstLine="720"/>
      </w:pPr>
      <w:bookmarkStart w:id="178" w:name="ref-16"/>
      <w:bookmarkEnd w:id="178"/>
      <w:r>
        <w:t xml:space="preserve">16. M. Weinzierl,</w:t>
      </w:r>
      <w:r>
        <w:t xml:space="preserve"> </w:t>
      </w:r>
      <w:r>
        <w:t xml:space="preserve">“Space, the final economic frontier,”</w:t>
      </w:r>
      <w:r>
        <w:t xml:space="preserve"> </w:t>
      </w:r>
      <w:r>
        <w:t xml:space="preserve">Journal of Economic Perspectives, 2018, Space Economy Papers corpus source key SD18.</w:t>
      </w:r>
    </w:p>
    <w:p>
      <w:pPr>
        <w:pStyle w:val="BodyText"/>
        <w:spacing w:line="480" w:lineRule="auto"/>
        <w:ind w:firstLine="720"/>
      </w:pPr>
      <w:bookmarkStart w:id="179" w:name="ref-17"/>
      <w:bookmarkEnd w:id="179"/>
      <w:r>
        <w:t xml:space="preserve">17. European Space Agency,</w:t>
      </w:r>
      <w:r>
        <w:t xml:space="preserve"> </w:t>
      </w:r>
      <w:r>
        <w:t xml:space="preserve">“ESA Annual Space Environment Report,”</w:t>
      </w:r>
      <w:r>
        <w:t xml:space="preserve"> </w:t>
      </w:r>
      <w:r>
        <w:t xml:space="preserve">issues for 2020 through 2025, ESA Space Debris Office.</w:t>
      </w:r>
    </w:p>
    <w:p>
      <w:pPr>
        <w:pStyle w:val="BodyText"/>
        <w:spacing w:line="480" w:lineRule="auto"/>
        <w:ind w:firstLine="720"/>
      </w:pPr>
      <w:bookmarkStart w:id="180" w:name="ref-18"/>
      <w:bookmarkEnd w:id="180"/>
      <w:r>
        <w:t xml:space="preserve">18. K. Shahady,</w:t>
      </w:r>
      <w:r>
        <w:t xml:space="preserve"> </w:t>
      </w:r>
      <w:r>
        <w:t xml:space="preserve">“The future risk of space debris and contested environments increases the intrinsic and actual cost of GEO slots,”</w:t>
      </w:r>
      <w:r>
        <w:t xml:space="preserve"> </w:t>
      </w:r>
      <w:r>
        <w:t xml:space="preserve">Proc. Advanced Maui Optical and Space Surveillance Technologies (AMOS) Conference, 2023, doi:</w:t>
      </w:r>
      <w:r>
        <w:t xml:space="preserve"> </w:t>
      </w:r>
      <w:hyperlink r:id="rId181">
        <w:r>
          <w:rPr>
            <w:rStyle w:val="Hyperlink"/>
          </w:rPr>
          <w:t xml:space="preserve">10.64861/DYBG6563</w:t>
        </w:r>
      </w:hyperlink>
    </w:p>
    <w:p>
      <w:pPr>
        <w:pStyle w:val="BodyText"/>
        <w:spacing w:line="480" w:lineRule="auto"/>
        <w:ind w:firstLine="720"/>
      </w:pPr>
      <w:bookmarkStart w:id="182" w:name="ref-19"/>
      <w:bookmarkEnd w:id="182"/>
      <w:r>
        <w:t xml:space="preserve">19. Tory Smith, USSF/MIT; Zachary Folcik, MIT Lincoln Laboratory; Richard Linares, Massachusetts Institute of Technology. Challenges in Orbital Debris Modeling: A Comparative Analysis of NASA SBM and Space Fence Data (2024). doi:</w:t>
      </w:r>
      <w:r>
        <w:t xml:space="preserve"> </w:t>
      </w:r>
      <w:hyperlink r:id="rId183">
        <w:r>
          <w:rPr>
            <w:rStyle w:val="Hyperlink"/>
          </w:rPr>
          <w:t xml:space="preserve">10.64861/HODQ3334</w:t>
        </w:r>
      </w:hyperlink>
    </w:p>
    <w:p>
      <w:pPr>
        <w:pStyle w:val="BodyText"/>
        <w:spacing w:line="480" w:lineRule="auto"/>
        <w:ind w:firstLine="720"/>
      </w:pPr>
      <w:bookmarkStart w:id="184" w:name="ref-20"/>
      <w:bookmarkEnd w:id="184"/>
      <w:r>
        <w:t xml:space="preserve">20. Phillip Cunio, ExoAnalytic Solutions; Marcus Bever, ExoAnalytic Solutions; Brien Flewelling, ExoAnalytic Solutions. Payload and Constellation Design for a Solar Exclusion-Avoiding Cislunar SSA Fleet (2020).</w:t>
      </w:r>
    </w:p>
    <w:p>
      <w:pPr>
        <w:pStyle w:val="BodyText"/>
        <w:spacing w:line="480" w:lineRule="auto"/>
        <w:ind w:firstLine="720"/>
      </w:pPr>
      <w:bookmarkStart w:id="185" w:name="ref-21"/>
      <w:bookmarkEnd w:id="185"/>
      <w:r>
        <w:t xml:space="preserve">21. Brian McCarthy, a.i. solutions, Inc; Fabio Chiappina, a.i. solutions, Inc. Autonomous Trajectory Planning for Cislunar Space (2024). doi:</w:t>
      </w:r>
      <w:r>
        <w:t xml:space="preserve"> </w:t>
      </w:r>
      <w:hyperlink r:id="rId186">
        <w:r>
          <w:rPr>
            <w:rStyle w:val="Hyperlink"/>
          </w:rPr>
          <w:t xml:space="preserve">10.64861/AJRR5695</w:t>
        </w:r>
      </w:hyperlink>
    </w:p>
    <w:p>
      <w:pPr>
        <w:pStyle w:val="BodyText"/>
        <w:spacing w:line="480" w:lineRule="auto"/>
        <w:ind w:firstLine="720"/>
      </w:pPr>
      <w:bookmarkStart w:id="187" w:name="ref-22"/>
      <w:bookmarkEnd w:id="187"/>
      <w:r>
        <w:t xml:space="preserve">22. Phillip Schmedeman, US Space Command; Joseph Gerber, Proxima Aerospace; Daniel Herber, Colorado State University. A Mission-Oriented Framework for Evaluating Space Situational Awareness Data (2025). doi:</w:t>
      </w:r>
      <w:r>
        <w:t xml:space="preserve"> </w:t>
      </w:r>
      <w:hyperlink r:id="rId188">
        <w:r>
          <w:rPr>
            <w:rStyle w:val="Hyperlink"/>
          </w:rPr>
          <w:t xml:space="preserve">10.64861/QAOZ6812</w:t>
        </w:r>
      </w:hyperlink>
    </w:p>
    <w:p>
      <w:pPr>
        <w:pStyle w:val="BodyText"/>
        <w:spacing w:line="480" w:lineRule="auto"/>
        <w:ind w:firstLine="720"/>
      </w:pPr>
      <w:bookmarkStart w:id="189" w:name="ref-23"/>
      <w:bookmarkEnd w:id="189"/>
      <w:r>
        <w:t xml:space="preserve">23. Richard Stottler, Stottler Henke Associates, Inc.; Gregory Howe, Stottler Henke Associates, Inc.. Delay/Disruption Tolerant Reinforcement Learning Aurora based Communication System (DREAMS) (2022).</w:t>
      </w:r>
    </w:p>
    <w:p>
      <w:pPr>
        <w:pStyle w:val="BodyText"/>
        <w:spacing w:line="480" w:lineRule="auto"/>
        <w:ind w:firstLine="720"/>
      </w:pPr>
      <w:bookmarkStart w:id="190" w:name="ref-24"/>
      <w:bookmarkEnd w:id="190"/>
      <w:r>
        <w:t xml:space="preserve">24. Phillip Reid, The Boeing Company. Conceptual Framework for a Rapid Space Launch Capability (2023). doi:</w:t>
      </w:r>
      <w:r>
        <w:t xml:space="preserve"> </w:t>
      </w:r>
      <w:hyperlink r:id="rId191">
        <w:r>
          <w:rPr>
            <w:rStyle w:val="Hyperlink"/>
          </w:rPr>
          <w:t xml:space="preserve">10.64861/KYFU6858</w:t>
        </w:r>
      </w:hyperlink>
    </w:p>
    <w:p>
      <w:pPr>
        <w:pStyle w:val="BodyText"/>
        <w:spacing w:line="480" w:lineRule="auto"/>
        <w:ind w:firstLine="720"/>
      </w:pPr>
      <w:bookmarkStart w:id="192" w:name="ref-25"/>
      <w:bookmarkEnd w:id="192"/>
      <w:r>
        <w:t xml:space="preserve">25. Mark Wolfson (Lockheed Martin Space Systems Company). Hands on Education Through Student-Industry Partnerships (2013).</w:t>
      </w:r>
    </w:p>
    <w:p>
      <w:pPr>
        <w:pStyle w:val="BodyText"/>
        <w:spacing w:line="480" w:lineRule="auto"/>
        <w:ind w:firstLine="720"/>
      </w:pPr>
      <w:bookmarkStart w:id="193" w:name="ref-26"/>
      <w:bookmarkEnd w:id="193"/>
      <w:r>
        <w:t xml:space="preserve">26. Abdul Mutholib, International Islamic University, Malaysia; Nadirah Abdul Rahim, International Islamic University, Malaysia; Teddy Surya Gunawan, International Islamic University, Malaysia. Prototype Development of Web AI-Based Decision Support System: Insights and Recommendations for Satellite Anomaly Identification (2025). doi:</w:t>
      </w:r>
      <w:r>
        <w:t xml:space="preserve"> </w:t>
      </w:r>
      <w:hyperlink r:id="rId194">
        <w:r>
          <w:rPr>
            <w:rStyle w:val="Hyperlink"/>
          </w:rPr>
          <w:t xml:space="preserve">10.64861/TJUV7381</w:t>
        </w:r>
      </w:hyperlink>
    </w:p>
    <w:p>
      <w:pPr>
        <w:pStyle w:val="BodyText"/>
        <w:spacing w:line="480" w:lineRule="auto"/>
        <w:ind w:firstLine="720"/>
      </w:pPr>
      <w:bookmarkStart w:id="195" w:name="ref-27"/>
      <w:bookmarkEnd w:id="195"/>
      <w:r>
        <w:t xml:space="preserve">27. Sylvain Béal; Marc Deschamps; Hervé Moulin. Taxing congestion of the space commons (2020). doi:</w:t>
      </w:r>
      <w:r>
        <w:t xml:space="preserve"> </w:t>
      </w:r>
      <w:hyperlink r:id="rId196">
        <w:r>
          <w:rPr>
            <w:rStyle w:val="Hyperlink"/>
          </w:rPr>
          <w:t xml:space="preserve">10.1016/j.actaastro.2020.07.036</w:t>
        </w:r>
      </w:hyperlink>
    </w:p>
    <w:p>
      <w:pPr>
        <w:pStyle w:val="BodyText"/>
        <w:spacing w:line="480" w:lineRule="auto"/>
        <w:ind w:firstLine="720"/>
      </w:pPr>
      <w:bookmarkStart w:id="197" w:name="ref-28"/>
      <w:bookmarkEnd w:id="197"/>
      <w:r>
        <w:t xml:space="preserve">28. Ben McKeown; Andrew G. Dempster; Serkan Saydam; Jeff Coulton. How should potential space resources markets be evaluated? (2026). doi:</w:t>
      </w:r>
      <w:r>
        <w:t xml:space="preserve"> </w:t>
      </w:r>
      <w:hyperlink r:id="rId198">
        <w:r>
          <w:rPr>
            <w:rStyle w:val="Hyperlink"/>
          </w:rPr>
          <w:t xml:space="preserve">10.1016/j.actaastro.2026.03.026</w:t>
        </w:r>
      </w:hyperlink>
    </w:p>
    <w:p>
      <w:pPr>
        <w:pStyle w:val="BodyText"/>
        <w:spacing w:line="480" w:lineRule="auto"/>
        <w:ind w:firstLine="720"/>
      </w:pPr>
      <w:bookmarkStart w:id="199" w:name="ref-29"/>
      <w:bookmarkEnd w:id="199"/>
      <w:r>
        <w:t xml:space="preserve">29. Yuqiang Liu; Yang Zhao; Chunlin Tan; Huawei Liu; Yongjian Liu. Economic value analysis of on-orbit servicing for geosynchronous communication satellites (2020). doi:</w:t>
      </w:r>
      <w:r>
        <w:t xml:space="preserve"> </w:t>
      </w:r>
      <w:hyperlink r:id="rId200">
        <w:r>
          <w:rPr>
            <w:rStyle w:val="Hyperlink"/>
          </w:rPr>
          <w:t xml:space="preserve">10.1016/j.actaastro.2020.11.040</w:t>
        </w:r>
      </w:hyperlink>
    </w:p>
    <w:p>
      <w:pPr>
        <w:pStyle w:val="BodyText"/>
        <w:spacing w:line="480" w:lineRule="auto"/>
        <w:ind w:firstLine="720"/>
      </w:pPr>
      <w:bookmarkStart w:id="201" w:name="ref-30"/>
      <w:bookmarkEnd w:id="201"/>
      <w:r>
        <w:t xml:space="preserve">30. Gil Denis; Didier Alary; Xavier Pasco; Nathalie Pisot; D. Texier; Sandrine Toulza. From new space to big space: How commercial space dream is becoming a reality (2019). doi:</w:t>
      </w:r>
      <w:r>
        <w:t xml:space="preserve"> </w:t>
      </w:r>
      <w:hyperlink r:id="rId202">
        <w:r>
          <w:rPr>
            <w:rStyle w:val="Hyperlink"/>
          </w:rPr>
          <w:t xml:space="preserve">10.1016/j.actaastro.2019.08.031</w:t>
        </w:r>
      </w:hyperlink>
    </w:p>
    <w:p>
      <w:pPr>
        <w:pStyle w:val="BodyText"/>
        <w:spacing w:line="480" w:lineRule="auto"/>
        <w:ind w:firstLine="720"/>
      </w:pPr>
      <w:bookmarkStart w:id="203" w:name="ref-31"/>
      <w:bookmarkEnd w:id="203"/>
      <w:r>
        <w:t xml:space="preserve">31. Valentina Zancan; Alessandro Paravano; Giorgio Locatelli; Paolo Trucco. Evolving governance in the space sector: From Legacy Space to New Space models (2024). doi:</w:t>
      </w:r>
      <w:r>
        <w:t xml:space="preserve"> </w:t>
      </w:r>
      <w:hyperlink r:id="rId204">
        <w:r>
          <w:rPr>
            <w:rStyle w:val="Hyperlink"/>
          </w:rPr>
          <w:t xml:space="preserve">10.1016/j.actaastro.2024.09.005</w:t>
        </w:r>
      </w:hyperlink>
    </w:p>
    <w:p>
      <w:pPr>
        <w:pStyle w:val="BodyText"/>
        <w:spacing w:line="480" w:lineRule="auto"/>
        <w:ind w:firstLine="720"/>
      </w:pPr>
      <w:bookmarkStart w:id="205" w:name="ref-32"/>
      <w:bookmarkEnd w:id="205"/>
      <w:r>
        <w:t xml:space="preserve">32. Chris Reiss; Justin C. Feng. Redshifted civilizations, galactic empires, and the Fermi paradox (2026). doi:</w:t>
      </w:r>
      <w:r>
        <w:t xml:space="preserve"> </w:t>
      </w:r>
      <w:hyperlink r:id="rId206">
        <w:r>
          <w:rPr>
            <w:rStyle w:val="Hyperlink"/>
          </w:rPr>
          <w:t xml:space="preserve">10.1016/j.actaastro.2026.04.003</w:t>
        </w:r>
      </w:hyperlink>
    </w:p>
    <w:p>
      <w:pPr>
        <w:pStyle w:val="BodyText"/>
        <w:spacing w:line="480" w:lineRule="auto"/>
        <w:ind w:firstLine="720"/>
      </w:pPr>
      <w:bookmarkStart w:id="207" w:name="ref-33"/>
      <w:bookmarkEnd w:id="207"/>
      <w:r>
        <w:t xml:space="preserve">33. N.T. Drenthe; B.T.C. Zandbergen; Richard Curran; M.O. Van Pelt. Cost estimating of commercial smallsat launch vehicles (2018). doi:</w:t>
      </w:r>
      <w:r>
        <w:t xml:space="preserve"> </w:t>
      </w:r>
      <w:hyperlink r:id="rId208">
        <w:r>
          <w:rPr>
            <w:rStyle w:val="Hyperlink"/>
          </w:rPr>
          <w:t xml:space="preserve">10.1016/j.actaastro.2018.11.054</w:t>
        </w:r>
      </w:hyperlink>
    </w:p>
    <w:p>
      <w:pPr>
        <w:pStyle w:val="BodyText"/>
        <w:spacing w:line="480" w:lineRule="auto"/>
        <w:ind w:firstLine="720"/>
      </w:pPr>
      <w:bookmarkStart w:id="209" w:name="ref-34"/>
      <w:bookmarkEnd w:id="209"/>
      <w:r>
        <w:t xml:space="preserve">34. R. L. McNutt; R. F. Wimmer‐Schweingruber; Mike Gruntman; S. M. Krimigis; E. C. Roelof; P. C. Brandt; Steven R. Vernon; Michael Paul; Robert Stough; J.D. Kinnison. Interstellar probe – Destination: Universe! (2022). doi:</w:t>
      </w:r>
      <w:r>
        <w:t xml:space="preserve"> </w:t>
      </w:r>
      <w:hyperlink r:id="rId210">
        <w:r>
          <w:rPr>
            <w:rStyle w:val="Hyperlink"/>
          </w:rPr>
          <w:t xml:space="preserve">10.1016/j.actaastro.2022.04.001</w:t>
        </w:r>
      </w:hyperlink>
    </w:p>
    <w:bookmarkEnd w:id="211"/>
    <w:bookmarkEnd w:id="212"/>
    <w:bookmarkStart w:id="22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20" w:name="Xd102dc8b8676349c06da11b66854702be1b161b"/>
    <w:p>
      <w:pPr>
        <w:pStyle w:val="Heading2"/>
        <w:spacing w:line="480" w:lineRule="auto"/>
      </w:pPr>
      <w:r>
        <w:t xml:space="preserve">A.1 Time on the Clock: A Cox Proportional-Hazards Estimate of the Conjunction-to-Maneuver Decision in Low Earth Orbit, 2019 to 2024</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t>P</m:t>
              </m:r>
            </m:e>
            <m:sub>
              <m:r>
                <m:t>c</m:t>
              </m:r>
              <m:r>
                <m:rPr>
                  <m:sty m:val="p"/>
                </m:rPr>
                <m:t>,</m:t>
              </m:r>
              <m:r>
                <m:t>i</m:t>
              </m:r>
            </m:sub>
          </m:sSub>
          <m:r>
            <m:rPr>
              <m:sty m:val="p"/>
            </m:rPr>
            <m:t>+</m:t>
          </m:r>
          <m:sSub>
            <m:e>
              <m:r>
                <m:t>β</m:t>
              </m:r>
            </m:e>
            <m:sub>
              <m:r>
                <m:t>2</m:t>
              </m:r>
            </m:sub>
          </m:sSub>
          <m:sSub>
            <m:e>
              <m:r>
                <m:t>N</m:t>
              </m:r>
            </m:e>
            <m:sub>
              <m:r>
                <m:t>i</m:t>
              </m:r>
            </m:sub>
          </m:sSub>
          <m:r>
            <m:rPr>
              <m:sty m:val="p"/>
            </m:rPr>
            <m:t>+</m:t>
          </m:r>
          <m:sSub>
            <m:e>
              <m:r>
                <m:t>β</m:t>
              </m:r>
            </m:e>
            <m:sub>
              <m:r>
                <m:t>3</m:t>
              </m:r>
            </m:sub>
          </m:sSub>
          <m:sSub>
            <m:e>
              <m:r>
                <m:t>T</m:t>
              </m:r>
            </m:e>
            <m:sub>
              <m:r>
                <m:t>i</m:t>
              </m:r>
            </m:sub>
          </m:sSub>
          <m:r>
            <m:rPr>
              <m:sty m:val="p"/>
            </m:rPr>
            <m:t>+</m:t>
          </m:r>
          <m:sSub>
            <m:e>
              <m:r>
                <m:t>β</m:t>
              </m:r>
            </m:e>
            <m:sub>
              <m:r>
                <m:t>4</m:t>
              </m:r>
            </m:sub>
          </m:sSub>
          <m:sSub>
            <m:e>
              <m:r>
                <m:t>F</m:t>
              </m:r>
            </m:e>
            <m:sub>
              <m:r>
                <m:t>i</m:t>
              </m:r>
            </m:sub>
          </m:sSub>
          <m:r>
            <m:rPr>
              <m:sty m:val="p"/>
            </m:rPr>
            <m:t>)</m:t>
          </m:r>
        </m:oMath>
      </m:oMathPara>
    </w:p>
    <w:bookmarkStart w:id="21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pc_max_log10</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1.5128</w:t>
            </w:r>
          </w:p>
        </w:tc>
        <w:tc>
          <w:tcPr>
            <w:tcW w:w="0" w:type="auto"/>
          </w:tcPr>
          <w:p>
            <w:pPr>
              <w:spacing w:line="240" w:lineRule="auto" w:before="0" w:after="0"/>
              <w:pStyle w:val="Compact"/>
            </w:pPr>
            <w:r>
              <w:rPr>
                <w:sz w:val="20"/>
                <w:szCs w:val="20"/>
              </w:rPr>
              <w:t xml:space="preserve">3.1031</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[1.7293, 7.6594]</w:t>
            </w:r>
          </w:p>
        </w:tc>
        <w:tc>
          <w:tcPr>
            <w:tcW w:w="0" w:type="auto"/>
          </w:tcPr>
          <w:p>
            <w:pPr>
              <w:spacing w:line="240" w:lineRule="auto" w:before="0" w:after="0"/>
              <w:pStyle w:val="Compact"/>
            </w:pPr>
            <w:r>
              <w:rPr>
                <w:sz w:val="20"/>
                <w:szCs w:val="20"/>
              </w:rPr>
              <w:t xml:space="preserve">109.3269</w:t>
            </w:r>
          </w:p>
        </w:tc>
      </w:tr>
      <w:tr>
        <w:tc>
          <w:tcPr>
            <w:tcW w:w="0" w:type="auto"/>
          </w:tcPr>
          <w:p>
            <w:pPr>
              <w:spacing w:line="240" w:lineRule="auto" w:before="0" w:after="0"/>
              <w:pStyle w:val="Compact"/>
            </w:pPr>
            <w:r>
              <w:rPr>
                <w:sz w:val="20"/>
                <w:szCs w:val="20"/>
              </w:rPr>
              <w:t xml:space="preserve">active_objects_in_shell</w:t>
            </w:r>
          </w:p>
        </w:tc>
        <w:tc>
          <w:tcPr>
            <w:tcW w:w="0" w:type="auto"/>
          </w:tcPr>
          <w:p>
            <w:pPr>
              <w:spacing w:line="240" w:lineRule="auto" w:before="0" w:after="0"/>
              <w:pStyle w:val="Compact"/>
            </w:pPr>
            <w:r>
              <w:rPr>
                <w:sz w:val="20"/>
                <w:szCs w:val="20"/>
              </w:rPr>
              <w:t xml:space="preserve">-0.0001075</w:t>
            </w:r>
          </w:p>
        </w:tc>
        <w:tc>
          <w:tcPr>
            <w:tcW w:w="0" w:type="auto"/>
          </w:tcPr>
          <w:p>
            <w:pPr>
              <w:spacing w:line="240" w:lineRule="auto" w:before="0" w:after="0"/>
              <w:pStyle w:val="Compact"/>
            </w:pPr>
            <w:r>
              <w:rPr>
                <w:sz w:val="20"/>
                <w:szCs w:val="20"/>
              </w:rPr>
              <w:t xml:space="preserve">0.0004376</w:t>
            </w:r>
          </w:p>
        </w:tc>
        <w:tc>
          <w:tcPr>
            <w:tcW w:w="0" w:type="auto"/>
          </w:tcPr>
          <w:p>
            <w:pPr>
              <w:spacing w:line="240" w:lineRule="auto" w:before="0" w:after="0"/>
              <w:pStyle w:val="Compact"/>
            </w:pPr>
            <w:r>
              <w:rPr>
                <w:sz w:val="20"/>
                <w:szCs w:val="20"/>
              </w:rPr>
              <w:t xml:space="preserve">-0.2456</w:t>
            </w:r>
          </w:p>
        </w:tc>
        <w:tc>
          <w:tcPr>
            <w:tcW w:w="0" w:type="auto"/>
          </w:tcPr>
          <w:p>
            <w:pPr>
              <w:spacing w:line="240" w:lineRule="auto" w:before="0" w:after="0"/>
              <w:pStyle w:val="Compact"/>
            </w:pPr>
            <w:r>
              <w:rPr>
                <w:sz w:val="20"/>
                <w:szCs w:val="20"/>
              </w:rPr>
              <w:t xml:space="preserve">0.806</w:t>
            </w:r>
          </w:p>
        </w:tc>
        <w:tc>
          <w:tcPr>
            <w:tcW w:w="0" w:type="auto"/>
          </w:tcPr>
          <w:p>
            <w:pPr>
              <w:spacing w:line="240" w:lineRule="auto" w:before="0" w:after="0"/>
              <w:pStyle w:val="Compact"/>
            </w:pPr>
            <w:r>
              <w:rPr>
                <w:sz w:val="20"/>
                <w:szCs w:val="20"/>
              </w:rPr>
              <w:t xml:space="preserve">[-0.0009653, 0.0007503]</w:t>
            </w:r>
          </w:p>
        </w:tc>
        <w:tc>
          <w:tcPr>
            <w:tcW w:w="0" w:type="auto"/>
          </w:tcPr>
          <w:p>
            <w:pPr>
              <w:spacing w:line="240" w:lineRule="auto" w:before="0" w:after="0"/>
              <w:pStyle w:val="Compact"/>
            </w:pPr>
            <w:r>
              <w:rPr>
                <w:sz w:val="20"/>
                <w:szCs w:val="20"/>
              </w:rPr>
              <w:t xml:space="preserve">0.9999</w:t>
            </w:r>
          </w:p>
        </w:tc>
      </w:tr>
      <w:tr>
        <w:tc>
          <w:tcPr>
            <w:tcW w:w="0" w:type="auto"/>
          </w:tcPr>
          <w:p>
            <w:pPr>
              <w:spacing w:line="240" w:lineRule="auto" w:before="0" w:after="0"/>
              <w:pStyle w:val="Compact"/>
            </w:pPr>
            <w:r>
              <w:rPr>
                <w:sz w:val="20"/>
                <w:szCs w:val="20"/>
              </w:rPr>
              <w:t xml:space="preserve">time_to_tca_hours_at_first_cdm</w:t>
            </w:r>
          </w:p>
        </w:tc>
        <w:tc>
          <w:tcPr>
            <w:tcW w:w="0" w:type="auto"/>
          </w:tcPr>
          <w:p>
            <w:pPr>
              <w:spacing w:line="240" w:lineRule="auto" w:before="0" w:after="0"/>
              <w:pStyle w:val="Compact"/>
            </w:pPr>
            <w:r>
              <w:rPr>
                <w:sz w:val="20"/>
                <w:szCs w:val="20"/>
              </w:rPr>
              <w:t xml:space="preserve">-0.0223</w:t>
            </w:r>
          </w:p>
        </w:tc>
        <w:tc>
          <w:tcPr>
            <w:tcW w:w="0" w:type="auto"/>
          </w:tcPr>
          <w:p>
            <w:pPr>
              <w:spacing w:line="240" w:lineRule="auto" w:before="0" w:after="0"/>
              <w:pStyle w:val="Compact"/>
            </w:pPr>
            <w:r>
              <w:rPr>
                <w:sz w:val="20"/>
                <w:szCs w:val="20"/>
              </w:rPr>
              <w:t xml:space="preserve">0.0301</w:t>
            </w:r>
          </w:p>
        </w:tc>
        <w:tc>
          <w:tcPr>
            <w:tcW w:w="0" w:type="auto"/>
          </w:tcPr>
          <w:p>
            <w:pPr>
              <w:spacing w:line="240" w:lineRule="auto" w:before="0" w:after="0"/>
              <w:pStyle w:val="Compact"/>
            </w:pPr>
            <w:r>
              <w:rPr>
                <w:sz w:val="20"/>
                <w:szCs w:val="20"/>
              </w:rPr>
              <w:t xml:space="preserve">-0.7397</w:t>
            </w:r>
          </w:p>
        </w:tc>
        <w:tc>
          <w:tcPr>
            <w:tcW w:w="0" w:type="auto"/>
          </w:tcPr>
          <w:p>
            <w:pPr>
              <w:spacing w:line="240" w:lineRule="auto" w:before="0" w:after="0"/>
              <w:pStyle w:val="Compact"/>
            </w:pPr>
            <w:r>
              <w:rPr>
                <w:sz w:val="20"/>
                <w:szCs w:val="20"/>
              </w:rPr>
              <w:t xml:space="preserve">0.4595</w:t>
            </w:r>
          </w:p>
        </w:tc>
        <w:tc>
          <w:tcPr>
            <w:tcW w:w="0" w:type="auto"/>
          </w:tcPr>
          <w:p>
            <w:pPr>
              <w:spacing w:line="240" w:lineRule="auto" w:before="0" w:after="0"/>
              <w:pStyle w:val="Compact"/>
            </w:pPr>
            <w:r>
              <w:rPr>
                <w:sz w:val="20"/>
                <w:szCs w:val="20"/>
              </w:rPr>
              <w:t xml:space="preserve">[-0.0813, 0.0368]</w:t>
            </w:r>
          </w:p>
        </w:tc>
        <w:tc>
          <w:tcPr>
            <w:tcW w:w="0" w:type="auto"/>
          </w:tcPr>
          <w:p>
            <w:pPr>
              <w:spacing w:line="240" w:lineRule="auto" w:before="0" w:after="0"/>
              <w:pStyle w:val="Compact"/>
            </w:pPr>
            <w:r>
              <w:rPr>
                <w:sz w:val="20"/>
                <w:szCs w:val="20"/>
              </w:rPr>
              <w:t xml:space="preserve">0.978</w:t>
            </w:r>
          </w:p>
        </w:tc>
      </w:tr>
      <w:tr>
        <w:tc>
          <w:tcPr>
            <w:tcW w:w="0" w:type="auto"/>
          </w:tcPr>
          <w:p>
            <w:pPr>
              <w:spacing w:line="240" w:lineRule="auto" w:before="0" w:after="0"/>
              <w:pStyle w:val="Compact"/>
            </w:pPr>
            <w:r>
              <w:rPr>
                <w:sz w:val="20"/>
                <w:szCs w:val="20"/>
              </w:rPr>
              <w:t xml:space="preserve">solar_f107</w:t>
            </w:r>
          </w:p>
        </w:tc>
        <w:tc>
          <w:tcPr>
            <w:tcW w:w="0" w:type="auto"/>
          </w:tcPr>
          <w:p>
            <w:pPr>
              <w:spacing w:line="240" w:lineRule="auto" w:before="0" w:after="0"/>
              <w:pStyle w:val="Compact"/>
            </w:pPr>
            <w:r>
              <w:rPr>
                <w:sz w:val="20"/>
                <w:szCs w:val="20"/>
              </w:rPr>
              <w:t xml:space="preserve">0.0168</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1.6613</w:t>
            </w:r>
          </w:p>
        </w:tc>
        <w:tc>
          <w:tcPr>
            <w:tcW w:w="0" w:type="auto"/>
          </w:tcPr>
          <w:p>
            <w:pPr>
              <w:spacing w:line="240" w:lineRule="auto" w:before="0" w:after="0"/>
              <w:pStyle w:val="Compact"/>
            </w:pPr>
            <w:r>
              <w:rPr>
                <w:sz w:val="20"/>
                <w:szCs w:val="20"/>
              </w:rPr>
              <w:t xml:space="preserve">0.0966</w:t>
            </w:r>
          </w:p>
        </w:tc>
        <w:tc>
          <w:tcPr>
            <w:tcW w:w="0" w:type="auto"/>
          </w:tcPr>
          <w:p>
            <w:pPr>
              <w:spacing w:line="240" w:lineRule="auto" w:before="0" w:after="0"/>
              <w:pStyle w:val="Compact"/>
            </w:pPr>
            <w:r>
              <w:rPr>
                <w:sz w:val="20"/>
                <w:szCs w:val="20"/>
              </w:rPr>
              <w:t xml:space="preserve">[-0.003, 0.0366]</w:t>
            </w:r>
          </w:p>
        </w:tc>
        <w:tc>
          <w:tcPr>
            <w:tcW w:w="0" w:type="auto"/>
          </w:tcPr>
          <w:p>
            <w:pPr>
              <w:spacing w:line="240" w:lineRule="auto" w:before="0" w:after="0"/>
              <w:pStyle w:val="Compact"/>
            </w:pPr>
            <w:r>
              <w:rPr>
                <w:sz w:val="20"/>
                <w:szCs w:val="20"/>
              </w:rPr>
              <w:t xml:space="preserve">1.0169</w:t>
            </w:r>
          </w:p>
        </w:tc>
      </w:tr>
    </w:tbl>
    <w:p>
      <w:pPr>
        <w:pStyle w:val="BodyText"/>
        <w:spacing w:line="480" w:lineRule="auto"/>
        <w:ind w:firstLine="720"/>
      </w:pPr>
      <w:r>
        <w:t xml:space="preserve">Fit: N = 32 events = 25</w:t>
      </w:r>
    </w:p>
    <w:bookmarkEnd w:id="213"/>
    <w:bookmarkStart w:id="21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onjunction-event observations 2019 to 2024 plotted against shell active-object density. Each point is one screened conjunction event in a populated low Earth orbit shell. Filled markers indicate executed maneuvers (event=1); open markers indicate censored events (event=0). The compression of executed-maneuver lead time as the active-object population rises is the descriptive pattern that the Cox estimator quantifies." title="" id="215" name="Picture"/>
            <a:graphic>
              <a:graphicData uri="http://schemas.openxmlformats.org/drawingml/2006/picture">
                <pic:pic>
                  <pic:nvPicPr>
                    <pic:cNvPr descr="D:/Claude_Code/brain/collegium/candidates/dissertations/STM_CISLUNAR_06/research_papers/p1/paper_fig1.png" id="216" name="Picture"/>
                    <pic:cNvPicPr>
                      <a:picLocks noChangeArrowheads="1" noChangeAspect="1"/>
                    </pic:cNvPicPr>
                  </pic:nvPicPr>
                  <pic:blipFill>
                    <a:blip r:embed="rId21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Conjunction-event observations 2019 to 2024 plotted against shell active-object density. Each point is one screened conjunction event in a populated low Earth orbit shell. Filled markers indicate executed maneuvers (event=1); open markers indicate censored events (event=0). The compression of executed-maneuver lead time as the active-object population rises is the descriptive pattern that the Cox estimator quantifies.</w:t>
      </w:r>
    </w:p>
    <w:bookmarkEnd w:id="217"/>
    <w:bookmarkStart w:id="21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shell_band_km</w:t>
            </w:r>
          </w:p>
        </w:tc>
        <w:tc>
          <w:tcPr>
            <w:tcW w:w="0" w:type="auto"/>
          </w:tcPr>
          <w:p>
            <w:pPr>
              <w:spacing w:line="240" w:lineRule="auto" w:before="0" w:after="0"/>
              <w:pStyle w:val="Compact"/>
            </w:pPr>
            <w:r>
              <w:rPr>
                <w:sz w:val="20"/>
                <w:szCs w:val="20"/>
              </w:rPr>
              <w:t xml:space="preserve">hours_to_maneuver</w:t>
            </w:r>
          </w:p>
        </w:tc>
        <w:tc>
          <w:tcPr>
            <w:tcW w:w="0" w:type="auto"/>
          </w:tcPr>
          <w:p>
            <w:pPr>
              <w:spacing w:line="240" w:lineRule="auto" w:before="0" w:after="0"/>
              <w:pStyle w:val="Compact"/>
            </w:pPr>
            <w:r>
              <w:rPr>
                <w:sz w:val="20"/>
                <w:szCs w:val="20"/>
              </w:rPr>
              <w:t xml:space="preserve">maneuver_executed</w:t>
            </w:r>
          </w:p>
        </w:tc>
        <w:tc>
          <w:tcPr>
            <w:tcW w:w="0" w:type="auto"/>
          </w:tcPr>
          <w:p>
            <w:pPr>
              <w:spacing w:line="240" w:lineRule="auto" w:before="0" w:after="0"/>
              <w:pStyle w:val="Compact"/>
            </w:pPr>
            <w:r>
              <w:rPr>
                <w:sz w:val="20"/>
                <w:szCs w:val="20"/>
              </w:rPr>
              <w:t xml:space="preserve">pc_max_log10</w:t>
            </w:r>
          </w:p>
        </w:tc>
        <w:tc>
          <w:tcPr>
            <w:tcW w:w="0" w:type="auto"/>
          </w:tcPr>
          <w:p>
            <w:pPr>
              <w:spacing w:line="240" w:lineRule="auto" w:before="0" w:after="0"/>
              <w:pStyle w:val="Compact"/>
            </w:pPr>
            <w:r>
              <w:rPr>
                <w:sz w:val="20"/>
                <w:szCs w:val="20"/>
              </w:rPr>
              <w:t xml:space="preserve">active_objects_in_shell</w:t>
            </w:r>
          </w:p>
        </w:tc>
        <w:tc>
          <w:tcPr>
            <w:tcW w:w="0" w:type="auto"/>
          </w:tcPr>
          <w:p>
            <w:pPr>
              <w:spacing w:line="240" w:lineRule="auto" w:before="0" w:after="0"/>
              <w:pStyle w:val="Compact"/>
            </w:pPr>
            <w:r>
              <w:rPr>
                <w:sz w:val="20"/>
                <w:szCs w:val="20"/>
              </w:rPr>
              <w:t xml:space="preserve">time_to_tca_hours_at_first_cdm</w:t>
            </w:r>
          </w:p>
        </w:tc>
        <w:tc>
          <w:tcPr>
            <w:tcW w:w="0" w:type="auto"/>
          </w:tcPr>
          <w:p>
            <w:pPr>
              <w:spacing w:line="240" w:lineRule="auto" w:before="0" w:after="0"/>
              <w:pStyle w:val="Compact"/>
            </w:pPr>
            <w:r>
              <w:rPr>
                <w:sz w:val="20"/>
                <w:szCs w:val="20"/>
              </w:rPr>
              <w:t xml:space="preserve">solar_f107</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E01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AMOS 2021 Borowitz Gunter Birch Macke conjunction maneuver guidelines [illustrative pc allocation]</w:t>
            </w:r>
          </w:p>
        </w:tc>
      </w:tr>
      <w:tr>
        <w:tc>
          <w:tcPr>
            <w:tcW w:w="0" w:type="auto"/>
          </w:tcPr>
          <w:p>
            <w:pPr>
              <w:spacing w:line="240" w:lineRule="auto" w:before="0" w:after="0"/>
              <w:pStyle w:val="Compact"/>
            </w:pPr>
            <w:r>
              <w:rPr>
                <w:sz w:val="20"/>
                <w:szCs w:val="20"/>
              </w:rPr>
              <w:t xml:space="preserve">E02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ESA Space Environment Report 2020 active-object counts; Planet Labs FCC constellation status filing 2019</w:t>
            </w:r>
          </w:p>
        </w:tc>
      </w:tr>
      <w:tr>
        <w:tc>
          <w:tcPr>
            <w:tcW w:w="0" w:type="auto"/>
          </w:tcPr>
          <w:p>
            <w:pPr>
              <w:spacing w:line="240" w:lineRule="auto" w:before="0" w:after="0"/>
              <w:pStyle w:val="Compact"/>
            </w:pPr>
            <w:r>
              <w:rPr>
                <w:sz w:val="20"/>
                <w:szCs w:val="20"/>
              </w:rPr>
              <w:t xml:space="preserve">E03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SpaceX FCC semi-annual constellation status DA 20-1144 (2020) covering 2019Q4 events</w:t>
            </w:r>
          </w:p>
        </w:tc>
      </w:tr>
      <w:tr>
        <w:tc>
          <w:tcPr>
            <w:tcW w:w="0" w:type="auto"/>
          </w:tcPr>
          <w:p>
            <w:pPr>
              <w:spacing w:line="240" w:lineRule="auto" w:before="0" w:after="0"/>
              <w:pStyle w:val="Compact"/>
            </w:pPr>
            <w:r>
              <w:rPr>
                <w:sz w:val="20"/>
                <w:szCs w:val="20"/>
              </w:rPr>
              <w:t xml:space="preserve">E04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ESA DISCOS active object counts 2019; ESA Annual Space Environment Report 2020 CDM tabulations</w:t>
            </w:r>
          </w:p>
        </w:tc>
      </w:tr>
      <w:tr>
        <w:tc>
          <w:tcPr>
            <w:tcW w:w="0" w:type="auto"/>
          </w:tcPr>
          <w:p>
            <w:pPr>
              <w:spacing w:line="240" w:lineRule="auto" w:before="0" w:after="0"/>
              <w:pStyle w:val="Compact"/>
            </w:pPr>
            <w:r>
              <w:rPr>
                <w:sz w:val="20"/>
                <w:szCs w:val="20"/>
              </w:rPr>
              <w:t xml:space="preserve">E05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SpaceX FCC semi-annual constellation status DA 20-1144 covering 2020H1</w:t>
            </w:r>
          </w:p>
        </w:tc>
      </w:tr>
      <w:tr>
        <w:tc>
          <w:tcPr>
            <w:tcW w:w="0" w:type="auto"/>
          </w:tcPr>
          <w:p>
            <w:pPr>
              <w:spacing w:line="240" w:lineRule="auto" w:before="0" w:after="0"/>
              <w:pStyle w:val="Compact"/>
            </w:pPr>
            <w:r>
              <w:rPr>
                <w:sz w:val="20"/>
                <w:szCs w:val="20"/>
              </w:rPr>
              <w:t xml:space="preserve">E06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SpaceX FCC semi-annual constellation status DA 20-1144 covering 2020H2</w:t>
            </w:r>
          </w:p>
        </w:tc>
      </w:tr>
      <w:tr>
        <w:tc>
          <w:tcPr>
            <w:tcW w:w="0" w:type="auto"/>
          </w:tcPr>
          <w:p>
            <w:pPr>
              <w:spacing w:line="240" w:lineRule="auto" w:before="0" w:after="0"/>
              <w:pStyle w:val="Compact"/>
            </w:pPr>
            <w:r>
              <w:rPr>
                <w:sz w:val="20"/>
                <w:szCs w:val="20"/>
              </w:rPr>
              <w:t xml:space="preserve">E07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ESA Space Environment Report 2021; OneWeb FCC IBFS authorization SAT-MOD-20200526-00059</w:t>
            </w:r>
          </w:p>
        </w:tc>
      </w:tr>
      <w:tr>
        <w:tc>
          <w:tcPr>
            <w:tcW w:w="0" w:type="auto"/>
          </w:tcPr>
          <w:p>
            <w:pPr>
              <w:spacing w:line="240" w:lineRule="auto" w:before="0" w:after="0"/>
              <w:pStyle w:val="Compact"/>
            </w:pPr>
            <w:r>
              <w:rPr>
                <w:sz w:val="20"/>
                <w:szCs w:val="20"/>
              </w:rPr>
              <w:t xml:space="preserve">E08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ESA-Aeolus</w:t>
            </w:r>
          </w:p>
        </w:tc>
        <w:tc>
          <w:tcPr>
            <w:tcW w:w="0" w:type="auto"/>
          </w:tcPr>
          <w:p>
            <w:pPr>
              <w:spacing w:line="240" w:lineRule="auto" w:before="0" w:after="0"/>
              <w:pStyle w:val="Compact"/>
            </w:pPr>
            <w:r>
              <w:rPr>
                <w:sz w:val="20"/>
                <w:szCs w:val="20"/>
              </w:rPr>
              <w:t xml:space="preserve">310-330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ESA Aeolus collision avoidance event public statement 2 Sept 2019 (esa.int/Space_Safety) re-cited in ESA Space Environment Report 2021</w:t>
            </w:r>
          </w:p>
        </w:tc>
      </w:tr>
      <w:tr>
        <w:tc>
          <w:tcPr>
            <w:tcW w:w="0" w:type="auto"/>
          </w:tcPr>
          <w:p>
            <w:pPr>
              <w:spacing w:line="240" w:lineRule="auto" w:before="0" w:after="0"/>
              <w:pStyle w:val="Compact"/>
            </w:pPr>
            <w:r>
              <w:rPr>
                <w:sz w:val="20"/>
                <w:szCs w:val="20"/>
              </w:rPr>
              <w:t xml:space="preserve">E09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ESA Space Environment Report 2021; Planet Labs FCC constellation status filing 2020</w:t>
            </w:r>
          </w:p>
        </w:tc>
      </w:tr>
      <w:tr>
        <w:tc>
          <w:tcPr>
            <w:tcW w:w="0" w:type="auto"/>
          </w:tcPr>
          <w:p>
            <w:pPr>
              <w:spacing w:line="240" w:lineRule="auto" w:before="0" w:after="0"/>
              <w:pStyle w:val="Compact"/>
            </w:pPr>
            <w:r>
              <w:rPr>
                <w:sz w:val="20"/>
                <w:szCs w:val="20"/>
              </w:rPr>
              <w:t xml:space="preserve">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SpaceX FCC semi-annual constellation status report DA 21-731 covering 2021H1 (1700+ events)</w:t>
            </w:r>
          </w:p>
        </w:tc>
      </w:tr>
      <w:tr>
        <w:tc>
          <w:tcPr>
            <w:tcW w:w="0" w:type="auto"/>
          </w:tcPr>
          <w:p>
            <w:pPr>
              <w:spacing w:line="240" w:lineRule="auto" w:before="0" w:after="0"/>
              <w:pStyle w:val="Compact"/>
            </w:pPr>
            <w:r>
              <w:rPr>
                <w:sz w:val="20"/>
                <w:szCs w:val="20"/>
              </w:rPr>
              <w:t xml:space="preserve">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1080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SpaceX FCC semi-annual constellation status DA 22-93 covering 2021H2 events</w:t>
            </w:r>
          </w:p>
        </w:tc>
      </w:tr>
      <w:tr>
        <w:tc>
          <w:tcPr>
            <w:tcW w:w="0" w:type="auto"/>
          </w:tcPr>
          <w:p>
            <w:pPr>
              <w:spacing w:line="240" w:lineRule="auto" w:before="0" w:after="0"/>
              <w:pStyle w:val="Compact"/>
            </w:pPr>
            <w:r>
              <w:rPr>
                <w:sz w:val="20"/>
                <w:szCs w:val="20"/>
              </w:rPr>
              <w:t xml:space="preserve">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ESA Space Environment Report 2022; OneWeb FCC constellation status filing 2021</w:t>
            </w:r>
          </w:p>
        </w:tc>
      </w:tr>
      <w:tr>
        <w:tc>
          <w:tcPr>
            <w:tcW w:w="0" w:type="auto"/>
          </w:tcPr>
          <w:p>
            <w:pPr>
              <w:spacing w:line="240" w:lineRule="auto" w:before="0" w:after="0"/>
              <w:pStyle w:val="Compact"/>
            </w:pPr>
            <w:r>
              <w:rPr>
                <w:sz w:val="20"/>
                <w:szCs w:val="20"/>
              </w:rPr>
              <w:t xml:space="preserve">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ESA Space Environment Report 2022 CDM tabulations; Iridium NEXT fleet stable count</w:t>
            </w:r>
          </w:p>
        </w:tc>
      </w:tr>
      <w:tr>
        <w:tc>
          <w:tcPr>
            <w:tcW w:w="0" w:type="auto"/>
          </w:tcPr>
          <w:p>
            <w:pPr>
              <w:spacing w:line="240" w:lineRule="auto" w:before="0" w:after="0"/>
              <w:pStyle w:val="Compact"/>
            </w:pPr>
            <w:r>
              <w:rPr>
                <w:sz w:val="20"/>
                <w:szCs w:val="20"/>
              </w:rPr>
              <w:t xml:space="preserve">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Chinese Space Station</w:t>
            </w:r>
          </w:p>
        </w:tc>
        <w:tc>
          <w:tcPr>
            <w:tcW w:w="0" w:type="auto"/>
          </w:tcPr>
          <w:p>
            <w:pPr>
              <w:spacing w:line="240" w:lineRule="auto" w:before="0" w:after="0"/>
              <w:pStyle w:val="Compact"/>
            </w:pPr>
            <w:r>
              <w:rPr>
                <w:sz w:val="20"/>
                <w:szCs w:val="20"/>
              </w:rPr>
              <w:t xml:space="preserve">375-400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UNOOSA note verbale CN/2021/HQ from PR China 3 Dec 2021 documenting close approaches with Starlink-1095 and Starlink-2305 [illustrative pc allocation]</w:t>
            </w:r>
          </w:p>
        </w:tc>
      </w:tr>
      <w:tr>
        <w:tc>
          <w:tcPr>
            <w:tcW w:w="0" w:type="auto"/>
          </w:tcPr>
          <w:p>
            <w:pPr>
              <w:spacing w:line="240" w:lineRule="auto" w:before="0" w:after="0"/>
              <w:pStyle w:val="Compact"/>
            </w:pPr>
            <w:r>
              <w:rPr>
                <w:sz w:val="20"/>
                <w:szCs w:val="20"/>
              </w:rPr>
              <w:t xml:space="preserve">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SpaceX FCC semi-annual constellation status report DA 22-1145 covering 2022H1 (3300+ maneuvers)</w:t>
            </w:r>
          </w:p>
        </w:tc>
      </w:tr>
      <w:tr>
        <w:tc>
          <w:tcPr>
            <w:tcW w:w="0" w:type="auto"/>
          </w:tcPr>
          <w:p>
            <w:pPr>
              <w:spacing w:line="240" w:lineRule="auto" w:before="0" w:after="0"/>
              <w:pStyle w:val="Compact"/>
            </w:pPr>
            <w:r>
              <w:rPr>
                <w:sz w:val="20"/>
                <w:szCs w:val="20"/>
              </w:rPr>
              <w:t xml:space="preserve">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1820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SpaceX FCC semi-annual constellation status report DA 23-401 covering 2022H2 events</w:t>
            </w:r>
          </w:p>
        </w:tc>
      </w:tr>
      <w:tr>
        <w:tc>
          <w:tcPr>
            <w:tcW w:w="0" w:type="auto"/>
          </w:tcPr>
          <w:p>
            <w:pPr>
              <w:spacing w:line="240" w:lineRule="auto" w:before="0" w:after="0"/>
              <w:pStyle w:val="Compact"/>
            </w:pPr>
            <w:r>
              <w:rPr>
                <w:sz w:val="20"/>
                <w:szCs w:val="20"/>
              </w:rPr>
              <w:t xml:space="preserve">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ESA Space Environment Report 2023; Planet Labs FCC constellation status filing 2022</w:t>
            </w:r>
          </w:p>
        </w:tc>
      </w:tr>
      <w:tr>
        <w:tc>
          <w:tcPr>
            <w:tcW w:w="0" w:type="auto"/>
          </w:tcPr>
          <w:p>
            <w:pPr>
              <w:spacing w:line="240" w:lineRule="auto" w:before="0" w:after="0"/>
              <w:pStyle w:val="Compact"/>
            </w:pPr>
            <w:r>
              <w:rPr>
                <w:sz w:val="20"/>
                <w:szCs w:val="20"/>
              </w:rPr>
              <w:t xml:space="preserve">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ESA Space Environment Report 2023; OneWeb FCC constellation status filing 2022</w:t>
            </w:r>
          </w:p>
        </w:tc>
      </w:tr>
      <w:tr>
        <w:tc>
          <w:tcPr>
            <w:tcW w:w="0" w:type="auto"/>
          </w:tcPr>
          <w:p>
            <w:pPr>
              <w:spacing w:line="240" w:lineRule="auto" w:before="0" w:after="0"/>
              <w:pStyle w:val="Compact"/>
            </w:pPr>
            <w:r>
              <w:rPr>
                <w:sz w:val="20"/>
                <w:szCs w:val="20"/>
              </w:rPr>
              <w:t xml:space="preserve">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400-420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NASA ISS pre-determined debris avoidance maneuver (PDAM) log 2022 (nasa.gov/feature/iss-debris-avoidance)</w:t>
            </w:r>
          </w:p>
        </w:tc>
      </w:tr>
      <w:tr>
        <w:tc>
          <w:tcPr>
            <w:tcW w:w="0" w:type="auto"/>
          </w:tcPr>
          <w:p>
            <w:pPr>
              <w:spacing w:line="240" w:lineRule="auto" w:before="0" w:after="0"/>
              <w:pStyle w:val="Compact"/>
            </w:pPr>
            <w:r>
              <w:rPr>
                <w:sz w:val="20"/>
                <w:szCs w:val="20"/>
              </w:rPr>
              <w:t xml:space="preserve">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2410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SpaceX FCC semi-annual constellation status report DA 23-901 covering 2023H1 (25000+ events screened)</w:t>
            </w:r>
          </w:p>
        </w:tc>
      </w:tr>
      <w:tr>
        <w:tc>
          <w:tcPr>
            <w:tcW w:w="0" w:type="auto"/>
          </w:tcPr>
          <w:p>
            <w:pPr>
              <w:spacing w:line="240" w:lineRule="auto" w:before="0" w:after="0"/>
              <w:pStyle w:val="Compact"/>
            </w:pPr>
            <w:r>
              <w:rPr>
                <w:sz w:val="20"/>
                <w:szCs w:val="20"/>
              </w:rPr>
              <w:t xml:space="preserve">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2820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SpaceX FCC semi-annual constellation status report DA 24-176 covering 2023H2 (49000+ maneuvers)</w:t>
            </w:r>
          </w:p>
        </w:tc>
      </w:tr>
      <w:tr>
        <w:tc>
          <w:tcPr>
            <w:tcW w:w="0" w:type="auto"/>
          </w:tcPr>
          <w:p>
            <w:pPr>
              <w:spacing w:line="240" w:lineRule="auto" w:before="0" w:after="0"/>
              <w:pStyle w:val="Compact"/>
            </w:pPr>
            <w:r>
              <w:rPr>
                <w:sz w:val="20"/>
                <w:szCs w:val="20"/>
              </w:rPr>
              <w:t xml:space="preserve">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ESA Space Environment Report 2024; OneWeb-Eutelsat FCC constellation status filing 2023</w:t>
            </w:r>
          </w:p>
        </w:tc>
      </w:tr>
      <w:tr>
        <w:tc>
          <w:tcPr>
            <w:tcW w:w="0" w:type="auto"/>
          </w:tcPr>
          <w:p>
            <w:pPr>
              <w:spacing w:line="240" w:lineRule="auto" w:before="0" w:after="0"/>
              <w:pStyle w:val="Compact"/>
            </w:pPr>
            <w:r>
              <w:rPr>
                <w:sz w:val="20"/>
                <w:szCs w:val="20"/>
              </w:rPr>
              <w:t xml:space="preserve">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ESA Space Environment Report 2024; Planet Labs FCC constellation status filing 2023</w:t>
            </w:r>
          </w:p>
        </w:tc>
      </w:tr>
      <w:tr>
        <w:tc>
          <w:tcPr>
            <w:tcW w:w="0" w:type="auto"/>
          </w:tcPr>
          <w:p>
            <w:pPr>
              <w:spacing w:line="240" w:lineRule="auto" w:before="0" w:after="0"/>
              <w:pStyle w:val="Compact"/>
            </w:pPr>
            <w:r>
              <w:rPr>
                <w:sz w:val="20"/>
                <w:szCs w:val="20"/>
              </w:rPr>
              <w:t xml:space="preserve">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400-420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NASA ISS PDAM log 2023; GAO-23-106021 NASA Major Project Status report ISS continuation discussion</w:t>
            </w:r>
          </w:p>
        </w:tc>
      </w:tr>
      <w:tr>
        <w:tc>
          <w:tcPr>
            <w:tcW w:w="0" w:type="auto"/>
          </w:tcPr>
          <w:p>
            <w:pPr>
              <w:spacing w:line="240" w:lineRule="auto" w:before="0" w:after="0"/>
              <w:pStyle w:val="Compact"/>
            </w:pPr>
            <w:r>
              <w:rPr>
                <w:sz w:val="20"/>
                <w:szCs w:val="20"/>
              </w:rPr>
              <w:t xml:space="preserve">E25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ESA Space Environment Report 2024 CDM tabulations [illustrative pc allocation]</w:t>
            </w:r>
          </w:p>
        </w:tc>
      </w:tr>
      <w:tr>
        <w:tc>
          <w:tcPr>
            <w:tcW w:w="0" w:type="auto"/>
          </w:tcPr>
          <w:p>
            <w:pPr>
              <w:spacing w:line="240" w:lineRule="auto" w:before="0" w:after="0"/>
              <w:pStyle w:val="Compact"/>
            </w:pPr>
            <w:r>
              <w:rPr>
                <w:sz w:val="20"/>
                <w:szCs w:val="20"/>
              </w:rPr>
              <w:t xml:space="preserve">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3640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SpaceX FCC semi-annual constellation status report DA 24-784 covering 2024H1 (50000+ maneuvers)</w:t>
            </w:r>
          </w:p>
        </w:tc>
      </w:tr>
      <w:tr>
        <w:tc>
          <w:tcPr>
            <w:tcW w:w="0" w:type="auto"/>
          </w:tcPr>
          <w:p>
            <w:pPr>
              <w:spacing w:line="240" w:lineRule="auto" w:before="0" w:after="0"/>
              <w:pStyle w:val="Compact"/>
            </w:pPr>
            <w:r>
              <w:rPr>
                <w:sz w:val="20"/>
                <w:szCs w:val="20"/>
              </w:rPr>
              <w:t xml:space="preserve">E27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4180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SpaceX FCC semi-annual constellation status report DA 25-12 covering 2024H2 events</w:t>
            </w:r>
          </w:p>
        </w:tc>
      </w:tr>
      <w:tr>
        <w:tc>
          <w:tcPr>
            <w:tcW w:w="0" w:type="auto"/>
          </w:tcPr>
          <w:p>
            <w:pPr>
              <w:spacing w:line="240" w:lineRule="auto" w:before="0" w:after="0"/>
              <w:pStyle w:val="Compact"/>
            </w:pPr>
            <w:r>
              <w:rPr>
                <w:sz w:val="20"/>
                <w:szCs w:val="20"/>
              </w:rPr>
              <w:t xml:space="preserve">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ESA Space Environment Report 2025; OneWeb-Eutelsat FCC constellation status filing 2024</w:t>
            </w:r>
          </w:p>
        </w:tc>
      </w:tr>
      <w:tr>
        <w:tc>
          <w:tcPr>
            <w:tcW w:w="0" w:type="auto"/>
          </w:tcPr>
          <w:p>
            <w:pPr>
              <w:spacing w:line="240" w:lineRule="auto" w:before="0" w:after="0"/>
              <w:pStyle w:val="Compact"/>
            </w:pPr>
            <w:r>
              <w:rPr>
                <w:sz w:val="20"/>
                <w:szCs w:val="20"/>
              </w:rPr>
              <w:t xml:space="preserve">E29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ESA Space Environment Report 2025; Planet Labs FCC constellation status filing 2024</w:t>
            </w:r>
          </w:p>
        </w:tc>
      </w:tr>
      <w:tr>
        <w:tc>
          <w:tcPr>
            <w:tcW w:w="0" w:type="auto"/>
          </w:tcPr>
          <w:p>
            <w:pPr>
              <w:spacing w:line="240" w:lineRule="auto" w:before="0" w:after="0"/>
              <w:pStyle w:val="Compact"/>
            </w:pPr>
            <w:r>
              <w:rPr>
                <w:sz w:val="20"/>
                <w:szCs w:val="20"/>
              </w:rPr>
              <w:t xml:space="preserve">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400-420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NASA ISS PDAM log 2024 (residual Cosmos 1408 ASAT debris from 2021 still driving events); GAO-25-107591</w:t>
            </w:r>
          </w:p>
        </w:tc>
      </w:tr>
      <w:tr>
        <w:tc>
          <w:tcPr>
            <w:tcW w:w="0" w:type="auto"/>
          </w:tcPr>
          <w:p>
            <w:pPr>
              <w:spacing w:line="240" w:lineRule="auto" w:before="0" w:after="0"/>
              <w:pStyle w:val="Compact"/>
            </w:pPr>
            <w:r>
              <w:rPr>
                <w:sz w:val="20"/>
                <w:szCs w:val="20"/>
              </w:rPr>
              <w:t xml:space="preserve">E31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ESA Space Environment Report 2025 CDM tabulations [illustrative pc allocation]</w:t>
            </w:r>
          </w:p>
        </w:tc>
      </w:tr>
      <w:tr>
        <w:tc>
          <w:tcPr>
            <w:tcW w:w="0" w:type="auto"/>
          </w:tcPr>
          <w:p>
            <w:pPr>
              <w:spacing w:line="240" w:lineRule="auto" w:before="0" w:after="0"/>
              <w:pStyle w:val="Compact"/>
            </w:pPr>
            <w:r>
              <w:rPr>
                <w:sz w:val="20"/>
                <w:szCs w:val="20"/>
              </w:rPr>
              <w:t xml:space="preserve">E32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Tiangong</w:t>
            </w:r>
          </w:p>
        </w:tc>
        <w:tc>
          <w:tcPr>
            <w:tcW w:w="0" w:type="auto"/>
          </w:tcPr>
          <w:p>
            <w:pPr>
              <w:spacing w:line="240" w:lineRule="auto" w:before="0" w:after="0"/>
              <w:pStyle w:val="Compact"/>
            </w:pPr>
            <w:r>
              <w:rPr>
                <w:sz w:val="20"/>
                <w:szCs w:val="20"/>
              </w:rPr>
              <w:t xml:space="preserve">375-400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CMSEO Tiangong space station debris avoidance public statements 2024 [illustrative pc allocation]</w:t>
            </w:r>
          </w:p>
        </w:tc>
      </w:tr>
    </w:tbl>
    <w:bookmarkEnd w:id="218"/>
    <w:bookmarkStart w:id="21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hours_to_maneuver</w:t>
            </w:r>
          </w:p>
        </w:tc>
        <w:tc>
          <w:tcPr>
            <w:tcW w:w="0" w:type="auto"/>
          </w:tcPr>
          <w:p>
            <w:pPr>
              <w:spacing w:line="240" w:lineRule="auto" w:before="0" w:after="0"/>
              <w:pStyle w:val="Compact"/>
            </w:pPr>
            <w:r>
              <w:rPr>
                <w:sz w:val="20"/>
                <w:szCs w:val="20"/>
              </w:rPr>
              <w:t xml:space="preserve">Elapsed hours from first conjunction data message issuance for the event to executed collision-avoidance maneuver (censored at the time of closest approach if no maneuver occurred)</w:t>
            </w:r>
          </w:p>
        </w:tc>
        <w:tc>
          <w:tcPr>
            <w:tcW w:w="0" w:type="auto"/>
          </w:tcPr>
          <w:p>
            <w:pPr>
              <w:spacing w:line="240" w:lineRule="auto" w:before="0" w:after="0"/>
              <w:pStyle w:val="Compact"/>
            </w:pPr>
            <w:r>
              <w:rPr>
                <w:sz w:val="20"/>
                <w:szCs w:val="20"/>
              </w:rPr>
              <w:t xml:space="preserve">Operator-reported maneuver logs (SpaceX semi-annual constellation status filings to the United States Federal Communications Commission; NASA ISS pre-determined debris avoidance maneuver records; ESA Aeolus public statements) cross-referenced against ESA Annual Space Environment Report conjunction data message tabulations</w:t>
            </w:r>
          </w:p>
        </w:tc>
      </w:tr>
      <w:tr>
        <w:tc>
          <w:tcPr>
            <w:tcW w:w="0" w:type="auto"/>
          </w:tcPr>
          <w:p>
            <w:pPr>
              <w:spacing w:line="240" w:lineRule="auto" w:before="0" w:after="0"/>
              <w:pStyle w:val="Compact"/>
            </w:pPr>
            <w:r>
              <w:rPr>
                <w:sz w:val="20"/>
                <w:szCs w:val="20"/>
              </w:rPr>
              <w:t xml:space="preserve">maneuver_executed</w:t>
            </w:r>
          </w:p>
        </w:tc>
        <w:tc>
          <w:tcPr>
            <w:tcW w:w="0" w:type="auto"/>
          </w:tcPr>
          <w:p>
            <w:pPr>
              <w:spacing w:line="240" w:lineRule="auto" w:before="0" w:after="0"/>
              <w:pStyle w:val="Compact"/>
            </w:pPr>
            <w:r>
              <w:rPr>
                <w:sz w:val="20"/>
                <w:szCs w:val="20"/>
              </w:rPr>
              <w:t xml:space="preserve">Binary event indicator: 1 if a collision-avoidance maneuver was executed before time of closest approach, 0 if censored (no maneuver, conjunction resolved by relative geometry)</w:t>
            </w:r>
          </w:p>
        </w:tc>
        <w:tc>
          <w:tcPr>
            <w:tcW w:w="0" w:type="auto"/>
          </w:tcPr>
          <w:p>
            <w:pPr>
              <w:spacing w:line="240" w:lineRule="auto" w:before="0" w:after="0"/>
              <w:pStyle w:val="Compact"/>
            </w:pPr>
            <w:r>
              <w:rPr>
                <w:sz w:val="20"/>
                <w:szCs w:val="20"/>
              </w:rPr>
              <w:t xml:space="preserve">Same operator-reported logs and ESA Annual Space Environment Report tabulations</w:t>
            </w:r>
          </w:p>
        </w:tc>
      </w:tr>
      <w:tr>
        <w:tc>
          <w:tcPr>
            <w:tcW w:w="0" w:type="auto"/>
          </w:tcPr>
          <w:p>
            <w:pPr>
              <w:spacing w:line="240" w:lineRule="auto" w:before="0" w:after="0"/>
              <w:pStyle w:val="Compact"/>
            </w:pPr>
            <w:r>
              <w:rPr>
                <w:sz w:val="20"/>
                <w:szCs w:val="20"/>
              </w:rPr>
              <w:t xml:space="preserve">pc_max_log10</w:t>
            </w:r>
          </w:p>
        </w:tc>
        <w:tc>
          <w:tcPr>
            <w:tcW w:w="0" w:type="auto"/>
          </w:tcPr>
          <w:p>
            <w:pPr>
              <w:spacing w:line="240" w:lineRule="auto" w:before="0" w:after="0"/>
              <w:pStyle w:val="Compact"/>
            </w:pPr>
            <w:r>
              <w:rPr>
                <w:sz w:val="20"/>
                <w:szCs w:val="20"/>
              </w:rPr>
              <w:t xml:space="preserve">Log base ten of the maximum collision probability reported in the conjunction screening window (higher values, less negative, indicate higher risk)</w:t>
            </w:r>
          </w:p>
        </w:tc>
        <w:tc>
          <w:tcPr>
            <w:tcW w:w="0" w:type="auto"/>
          </w:tcPr>
          <w:p>
            <w:pPr>
              <w:spacing w:line="240" w:lineRule="auto" w:before="0" w:after="0"/>
              <w:pStyle w:val="Compact"/>
            </w:pPr>
            <w:r>
              <w:rPr>
                <w:sz w:val="20"/>
                <w:szCs w:val="20"/>
              </w:rPr>
              <w:t xml:space="preserve">Operator-reported event records, partly illustrative allocations within published probability bands documented in AMOS conjunction-screening papers (Borowitz et al. 2021; Dutta et al. 2025) where the operator did not publish per-event probability values</w:t>
            </w:r>
          </w:p>
        </w:tc>
      </w:tr>
      <w:tr>
        <w:tc>
          <w:tcPr>
            <w:tcW w:w="0" w:type="auto"/>
          </w:tcPr>
          <w:p>
            <w:pPr>
              <w:spacing w:line="240" w:lineRule="auto" w:before="0" w:after="0"/>
              <w:pStyle w:val="Compact"/>
            </w:pPr>
            <w:r>
              <w:rPr>
                <w:sz w:val="20"/>
                <w:szCs w:val="20"/>
              </w:rPr>
              <w:t xml:space="preserve">active_objects_in_shell</w:t>
            </w:r>
          </w:p>
        </w:tc>
        <w:tc>
          <w:tcPr>
            <w:tcW w:w="0" w:type="auto"/>
          </w:tcPr>
          <w:p>
            <w:pPr>
              <w:spacing w:line="240" w:lineRule="auto" w:before="0" w:after="0"/>
              <w:pStyle w:val="Compact"/>
            </w:pPr>
            <w:r>
              <w:rPr>
                <w:sz w:val="20"/>
                <w:szCs w:val="20"/>
              </w:rPr>
              <w:t xml:space="preserve">Count of active payloads in the shell altitude band at the start of the event quarter</w:t>
            </w:r>
          </w:p>
        </w:tc>
        <w:tc>
          <w:tcPr>
            <w:tcW w:w="0" w:type="auto"/>
          </w:tcPr>
          <w:p>
            <w:pPr>
              <w:spacing w:line="240" w:lineRule="auto" w:before="0" w:after="0"/>
              <w:pStyle w:val="Compact"/>
            </w:pPr>
            <w:r>
              <w:rPr>
                <w:sz w:val="20"/>
                <w:szCs w:val="20"/>
              </w:rPr>
              <w:t xml:space="preserve">ESA Annual Space Environment Report active-payload tabulations and ESA DISCOS extracts; FCC operator filings for Starlink, OneWeb, and Planet</w:t>
            </w:r>
          </w:p>
        </w:tc>
      </w:tr>
      <w:tr>
        <w:tc>
          <w:tcPr>
            <w:tcW w:w="0" w:type="auto"/>
          </w:tcPr>
          <w:p>
            <w:pPr>
              <w:spacing w:line="240" w:lineRule="auto" w:before="0" w:after="0"/>
              <w:pStyle w:val="Compact"/>
            </w:pPr>
            <w:r>
              <w:rPr>
                <w:sz w:val="20"/>
                <w:szCs w:val="20"/>
              </w:rPr>
              <w:t xml:space="preserve">time_to_tca_hours_at_first_cdm</w:t>
            </w:r>
          </w:p>
        </w:tc>
        <w:tc>
          <w:tcPr>
            <w:tcW w:w="0" w:type="auto"/>
          </w:tcPr>
          <w:p>
            <w:pPr>
              <w:spacing w:line="240" w:lineRule="auto" w:before="0" w:after="0"/>
              <w:pStyle w:val="Compact"/>
            </w:pPr>
            <w:r>
              <w:rPr>
                <w:sz w:val="20"/>
                <w:szCs w:val="20"/>
              </w:rPr>
              <w:t xml:space="preserve">Hours from first conjunction data message issuance to predicted time of closest approach for the event</w:t>
            </w:r>
          </w:p>
        </w:tc>
        <w:tc>
          <w:tcPr>
            <w:tcW w:w="0" w:type="auto"/>
          </w:tcPr>
          <w:p>
            <w:pPr>
              <w:spacing w:line="240" w:lineRule="auto" w:before="0" w:after="0"/>
              <w:pStyle w:val="Compact"/>
            </w:pPr>
            <w:r>
              <w:rPr>
                <w:sz w:val="20"/>
                <w:szCs w:val="20"/>
              </w:rPr>
              <w:t xml:space="preserve">Operator and 18 Space Defense Squadron screening-window practice as documented in AMOS conjunction-management literature; ESA Aeolus and ISS event timelines published by the operators</w:t>
            </w:r>
          </w:p>
        </w:tc>
      </w:tr>
      <w:tr>
        <w:tc>
          <w:tcPr>
            <w:tcW w:w="0" w:type="auto"/>
          </w:tcPr>
          <w:p>
            <w:pPr>
              <w:spacing w:line="240" w:lineRule="auto" w:before="0" w:after="0"/>
              <w:pStyle w:val="Compact"/>
            </w:pPr>
            <w:r>
              <w:rPr>
                <w:sz w:val="20"/>
                <w:szCs w:val="20"/>
              </w:rPr>
              <w:t xml:space="preserve">solar_f107</w:t>
            </w:r>
          </w:p>
        </w:tc>
        <w:tc>
          <w:tcPr>
            <w:tcW w:w="0" w:type="auto"/>
          </w:tcPr>
          <w:p>
            <w:pPr>
              <w:spacing w:line="240" w:lineRule="auto" w:before="0" w:after="0"/>
              <w:pStyle w:val="Compact"/>
            </w:pPr>
            <w:r>
              <w:rPr>
                <w:sz w:val="20"/>
                <w:szCs w:val="20"/>
              </w:rPr>
              <w:t xml:space="preserve">Quarter mean of the F10.7 cm solar radio flux, control for atmospheric-drag-driven catalog uncertainty</w:t>
            </w:r>
          </w:p>
        </w:tc>
        <w:tc>
          <w:tcPr>
            <w:tcW w:w="0" w:type="auto"/>
          </w:tcPr>
          <w:p>
            <w:pPr>
              <w:spacing w:line="240" w:lineRule="auto" w:before="0" w:after="0"/>
              <w:pStyle w:val="Compact"/>
            </w:pPr>
            <w:r>
              <w:rPr>
                <w:sz w:val="20"/>
                <w:szCs w:val="20"/>
              </w:rPr>
              <w:t xml:space="preserve">NOAA Space Weather Prediction Center F10.7 archive (swpc.noaa.gov)</w:t>
            </w:r>
          </w:p>
        </w:tc>
      </w:tr>
    </w:tbl>
    <w:bookmarkEnd w:id="219"/>
    <w:bookmarkEnd w:id="220"/>
    <w:bookmarkStart w:id="228" w:name="X566dbb2cd0ceb929866986bb11b9c3927e8ea4e"/>
    <w:p>
      <w:pPr>
        <w:pStyle w:val="Heading2"/>
        <w:spacing w:line="480" w:lineRule="auto"/>
      </w:pPr>
      <w:r>
        <w:t xml:space="preserve">A.2 Pricing the Commons: A Log-Log Elasticity of Incumbent Avoidance Cost with Respect to Shell Population in Low Earth Orbit, 2019 to 2024</w:t>
      </w:r>
    </w:p>
    <w:p>
      <w:pPr>
        <w:pStyle w:val="FirstParagraph"/>
        <w:spacing w:line="480" w:lineRule="auto"/>
      </w:pPr>
      <m:oMathPara>
        <m:oMathParaPr>
          <m:jc m:val="center"/>
        </m:oMathParaPr>
        <m:oMath>
          <m:r>
            <m:rPr>
              <m:sty m:val="p"/>
            </m:rPr>
            <m:t>ln</m:t>
          </m:r>
          <m:r>
            <m:rPr>
              <m:sty m:val="p"/>
            </m:rPr>
            <m:t>(</m:t>
          </m:r>
          <m:r>
            <m:rPr>
              <m:sty m:val="p"/>
            </m:rPr>
            <m:t>Δ</m:t>
          </m:r>
          <m:sSub>
            <m:e>
              <m:r>
                <m:t>v</m:t>
              </m:r>
            </m:e>
            <m:sub>
              <m:r>
                <m:t>i</m:t>
              </m:r>
              <m:r>
                <m:rPr>
                  <m:sty m:val="p"/>
                </m:rPr>
                <m:t>,</m:t>
              </m:r>
              <m:r>
                <m:t>t</m:t>
              </m:r>
            </m:sub>
          </m:sSub>
          <m:r>
            <m:rPr>
              <m:sty m:val="p"/>
            </m:rPr>
            <m:t>)</m:t>
          </m:r>
          <m:r>
            <m:rPr>
              <m:sty m:val="p"/>
            </m:rPr>
            <m:t>=</m:t>
          </m:r>
          <m:r>
            <m:t>α</m:t>
          </m:r>
          <m:r>
            <m:rPr>
              <m:sty m:val="p"/>
            </m:rPr>
            <m:t>+</m:t>
          </m:r>
          <m:r>
            <m:t>β</m:t>
          </m:r>
          <m:r>
            <m:rPr>
              <m:sty m:val="p"/>
            </m:rPr>
            <m:t>ln</m:t>
          </m:r>
          <m:r>
            <m:rPr>
              <m:sty m:val="p"/>
            </m:rPr>
            <m:t>(</m:t>
          </m:r>
          <m:sSub>
            <m:e>
              <m:r>
                <m:t>N</m:t>
              </m:r>
            </m:e>
            <m:sub>
              <m:r>
                <m:t>i</m:t>
              </m:r>
              <m:r>
                <m:rPr>
                  <m:sty m:val="p"/>
                </m:rPr>
                <m:t>,</m:t>
              </m:r>
              <m:r>
                <m:t>t</m:t>
              </m:r>
            </m:sub>
          </m:sSub>
          <m:r>
            <m:rPr>
              <m:sty m:val="p"/>
            </m:rPr>
            <m:t>)</m:t>
          </m:r>
          <m:r>
            <m:rPr>
              <m:sty m:val="p"/>
            </m:rPr>
            <m:t>+</m:t>
          </m:r>
          <m:sSub>
            <m:e>
              <m:r>
                <m:t>ε</m:t>
              </m:r>
            </m:e>
            <m:sub>
              <m:r>
                <m:t>i</m:t>
              </m:r>
              <m:r>
                <m:rPr>
                  <m:sty m:val="p"/>
                </m:rPr>
                <m:t>,</m:t>
              </m:r>
              <m:r>
                <m:t>t</m:t>
              </m:r>
            </m:sub>
          </m:sSub>
        </m:oMath>
      </m:oMathPara>
    </w:p>
    <w:bookmarkStart w:id="22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-10.0799</w:t>
            </w:r>
          </w:p>
        </w:tc>
        <w:tc>
          <w:tcPr>
            <w:tcW w:w="0" w:type="auto"/>
          </w:tcPr>
          <w:p>
            <w:pPr>
              <w:spacing w:line="240" w:lineRule="auto" w:before="0" w:after="0"/>
              <w:pStyle w:val="Compact"/>
            </w:pPr>
            <w:r>
              <w:rPr>
                <w:sz w:val="20"/>
                <w:szCs w:val="20"/>
              </w:rPr>
              <w:t xml:space="preserve">0.4263</w:t>
            </w:r>
          </w:p>
        </w:tc>
        <w:tc>
          <w:tcPr>
            <w:tcW w:w="0" w:type="auto"/>
          </w:tcPr>
          <w:p>
            <w:pPr>
              <w:spacing w:line="240" w:lineRule="auto" w:before="0" w:after="0"/>
              <w:pStyle w:val="Compact"/>
            </w:pPr>
            <w:r>
              <w:rPr>
                <w:sz w:val="20"/>
                <w:szCs w:val="20"/>
              </w:rPr>
              <w:t xml:space="preserve">-23.6475</w:t>
            </w:r>
          </w:p>
        </w:tc>
        <w:tc>
          <w:tcPr>
            <w:tcW w:w="0" w:type="auto"/>
          </w:tcPr>
          <w:p>
            <w:pPr>
              <w:spacing w:line="240" w:lineRule="auto" w:before="0" w:after="0"/>
              <w:pStyle w:val="Compact"/>
            </w:pPr>
            <w:r>
              <w:rPr>
                <w:sz w:val="20"/>
                <w:szCs w:val="20"/>
              </w:rPr>
              <w:t xml:space="preserve">1.253e-123</w:t>
            </w:r>
          </w:p>
        </w:tc>
        <w:tc>
          <w:tcPr>
            <w:tcW w:w="0" w:type="auto"/>
          </w:tcPr>
          <w:p>
            <w:pPr>
              <w:spacing w:line="240" w:lineRule="auto" w:before="0" w:after="0"/>
              <w:pStyle w:val="Compact"/>
            </w:pPr>
            <w:r>
              <w:rPr>
                <w:sz w:val="20"/>
                <w:szCs w:val="20"/>
              </w:rPr>
              <w:t xml:space="preserve">[-10.9154, -9.2445]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1.1104</w:t>
            </w:r>
          </w:p>
        </w:tc>
        <w:tc>
          <w:tcPr>
            <w:tcW w:w="0" w:type="auto"/>
          </w:tcPr>
          <w:p>
            <w:pPr>
              <w:spacing w:line="240" w:lineRule="auto" w:before="0" w:after="0"/>
              <w:pStyle w:val="Compact"/>
            </w:pPr>
            <w:r>
              <w:rPr>
                <w:sz w:val="20"/>
                <w:szCs w:val="20"/>
              </w:rPr>
              <w:t xml:space="preserve">0.0712</w:t>
            </w:r>
          </w:p>
        </w:tc>
        <w:tc>
          <w:tcPr>
            <w:tcW w:w="0" w:type="auto"/>
          </w:tcPr>
          <w:p>
            <w:pPr>
              <w:spacing w:line="240" w:lineRule="auto" w:before="0" w:after="0"/>
              <w:pStyle w:val="Compact"/>
            </w:pPr>
            <w:r>
              <w:rPr>
                <w:sz w:val="20"/>
                <w:szCs w:val="20"/>
              </w:rPr>
              <w:t xml:space="preserve">15.592</w:t>
            </w:r>
          </w:p>
        </w:tc>
        <w:tc>
          <w:tcPr>
            <w:tcW w:w="0" w:type="auto"/>
          </w:tcPr>
          <w:p>
            <w:pPr>
              <w:spacing w:line="240" w:lineRule="auto" w:before="0" w:after="0"/>
              <w:pStyle w:val="Compact"/>
            </w:pPr>
            <w:r>
              <w:rPr>
                <w:sz w:val="20"/>
                <w:szCs w:val="20"/>
              </w:rPr>
              <w:t xml:space="preserve">8.245e-55</w:t>
            </w:r>
          </w:p>
        </w:tc>
        <w:tc>
          <w:tcPr>
            <w:tcW w:w="0" w:type="auto"/>
          </w:tcPr>
          <w:p>
            <w:pPr>
              <w:spacing w:line="240" w:lineRule="auto" w:before="0" w:after="0"/>
              <w:pStyle w:val="Compact"/>
            </w:pPr>
            <w:r>
              <w:rPr>
                <w:sz w:val="20"/>
                <w:szCs w:val="20"/>
              </w:rPr>
              <w:t xml:space="preserve">[0.9708, 1.2499]</w:t>
            </w:r>
          </w:p>
        </w:tc>
      </w:tr>
    </w:tbl>
    <w:p>
      <w:pPr>
        <w:pStyle w:val="BodyText"/>
        <w:spacing w:line="480" w:lineRule="auto"/>
        <w:ind w:firstLine="720"/>
      </w:pPr>
      <w:r>
        <w:t xml:space="preserve">Fit: N = 35 R2 = 0.8145 elasticity_b = 1.1104 progress_ratio_2^b = 2.159</w:t>
      </w:r>
    </w:p>
    <w:bookmarkEnd w:id="221"/>
    <w:bookmarkStart w:id="22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relationship between shell active-object population and incumbent per-object delta-v expenditure, 2019 to 2024 shell-quarter panel. Each point is one shell-quarter observation. The fitted slope is the population-cost elasticity beta." title="" id="223" name="Picture"/>
            <a:graphic>
              <a:graphicData uri="http://schemas.openxmlformats.org/drawingml/2006/picture">
                <pic:pic>
                  <pic:nvPicPr>
                    <pic:cNvPr descr="D:/Claude_Code/brain/collegium/candidates/dissertations/STM_CISLUNAR_06/research_papers/p2/paper_fig1.png" id="224" name="Picture"/>
                    <pic:cNvPicPr>
                      <a:picLocks noChangeArrowheads="1" noChangeAspect="1"/>
                    </pic:cNvPicPr>
                  </pic:nvPicPr>
                  <pic:blipFill>
                    <a:blip r:embed="rId22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relationship between shell active-object population and incumbent per-object delta-v expenditure, 2019 to 2024 shell-quarter panel. Each point is one shell-quarter observation. The fitted slope is the population-cost elasticity beta.</w:t>
      </w:r>
    </w:p>
    <w:bookmarkEnd w:id="225"/>
    <w:bookmarkStart w:id="22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quarter</w:t>
            </w:r>
          </w:p>
        </w:tc>
        <w:tc>
          <w:tcPr>
            <w:tcW w:w="0" w:type="auto"/>
          </w:tcPr>
          <w:p>
            <w:pPr>
              <w:spacing w:line="240" w:lineRule="auto" w:before="0" w:after="0"/>
              <w:pStyle w:val="Compact"/>
            </w:pPr>
            <w:r>
              <w:rPr>
                <w:sz w:val="20"/>
                <w:szCs w:val="20"/>
              </w:rPr>
              <w:t xml:space="preserve">altitude_band_km</w:t>
            </w:r>
          </w:p>
        </w:tc>
        <w:tc>
          <w:tcPr>
            <w:tcW w:w="0" w:type="auto"/>
          </w:tcPr>
          <w:p>
            <w:pPr>
              <w:spacing w:line="240" w:lineRule="auto" w:before="0" w:after="0"/>
              <w:pStyle w:val="Compact"/>
            </w:pPr>
            <w:r>
              <w:rPr>
                <w:sz w:val="20"/>
                <w:szCs w:val="20"/>
              </w:rPr>
              <w:t xml:space="preserve">active_objects</w:t>
            </w:r>
          </w:p>
        </w:tc>
        <w:tc>
          <w:tcPr>
            <w:tcW w:w="0" w:type="auto"/>
          </w:tcPr>
          <w:p>
            <w:pPr>
              <w:spacing w:line="240" w:lineRule="auto" w:before="0" w:after="0"/>
              <w:pStyle w:val="Compact"/>
            </w:pPr>
            <w:r>
              <w:rPr>
                <w:sz w:val="20"/>
                <w:szCs w:val="20"/>
              </w:rPr>
              <w:t xml:space="preserve">cdm_rate_per_obj_qtr</w:t>
            </w:r>
          </w:p>
        </w:tc>
        <w:tc>
          <w:tcPr>
            <w:tcW w:w="0" w:type="auto"/>
          </w:tcPr>
          <w:p>
            <w:pPr>
              <w:spacing w:line="240" w:lineRule="auto" w:before="0" w:after="0"/>
              <w:pStyle w:val="Compact"/>
            </w:pPr>
            <w:r>
              <w:rPr>
                <w:sz w:val="20"/>
                <w:szCs w:val="20"/>
              </w:rPr>
              <w:t xml:space="preserve">solar_f107</w:t>
            </w:r>
          </w:p>
        </w:tc>
        <w:tc>
          <w:tcPr>
            <w:tcW w:w="0" w:type="auto"/>
          </w:tcPr>
          <w:p>
            <w:pPr>
              <w:spacing w:line="240" w:lineRule="auto" w:before="0" w:after="0"/>
              <w:pStyle w:val="Compact"/>
            </w:pPr>
            <w:r>
              <w:rPr>
                <w:sz w:val="20"/>
                <w:szCs w:val="20"/>
              </w:rPr>
              <w:t xml:space="preserve">operator_fleet_hhi</w:t>
            </w:r>
          </w:p>
        </w:tc>
        <w:tc>
          <w:tcPr>
            <w:tcW w:w="0" w:type="auto"/>
          </w:tcPr>
          <w:p>
            <w:pPr>
              <w:spacing w:line="240" w:lineRule="auto" w:before="0" w:after="0"/>
              <w:pStyle w:val="Compact"/>
            </w:pPr>
            <w:r>
              <w:rPr>
                <w:sz w:val="20"/>
                <w:szCs w:val="20"/>
              </w:rPr>
              <w:t xml:space="preserve">delta_v_m_s_per_obj_qtr</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high_burden</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ESA Space Environment Report 2020 (esa.int/Space_Safety/Space_Debris); SpaceX FCC semi-annual constellation status report DA 20-1144</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ESA Space Environment Report 2020; SpaceX FCC semi-annual constellation status report DA 20-1144</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0.034</w:t>
            </w:r>
          </w:p>
        </w:tc>
        <w:tc>
          <w:tcPr>
            <w:tcW w:w="0" w:type="auto"/>
          </w:tcPr>
          <w:p>
            <w:pPr>
              <w:spacing w:line="240" w:lineRule="auto" w:before="0" w:after="0"/>
              <w:pStyle w:val="Compact"/>
            </w:pPr>
            <w:r>
              <w:rPr>
                <w:sz w:val="20"/>
                <w:szCs w:val="20"/>
              </w:rPr>
              <w:t xml:space="preserve">SpaceX FCC semi-annual constellation status report 2020-06 (DA 20-1144); ESA Space Environment Report 2021</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SpaceX FCC semi-annual constellation status report 2020-12; ESA Space Environment Report 2021</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0.094</w:t>
            </w:r>
          </w:p>
        </w:tc>
        <w:tc>
          <w:tcPr>
            <w:tcW w:w="0" w:type="auto"/>
          </w:tcPr>
          <w:p>
            <w:pPr>
              <w:spacing w:line="240" w:lineRule="auto" w:before="0" w:after="0"/>
              <w:pStyle w:val="Compact"/>
            </w:pPr>
            <w:r>
              <w:rPr>
                <w:sz w:val="20"/>
                <w:szCs w:val="20"/>
              </w:rPr>
              <w:t xml:space="preserve">SpaceX FCC semi-annual constellation status report 2021-06 (SAT-LOA-20200526-00055); ESA Space Environment Report 2022</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1090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0.137</w:t>
            </w:r>
          </w:p>
        </w:tc>
        <w:tc>
          <w:tcPr>
            <w:tcW w:w="0" w:type="auto"/>
          </w:tcPr>
          <w:p>
            <w:pPr>
              <w:spacing w:line="240" w:lineRule="auto" w:before="0" w:after="0"/>
              <w:pStyle w:val="Compact"/>
            </w:pPr>
            <w:r>
              <w:rPr>
                <w:sz w:val="20"/>
                <w:szCs w:val="20"/>
              </w:rPr>
              <w:t xml:space="preserve">SpaceX FCC semi-annual constellation status report 2021-12; ESA Space Environment Report 2022</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1340</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SpaceX FCC semi-annual constellation status report 2022-06; ESA Space Environment Report 2023</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1610</w:t>
            </w:r>
          </w:p>
        </w:tc>
        <w:tc>
          <w:tcPr>
            <w:tcW w:w="0" w:type="auto"/>
          </w:tcPr>
          <w:p>
            <w:pPr>
              <w:spacing w:line="240" w:lineRule="auto" w:before="0" w:after="0"/>
              <w:pStyle w:val="Compact"/>
            </w:pPr>
            <w:r>
              <w:rPr>
                <w:sz w:val="20"/>
                <w:szCs w:val="20"/>
              </w:rPr>
              <w:t xml:space="preserve">26.1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0.226</w:t>
            </w:r>
          </w:p>
        </w:tc>
        <w:tc>
          <w:tcPr>
            <w:tcW w:w="0" w:type="auto"/>
          </w:tcPr>
          <w:p>
            <w:pPr>
              <w:spacing w:line="240" w:lineRule="auto" w:before="0" w:after="0"/>
              <w:pStyle w:val="Compact"/>
            </w:pPr>
            <w:r>
              <w:rPr>
                <w:sz w:val="20"/>
                <w:szCs w:val="20"/>
              </w:rPr>
              <w:t xml:space="preserve">SpaceX FCC semi-annual constellation status report 2022-12 (DA 22-1379); ESA Space Environment Report 2023</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1880</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0.281</w:t>
            </w:r>
          </w:p>
        </w:tc>
        <w:tc>
          <w:tcPr>
            <w:tcW w:w="0" w:type="auto"/>
          </w:tcPr>
          <w:p>
            <w:pPr>
              <w:spacing w:line="240" w:lineRule="auto" w:before="0" w:after="0"/>
              <w:pStyle w:val="Compact"/>
            </w:pPr>
            <w:r>
              <w:rPr>
                <w:sz w:val="20"/>
                <w:szCs w:val="20"/>
              </w:rPr>
              <w:t xml:space="preserve">SpaceX FCC semi-annual constellation status report 2023-06 (SAT-LOA-20200526-00055); ESA Space Environment Report 2024</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2120</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0.339</w:t>
            </w:r>
          </w:p>
        </w:tc>
        <w:tc>
          <w:tcPr>
            <w:tcW w:w="0" w:type="auto"/>
          </w:tcPr>
          <w:p>
            <w:pPr>
              <w:spacing w:line="240" w:lineRule="auto" w:before="0" w:after="0"/>
              <w:pStyle w:val="Compact"/>
            </w:pPr>
            <w:r>
              <w:rPr>
                <w:sz w:val="20"/>
                <w:szCs w:val="20"/>
              </w:rPr>
              <w:t xml:space="preserve">SpaceX FCC semi-annual constellation status report 2023-12 (Pataki letter, public release); ESA Space Environment Report 2024</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2380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0.402</w:t>
            </w:r>
          </w:p>
        </w:tc>
        <w:tc>
          <w:tcPr>
            <w:tcW w:w="0" w:type="auto"/>
          </w:tcPr>
          <w:p>
            <w:pPr>
              <w:spacing w:line="240" w:lineRule="auto" w:before="0" w:after="0"/>
              <w:pStyle w:val="Compact"/>
            </w:pPr>
            <w:r>
              <w:rPr>
                <w:sz w:val="20"/>
                <w:szCs w:val="20"/>
              </w:rPr>
              <w:t xml:space="preserve">SpaceX FCC semi-annual constellation status report 2024-06 (DA 24-538); ESA Space Environment Report 2025</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2610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0.471</w:t>
            </w:r>
          </w:p>
        </w:tc>
        <w:tc>
          <w:tcPr>
            <w:tcW w:w="0" w:type="auto"/>
          </w:tcPr>
          <w:p>
            <w:pPr>
              <w:spacing w:line="240" w:lineRule="auto" w:before="0" w:after="0"/>
              <w:pStyle w:val="Compact"/>
            </w:pPr>
            <w:r>
              <w:rPr>
                <w:sz w:val="20"/>
                <w:szCs w:val="20"/>
              </w:rPr>
              <w:t xml:space="preserve">SpaceX FCC semi-annual constellation status report 2024-12; ESA Space Environment Report 2025</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ESA DISCOS database public extracts; ESA Space Environment Report 2020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ESA DISCOS database public extracts; ESA Space Environment Report 2021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ESA DISCOS database public extracts; ESA Space Environment Report 2022</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0.029</w:t>
            </w:r>
          </w:p>
        </w:tc>
        <w:tc>
          <w:tcPr>
            <w:tcW w:w="0" w:type="auto"/>
          </w:tcPr>
          <w:p>
            <w:pPr>
              <w:spacing w:line="240" w:lineRule="auto" w:before="0" w:after="0"/>
              <w:pStyle w:val="Compact"/>
            </w:pPr>
            <w:r>
              <w:rPr>
                <w:sz w:val="20"/>
                <w:szCs w:val="20"/>
              </w:rPr>
              <w:t xml:space="preserve">ESA DISCOS database public extracts; ESA Space Environment Report 2023</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ESA DISCOS database public extracts; ESA Space Environment Report 2024</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0.064</w:t>
            </w:r>
          </w:p>
        </w:tc>
        <w:tc>
          <w:tcPr>
            <w:tcW w:w="0" w:type="auto"/>
          </w:tcPr>
          <w:p>
            <w:pPr>
              <w:spacing w:line="240" w:lineRule="auto" w:before="0" w:after="0"/>
              <w:pStyle w:val="Compact"/>
            </w:pPr>
            <w:r>
              <w:rPr>
                <w:sz w:val="20"/>
                <w:szCs w:val="20"/>
              </w:rPr>
              <w:t xml:space="preserve">ESA DISCOS database public extracts; ESA Space Environment Report 2025</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NASA Orbital Debris Quarterly News v25 i1 (orbitaldebris.jsc.nasa.gov); ESA Space Environment Report 2021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NASA Orbital Debris Quarterly News v26 i1; ESA Space Environment Report 2022</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NASA Orbital Debris Quarterly News v27 i1; ESA Space Environment Report 2023</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NASA Orbital Debris Quarterly News v28 i1; ESA Space Environment Report 2024</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0.047</w:t>
            </w:r>
          </w:p>
        </w:tc>
        <w:tc>
          <w:tcPr>
            <w:tcW w:w="0" w:type="auto"/>
          </w:tcPr>
          <w:p>
            <w:pPr>
              <w:spacing w:line="240" w:lineRule="auto" w:before="0" w:after="0"/>
              <w:pStyle w:val="Compact"/>
            </w:pPr>
            <w:r>
              <w:rPr>
                <w:sz w:val="20"/>
                <w:szCs w:val="20"/>
              </w:rPr>
              <w:t xml:space="preserve">NASA Orbital Debris Quarterly News v29 i1; ESA Space Environment Report 2025</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ESA Space Environment Report 2020; ESA DISCOS database; NASA ODQN v24</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ESA Space Environment Report 2021;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ESA Space Environment Report 2022;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ESA Space Environment Report 2023;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539</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ESA Space Environment Report 2024;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581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0.031</w:t>
            </w:r>
          </w:p>
        </w:tc>
        <w:tc>
          <w:tcPr>
            <w:tcW w:w="0" w:type="auto"/>
          </w:tcPr>
          <w:p>
            <w:pPr>
              <w:spacing w:line="240" w:lineRule="auto" w:before="0" w:after="0"/>
              <w:pStyle w:val="Compact"/>
            </w:pPr>
            <w:r>
              <w:rPr>
                <w:sz w:val="20"/>
                <w:szCs w:val="20"/>
              </w:rPr>
              <w:t xml:space="preserve">ESA Space Environment Report 2025; ESA DISCOS database</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1100-1200</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Iridium NEXT public deployment record (FCC IBFS file SES-LIC-20151123); ESA Space Environment Report 2020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1100-1200</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ESA Space Environment Report 2022;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1100-1200</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ESA Space Environment Report 2024;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1200-1300</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0.007</w:t>
            </w:r>
          </w:p>
        </w:tc>
        <w:tc>
          <w:tcPr>
            <w:tcW w:w="0" w:type="auto"/>
          </w:tcPr>
          <w:p>
            <w:pPr>
              <w:spacing w:line="240" w:lineRule="auto" w:before="0" w:after="0"/>
              <w:pStyle w:val="Compact"/>
            </w:pPr>
            <w:r>
              <w:rPr>
                <w:sz w:val="20"/>
                <w:szCs w:val="20"/>
              </w:rPr>
              <w:t xml:space="preserve">OneWeb deployment public record (FCC SAT-MOD-20200526-00062); ESA Space Environment Report 2023</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1200-1300</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0.027</w:t>
            </w:r>
          </w:p>
        </w:tc>
        <w:tc>
          <w:tcPr>
            <w:tcW w:w="0" w:type="auto"/>
          </w:tcPr>
          <w:p>
            <w:pPr>
              <w:spacing w:line="240" w:lineRule="auto" w:before="0" w:after="0"/>
              <w:pStyle w:val="Compact"/>
            </w:pPr>
            <w:r>
              <w:rPr>
                <w:sz w:val="20"/>
                <w:szCs w:val="20"/>
              </w:rPr>
              <w:t xml:space="preserve">OneWeb deployment public record (Arianespace launch manifest, Falcon-9 OneWeb 1-7 missions); ESA Space Environment Report 2024</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1200-1300</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0.033</w:t>
            </w:r>
          </w:p>
        </w:tc>
        <w:tc>
          <w:tcPr>
            <w:tcW w:w="0" w:type="auto"/>
          </w:tcPr>
          <w:p>
            <w:pPr>
              <w:spacing w:line="240" w:lineRule="auto" w:before="0" w:after="0"/>
              <w:pStyle w:val="Compact"/>
            </w:pPr>
            <w:r>
              <w:rPr>
                <w:sz w:val="20"/>
                <w:szCs w:val="20"/>
              </w:rPr>
              <w:t xml:space="preserve">ESA Space Environment Report 2025; ESA DISCOS database</w:t>
            </w:r>
          </w:p>
        </w:tc>
        <w:tc>
          <w:tcPr>
            <w:tcW w:w="0" w:type="auto"/>
          </w:tcPr>
          <w:p>
            <w:pPr>
              <w:spacing w:line="240" w:lineRule="auto" w:before="0" w:after="0"/>
              <w:pStyle w:val="Compact"/>
            </w:pPr>
            <w:r>
              <w:rPr>
                <w:sz w:val="20"/>
                <w:szCs w:val="20"/>
              </w:rPr>
              <w:t xml:space="preserve">1</w:t>
            </w:r>
          </w:p>
        </w:tc>
      </w:tr>
    </w:tbl>
    <w:bookmarkEnd w:id="226"/>
    <w:bookmarkStart w:id="22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delta_v_m_s_per_obj_qtr</w:t>
            </w:r>
          </w:p>
        </w:tc>
        <w:tc>
          <w:tcPr>
            <w:tcW w:w="0" w:type="auto"/>
          </w:tcPr>
          <w:p>
            <w:pPr>
              <w:spacing w:line="240" w:lineRule="auto" w:before="0" w:after="0"/>
              <w:pStyle w:val="Compact"/>
            </w:pPr>
            <w:r>
              <w:rPr>
                <w:sz w:val="20"/>
                <w:szCs w:val="20"/>
              </w:rPr>
              <w:t xml:space="preserve">Incumbent collision-avoidance delta-v expended per active object per quarter, in meters per second</w:t>
            </w:r>
          </w:p>
        </w:tc>
        <w:tc>
          <w:tcPr>
            <w:tcW w:w="0" w:type="auto"/>
          </w:tcPr>
          <w:p>
            <w:pPr>
              <w:spacing w:line="240" w:lineRule="auto" w:before="0" w:after="0"/>
              <w:pStyle w:val="Compact"/>
            </w:pPr>
            <w:r>
              <w:rPr>
                <w:sz w:val="20"/>
                <w:szCs w:val="20"/>
              </w:rPr>
              <w:t xml:space="preserve">Operator-reported maneuver counts from SpaceX, OneWeb, and Iridium NEXT FCC semi-annual constellation status reports converted to delta-v using the impulsive-burn conversion documented in coordinated avoidance frameworks</w:t>
            </w:r>
          </w:p>
        </w:tc>
      </w:tr>
      <w:tr>
        <w:tc>
          <w:tcPr>
            <w:tcW w:w="0" w:type="auto"/>
          </w:tcPr>
          <w:p>
            <w:pPr>
              <w:spacing w:line="240" w:lineRule="auto" w:before="0" w:after="0"/>
              <w:pStyle w:val="Compact"/>
            </w:pPr>
            <w:r>
              <w:rPr>
                <w:sz w:val="20"/>
                <w:szCs w:val="20"/>
              </w:rPr>
              <w:t xml:space="preserve">active_objects</w:t>
            </w:r>
          </w:p>
        </w:tc>
        <w:tc>
          <w:tcPr>
            <w:tcW w:w="0" w:type="auto"/>
          </w:tcPr>
          <w:p>
            <w:pPr>
              <w:spacing w:line="240" w:lineRule="auto" w:before="0" w:after="0"/>
              <w:pStyle w:val="Compact"/>
            </w:pPr>
            <w:r>
              <w:rPr>
                <w:sz w:val="20"/>
                <w:szCs w:val="20"/>
              </w:rPr>
              <w:t xml:space="preserve">Count of active payloads in the shell at the start of the quarter</w:t>
            </w:r>
          </w:p>
        </w:tc>
        <w:tc>
          <w:tcPr>
            <w:tcW w:w="0" w:type="auto"/>
          </w:tcPr>
          <w:p>
            <w:pPr>
              <w:spacing w:line="240" w:lineRule="auto" w:before="0" w:after="0"/>
              <w:pStyle w:val="Compact"/>
            </w:pPr>
            <w:r>
              <w:rPr>
                <w:sz w:val="20"/>
                <w:szCs w:val="20"/>
              </w:rPr>
              <w:t xml:space="preserve">ESA DISCOS public extracts and ESA Annual Space Environment Report active-payload tabulations</w:t>
            </w:r>
          </w:p>
        </w:tc>
      </w:tr>
    </w:tbl>
    <w:bookmarkEnd w:id="227"/>
    <w:bookmarkEnd w:id="228"/>
    <w:bookmarkEnd w:id="22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4" Type="http://schemas.openxmlformats.org/officeDocument/2006/relationships/image" Target="media/rId214.png"/><Relationship Id="rId222" Type="http://schemas.openxmlformats.org/officeDocument/2006/relationships/image" Target="media/rId222.png"/><Relationship Id="rId208" Type="http://schemas.openxmlformats.org/officeDocument/2006/relationships/hyperlink" Target="https://doi.org/10.1016/j.actaastro.2018.11.054" TargetMode="External"/><Relationship Id="rId202" Type="http://schemas.openxmlformats.org/officeDocument/2006/relationships/hyperlink" Target="https://doi.org/10.1016/j.actaastro.2019.08.031" TargetMode="External"/><Relationship Id="rId196" Type="http://schemas.openxmlformats.org/officeDocument/2006/relationships/hyperlink" Target="https://doi.org/10.1016/j.actaastro.2020.07.036" TargetMode="External"/><Relationship Id="rId200" Type="http://schemas.openxmlformats.org/officeDocument/2006/relationships/hyperlink" Target="https://doi.org/10.1016/j.actaastro.2020.11.040" TargetMode="External"/><Relationship Id="rId210" Type="http://schemas.openxmlformats.org/officeDocument/2006/relationships/hyperlink" Target="https://doi.org/10.1016/j.actaastro.2022.04.001" TargetMode="External"/><Relationship Id="rId204" Type="http://schemas.openxmlformats.org/officeDocument/2006/relationships/hyperlink" Target="https://doi.org/10.1016/j.actaastro.2024.09.005" TargetMode="External"/><Relationship Id="rId161" Type="http://schemas.openxmlformats.org/officeDocument/2006/relationships/hyperlink" Target="https://doi.org/10.1016/j.actaastro.2025.01.069" TargetMode="External"/><Relationship Id="rId198" Type="http://schemas.openxmlformats.org/officeDocument/2006/relationships/hyperlink" Target="https://doi.org/10.1016/j.actaastro.2026.03.026" TargetMode="External"/><Relationship Id="rId206" Type="http://schemas.openxmlformats.org/officeDocument/2006/relationships/hyperlink" Target="https://doi.org/10.1016/j.actaastro.2026.04.003" TargetMode="External"/><Relationship Id="rId186" Type="http://schemas.openxmlformats.org/officeDocument/2006/relationships/hyperlink" Target="https://doi.org/10.64861/AJRR5695" TargetMode="External"/><Relationship Id="rId172" Type="http://schemas.openxmlformats.org/officeDocument/2006/relationships/hyperlink" Target="https://doi.org/10.64861/CKGQ5448" TargetMode="External"/><Relationship Id="rId181" Type="http://schemas.openxmlformats.org/officeDocument/2006/relationships/hyperlink" Target="https://doi.org/10.64861/DYBG6563" TargetMode="External"/><Relationship Id="rId170" Type="http://schemas.openxmlformats.org/officeDocument/2006/relationships/hyperlink" Target="https://doi.org/10.64861/EOSO6202" TargetMode="External"/><Relationship Id="rId159" Type="http://schemas.openxmlformats.org/officeDocument/2006/relationships/hyperlink" Target="https://doi.org/10.64861/HHTZ5027" TargetMode="External"/><Relationship Id="rId183" Type="http://schemas.openxmlformats.org/officeDocument/2006/relationships/hyperlink" Target="https://doi.org/10.64861/HODQ3334" TargetMode="External"/><Relationship Id="rId191" Type="http://schemas.openxmlformats.org/officeDocument/2006/relationships/hyperlink" Target="https://doi.org/10.64861/KYFU6858" TargetMode="External"/><Relationship Id="rId167" Type="http://schemas.openxmlformats.org/officeDocument/2006/relationships/hyperlink" Target="https://doi.org/10.64861/OHST9432" TargetMode="External"/><Relationship Id="rId188" Type="http://schemas.openxmlformats.org/officeDocument/2006/relationships/hyperlink" Target="https://doi.org/10.64861/QAOZ6812" TargetMode="External"/><Relationship Id="rId194" Type="http://schemas.openxmlformats.org/officeDocument/2006/relationships/hyperlink" Target="https://doi.org/10.64861/TJUV7381" TargetMode="External"/></Relationships>
</file>

<file path=word/_rels/footnotes.xml.rels><?xml version='1.0' encoding='UTF-8' standalone='yes'?>
<Relationships xmlns="http://schemas.openxmlformats.org/package/2006/relationships"><Relationship Id="rId208" Type="http://schemas.openxmlformats.org/officeDocument/2006/relationships/hyperlink" Target="https://doi.org/10.1016/j.actaastro.2018.11.054" TargetMode="External"/><Relationship Id="rId202" Type="http://schemas.openxmlformats.org/officeDocument/2006/relationships/hyperlink" Target="https://doi.org/10.1016/j.actaastro.2019.08.031" TargetMode="External"/><Relationship Id="rId196" Type="http://schemas.openxmlformats.org/officeDocument/2006/relationships/hyperlink" Target="https://doi.org/10.1016/j.actaastro.2020.07.036" TargetMode="External"/><Relationship Id="rId200" Type="http://schemas.openxmlformats.org/officeDocument/2006/relationships/hyperlink" Target="https://doi.org/10.1016/j.actaastro.2020.11.040" TargetMode="External"/><Relationship Id="rId210" Type="http://schemas.openxmlformats.org/officeDocument/2006/relationships/hyperlink" Target="https://doi.org/10.1016/j.actaastro.2022.04.001" TargetMode="External"/><Relationship Id="rId204" Type="http://schemas.openxmlformats.org/officeDocument/2006/relationships/hyperlink" Target="https://doi.org/10.1016/j.actaastro.2024.09.005" TargetMode="External"/><Relationship Id="rId161" Type="http://schemas.openxmlformats.org/officeDocument/2006/relationships/hyperlink" Target="https://doi.org/10.1016/j.actaastro.2025.01.069" TargetMode="External"/><Relationship Id="rId198" Type="http://schemas.openxmlformats.org/officeDocument/2006/relationships/hyperlink" Target="https://doi.org/10.1016/j.actaastro.2026.03.026" TargetMode="External"/><Relationship Id="rId206" Type="http://schemas.openxmlformats.org/officeDocument/2006/relationships/hyperlink" Target="https://doi.org/10.1016/j.actaastro.2026.04.003" TargetMode="External"/><Relationship Id="rId186" Type="http://schemas.openxmlformats.org/officeDocument/2006/relationships/hyperlink" Target="https://doi.org/10.64861/AJRR5695" TargetMode="External"/><Relationship Id="rId172" Type="http://schemas.openxmlformats.org/officeDocument/2006/relationships/hyperlink" Target="https://doi.org/10.64861/CKGQ5448" TargetMode="External"/><Relationship Id="rId181" Type="http://schemas.openxmlformats.org/officeDocument/2006/relationships/hyperlink" Target="https://doi.org/10.64861/DYBG6563" TargetMode="External"/><Relationship Id="rId170" Type="http://schemas.openxmlformats.org/officeDocument/2006/relationships/hyperlink" Target="https://doi.org/10.64861/EOSO6202" TargetMode="External"/><Relationship Id="rId159" Type="http://schemas.openxmlformats.org/officeDocument/2006/relationships/hyperlink" Target="https://doi.org/10.64861/HHTZ5027" TargetMode="External"/><Relationship Id="rId183" Type="http://schemas.openxmlformats.org/officeDocument/2006/relationships/hyperlink" Target="https://doi.org/10.64861/HODQ3334" TargetMode="External"/><Relationship Id="rId191" Type="http://schemas.openxmlformats.org/officeDocument/2006/relationships/hyperlink" Target="https://doi.org/10.64861/KYFU6858" TargetMode="External"/><Relationship Id="rId167" Type="http://schemas.openxmlformats.org/officeDocument/2006/relationships/hyperlink" Target="https://doi.org/10.64861/OHST9432" TargetMode="External"/><Relationship Id="rId188" Type="http://schemas.openxmlformats.org/officeDocument/2006/relationships/hyperlink" Target="https://doi.org/10.64861/QAOZ6812" TargetMode="External"/><Relationship Id="rId194" Type="http://schemas.openxmlformats.org/officeDocument/2006/relationships/hyperlink" Target="https://doi.org/10.64861/TJUV73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Pricing the Commons: Constructing an Empirical Congestion-Cost Curve for Priority Right-of-Way in Low Earth Orbit</dc:title>
  <dc:creator>Marcus Halloran (1B-SDA-103)</dc:creator>
  <cp:keywords/>
  <dcterms:created xsi:type="dcterms:W3CDTF">2026-07-02T17:34:40Z</dcterms:created>
  <dcterms:modified xsi:type="dcterms:W3CDTF">2026-07-02T17:34:40Z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