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c7a864eafd178445084300662e6406ab2c549e6"/>
    <w:p>
      <w:pPr>
        <w:pStyle w:val="Heading1"/>
      </w:pPr>
      <w:r>
        <w:t xml:space="preserve">From License in Hand to Wheels Up: A Cox Proportional-Hazards Analysis of FAA AST Licensing-to-Launch Latency for U.S. Commercial Orbital Vehicles</w:t>
      </w:r>
    </w:p>
    <w:bookmarkStart w:id="61" w:name="introduction"/>
    <w:p>
      <w:pPr>
        <w:pStyle w:val="Heading2"/>
      </w:pPr>
      <w:r>
        <w:t xml:space="preserve">1. Introduction</w:t>
      </w:r>
    </w:p>
    <w:p>
      <w:pPr>
        <w:pStyle w:val="FirstParagraph"/>
      </w:pPr>
      <w:r>
        <w:t xml:space="preserve">The policy debate over space traffic management often treats the launch-licensing pipeline as the rate-limiting step for on-orbit growth. If the Federal Aviation Administration’s Office of Commercial Space Transportation (FAA AST) were the binding constraint, then the interval between a license being granted and the licensed vehicle actually flying would be short and uniform, because the regulatory gate, not the engineering, would govern the schedule. This paper inverts the usual question. Rather than asking how long licensing itself takes, it asks how long vehicles wait after they already hold a license before they fly, and whether that waiting interval is paced by vehicle characteristics or by the regulatory regime under which the license was issued.</w:t>
      </w:r>
    </w:p>
    <w:p>
      <w:pPr>
        <w:pStyle w:val="BodyText"/>
      </w:pPr>
      <w:r>
        <w:t xml:space="preserve">The distinction matters for the dissertation’s central claim that licensing throughput, by itself, does not pace payload placement. If the licensing-to-launch interval is dominated by vehicle engineering maturity rather than by anything the regulator does after issuance, then accelerating license issuance would not accelerate flight, and the demand on space traffic management infrastructure would be set by the development cadence of vehicles, not by AST’s queue. This paper tests that proposition directly using a survival model on the time from license to first flight.</w:t>
      </w:r>
    </w:p>
    <w:bookmarkEnd w:id="61"/>
    <w:bookmarkStart w:id="62" w:name="theory-and-hypotheses"/>
    <w:p>
      <w:pPr>
        <w:pStyle w:val="Heading2"/>
      </w:pPr>
      <w:r>
        <w:t xml:space="preserve">2. Theory and Hypotheses</w:t>
      </w:r>
    </w:p>
    <w:p>
      <w:pPr>
        <w:pStyle w:val="FirstParagraph"/>
      </w:pPr>
      <w:r>
        <w:t xml:space="preserve">The space-economy forecasting literature treats reduced launch cost and commercial innovation as the primary drivers of orbital activity growth, with regulatory streamlining as a contributing but secondary factor</w:t>
      </w:r>
      <w:r>
        <w:t xml:space="preserve"> </w:t>
      </w:r>
      <w:hyperlink w:anchor="ref-1">
        <m:oMathPara>
          <m:oMathParaPr>
            <m:jc m:val="center"/>
          </m:oMathParaPr>
          <m:oMath>
            <m:r>
              <m:t>1</m:t>
            </m:r>
          </m:oMath>
        </m:oMathPara>
      </w:hyperlink>
      <w:r>
        <w:t xml:space="preserve">. That framing implies that the rate at which licensed vehicles reach orbit should track engineering and market readiness more than administrative throughput. The broader analysis of space as a driver of sustainability and security similarly locates the binding determinants of activity in market structure and capital formation rather than in licensing administration alone</w:t>
      </w:r>
      <w:r>
        <w:t xml:space="preserve"> </w:t>
      </w:r>
      <w:hyperlink w:anchor="ref-2">
        <m:oMathPara>
          <m:oMathParaPr>
            <m:jc m:val="center"/>
          </m:oMathParaPr>
          <m:oMath>
            <m:r>
              <m:t>2</m:t>
            </m:r>
          </m:oMath>
        </m:oMathPara>
      </w:hyperlink>
      <w:r>
        <w:t xml:space="preserve">.</w:t>
      </w:r>
    </w:p>
    <w:p>
      <w:pPr>
        <w:pStyle w:val="FirstParagraph"/>
      </w:pPr>
      <w:r>
        <w:t xml:space="preserve">Two mechanisms follow. First, more complex vehicles carry longer integration, test, and qualification tails after a license is in hand, so heavier and higher-capacity systems should show a lower hazard of first flight, that is, a longer wait. Second, the FAA’s 2020 transition to the streamlined Part 450 licensing rule was intended to compress administrative friction; if that friction had been pacing flight readiness, vehicles licensed under the new regime should fly sooner, raising the hazard.</w:t>
      </w:r>
    </w:p>
    <w:p>
      <w:pPr>
        <w:pStyle w:val="BodyText"/>
      </w:pPr>
      <w:r>
        <w:t xml:space="preserve">H1: Heavy-class vehicles and vehicles with larger payload capacity experience a lower hazard of first launch after licensing, conditional on reuse and regime (longer licensing-to-launch latency).</w:t>
      </w:r>
    </w:p>
    <w:p>
      <w:pPr>
        <w:pStyle w:val="BodyText"/>
      </w:pPr>
      <w:r>
        <w:t xml:space="preserve">H2: Licenses issued under the Part 450 streamlined regime are associated with a higher hazard of first launch (shorter latency) than licenses issued under the prior regime.</w:t>
      </w:r>
    </w:p>
    <w:bookmarkEnd w:id="62"/>
    <w:bookmarkStart w:id="63" w:name="data"/>
    <w:p>
      <w:pPr>
        <w:pStyle w:val="Heading2"/>
      </w:pPr>
      <w:r>
        <w:t xml:space="preserve">3. Data</w:t>
      </w:r>
    </w:p>
    <w:p>
      <w:pPr>
        <w:pStyle w:val="FirstParagraph"/>
      </w:pPr>
      <w:r>
        <w:t xml:space="preserve">The dataset comprises 23 FAA AST-licensed United States commercial orbital launch vehicle configurations spanning 1994 through 2026, each observed from license issuance to first orbital launch attempt. The unit of observation is a licensed vehicle configuration. The duration variable is the number of months from FAA license issuance to first orbital flight attempt; the event indicator equals one when the vehicle flew and zero for the three configurations that held a license but had not flown by the June 2026 cutoff because the operator ceased commercial orbital operations or a return-to-flight remained pending, which are treated as right-censored. License-issuance and first-flight dates are drawn from FAA AST license records and public launch logs, with each observation citing its source in the data file.</w:t>
      </w:r>
    </w:p>
    <w:p>
      <w:pPr>
        <w:pStyle w:val="BodyText"/>
      </w:pPr>
      <w:r>
        <w:t xml:space="preserve">Heavy-class status, reusable-program status, and Part 450 regime membership are hand-coded from published vehicle architecture and license-year records using the rubric in the variable definitions. Payload capacity enters as the natural logarithm of advertised low-Earth-orbit capacity in kilograms. Where an individual license-issuance month could not be pinned to a documented day, it is marked illustrative in the source column and held to a small minority of rows; no citation is fabricated. Among the 20 flown vehicles the median licensing-to-launch latency is 1.5 months and the mean is 4.35 months, indicating that most vehicles fly very soon after licensing, with a right tail driven by a few configurations that waited two years or more.</w:t>
      </w:r>
    </w:p>
    <w:bookmarkEnd w:id="63"/>
    <w:bookmarkStart w:id="64" w:name="method"/>
    <w:p>
      <w:pPr>
        <w:pStyle w:val="Heading2"/>
      </w:pPr>
      <w:r>
        <w:t xml:space="preserve">4. Method</w:t>
      </w:r>
    </w:p>
    <w:p>
      <w:pPr>
        <w:pStyle w:val="FirstParagraph"/>
      </w:pPr>
      <w:r>
        <w:t xml:space="preserve">The estimator is a Cox proportional-hazards model fit by partial likelihood, with the hazard of first launch specified as a baseline hazard multiplied by an exponential function of four covariates: heavy-class status, reusable-program status, Part 450 regime membership, and log payload capacity. Coefficients are reported as hazard ratios, where a ratio above one indicates a higher instantaneous probability of flying (shorter latency) and a ratio below one indicates a lower probability (longer latency). Standard errors and two-sided p-values are computed from the partial-likelihood information matrix. The model uses 23 observations with 20 events and 3 right-censored configurations. Survival modeling is appropriate here because it accommodates the censored configurations without discarding them and because it estimates the timing of flight rather than merely whether flight occurred.</w:t>
      </w:r>
    </w:p>
    <w:bookmarkEnd w:id="64"/>
    <w:bookmarkStart w:id="65" w:name="findings"/>
    <w:p>
      <w:pPr>
        <w:pStyle w:val="Heading2"/>
      </w:pPr>
      <w:r>
        <w:t xml:space="preserve">5. Findings</w:t>
      </w:r>
    </w:p>
    <w:p>
      <w:pPr>
        <w:pStyle w:val="FirstParagraph"/>
      </w:pPr>
      <w:r>
        <w:t xml:space="preserve">The model produces no covariate that reaches conventional statistical significance, and the estimated effects are individually imprecise given the sample of 23 vehicles. The heavy-class coefficient is 0.5108 (hazard ratio 1.667, standard error 1.057, p = 0.629). The point estimate runs opposite to H1: rather than flying later, heavy-class vehicles carry a higher estimated hazard of first launch, though the wide standard error means the data cannot distinguish this from no effect or from the hypothesized negative effect. The reusable-program coefficient is 0.1522 (hazard ratio 1.164, standard error 0.759, p = 0.841), essentially indistinguishable from zero.</w:t>
      </w:r>
    </w:p>
    <w:p>
      <w:pPr>
        <w:pStyle w:val="BodyText"/>
      </w:pPr>
      <w:r>
        <w:t xml:space="preserve">The Part 450 regime coefficient is -0.2158 (hazard ratio 0.806, standard error 0.550, p = 0.695). The negative sign runs opposite to H2, suggesting if anything a slightly lower hazard of flight under the streamlined regime, but again the estimate is statistically indistinguishable from zero. The log-payload coefficient is 0.1089 (hazard ratio 1.115, standard error 0.251, p = 0.664), close to a null effect and, like heavy-class, pointing weakly against the complexity-slows-flight prediction rather than confirming it.</w:t>
      </w:r>
    </w:p>
    <w:p>
      <w:pPr>
        <w:pStyle w:val="BodyText"/>
      </w:pPr>
      <w:r>
        <w:t xml:space="preserve">Taken together, neither hypothesis survives. The four covariates jointly explain very little of the variation in licensing-to-launch latency, and every hazard ratio sits close to one with confidence intervals that comfortably span unity. The most defensible reading of the coefficients is that observable vehicle class, reuse, regulatory regime, and payload scale do not systematically order the interval between license and first flight in this sample.</w:t>
      </w:r>
    </w:p>
    <w:bookmarkEnd w:id="65"/>
    <w:bookmarkStart w:id="66" w:name="discussion"/>
    <w:p>
      <w:pPr>
        <w:pStyle w:val="Heading2"/>
      </w:pPr>
      <w:r>
        <w:t xml:space="preserve">6. Discussion</w:t>
      </w:r>
    </w:p>
    <w:p>
      <w:pPr>
        <w:pStyle w:val="FirstParagraph"/>
      </w:pPr>
      <w:r>
        <w:t xml:space="preserve">The central inference is a null result, and the null is itself informative for the dissertation. If licensing-to-launch latency were governed by the regulatory regime, the Part 450 indicator would have produced a clear positive hazard ratio; it did not. If the latency were governed by vehicle complexity in a way that a streamlined regulator could not relieve, the heavy-class and payload coefficients would have produced clear negative hazard ratios; they did not either. Instead, the descriptive picture, a median wait of roughly six weeks from license to flight with a thin tail of long waits, suggests that for most vehicles the license is granted close to flight readiness rather than far ahead of it. The wait, where it exists, is concentrated in a handful of programs and is not explained by the structural covariates tested here.</w:t>
      </w:r>
    </w:p>
    <w:p>
      <w:pPr>
        <w:pStyle w:val="BodyText"/>
      </w:pPr>
      <w:r>
        <w:t xml:space="preserve">This pattern is consistent with the dissertation’s broader argument that FAA AST throughput does not pace on-orbit deployment. The licensing gate appears to clear roughly in step with engineering readiness rather than holding flight-ready vehicles in a queue, which would make license issuance a poor lever for either accelerating or restraining the on-orbit population that space traffic management must track. The findings carry obvious limitations. With 23 observations and only 20 events the model has little power, the binary regime and class proxies are coarse, and a minority of license-issuance months are estimated rather than documented to the day. A larger panel that resolves every license date to its FAA record, and that distinguishes development-stalled programs from regulator-stalled ones, would sharpen the test. The result here should be read as a failure to find a pacing effect rather than as proof of its absence.</w:t>
      </w:r>
    </w:p>
    <w:bookmarkEnd w:id="66"/>
    <w:bookmarkStart w:id="76" w:name="references"/>
    <w:p>
      <w:pPr>
        <w:pStyle w:val="Heading2"/>
      </w:pPr>
      <w:r>
        <w:t xml:space="preserve">References</w:t>
      </w:r>
    </w:p>
    <w:p>
      <w:pPr>
        <w:pStyle w:val="FirstParagraph"/>
      </w:pPr>
      <w:bookmarkStart w:id="67" w:name="ref-1"/>
      <w:bookmarkEnd w:id="67"/>
      <w:r>
        <w:t xml:space="preserve">1. OCEA,</w:t>
      </w:r>
      <w:r>
        <w:t xml:space="preserve"> </w:t>
      </w:r>
      <w:r>
        <w:t xml:space="preserve">“Forecasting the Space Economy,”</w:t>
      </w:r>
      <w:r>
        <w:t xml:space="preserve"> </w:t>
      </w:r>
      <w:r>
        <w:t xml:space="preserve">Office of Commercial and Economic Analysis source document, Space Economy Papers corpus (SD08).</w:t>
      </w:r>
    </w:p>
    <w:p>
      <w:pPr>
        <w:pStyle w:val="BodyText"/>
      </w:pPr>
      <w:bookmarkStart w:id="68" w:name="ref-2"/>
      <w:bookmarkEnd w:id="68"/>
      <w:r>
        <w:t xml:space="preserve">2.</w:t>
      </w:r>
      <w:r>
        <w:t xml:space="preserve"> </w:t>
      </w:r>
      <w:r>
        <w:t xml:space="preserve">“The Role of Space in Driving Sustainability, Security, and Development,”</w:t>
      </w:r>
      <w:r>
        <w:t xml:space="preserve"> </w:t>
      </w:r>
      <w:r>
        <w:t xml:space="preserve">Space Economy Papers corpus (SD13).</w:t>
      </w:r>
    </w:p>
    <w:p>
      <w:pPr>
        <w:pStyle w:val="BodyText"/>
      </w:pPr>
      <w:bookmarkStart w:id="69" w:name="ref-3"/>
      <w:bookmarkEnd w:id="69"/>
      <w:r>
        <w:t xml:space="preserve">3. Federal Aviation Administration, Office of Commercial Space Transportation,</w:t>
      </w:r>
      <w:r>
        <w:t xml:space="preserve"> </w:t>
      </w:r>
      <w:r>
        <w:t xml:space="preserve">“Licenses, Permits and Approvals”</w:t>
      </w:r>
      <w:r>
        <w:t xml:space="preserve"> </w:t>
      </w:r>
      <w:r>
        <w:t xml:space="preserve">and SpaceX Falcon Program license records. https://www.faa.gov/space/stakeholder_engagement/SpaceX_Falcon_Program</w:t>
      </w:r>
    </w:p>
    <w:p>
      <w:pPr>
        <w:pStyle w:val="BodyText"/>
      </w:pPr>
      <w:bookmarkStart w:id="70" w:name="ref-4"/>
      <w:bookmarkEnd w:id="70"/>
      <w:r>
        <w:t xml:space="preserve">4. Spaceflight Now,</w:t>
      </w:r>
      <w:r>
        <w:t xml:space="preserve"> </w:t>
      </w:r>
      <w:r>
        <w:t xml:space="preserve">“SpaceX receives commercial launch license for first Falcon Heavy flight,”</w:t>
      </w:r>
      <w:r>
        <w:t xml:space="preserve"> </w:t>
      </w:r>
      <w:r>
        <w:t xml:space="preserve">2018. https://spaceflightnow.com/2018/02/04/spacex-receives-commercial-launch-license-for-first-falcon-heavy-flight/</w:t>
      </w:r>
    </w:p>
    <w:p>
      <w:pPr>
        <w:pStyle w:val="BodyText"/>
      </w:pPr>
      <w:bookmarkStart w:id="71" w:name="ref-5"/>
      <w:bookmarkEnd w:id="71"/>
      <w:r>
        <w:t xml:space="preserve">5. SpaceNews,</w:t>
      </w:r>
      <w:r>
        <w:t xml:space="preserve"> </w:t>
      </w:r>
      <w:r>
        <w:t xml:space="preserve">“Virgin Orbit wins FAA license for first LauncherOne mission,”</w:t>
      </w:r>
      <w:r>
        <w:t xml:space="preserve"> </w:t>
      </w:r>
      <w:r>
        <w:t xml:space="preserve">and</w:t>
      </w:r>
      <w:r>
        <w:t xml:space="preserve"> </w:t>
      </w:r>
      <w:r>
        <w:t xml:space="preserve">“FAA issues license for first Starship integrated test flight.”</w:t>
      </w:r>
      <w:r>
        <w:t xml:space="preserve"> </w:t>
      </w:r>
      <w:r>
        <w:t xml:space="preserve">https://spacenews.com/faa-issues-license-for-first-starship-integrated-test-flight/</w:t>
      </w:r>
    </w:p>
    <w:p>
      <w:pPr>
        <w:pStyle w:val="BodyText"/>
      </w:pPr>
      <w:bookmarkStart w:id="72" w:name="ref-6"/>
      <w:bookmarkEnd w:id="72"/>
      <w:r>
        <w:t xml:space="preserve">6. Spaceflight Now,</w:t>
      </w:r>
      <w:r>
        <w:t xml:space="preserve"> </w:t>
      </w:r>
      <w:r>
        <w:t xml:space="preserve">“Astra receives FAA license for first launch from Florida,”</w:t>
      </w:r>
      <w:r>
        <w:t xml:space="preserve"> </w:t>
      </w:r>
      <w:r>
        <w:t xml:space="preserve">2022. https://spaceflightnow.com/2022/02/04/astra-receives-faa-license-for-first-launch-from-florida/</w:t>
      </w:r>
    </w:p>
    <w:p>
      <w:pPr>
        <w:pStyle w:val="BodyText"/>
      </w:pPr>
      <w:bookmarkStart w:id="73" w:name="ref-7"/>
      <w:bookmarkEnd w:id="73"/>
      <w:r>
        <w:t xml:space="preserve">7. Spaceflight Now,</w:t>
      </w:r>
      <w:r>
        <w:t xml:space="preserve"> </w:t>
      </w:r>
      <w:r>
        <w:t xml:space="preserve">“FAA grants commercial launch license to Blue Origin’s New Glenn rocket,”</w:t>
      </w:r>
      <w:r>
        <w:t xml:space="preserve"> </w:t>
      </w:r>
      <w:r>
        <w:t xml:space="preserve">2024. https://spaceflightnow.com/2024/12/27/faa-grants-commercial-launch-license-to-blue-origins-new-glenn-rocket/</w:t>
      </w:r>
    </w:p>
    <w:p>
      <w:pPr>
        <w:pStyle w:val="BodyText"/>
      </w:pPr>
      <w:bookmarkStart w:id="74" w:name="ref-8"/>
      <w:bookmarkEnd w:id="74"/>
      <w:r>
        <w:t xml:space="preserve">8. TCT Magazine,</w:t>
      </w:r>
      <w:r>
        <w:t xml:space="preserve"> </w:t>
      </w:r>
      <w:r>
        <w:t xml:space="preserve">“Relativity Space secures FAA license for 3D printed Terran 1 rocket launch,”</w:t>
      </w:r>
      <w:r>
        <w:t xml:space="preserve"> </w:t>
      </w:r>
      <w:r>
        <w:t xml:space="preserve">2023. https://www.tctmagazine.com/additive-manufacturing-3d-printing-news/latest-additive-manufacturing-3d-printing-news/relativity-space-secures-faa-launch-license-for-terran-1/</w:t>
      </w:r>
    </w:p>
    <w:p>
      <w:pPr>
        <w:pStyle w:val="BodyText"/>
      </w:pPr>
      <w:bookmarkStart w:id="75" w:name="ref-9"/>
      <w:bookmarkEnd w:id="75"/>
      <w:r>
        <w:t xml:space="preserve">9. SpaceNews,</w:t>
      </w:r>
      <w:r>
        <w:t xml:space="preserve"> </w:t>
      </w:r>
      <w:r>
        <w:t xml:space="preserve">“Rocket Lab Granted FAA Launch Operator License for Missions from Launch Complex 2,”</w:t>
      </w:r>
      <w:r>
        <w:t xml:space="preserve"> </w:t>
      </w:r>
      <w:r>
        <w:t xml:space="preserve">2020. https://spacenews.com/rocket-lab-granted-faa-launch-operator-license-for-missions-from-launch-complex-2/</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heavy_class</m:t>
              </m:r>
              <m:r>
                <m:rPr>
                  <m:sty m:val="p"/>
                </m:rPr>
                <m:t>+</m:t>
              </m:r>
              <m:sSub>
                <m:e>
                  <m:r>
                    <m:t>β</m:t>
                  </m:r>
                </m:e>
                <m:sub>
                  <m:r>
                    <m:t>2</m:t>
                  </m:r>
                </m:sub>
              </m:sSub>
              <m:r>
                <m:t> </m:t>
              </m:r>
              <m:r>
                <m:rPr>
                  <m:nor/>
                  <m:sty m:val="p"/>
                </m:rPr>
                <m:t>reusable_program</m:t>
              </m:r>
              <m:r>
                <m:rPr>
                  <m:sty m:val="p"/>
                </m:rPr>
                <m:t>+</m:t>
              </m:r>
              <m:sSub>
                <m:e>
                  <m:r>
                    <m:t>β</m:t>
                  </m:r>
                </m:e>
                <m:sub>
                  <m:r>
                    <m:t>3</m:t>
                  </m:r>
                </m:sub>
              </m:sSub>
              <m:r>
                <m:t> </m:t>
              </m:r>
              <m:r>
                <m:rPr>
                  <m:nor/>
                  <m:sty m:val="p"/>
                </m:rPr>
                <m:t>part450_era</m:t>
              </m:r>
              <m:r>
                <m:rPr>
                  <m:sty m:val="p"/>
                </m:rPr>
                <m:t>+</m:t>
              </m:r>
              <m:sSub>
                <m:e>
                  <m:r>
                    <m:t>β</m:t>
                  </m:r>
                </m:e>
                <m:sub>
                  <m:r>
                    <m:t>4</m:t>
                  </m:r>
                </m:sub>
              </m:sSub>
              <m:r>
                <m:t> </m:t>
              </m:r>
              <m:r>
                <m:rPr>
                  <m:sty m:val="p"/>
                </m:rPr>
                <m:t>log</m:t>
              </m:r>
              <m:r>
                <m:rPr>
                  <m:sty m:val="p"/>
                </m:rPr>
                <m:t>(</m:t>
              </m:r>
              <m:r>
                <m:rPr>
                  <m:nor/>
                  <m:sty m:val="p"/>
                </m:rPr>
                <m:t>payload_kg</m:t>
              </m:r>
              <m:r>
                <m:rPr>
                  <m:sty m:val="p"/>
                </m:rPr>
                <m:t>)</m:t>
              </m:r>
            </m:e>
          </m:d>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1.0573</w:t>
            </w:r>
          </w:p>
        </w:tc>
        <w:tc>
          <w:tcPr>
            <w:tcW w:w="0" w:type="auto"/>
          </w:tcPr>
          <w:p>
            <w:pPr>
              <w:spacing w:line="240" w:lineRule="auto" w:before="0" w:after="0"/>
              <w:pStyle w:val="Compact"/>
            </w:pPr>
            <w:r>
              <w:rPr>
                <w:sz w:val="20"/>
                <w:szCs w:val="20"/>
              </w:rPr>
              <w:t xml:space="preserve">0.4831</w:t>
            </w:r>
          </w:p>
        </w:tc>
        <w:tc>
          <w:tcPr>
            <w:tcW w:w="0" w:type="auto"/>
          </w:tcPr>
          <w:p>
            <w:pPr>
              <w:spacing w:line="240" w:lineRule="auto" w:before="0" w:after="0"/>
              <w:pStyle w:val="Compact"/>
            </w:pPr>
            <w:r>
              <w:rPr>
                <w:sz w:val="20"/>
                <w:szCs w:val="20"/>
              </w:rPr>
              <w:t xml:space="preserve">0.629</w:t>
            </w:r>
          </w:p>
        </w:tc>
        <w:tc>
          <w:tcPr>
            <w:tcW w:w="0" w:type="auto"/>
          </w:tcPr>
          <w:p>
            <w:pPr>
              <w:spacing w:line="240" w:lineRule="auto" w:before="0" w:after="0"/>
              <w:pStyle w:val="Compact"/>
            </w:pPr>
            <w:r>
              <w:rPr>
                <w:sz w:val="20"/>
                <w:szCs w:val="20"/>
              </w:rPr>
              <w:t xml:space="preserve">[-1.5615, 2.5831]</w:t>
            </w:r>
          </w:p>
        </w:tc>
        <w:tc>
          <w:tcPr>
            <w:tcW w:w="0" w:type="auto"/>
          </w:tcPr>
          <w:p>
            <w:pPr>
              <w:spacing w:line="240" w:lineRule="auto" w:before="0" w:after="0"/>
              <w:pStyle w:val="Compact"/>
            </w:pPr>
            <w:r>
              <w:rPr>
                <w:sz w:val="20"/>
                <w:szCs w:val="20"/>
              </w:rPr>
              <w:t xml:space="preserve">1.6666</w:t>
            </w:r>
          </w:p>
        </w:tc>
      </w:tr>
      <w:tr>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0.7594</w:t>
            </w:r>
          </w:p>
        </w:tc>
        <w:tc>
          <w:tcPr>
            <w:tcW w:w="0" w:type="auto"/>
          </w:tcPr>
          <w:p>
            <w:pPr>
              <w:spacing w:line="240" w:lineRule="auto" w:before="0" w:after="0"/>
              <w:pStyle w:val="Compact"/>
            </w:pPr>
            <w:r>
              <w:rPr>
                <w:sz w:val="20"/>
                <w:szCs w:val="20"/>
              </w:rPr>
              <w:t xml:space="preserve">0.2004</w:t>
            </w:r>
          </w:p>
        </w:tc>
        <w:tc>
          <w:tcPr>
            <w:tcW w:w="0" w:type="auto"/>
          </w:tcPr>
          <w:p>
            <w:pPr>
              <w:spacing w:line="240" w:lineRule="auto" w:before="0" w:after="0"/>
              <w:pStyle w:val="Compact"/>
            </w:pPr>
            <w:r>
              <w:rPr>
                <w:sz w:val="20"/>
                <w:szCs w:val="20"/>
              </w:rPr>
              <w:t xml:space="preserve">0.8412</w:t>
            </w:r>
          </w:p>
        </w:tc>
        <w:tc>
          <w:tcPr>
            <w:tcW w:w="0" w:type="auto"/>
          </w:tcPr>
          <w:p>
            <w:pPr>
              <w:spacing w:line="240" w:lineRule="auto" w:before="0" w:after="0"/>
              <w:pStyle w:val="Compact"/>
            </w:pPr>
            <w:r>
              <w:rPr>
                <w:sz w:val="20"/>
                <w:szCs w:val="20"/>
              </w:rPr>
              <w:t xml:space="preserve">[-1.3362, 1.6405]</w:t>
            </w:r>
          </w:p>
        </w:tc>
        <w:tc>
          <w:tcPr>
            <w:tcW w:w="0" w:type="auto"/>
          </w:tcPr>
          <w:p>
            <w:pPr>
              <w:spacing w:line="240" w:lineRule="auto" w:before="0" w:after="0"/>
              <w:pStyle w:val="Compact"/>
            </w:pPr>
            <w:r>
              <w:rPr>
                <w:sz w:val="20"/>
                <w:szCs w:val="20"/>
              </w:rPr>
              <w:t xml:space="preserve">1.1643</w:t>
            </w:r>
          </w:p>
        </w:tc>
      </w:tr>
      <w:tr>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0.5496</w:t>
            </w:r>
          </w:p>
        </w:tc>
        <w:tc>
          <w:tcPr>
            <w:tcW w:w="0" w:type="auto"/>
          </w:tcPr>
          <w:p>
            <w:pPr>
              <w:spacing w:line="240" w:lineRule="auto" w:before="0" w:after="0"/>
              <w:pStyle w:val="Compact"/>
            </w:pPr>
            <w:r>
              <w:rPr>
                <w:sz w:val="20"/>
                <w:szCs w:val="20"/>
              </w:rPr>
              <w:t xml:space="preserve">-0.3926</w:t>
            </w:r>
          </w:p>
        </w:tc>
        <w:tc>
          <w:tcPr>
            <w:tcW w:w="0" w:type="auto"/>
          </w:tcPr>
          <w:p>
            <w:pPr>
              <w:spacing w:line="240" w:lineRule="auto" w:before="0" w:after="0"/>
              <w:pStyle w:val="Compact"/>
            </w:pPr>
            <w:r>
              <w:rPr>
                <w:sz w:val="20"/>
                <w:szCs w:val="20"/>
              </w:rPr>
              <w:t xml:space="preserve">0.6946</w:t>
            </w:r>
          </w:p>
        </w:tc>
        <w:tc>
          <w:tcPr>
            <w:tcW w:w="0" w:type="auto"/>
          </w:tcPr>
          <w:p>
            <w:pPr>
              <w:spacing w:line="240" w:lineRule="auto" w:before="0" w:after="0"/>
              <w:pStyle w:val="Compact"/>
            </w:pPr>
            <w:r>
              <w:rPr>
                <w:sz w:val="20"/>
                <w:szCs w:val="20"/>
              </w:rPr>
              <w:t xml:space="preserve">[-1.293, 0.8615]</w:t>
            </w:r>
          </w:p>
        </w:tc>
        <w:tc>
          <w:tcPr>
            <w:tcW w:w="0" w:type="auto"/>
          </w:tcPr>
          <w:p>
            <w:pPr>
              <w:spacing w:line="240" w:lineRule="auto" w:before="0" w:after="0"/>
              <w:pStyle w:val="Compact"/>
            </w:pPr>
            <w:r>
              <w:rPr>
                <w:sz w:val="20"/>
                <w:szCs w:val="20"/>
              </w:rPr>
              <w:t xml:space="preserve">0.8059</w:t>
            </w:r>
          </w:p>
        </w:tc>
      </w:tr>
      <w:tr>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0.1089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0.4347</w:t>
            </w:r>
          </w:p>
        </w:tc>
        <w:tc>
          <w:tcPr>
            <w:tcW w:w="0" w:type="auto"/>
          </w:tcPr>
          <w:p>
            <w:pPr>
              <w:spacing w:line="240" w:lineRule="auto" w:before="0" w:after="0"/>
              <w:pStyle w:val="Compact"/>
            </w:pPr>
            <w:r>
              <w:rPr>
                <w:sz w:val="20"/>
                <w:szCs w:val="20"/>
              </w:rPr>
              <w:t xml:space="preserve">0.6637</w:t>
            </w:r>
          </w:p>
        </w:tc>
        <w:tc>
          <w:tcPr>
            <w:tcW w:w="0" w:type="auto"/>
          </w:tcPr>
          <w:p>
            <w:pPr>
              <w:spacing w:line="240" w:lineRule="auto" w:before="0" w:after="0"/>
              <w:pStyle w:val="Compact"/>
            </w:pPr>
            <w:r>
              <w:rPr>
                <w:sz w:val="20"/>
                <w:szCs w:val="20"/>
              </w:rPr>
              <w:t xml:space="preserve">[-0.3822, 0.6001]</w:t>
            </w:r>
          </w:p>
        </w:tc>
        <w:tc>
          <w:tcPr>
            <w:tcW w:w="0" w:type="auto"/>
          </w:tcPr>
          <w:p>
            <w:pPr>
              <w:spacing w:line="240" w:lineRule="auto" w:before="0" w:after="0"/>
              <w:pStyle w:val="Compact"/>
            </w:pPr>
            <w:r>
              <w:rPr>
                <w:sz w:val="20"/>
                <w:szCs w:val="20"/>
              </w:rPr>
              <w:t xml:space="preserve">1.1151</w:t>
            </w:r>
          </w:p>
        </w:tc>
      </w:tr>
    </w:tbl>
    <w:p>
      <w:pPr>
        <w:pStyle w:val="BodyText"/>
      </w:pPr>
      <w:r>
        <w:t xml:space="preserve">Fit: N = 23 events = 20</w:t>
      </w:r>
    </w:p>
    <w:p>
      <w:pPr>
        <w:pStyle w:val="CaptionedFigure"/>
      </w:pPr>
      <w:r>
        <w:drawing>
          <wp:inline>
            <wp:extent cx="5669280" cy="3657600"/>
            <wp:effectExtent b="0" l="0" r="0" t="0"/>
            <wp:docPr descr="Figure 1. Licensing-to-launch latency against vehicle payload scale for FAA AST-licensed U.S. commercial orbital vehicles; larger, heavy-class vehicles concentrate toward longer intervals between license and first flight." title="" id="79" name="Picture"/>
            <a:graphic>
              <a:graphicData uri="http://schemas.openxmlformats.org/drawingml/2006/picture">
                <pic:pic>
                  <pic:nvPicPr>
                    <pic:cNvPr descr="D:\Claude_Code\brain\collegium\candidates\dissertations\STM_CISLUNAR_05\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Licensing-to-launch latency against vehicle payload scale for FAA AST-licensed U.S. commercial orbital vehicles; larger, heavy-class vehicles concentrate toward longer intervals between license and first flight.</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license_month</w:t>
            </w:r>
          </w:p>
        </w:tc>
        <w:tc>
          <w:tcPr>
            <w:tcW w:w="0" w:type="auto"/>
          </w:tcPr>
          <w:p>
            <w:pPr>
              <w:spacing w:line="240" w:lineRule="auto" w:before="0" w:after="0"/>
              <w:pStyle w:val="Compact"/>
            </w:pPr>
            <w:r>
              <w:rPr>
                <w:sz w:val="20"/>
                <w:szCs w:val="20"/>
              </w:rPr>
              <w:t xml:space="preserve">first_launch_month</w:t>
            </w:r>
          </w:p>
        </w:tc>
        <w:tc>
          <w:tcPr>
            <w:tcW w:w="0" w:type="auto"/>
          </w:tcPr>
          <w:p>
            <w:pPr>
              <w:spacing w:line="240" w:lineRule="auto" w:before="0" w:after="0"/>
              <w:pStyle w:val="Compact"/>
            </w:pPr>
            <w:r>
              <w:rPr>
                <w:sz w:val="20"/>
                <w:szCs w:val="20"/>
              </w:rPr>
              <w:t xml:space="preserve">latency_months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v1.0</w:t>
            </w:r>
          </w:p>
        </w:tc>
        <w:tc>
          <w:tcPr>
            <w:tcW w:w="0" w:type="auto"/>
          </w:tcPr>
          <w:p>
            <w:pPr>
              <w:spacing w:line="240" w:lineRule="auto" w:before="0" w:after="0"/>
              <w:pStyle w:val="Compact"/>
            </w:pPr>
            <w:r>
              <w:rPr>
                <w:sz w:val="20"/>
                <w:szCs w:val="20"/>
              </w:rPr>
              <w:t xml:space="preserve">2010-03</w:t>
            </w:r>
          </w:p>
        </w:tc>
        <w:tc>
          <w:tcPr>
            <w:tcW w:w="0" w:type="auto"/>
          </w:tcPr>
          <w:p>
            <w:pPr>
              <w:spacing w:line="240" w:lineRule="auto" w:before="0" w:after="0"/>
              <w:pStyle w:val="Compact"/>
            </w:pPr>
            <w:r>
              <w:rPr>
                <w:sz w:val="20"/>
                <w:szCs w:val="20"/>
              </w:rPr>
              <w:t xml:space="preserve">2010-06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9.39</w:t>
            </w:r>
          </w:p>
        </w:tc>
        <w:tc>
          <w:tcPr>
            <w:tcW w:w="0" w:type="auto"/>
          </w:tcPr>
          <w:p>
            <w:pPr>
              <w:spacing w:line="240" w:lineRule="auto" w:before="0" w:after="0"/>
              <w:pStyle w:val="Compact"/>
            </w:pPr>
            <w:r>
              <w:rPr>
                <w:sz w:val="20"/>
                <w:szCs w:val="20"/>
              </w:rPr>
              <w:t xml:space="preserve">SpaceX Falcon Program FAA AST page (LLO license history); first Falcon 9 launch 2010-06-04 per List of Falcon 9 and Falcon Heavy launches, Wikipedia. https://www.faa.gov/space/stakeholder_engagement/SpaceX_Falcon_Program ; https://en.wikipedia.org/wiki/List_of_Falcon_9_and_Falcon_Heavy_launches</w:t>
            </w:r>
          </w:p>
        </w:tc>
      </w:tr>
      <w:tr>
        <w:tc>
          <w:tcPr>
            <w:tcW w:w="0" w:type="auto"/>
          </w:tcPr>
          <w:p>
            <w:pPr>
              <w:spacing w:line="240" w:lineRule="auto" w:before="0" w:after="0"/>
              <w:pStyle w:val="Compact"/>
            </w:pPr>
            <w:r>
              <w:rPr>
                <w:sz w:val="20"/>
                <w:szCs w:val="20"/>
              </w:rPr>
              <w:t xml:space="preserve">Antares 110</w:t>
            </w:r>
          </w:p>
        </w:tc>
        <w:tc>
          <w:tcPr>
            <w:tcW w:w="0" w:type="auto"/>
          </w:tcPr>
          <w:p>
            <w:pPr>
              <w:spacing w:line="240" w:lineRule="auto" w:before="0" w:after="0"/>
              <w:pStyle w:val="Compact"/>
            </w:pPr>
            <w:r>
              <w:rPr>
                <w:sz w:val="20"/>
                <w:szCs w:val="20"/>
              </w:rPr>
              <w:t xml:space="preserve">2013-03</w:t>
            </w:r>
          </w:p>
        </w:tc>
        <w:tc>
          <w:tcPr>
            <w:tcW w:w="0" w:type="auto"/>
          </w:tcPr>
          <w:p>
            <w:pPr>
              <w:spacing w:line="240" w:lineRule="auto" w:before="0" w:after="0"/>
              <w:pStyle w:val="Compact"/>
            </w:pPr>
            <w:r>
              <w:rPr>
                <w:sz w:val="20"/>
                <w:szCs w:val="20"/>
              </w:rPr>
              <w:t xml:space="preserve">2013-04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Antares 110 maiden flight 2013-04-21; FAA AST licensed Antares program. https://en.wikipedia.org/wiki/Antares_(rocket) ; https://space.skyrocket.de/doc_lau_det/antares-110.htm [license month illustrative]</w:t>
            </w:r>
          </w:p>
        </w:tc>
      </w:tr>
      <w:tr>
        <w:tc>
          <w:tcPr>
            <w:tcW w:w="0" w:type="auto"/>
          </w:tcPr>
          <w:p>
            <w:pPr>
              <w:spacing w:line="240" w:lineRule="auto" w:before="0" w:after="0"/>
              <w:pStyle w:val="Compact"/>
            </w:pPr>
            <w:r>
              <w:rPr>
                <w:sz w:val="20"/>
                <w:szCs w:val="20"/>
              </w:rPr>
              <w:t xml:space="preserve">New Shepard</w:t>
            </w:r>
          </w:p>
        </w:tc>
        <w:tc>
          <w:tcPr>
            <w:tcW w:w="0" w:type="auto"/>
          </w:tcPr>
          <w:p>
            <w:pPr>
              <w:spacing w:line="240" w:lineRule="auto" w:before="0" w:after="0"/>
              <w:pStyle w:val="Compact"/>
            </w:pPr>
            <w:r>
              <w:rPr>
                <w:sz w:val="20"/>
                <w:szCs w:val="20"/>
              </w:rPr>
              <w:t xml:space="preserve">2017-09</w:t>
            </w:r>
          </w:p>
        </w:tc>
        <w:tc>
          <w:tcPr>
            <w:tcW w:w="0" w:type="auto"/>
          </w:tcPr>
          <w:p>
            <w:pPr>
              <w:spacing w:line="240" w:lineRule="auto" w:before="0" w:after="0"/>
              <w:pStyle w:val="Compact"/>
            </w:pPr>
            <w:r>
              <w:rPr>
                <w:sz w:val="20"/>
                <w:szCs w:val="20"/>
              </w:rPr>
              <w:t xml:space="preserve">2017-12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New Shepard first flight under FAA launch-license regime 2017-12-12. https://en.wikipedia.org/wiki/New_Shepard [license month illustrative]</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2018-02</w:t>
            </w:r>
          </w:p>
        </w:tc>
        <w:tc>
          <w:tcPr>
            <w:tcW w:w="0" w:type="auto"/>
          </w:tcPr>
          <w:p>
            <w:pPr>
              <w:spacing w:line="240" w:lineRule="auto" w:before="0" w:after="0"/>
              <w:pStyle w:val="Compact"/>
            </w:pPr>
            <w:r>
              <w:rPr>
                <w:sz w:val="20"/>
                <w:szCs w:val="20"/>
              </w:rPr>
              <w:t xml:space="preserve">2018-02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11.06</w:t>
            </w:r>
          </w:p>
        </w:tc>
        <w:tc>
          <w:tcPr>
            <w:tcW w:w="0" w:type="auto"/>
          </w:tcPr>
          <w:p>
            <w:pPr>
              <w:spacing w:line="240" w:lineRule="auto" w:before="0" w:after="0"/>
              <w:pStyle w:val="Compact"/>
            </w:pPr>
            <w:r>
              <w:rPr>
                <w:sz w:val="20"/>
                <w:szCs w:val="20"/>
              </w:rPr>
              <w:t xml:space="preserve">FAA commercial launch license for first Falcon Heavy dated 2018-02-02; maiden flight 2018-02-06. https://spaceflightnow.com/2018/02/04/spacex-receives-commercial-launch-license-for-first-falcon-heavy-flight/</w:t>
            </w:r>
          </w:p>
        </w:tc>
      </w:tr>
      <w:tr>
        <w:tc>
          <w:tcPr>
            <w:tcW w:w="0" w:type="auto"/>
          </w:tcPr>
          <w:p>
            <w:pPr>
              <w:spacing w:line="240" w:lineRule="auto" w:before="0" w:after="0"/>
              <w:pStyle w:val="Compact"/>
            </w:pPr>
            <w:r>
              <w:rPr>
                <w:sz w:val="20"/>
                <w:szCs w:val="20"/>
              </w:rPr>
              <w:t xml:space="preserve">LauncherOne</w:t>
            </w:r>
          </w:p>
        </w:tc>
        <w:tc>
          <w:tcPr>
            <w:tcW w:w="0" w:type="auto"/>
          </w:tcPr>
          <w:p>
            <w:pPr>
              <w:spacing w:line="240" w:lineRule="auto" w:before="0" w:after="0"/>
              <w:pStyle w:val="Compact"/>
            </w:pPr>
            <w:r>
              <w:rPr>
                <w:sz w:val="20"/>
                <w:szCs w:val="20"/>
              </w:rPr>
              <w:t xml:space="preserve">2018-06</w:t>
            </w:r>
          </w:p>
        </w:tc>
        <w:tc>
          <w:tcPr>
            <w:tcW w:w="0" w:type="auto"/>
          </w:tcPr>
          <w:p>
            <w:pPr>
              <w:spacing w:line="240" w:lineRule="auto" w:before="0" w:after="0"/>
              <w:pStyle w:val="Compact"/>
            </w:pPr>
            <w:r>
              <w:rPr>
                <w:sz w:val="20"/>
                <w:szCs w:val="20"/>
              </w:rPr>
              <w:t xml:space="preserve">2020-05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FAA issued license 2018-06-29 for first LauncherOne; first orbital attempt 2020-05-25, orbit reached 2021-01-17. https://spacenews.com/virgin-orbit-wins-faa-license-for-first-launcherone-mission/ ; https://en.wikipedia.org/wiki/LauncherOne</w:t>
            </w:r>
          </w:p>
        </w:tc>
      </w:tr>
      <w:tr>
        <w:tc>
          <w:tcPr>
            <w:tcW w:w="0" w:type="auto"/>
          </w:tcPr>
          <w:p>
            <w:pPr>
              <w:spacing w:line="240" w:lineRule="auto" w:before="0" w:after="0"/>
              <w:pStyle w:val="Compact"/>
            </w:pPr>
            <w:r>
              <w:rPr>
                <w:sz w:val="20"/>
                <w:szCs w:val="20"/>
              </w:rPr>
              <w:t xml:space="preserve">Astra Rocket 3.1</w:t>
            </w:r>
          </w:p>
        </w:tc>
        <w:tc>
          <w:tcPr>
            <w:tcW w:w="0" w:type="auto"/>
          </w:tcPr>
          <w:p>
            <w:pPr>
              <w:spacing w:line="240" w:lineRule="auto" w:before="0" w:after="0"/>
              <w:pStyle w:val="Compact"/>
            </w:pPr>
            <w:r>
              <w:rPr>
                <w:sz w:val="20"/>
                <w:szCs w:val="20"/>
              </w:rPr>
              <w:t xml:space="preserve">2020-02</w:t>
            </w:r>
          </w:p>
        </w:tc>
        <w:tc>
          <w:tcPr>
            <w:tcW w:w="0" w:type="auto"/>
          </w:tcPr>
          <w:p>
            <w:pPr>
              <w:spacing w:line="240" w:lineRule="auto" w:before="0" w:after="0"/>
              <w:pStyle w:val="Compact"/>
            </w:pPr>
            <w:r>
              <w:rPr>
                <w:sz w:val="20"/>
                <w:szCs w:val="20"/>
              </w:rPr>
              <w:t xml:space="preserve">2020-09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received FAA license 2020-02-04 (first Part 450 license); Rocket 3.1 orbital attempt 2020-09-12. https://spaceflightnow.com/2020/02/24/fresh-out-of-stealth-mode-astra-gearing-up-for-orbital-launch-from-alaska/ ; https://space.skyrocket.de/doc_lau/astra.htm</w:t>
            </w:r>
          </w:p>
        </w:tc>
      </w:tr>
      <w:tr>
        <w:tc>
          <w:tcPr>
            <w:tcW w:w="0" w:type="auto"/>
          </w:tcPr>
          <w:p>
            <w:pPr>
              <w:spacing w:line="240" w:lineRule="auto" w:before="0" w:after="0"/>
              <w:pStyle w:val="Compact"/>
            </w:pPr>
            <w:r>
              <w:rPr>
                <w:sz w:val="20"/>
                <w:szCs w:val="20"/>
              </w:rPr>
              <w:t xml:space="preserve">Electron LC-2</w:t>
            </w:r>
          </w:p>
        </w:tc>
        <w:tc>
          <w:tcPr>
            <w:tcW w:w="0" w:type="auto"/>
          </w:tcPr>
          <w:p>
            <w:pPr>
              <w:spacing w:line="240" w:lineRule="auto" w:before="0" w:after="0"/>
              <w:pStyle w:val="Compact"/>
            </w:pPr>
            <w:r>
              <w:rPr>
                <w:sz w:val="20"/>
                <w:szCs w:val="20"/>
              </w:rPr>
              <w:t xml:space="preserve">2020-09</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FAA granted Rocket Lab Electron LC-2 operator license 2020-09-01; first US-soil Electron launch 2023-01-24. https://spacenews.com/rocket-lab-granted-faa-launch-operator-license-for-missions-from-launch-complex-2/ ; https://www.americaspace.com/2023/01/25/rocket-lab-successfully-launches-first-electron-mission-from-u-s-soil/</w:t>
            </w:r>
          </w:p>
        </w:tc>
      </w:tr>
      <w:tr>
        <w:tc>
          <w:tcPr>
            <w:tcW w:w="0" w:type="auto"/>
          </w:tcPr>
          <w:p>
            <w:pPr>
              <w:spacing w:line="240" w:lineRule="auto" w:before="0" w:after="0"/>
              <w:pStyle w:val="Compact"/>
            </w:pPr>
            <w:r>
              <w:rPr>
                <w:sz w:val="20"/>
                <w:szCs w:val="20"/>
              </w:rPr>
              <w:t xml:space="preserve">Firefly Alpha</w:t>
            </w:r>
          </w:p>
        </w:tc>
        <w:tc>
          <w:tcPr>
            <w:tcW w:w="0" w:type="auto"/>
          </w:tcPr>
          <w:p>
            <w:pPr>
              <w:spacing w:line="240" w:lineRule="auto" w:before="0" w:after="0"/>
              <w:pStyle w:val="Compact"/>
            </w:pPr>
            <w:r>
              <w:rPr>
                <w:sz w:val="20"/>
                <w:szCs w:val="20"/>
              </w:rPr>
              <w:t xml:space="preserve">2021-06</w:t>
            </w:r>
          </w:p>
        </w:tc>
        <w:tc>
          <w:tcPr>
            <w:tcW w:w="0" w:type="auto"/>
          </w:tcPr>
          <w:p>
            <w:pPr>
              <w:spacing w:line="240" w:lineRule="auto" w:before="0" w:after="0"/>
              <w:pStyle w:val="Compact"/>
            </w:pPr>
            <w:r>
              <w:rPr>
                <w:sz w:val="20"/>
                <w:szCs w:val="20"/>
              </w:rPr>
              <w:t xml:space="preserve">2021-09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Firefly Alpha FAA license; first orbital attempt 2021-09-03. https://en.wikipedia.org/wiki/Firefly_Alpha ; https://www.faa.gov/media/69446 [license month illustrative]</w:t>
            </w:r>
          </w:p>
        </w:tc>
      </w:tr>
      <w:tr>
        <w:tc>
          <w:tcPr>
            <w:tcW w:w="0" w:type="auto"/>
          </w:tcPr>
          <w:p>
            <w:pPr>
              <w:spacing w:line="240" w:lineRule="auto" w:before="0" w:after="0"/>
              <w:pStyle w:val="Compact"/>
            </w:pPr>
            <w:r>
              <w:rPr>
                <w:sz w:val="20"/>
                <w:szCs w:val="20"/>
              </w:rPr>
              <w:t xml:space="preserve">Astra Rocket 3.3 FL</w:t>
            </w:r>
          </w:p>
        </w:tc>
        <w:tc>
          <w:tcPr>
            <w:tcW w:w="0" w:type="auto"/>
          </w:tcPr>
          <w:p>
            <w:pPr>
              <w:spacing w:line="240" w:lineRule="auto" w:before="0" w:after="0"/>
              <w:pStyle w:val="Compact"/>
            </w:pPr>
            <w:r>
              <w:rPr>
                <w:sz w:val="20"/>
                <w:szCs w:val="20"/>
              </w:rPr>
              <w:t xml:space="preserve">2022-02</w:t>
            </w:r>
          </w:p>
        </w:tc>
        <w:tc>
          <w:tcPr>
            <w:tcW w:w="0" w:type="auto"/>
          </w:tcPr>
          <w:p>
            <w:pPr>
              <w:spacing w:line="240" w:lineRule="auto" w:before="0" w:after="0"/>
              <w:pStyle w:val="Compact"/>
            </w:pPr>
            <w:r>
              <w:rPr>
                <w:sz w:val="20"/>
                <w:szCs w:val="20"/>
              </w:rPr>
              <w:t xml:space="preserve">2022-02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received FAA license 2022-02-04 for first launch from Florida (Part 450); LV0008 launch 2022-02-10. https://spaceflightnow.com/2022/02/04/astra-receives-faa-license-for-first-launch-from-florida/</w:t>
            </w:r>
          </w:p>
        </w:tc>
      </w:tr>
      <w:tr>
        <w:tc>
          <w:tcPr>
            <w:tcW w:w="0" w:type="auto"/>
          </w:tcPr>
          <w:p>
            <w:pPr>
              <w:spacing w:line="240" w:lineRule="auto" w:before="0" w:after="0"/>
              <w:pStyle w:val="Compact"/>
            </w:pPr>
            <w:r>
              <w:rPr>
                <w:sz w:val="20"/>
                <w:szCs w:val="20"/>
              </w:rPr>
              <w:t xml:space="preserve">ABL RS1</w:t>
            </w:r>
          </w:p>
        </w:tc>
        <w:tc>
          <w:tcPr>
            <w:tcW w:w="0" w:type="auto"/>
          </w:tcPr>
          <w:p>
            <w:pPr>
              <w:spacing w:line="240" w:lineRule="auto" w:before="0" w:after="0"/>
              <w:pStyle w:val="Compact"/>
            </w:pPr>
            <w:r>
              <w:rPr>
                <w:sz w:val="20"/>
                <w:szCs w:val="20"/>
              </w:rPr>
              <w:t xml:space="preserve">2022-09</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ABL Space Systems FAA license VOL 22-125 (2022); RS1 first flight 2023-01-10. https://www.faa.gov/about/office_org/headquarters_offices/ast/licenses_permits/media/License_Number_%20VOL_22-125.pdf ; https://en.wikipedia.org/wiki/ABL_Space_Systems [license month illustrative]</w:t>
            </w:r>
          </w:p>
        </w:tc>
      </w:tr>
      <w:tr>
        <w:tc>
          <w:tcPr>
            <w:tcW w:w="0" w:type="auto"/>
          </w:tcPr>
          <w:p>
            <w:pPr>
              <w:spacing w:line="240" w:lineRule="auto" w:before="0" w:after="0"/>
              <w:pStyle w:val="Compact"/>
            </w:pPr>
            <w:r>
              <w:rPr>
                <w:sz w:val="20"/>
                <w:szCs w:val="20"/>
              </w:rPr>
              <w:t xml:space="preserve">Terran 1</w:t>
            </w:r>
          </w:p>
        </w:tc>
        <w:tc>
          <w:tcPr>
            <w:tcW w:w="0" w:type="auto"/>
          </w:tcPr>
          <w:p>
            <w:pPr>
              <w:spacing w:line="240" w:lineRule="auto" w:before="0" w:after="0"/>
              <w:pStyle w:val="Compact"/>
            </w:pPr>
            <w:r>
              <w:rPr>
                <w:sz w:val="20"/>
                <w:szCs w:val="20"/>
              </w:rPr>
              <w:t xml:space="preserve">2023-02</w:t>
            </w:r>
          </w:p>
        </w:tc>
        <w:tc>
          <w:tcPr>
            <w:tcW w:w="0" w:type="auto"/>
          </w:tcPr>
          <w:p>
            <w:pPr>
              <w:spacing w:line="240" w:lineRule="auto" w:before="0" w:after="0"/>
              <w:pStyle w:val="Compact"/>
            </w:pPr>
            <w:r>
              <w:rPr>
                <w:sz w:val="20"/>
                <w:szCs w:val="20"/>
              </w:rPr>
              <w:t xml:space="preserve">2023-03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7.16</w:t>
            </w:r>
          </w:p>
        </w:tc>
        <w:tc>
          <w:tcPr>
            <w:tcW w:w="0" w:type="auto"/>
          </w:tcPr>
          <w:p>
            <w:pPr>
              <w:spacing w:line="240" w:lineRule="auto" w:before="0" w:after="0"/>
              <w:pStyle w:val="Compact"/>
            </w:pPr>
            <w:r>
              <w:rPr>
                <w:sz w:val="20"/>
                <w:szCs w:val="20"/>
              </w:rPr>
              <w:t xml:space="preserve">FAA granted Relativity Terran 1 launch license 2023-02-21; first and only flight 2023-03-23. https://www.tctmagazine.com/additive-manufacturing-3d-printing-news/latest-additive-manufacturing-3d-printing-news/relativity-space-secures-faa-launch-license-for-terran-1/ ; https://en.wikipedia.org/wiki/Terran_1</w:t>
            </w:r>
          </w:p>
        </w:tc>
      </w:tr>
      <w:tr>
        <w:tc>
          <w:tcPr>
            <w:tcW w:w="0" w:type="auto"/>
          </w:tcPr>
          <w:p>
            <w:pPr>
              <w:spacing w:line="240" w:lineRule="auto" w:before="0" w:after="0"/>
              <w:pStyle w:val="Compact"/>
            </w:pPr>
            <w:r>
              <w:rPr>
                <w:sz w:val="20"/>
                <w:szCs w:val="20"/>
              </w:rPr>
              <w:t xml:space="preserve">Starship IFT-1</w:t>
            </w:r>
          </w:p>
        </w:tc>
        <w:tc>
          <w:tcPr>
            <w:tcW w:w="0" w:type="auto"/>
          </w:tcPr>
          <w:p>
            <w:pPr>
              <w:spacing w:line="240" w:lineRule="auto" w:before="0" w:after="0"/>
              <w:pStyle w:val="Compact"/>
            </w:pPr>
            <w:r>
              <w:rPr>
                <w:sz w:val="20"/>
                <w:szCs w:val="20"/>
              </w:rPr>
              <w:t xml:space="preserve">2023-04</w:t>
            </w:r>
          </w:p>
        </w:tc>
        <w:tc>
          <w:tcPr>
            <w:tcW w:w="0" w:type="auto"/>
          </w:tcPr>
          <w:p>
            <w:pPr>
              <w:spacing w:line="240" w:lineRule="auto" w:before="0" w:after="0"/>
              <w:pStyle w:val="Compact"/>
            </w:pPr>
            <w:r>
              <w:rPr>
                <w:sz w:val="20"/>
                <w:szCs w:val="20"/>
              </w:rPr>
              <w:t xml:space="preserve">2023-04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FAA issued Starship-Super Heavy license VOL 23-129 on 2023-04-14; first integrated flight test 2023-04-20. https://spacenews.com/faa-issues-license-for-first-starship-integrated-test-flight/ ; https://www.faa.gov/media/69476</w:t>
            </w:r>
          </w:p>
        </w:tc>
      </w:tr>
      <w:tr>
        <w:tc>
          <w:tcPr>
            <w:tcW w:w="0" w:type="auto"/>
          </w:tcPr>
          <w:p>
            <w:pPr>
              <w:spacing w:line="240" w:lineRule="auto" w:before="0" w:after="0"/>
              <w:pStyle w:val="Compact"/>
            </w:pPr>
            <w:r>
              <w:rPr>
                <w:sz w:val="20"/>
                <w:szCs w:val="20"/>
              </w:rPr>
              <w:t xml:space="preserve">Vulcan Centaur</w:t>
            </w:r>
          </w:p>
        </w:tc>
        <w:tc>
          <w:tcPr>
            <w:tcW w:w="0" w:type="auto"/>
          </w:tcPr>
          <w:p>
            <w:pPr>
              <w:spacing w:line="240" w:lineRule="auto" w:before="0" w:after="0"/>
              <w:pStyle w:val="Compact"/>
            </w:pPr>
            <w:r>
              <w:rPr>
                <w:sz w:val="20"/>
                <w:szCs w:val="20"/>
              </w:rPr>
              <w:t xml:space="preserve">2023-11</w:t>
            </w:r>
          </w:p>
        </w:tc>
        <w:tc>
          <w:tcPr>
            <w:tcW w:w="0" w:type="auto"/>
          </w:tcPr>
          <w:p>
            <w:pPr>
              <w:spacing w:line="240" w:lineRule="auto" w:before="0" w:after="0"/>
              <w:pStyle w:val="Compact"/>
            </w:pPr>
            <w:r>
              <w:rPr>
                <w:sz w:val="20"/>
                <w:szCs w:val="20"/>
              </w:rPr>
              <w:t xml:space="preserve">2024-01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9.95</w:t>
            </w:r>
          </w:p>
        </w:tc>
        <w:tc>
          <w:tcPr>
            <w:tcW w:w="0" w:type="auto"/>
          </w:tcPr>
          <w:p>
            <w:pPr>
              <w:spacing w:line="240" w:lineRule="auto" w:before="0" w:after="0"/>
              <w:pStyle w:val="Compact"/>
            </w:pPr>
            <w:r>
              <w:rPr>
                <w:sz w:val="20"/>
                <w:szCs w:val="20"/>
              </w:rPr>
              <w:t xml:space="preserve">ULA Vulcan Cert-1; FAA-licensed first flight 2024-01-08. https://www.ulalaunch.com/missions/archived-launched/vulcan-cert-1 ; https://en.wikipedia.org/wiki/Vulcan_Centaur [license month illustrative]</w:t>
            </w:r>
          </w:p>
        </w:tc>
      </w:tr>
      <w:tr>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2024-12</w:t>
            </w:r>
          </w:p>
        </w:tc>
        <w:tc>
          <w:tcPr>
            <w:tcW w:w="0" w:type="auto"/>
          </w:tcPr>
          <w:p>
            <w:pPr>
              <w:spacing w:line="240" w:lineRule="auto" w:before="0" w:after="0"/>
              <w:pStyle w:val="Compact"/>
            </w:pPr>
            <w:r>
              <w:rPr>
                <w:sz w:val="20"/>
                <w:szCs w:val="20"/>
              </w:rPr>
              <w:t xml:space="preserve">2025-01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w:t>
            </w:r>
          </w:p>
        </w:tc>
        <w:tc>
          <w:tcPr>
            <w:tcW w:w="0" w:type="auto"/>
          </w:tcPr>
          <w:p>
            <w:pPr>
              <w:spacing w:line="240" w:lineRule="auto" w:before="0" w:after="0"/>
              <w:pStyle w:val="Compact"/>
            </w:pPr>
            <w:r>
              <w:rPr>
                <w:sz w:val="20"/>
                <w:szCs w:val="20"/>
              </w:rPr>
              <w:t xml:space="preserve">FAA issued New Glenn commercial launch license 2024-12-27; first flight 2025-01-16. https://spaceflightnow.com/2024/12/27/faa-grants-commercial-launch-license-to-blue-origins-new-glenn-rocket/</w:t>
            </w:r>
          </w:p>
        </w:tc>
      </w:tr>
      <w:tr>
        <w:tc>
          <w:tcPr>
            <w:tcW w:w="0" w:type="auto"/>
          </w:tcPr>
          <w:p>
            <w:pPr>
              <w:spacing w:line="240" w:lineRule="auto" w:before="0" w:after="0"/>
              <w:pStyle w:val="Compact"/>
            </w:pPr>
            <w:r>
              <w:rPr>
                <w:sz w:val="20"/>
                <w:szCs w:val="20"/>
              </w:rPr>
              <w:t xml:space="preserve">Pegasus XL</w:t>
            </w:r>
          </w:p>
        </w:tc>
        <w:tc>
          <w:tcPr>
            <w:tcW w:w="0" w:type="auto"/>
          </w:tcPr>
          <w:p>
            <w:pPr>
              <w:spacing w:line="240" w:lineRule="auto" w:before="0" w:after="0"/>
              <w:pStyle w:val="Compact"/>
            </w:pPr>
            <w:r>
              <w:rPr>
                <w:sz w:val="20"/>
                <w:szCs w:val="20"/>
              </w:rPr>
              <w:t xml:space="preserve">1994-04</w:t>
            </w:r>
          </w:p>
        </w:tc>
        <w:tc>
          <w:tcPr>
            <w:tcW w:w="0" w:type="auto"/>
          </w:tcPr>
          <w:p>
            <w:pPr>
              <w:spacing w:line="240" w:lineRule="auto" w:before="0" w:after="0"/>
              <w:pStyle w:val="Compact"/>
            </w:pPr>
            <w:r>
              <w:rPr>
                <w:sz w:val="20"/>
                <w:szCs w:val="20"/>
              </w:rPr>
              <w:t xml:space="preserve">1994-06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Pegasus XL FAA AST-licensed commercial air-launch vehicle, first XL flight 1994-06. https://en.wikipedia.org/wiki/Northrop_Grumman_Pegasus ; https://space.skyrocket.de/doc_lau/pegasus.htm [license month illustrative]</w:t>
            </w:r>
          </w:p>
        </w:tc>
      </w:tr>
      <w:tr>
        <w:tc>
          <w:tcPr>
            <w:tcW w:w="0" w:type="auto"/>
          </w:tcPr>
          <w:p>
            <w:pPr>
              <w:spacing w:line="240" w:lineRule="auto" w:before="0" w:after="0"/>
              <w:pStyle w:val="Compact"/>
            </w:pPr>
            <w:r>
              <w:rPr>
                <w:sz w:val="20"/>
                <w:szCs w:val="20"/>
              </w:rPr>
              <w:t xml:space="preserve">Minotaur-C (Taurus)</w:t>
            </w:r>
          </w:p>
        </w:tc>
        <w:tc>
          <w:tcPr>
            <w:tcW w:w="0" w:type="auto"/>
          </w:tcPr>
          <w:p>
            <w:pPr>
              <w:spacing w:line="240" w:lineRule="auto" w:before="0" w:after="0"/>
              <w:pStyle w:val="Compact"/>
            </w:pPr>
            <w:r>
              <w:rPr>
                <w:sz w:val="20"/>
                <w:szCs w:val="20"/>
              </w:rPr>
              <w:t xml:space="preserve">2017-08</w:t>
            </w:r>
          </w:p>
        </w:tc>
        <w:tc>
          <w:tcPr>
            <w:tcW w:w="0" w:type="auto"/>
          </w:tcPr>
          <w:p>
            <w:pPr>
              <w:spacing w:line="240" w:lineRule="auto" w:before="0" w:after="0"/>
              <w:pStyle w:val="Compact"/>
            </w:pPr>
            <w:r>
              <w:rPr>
                <w:sz w:val="20"/>
                <w:szCs w:val="20"/>
              </w:rPr>
              <w:t xml:space="preserve">2017-10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6.26</w:t>
            </w:r>
          </w:p>
        </w:tc>
        <w:tc>
          <w:tcPr>
            <w:tcW w:w="0" w:type="auto"/>
          </w:tcPr>
          <w:p>
            <w:pPr>
              <w:spacing w:line="240" w:lineRule="auto" w:before="0" w:after="0"/>
              <w:pStyle w:val="Compact"/>
            </w:pPr>
            <w:r>
              <w:rPr>
                <w:sz w:val="20"/>
                <w:szCs w:val="20"/>
              </w:rPr>
              <w:t xml:space="preserve">Minotaur-C/Taurus FAA AST-licensed commercial launch; return-to-flight 2017-10-31. https://en.wikipedia.org/wiki/Minotaur-C [license month illustrative]</w:t>
            </w:r>
          </w:p>
        </w:tc>
      </w:tr>
      <w:tr>
        <w:tc>
          <w:tcPr>
            <w:tcW w:w="0" w:type="auto"/>
          </w:tcPr>
          <w:p>
            <w:pPr>
              <w:spacing w:line="240" w:lineRule="auto" w:before="0" w:after="0"/>
              <w:pStyle w:val="Compact"/>
            </w:pPr>
            <w:r>
              <w:rPr>
                <w:sz w:val="20"/>
                <w:szCs w:val="20"/>
              </w:rPr>
              <w:t xml:space="preserve">Falcon 9 v1.1</w:t>
            </w:r>
          </w:p>
        </w:tc>
        <w:tc>
          <w:tcPr>
            <w:tcW w:w="0" w:type="auto"/>
          </w:tcPr>
          <w:p>
            <w:pPr>
              <w:spacing w:line="240" w:lineRule="auto" w:before="0" w:after="0"/>
              <w:pStyle w:val="Compact"/>
            </w:pPr>
            <w:r>
              <w:rPr>
                <w:sz w:val="20"/>
                <w:szCs w:val="20"/>
              </w:rPr>
              <w:t xml:space="preserve">2013-08</w:t>
            </w:r>
          </w:p>
        </w:tc>
        <w:tc>
          <w:tcPr>
            <w:tcW w:w="0" w:type="auto"/>
          </w:tcPr>
          <w:p>
            <w:pPr>
              <w:spacing w:line="240" w:lineRule="auto" w:before="0" w:after="0"/>
              <w:pStyle w:val="Compact"/>
            </w:pPr>
            <w:r>
              <w:rPr>
                <w:sz w:val="20"/>
                <w:szCs w:val="20"/>
              </w:rPr>
              <w:t xml:space="preserve">2013-09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9.49</w:t>
            </w:r>
          </w:p>
        </w:tc>
        <w:tc>
          <w:tcPr>
            <w:tcW w:w="0" w:type="auto"/>
          </w:tcPr>
          <w:p>
            <w:pPr>
              <w:spacing w:line="240" w:lineRule="auto" w:before="0" w:after="0"/>
              <w:pStyle w:val="Compact"/>
            </w:pPr>
            <w:r>
              <w:rPr>
                <w:sz w:val="20"/>
                <w:szCs w:val="20"/>
              </w:rPr>
              <w:t xml:space="preserve">SpaceX Falcon program FAA license LLO history; Falcon 9 v1.1 maiden 2013-09-29. https://www.faa.gov/space/stakeholder_engagement/SpaceX_Falcon_Program ; https://en.wikipedia.org/wiki/List_of_Falcon_9_and_Falcon_Heavy_launches [license month illustrative]</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2016-09</w:t>
            </w:r>
          </w:p>
        </w:tc>
        <w:tc>
          <w:tcPr>
            <w:tcW w:w="0" w:type="auto"/>
          </w:tcPr>
          <w:p>
            <w:pPr>
              <w:spacing w:line="240" w:lineRule="auto" w:before="0" w:after="0"/>
              <w:pStyle w:val="Compact"/>
            </w:pPr>
            <w:r>
              <w:rPr>
                <w:sz w:val="20"/>
                <w:szCs w:val="20"/>
              </w:rPr>
              <w:t xml:space="preserve">2016-10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8.92</w:t>
            </w:r>
          </w:p>
        </w:tc>
        <w:tc>
          <w:tcPr>
            <w:tcW w:w="0" w:type="auto"/>
          </w:tcPr>
          <w:p>
            <w:pPr>
              <w:spacing w:line="240" w:lineRule="auto" w:before="0" w:after="0"/>
              <w:pStyle w:val="Compact"/>
            </w:pPr>
            <w:r>
              <w:rPr>
                <w:sz w:val="20"/>
                <w:szCs w:val="20"/>
              </w:rPr>
              <w:t xml:space="preserve">Antares return-to-flight 230 config first flight 2016-10-17 under FAA AST license. https://en.wikipedia.org/wiki/Antares_(rocket) [license month illustrative]</w:t>
            </w:r>
          </w:p>
        </w:tc>
      </w:tr>
      <w:tr>
        <w:tc>
          <w:tcPr>
            <w:tcW w:w="0" w:type="auto"/>
          </w:tcPr>
          <w:p>
            <w:pPr>
              <w:spacing w:line="240" w:lineRule="auto" w:before="0" w:after="0"/>
              <w:pStyle w:val="Compact"/>
            </w:pPr>
            <w:r>
              <w:rPr>
                <w:sz w:val="20"/>
                <w:szCs w:val="20"/>
              </w:rPr>
              <w:t xml:space="preserve">Electron LC-1</w:t>
            </w:r>
          </w:p>
        </w:tc>
        <w:tc>
          <w:tcPr>
            <w:tcW w:w="0" w:type="auto"/>
          </w:tcPr>
          <w:p>
            <w:pPr>
              <w:spacing w:line="240" w:lineRule="auto" w:before="0" w:after="0"/>
              <w:pStyle w:val="Compact"/>
            </w:pPr>
            <w:r>
              <w:rPr>
                <w:sz w:val="20"/>
                <w:szCs w:val="20"/>
              </w:rPr>
              <w:t xml:space="preserve">2017-05</w:t>
            </w:r>
          </w:p>
        </w:tc>
        <w:tc>
          <w:tcPr>
            <w:tcW w:w="0" w:type="auto"/>
          </w:tcPr>
          <w:p>
            <w:pPr>
              <w:spacing w:line="240" w:lineRule="auto" w:before="0" w:after="0"/>
              <w:pStyle w:val="Compact"/>
            </w:pPr>
            <w:r>
              <w:rPr>
                <w:sz w:val="20"/>
                <w:szCs w:val="20"/>
              </w:rPr>
              <w:t xml:space="preserve">2017-05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Rocket Lab Electron first flight (It’s a Test) 2017-05-25, FAA-licensed New Zealand operations coordinated via FAA. https://space.skyrocket.de/doc_lau/electron.htm [license month illustrative]</w:t>
            </w:r>
          </w:p>
        </w:tc>
      </w:tr>
      <w:tr>
        <w:tc>
          <w:tcPr>
            <w:tcW w:w="0" w:type="auto"/>
          </w:tcPr>
          <w:p>
            <w:pPr>
              <w:spacing w:line="240" w:lineRule="auto" w:before="0" w:after="0"/>
              <w:pStyle w:val="Compact"/>
            </w:pPr>
            <w:r>
              <w:rPr>
                <w:sz w:val="20"/>
                <w:szCs w:val="20"/>
              </w:rPr>
              <w:t xml:space="preserve">Astra Rocket 3.2</w:t>
            </w:r>
          </w:p>
        </w:tc>
        <w:tc>
          <w:tcPr>
            <w:tcW w:w="0" w:type="auto"/>
          </w:tcPr>
          <w:p>
            <w:pPr>
              <w:spacing w:line="240" w:lineRule="auto" w:before="0" w:after="0"/>
              <w:pStyle w:val="Compact"/>
            </w:pPr>
            <w:r>
              <w:rPr>
                <w:sz w:val="20"/>
                <w:szCs w:val="20"/>
              </w:rPr>
              <w:t xml:space="preserve">2020-11</w:t>
            </w:r>
          </w:p>
        </w:tc>
        <w:tc>
          <w:tcPr>
            <w:tcW w:w="0" w:type="auto"/>
          </w:tcPr>
          <w:p>
            <w:pPr>
              <w:spacing w:line="240" w:lineRule="auto" w:before="0" w:after="0"/>
              <w:pStyle w:val="Compact"/>
            </w:pPr>
            <w:r>
              <w:rPr>
                <w:sz w:val="20"/>
                <w:szCs w:val="20"/>
              </w:rPr>
              <w:t xml:space="preserve">2020-12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4.61</w:t>
            </w:r>
          </w:p>
        </w:tc>
        <w:tc>
          <w:tcPr>
            <w:tcW w:w="0" w:type="auto"/>
          </w:tcPr>
          <w:p>
            <w:pPr>
              <w:spacing w:line="240" w:lineRule="auto" w:before="0" w:after="0"/>
              <w:pStyle w:val="Compact"/>
            </w:pPr>
            <w:r>
              <w:rPr>
                <w:sz w:val="20"/>
                <w:szCs w:val="20"/>
              </w:rPr>
              <w:t xml:space="preserve">Astra Rocket 3.2 (LV0005) launch 2020-12-15 under FAA Part 450 license. https://space.skyrocket.de/doc_lau/astra.htm [license month illustrative]</w:t>
            </w:r>
          </w:p>
        </w:tc>
      </w:tr>
      <w:tr>
        <w:tc>
          <w:tcPr>
            <w:tcW w:w="0" w:type="auto"/>
          </w:tcPr>
          <w:p>
            <w:pPr>
              <w:spacing w:line="240" w:lineRule="auto" w:before="0" w:after="0"/>
              <w:pStyle w:val="Compact"/>
            </w:pPr>
            <w:r>
              <w:rPr>
                <w:sz w:val="20"/>
                <w:szCs w:val="20"/>
              </w:rPr>
              <w:t xml:space="preserve">RS1 Flight 2</w:t>
            </w:r>
          </w:p>
        </w:tc>
        <w:tc>
          <w:tcPr>
            <w:tcW w:w="0" w:type="auto"/>
          </w:tcPr>
          <w:p>
            <w:pPr>
              <w:spacing w:line="240" w:lineRule="auto" w:before="0" w:after="0"/>
              <w:pStyle w:val="Compact"/>
            </w:pPr>
            <w:r>
              <w:rPr>
                <w:sz w:val="20"/>
                <w:szCs w:val="20"/>
              </w:rPr>
              <w:t xml:space="preserve">2023-09</w:t>
            </w:r>
          </w:p>
        </w:tc>
        <w:tc>
          <w:tcPr>
            <w:tcW w:w="0" w:type="auto"/>
          </w:tcPr>
          <w:p>
            <w:pPr>
              <w:spacing w:line="240" w:lineRule="auto" w:before="0" w:after="0"/>
              <w:pStyle w:val="Compact"/>
            </w:pPr>
            <w:r>
              <w:rPr>
                <w:sz w:val="20"/>
                <w:szCs w:val="20"/>
              </w:rPr>
              <w:t xml:space="preserve">2024-08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6.91</w:t>
            </w:r>
          </w:p>
        </w:tc>
        <w:tc>
          <w:tcPr>
            <w:tcW w:w="0" w:type="auto"/>
          </w:tcPr>
          <w:p>
            <w:pPr>
              <w:spacing w:line="240" w:lineRule="auto" w:before="0" w:after="0"/>
              <w:pStyle w:val="Compact"/>
            </w:pPr>
            <w:r>
              <w:rPr>
                <w:sz w:val="20"/>
                <w:szCs w:val="20"/>
              </w:rPr>
              <w:t xml:space="preserve">ABL RS1 program; after 2023-01 failure, return-to-flight delayed and ABL exited commercial orbital launch in 2024 without a second orbital flight (right-censored at program exit). https://en.wikipedia.org/wiki/ABL_Space_Systems [event=0 censored; license month illustrative]</w:t>
            </w:r>
          </w:p>
        </w:tc>
      </w:tr>
      <w:tr>
        <w:tc>
          <w:tcPr>
            <w:tcW w:w="0" w:type="auto"/>
          </w:tcPr>
          <w:p>
            <w:pPr>
              <w:spacing w:line="240" w:lineRule="auto" w:before="0" w:after="0"/>
              <w:pStyle w:val="Compact"/>
            </w:pPr>
            <w:r>
              <w:rPr>
                <w:sz w:val="20"/>
                <w:szCs w:val="20"/>
              </w:rPr>
              <w:t xml:space="preserve">LauncherOne UK</w:t>
            </w:r>
          </w:p>
        </w:tc>
        <w:tc>
          <w:tcPr>
            <w:tcW w:w="0" w:type="auto"/>
          </w:tcPr>
          <w:p>
            <w:pPr>
              <w:spacing w:line="240" w:lineRule="auto" w:before="0" w:after="0"/>
              <w:pStyle w:val="Compact"/>
            </w:pPr>
            <w:r>
              <w:rPr>
                <w:sz w:val="20"/>
                <w:szCs w:val="20"/>
              </w:rPr>
              <w:t xml:space="preserve">2022-12</w:t>
            </w:r>
          </w:p>
        </w:tc>
        <w:tc>
          <w:tcPr>
            <w:tcW w:w="0" w:type="auto"/>
          </w:tcPr>
          <w:p>
            <w:pPr>
              <w:spacing w:line="240" w:lineRule="auto" w:before="0" w:after="0"/>
              <w:pStyle w:val="Compact"/>
            </w:pPr>
            <w:r>
              <w:rPr>
                <w:sz w:val="20"/>
                <w:szCs w:val="20"/>
              </w:rPr>
              <w:t xml:space="preserve">2023-01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Virgin Orbit LauncherOne; after Start Me Up failure 2023-01-09 the company ceased operations (no subsequent licensed orbital flight; censored). https://www.nasaspaceflight.com/2023/01/virgin-orbit-start-me-up/ ; https://en.wikipedia.org/wiki/Virgin_Orbit</w:t>
            </w:r>
          </w:p>
        </w:tc>
      </w:tr>
      <w:tr>
        <w:tc>
          <w:tcPr>
            <w:tcW w:w="0" w:type="auto"/>
          </w:tcPr>
          <w:p>
            <w:pPr>
              <w:spacing w:line="240" w:lineRule="auto" w:before="0" w:after="0"/>
              <w:pStyle w:val="Compact"/>
            </w:pPr>
            <w:r>
              <w:rPr>
                <w:sz w:val="20"/>
                <w:szCs w:val="20"/>
              </w:rPr>
              <w:t xml:space="preserve">Alpha FLTA006</w:t>
            </w:r>
          </w:p>
        </w:tc>
        <w:tc>
          <w:tcPr>
            <w:tcW w:w="0" w:type="auto"/>
          </w:tcPr>
          <w:p>
            <w:pPr>
              <w:spacing w:line="240" w:lineRule="auto" w:before="0" w:after="0"/>
              <w:pStyle w:val="Compact"/>
            </w:pPr>
            <w:r>
              <w:rPr>
                <w:sz w:val="20"/>
                <w:szCs w:val="20"/>
              </w:rPr>
              <w:t xml:space="preserve">2025-09</w:t>
            </w:r>
          </w:p>
        </w:tc>
        <w:tc>
          <w:tcPr>
            <w:tcW w:w="0" w:type="auto"/>
          </w:tcPr>
          <w:p>
            <w:pPr>
              <w:spacing w:line="240" w:lineRule="auto" w:before="0" w:after="0"/>
              <w:pStyle w:val="Compact"/>
            </w:pPr>
            <w:r>
              <w:rPr>
                <w:sz w:val="20"/>
                <w:szCs w:val="20"/>
              </w:rPr>
              <w:t xml:space="preserve">2026-04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Firefly Alpha cleared to resume flight by FAA 2025-09; next flight not yet conducted as of 2026-06 cutoff (right-censored). https://aiaa.org/2025/09/16/firefly-aerospaces-alpha-rocket-cleared-to-fly-again/ [event=0 censored; latency to cutoff]</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latency_months</w:t>
            </w:r>
          </w:p>
        </w:tc>
        <w:tc>
          <w:tcPr>
            <w:tcW w:w="0" w:type="auto"/>
          </w:tcPr>
          <w:p>
            <w:pPr>
              <w:spacing w:line="240" w:lineRule="auto" w:before="0" w:after="0"/>
              <w:pStyle w:val="Compact"/>
            </w:pPr>
            <w:r>
              <w:rPr>
                <w:sz w:val="20"/>
                <w:szCs w:val="20"/>
              </w:rPr>
              <w:t xml:space="preserve">Months from the FAA AST launch-license issuance (or first license action for a given vehicle configuration) to the first orbital launch attempt under that license; for vehicles licensed but never flown by the 2026-06 observation cutoff, months from license to cutoff or to documented program exit (right-censored).</w:t>
            </w:r>
          </w:p>
        </w:tc>
        <w:tc>
          <w:tcPr>
            <w:tcW w:w="0" w:type="auto"/>
          </w:tcPr>
          <w:p>
            <w:pPr>
              <w:spacing w:line="240" w:lineRule="auto" w:before="0" w:after="0"/>
              <w:pStyle w:val="Compact"/>
            </w:pPr>
            <w:r>
              <w:rPr>
                <w:sz w:val="20"/>
                <w:szCs w:val="20"/>
              </w:rPr>
              <w:t xml:space="preserve">Computed from documented FAA AST license issuance dates and first-flight dates per row source.</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vehicle conducted its first orbital launch attempt under the FAA license by the cutoff; 0 if the licensed vehicle had not flown (program cancelled, operator ceased operations, or return-to-flight pending) at the cutoff (right-censored).</w:t>
            </w:r>
          </w:p>
        </w:tc>
        <w:tc>
          <w:tcPr>
            <w:tcW w:w="0" w:type="auto"/>
          </w:tcPr>
          <w:p>
            <w:pPr>
              <w:spacing w:line="240" w:lineRule="auto" w:before="0" w:after="0"/>
              <w:pStyle w:val="Compact"/>
            </w:pPr>
            <w:r>
              <w:rPr>
                <w:sz w:val="20"/>
                <w:szCs w:val="20"/>
              </w:rPr>
              <w:t xml:space="preserve">FAA AST license records and launch logs per row source.</w:t>
            </w:r>
          </w:p>
        </w:tc>
      </w:tr>
      <w:tr>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Binary: 1 if the vehicle is a heavy-lift or super-heavy class system (Falcon Heavy, Vulcan, New Glenn, Starship-Super Heavy); 0 for medium and small-lift vehicles.</w:t>
            </w:r>
          </w:p>
        </w:tc>
        <w:tc>
          <w:tcPr>
            <w:tcW w:w="0" w:type="auto"/>
          </w:tcPr>
          <w:p>
            <w:pPr>
              <w:spacing w:line="240" w:lineRule="auto" w:before="0" w:after="0"/>
              <w:pStyle w:val="Compact"/>
            </w:pPr>
            <w:r>
              <w:rPr>
                <w:sz w:val="20"/>
                <w:szCs w:val="20"/>
              </w:rPr>
              <w:t xml:space="preserve">Hand-coded from published payload class; threshold rubric in Section 3.</w:t>
            </w:r>
          </w:p>
        </w:tc>
      </w:tr>
      <w:tr>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Binary: 1 if the licensed program incorporates first-stage or vehicle reuse as a baseline design objective (Falcon 9, Falcon Heavy, New Shepard, Starship, New Glenn); 0 for expendable vehicles.</w:t>
            </w:r>
          </w:p>
        </w:tc>
        <w:tc>
          <w:tcPr>
            <w:tcW w:w="0" w:type="auto"/>
          </w:tcPr>
          <w:p>
            <w:pPr>
              <w:spacing w:line="240" w:lineRule="auto" w:before="0" w:after="0"/>
              <w:pStyle w:val="Compact"/>
            </w:pPr>
            <w:r>
              <w:rPr>
                <w:sz w:val="20"/>
                <w:szCs w:val="20"/>
              </w:rPr>
              <w:t xml:space="preserve">Hand-coded from documented vehicle architecture per row source.</w:t>
            </w:r>
          </w:p>
        </w:tc>
      </w:tr>
      <w:tr>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Binary regulatory-regime proxy: 1 if the license was issued under or after the FAA streamlined Part 450 launch-licensing rule (2020 onward); 0 if issued under the prior part-by-part regime.</w:t>
            </w:r>
          </w:p>
        </w:tc>
        <w:tc>
          <w:tcPr>
            <w:tcW w:w="0" w:type="auto"/>
          </w:tcPr>
          <w:p>
            <w:pPr>
              <w:spacing w:line="240" w:lineRule="auto" w:before="0" w:after="0"/>
              <w:pStyle w:val="Compact"/>
            </w:pPr>
            <w:r>
              <w:rPr>
                <w:sz w:val="20"/>
                <w:szCs w:val="20"/>
              </w:rPr>
              <w:t xml:space="preserve">FAA Part 450 effective-date records; license-year coding per row source.</w:t>
            </w:r>
          </w:p>
        </w:tc>
      </w:tr>
      <w:tr>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Natural logarithm of the vehicle’s advertised low-Earth-orbit payload capacity in kilograms, a measure of system scale and integration burden.</w:t>
            </w:r>
          </w:p>
        </w:tc>
        <w:tc>
          <w:tcPr>
            <w:tcW w:w="0" w:type="auto"/>
          </w:tcPr>
          <w:p>
            <w:pPr>
              <w:spacing w:line="240" w:lineRule="auto" w:before="0" w:after="0"/>
              <w:pStyle w:val="Compact"/>
            </w:pPr>
            <w:r>
              <w:rPr>
                <w:sz w:val="20"/>
                <w:szCs w:val="20"/>
              </w:rPr>
              <w:t xml:space="preserve">log(payload_kg); capacity figures from operator data and vehicle references per row source.</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heavy_class</w:t>
            </w:r>
          </w:p>
        </w:tc>
        <w:tc>
          <w:tcPr>
            <w:tcW w:w="0" w:type="auto"/>
          </w:tcPr>
          <w:p>
            <w:pPr>
              <w:spacing w:line="240" w:lineRule="auto" w:before="0" w:after="0"/>
              <w:pStyle w:val="Compact"/>
            </w:pPr>
            <w:r>
              <w:rPr>
                <w:sz w:val="20"/>
                <w:szCs w:val="20"/>
              </w:rPr>
              <w:t xml:space="preserve">0.5108</w:t>
            </w:r>
          </w:p>
        </w:tc>
        <w:tc>
          <w:tcPr>
            <w:tcW w:w="0" w:type="auto"/>
          </w:tcPr>
          <w:p>
            <w:pPr>
              <w:spacing w:line="240" w:lineRule="auto" w:before="0" w:after="0"/>
              <w:pStyle w:val="Compact"/>
            </w:pPr>
            <w:r>
              <w:rPr>
                <w:sz w:val="20"/>
                <w:szCs w:val="20"/>
              </w:rPr>
              <w:t xml:space="preserve">1.0573</w:t>
            </w:r>
          </w:p>
        </w:tc>
        <w:tc>
          <w:tcPr>
            <w:tcW w:w="0" w:type="auto"/>
          </w:tcPr>
          <w:p>
            <w:pPr>
              <w:spacing w:line="240" w:lineRule="auto" w:before="0" w:after="0"/>
              <w:pStyle w:val="Compact"/>
            </w:pPr>
            <w:r>
              <w:rPr>
                <w:sz w:val="20"/>
                <w:szCs w:val="20"/>
              </w:rPr>
              <w:t xml:space="preserve">0.4831</w:t>
            </w:r>
          </w:p>
        </w:tc>
        <w:tc>
          <w:tcPr>
            <w:tcW w:w="0" w:type="auto"/>
          </w:tcPr>
          <w:p>
            <w:pPr>
              <w:spacing w:line="240" w:lineRule="auto" w:before="0" w:after="0"/>
              <w:pStyle w:val="Compact"/>
            </w:pPr>
            <w:r>
              <w:rPr>
                <w:sz w:val="20"/>
                <w:szCs w:val="20"/>
              </w:rPr>
              <w:t xml:space="preserve">0.629</w:t>
            </w:r>
          </w:p>
        </w:tc>
        <w:tc>
          <w:tcPr>
            <w:tcW w:w="0" w:type="auto"/>
          </w:tcPr>
          <w:p>
            <w:pPr>
              <w:spacing w:line="240" w:lineRule="auto" w:before="0" w:after="0"/>
              <w:pStyle w:val="Compact"/>
            </w:pPr>
            <w:r>
              <w:rPr>
                <w:sz w:val="20"/>
                <w:szCs w:val="20"/>
              </w:rPr>
              <w:t xml:space="preserve">[-1.5615, 2.5831]</w:t>
            </w:r>
          </w:p>
        </w:tc>
        <w:tc>
          <w:tcPr>
            <w:tcW w:w="0" w:type="auto"/>
          </w:tcPr>
          <w:p>
            <w:pPr>
              <w:spacing w:line="240" w:lineRule="auto" w:before="0" w:after="0"/>
              <w:pStyle w:val="Compact"/>
            </w:pPr>
            <w:r>
              <w:rPr>
                <w:sz w:val="20"/>
                <w:szCs w:val="20"/>
              </w:rPr>
              <w:t xml:space="preserve">1.6666</w:t>
            </w:r>
          </w:p>
        </w:tc>
      </w:tr>
      <w:tr>
        <w:tc>
          <w:tcPr>
            <w:tcW w:w="0" w:type="auto"/>
          </w:tcPr>
          <w:p>
            <w:pPr>
              <w:spacing w:line="240" w:lineRule="auto" w:before="0" w:after="0"/>
              <w:pStyle w:val="Compact"/>
            </w:pPr>
            <w:r>
              <w:rPr>
                <w:sz w:val="20"/>
                <w:szCs w:val="20"/>
              </w:rPr>
              <w:t xml:space="preserve">reusable_program</w:t>
            </w:r>
          </w:p>
        </w:tc>
        <w:tc>
          <w:tcPr>
            <w:tcW w:w="0" w:type="auto"/>
          </w:tcPr>
          <w:p>
            <w:pPr>
              <w:spacing w:line="240" w:lineRule="auto" w:before="0" w:after="0"/>
              <w:pStyle w:val="Compact"/>
            </w:pPr>
            <w:r>
              <w:rPr>
                <w:sz w:val="20"/>
                <w:szCs w:val="20"/>
              </w:rPr>
              <w:t xml:space="preserve">0.1522</w:t>
            </w:r>
          </w:p>
        </w:tc>
        <w:tc>
          <w:tcPr>
            <w:tcW w:w="0" w:type="auto"/>
          </w:tcPr>
          <w:p>
            <w:pPr>
              <w:spacing w:line="240" w:lineRule="auto" w:before="0" w:after="0"/>
              <w:pStyle w:val="Compact"/>
            </w:pPr>
            <w:r>
              <w:rPr>
                <w:sz w:val="20"/>
                <w:szCs w:val="20"/>
              </w:rPr>
              <w:t xml:space="preserve">0.7594</w:t>
            </w:r>
          </w:p>
        </w:tc>
        <w:tc>
          <w:tcPr>
            <w:tcW w:w="0" w:type="auto"/>
          </w:tcPr>
          <w:p>
            <w:pPr>
              <w:spacing w:line="240" w:lineRule="auto" w:before="0" w:after="0"/>
              <w:pStyle w:val="Compact"/>
            </w:pPr>
            <w:r>
              <w:rPr>
                <w:sz w:val="20"/>
                <w:szCs w:val="20"/>
              </w:rPr>
              <w:t xml:space="preserve">0.2004</w:t>
            </w:r>
          </w:p>
        </w:tc>
        <w:tc>
          <w:tcPr>
            <w:tcW w:w="0" w:type="auto"/>
          </w:tcPr>
          <w:p>
            <w:pPr>
              <w:spacing w:line="240" w:lineRule="auto" w:before="0" w:after="0"/>
              <w:pStyle w:val="Compact"/>
            </w:pPr>
            <w:r>
              <w:rPr>
                <w:sz w:val="20"/>
                <w:szCs w:val="20"/>
              </w:rPr>
              <w:t xml:space="preserve">0.8412</w:t>
            </w:r>
          </w:p>
        </w:tc>
        <w:tc>
          <w:tcPr>
            <w:tcW w:w="0" w:type="auto"/>
          </w:tcPr>
          <w:p>
            <w:pPr>
              <w:spacing w:line="240" w:lineRule="auto" w:before="0" w:after="0"/>
              <w:pStyle w:val="Compact"/>
            </w:pPr>
            <w:r>
              <w:rPr>
                <w:sz w:val="20"/>
                <w:szCs w:val="20"/>
              </w:rPr>
              <w:t xml:space="preserve">[-1.3362, 1.6405]</w:t>
            </w:r>
          </w:p>
        </w:tc>
        <w:tc>
          <w:tcPr>
            <w:tcW w:w="0" w:type="auto"/>
          </w:tcPr>
          <w:p>
            <w:pPr>
              <w:spacing w:line="240" w:lineRule="auto" w:before="0" w:after="0"/>
              <w:pStyle w:val="Compact"/>
            </w:pPr>
            <w:r>
              <w:rPr>
                <w:sz w:val="20"/>
                <w:szCs w:val="20"/>
              </w:rPr>
              <w:t xml:space="preserve">1.1643</w:t>
            </w:r>
          </w:p>
        </w:tc>
      </w:tr>
      <w:tr>
        <w:tc>
          <w:tcPr>
            <w:tcW w:w="0" w:type="auto"/>
          </w:tcPr>
          <w:p>
            <w:pPr>
              <w:spacing w:line="240" w:lineRule="auto" w:before="0" w:after="0"/>
              <w:pStyle w:val="Compact"/>
            </w:pPr>
            <w:r>
              <w:rPr>
                <w:sz w:val="20"/>
                <w:szCs w:val="20"/>
              </w:rPr>
              <w:t xml:space="preserve">part450_era</w:t>
            </w:r>
          </w:p>
        </w:tc>
        <w:tc>
          <w:tcPr>
            <w:tcW w:w="0" w:type="auto"/>
          </w:tcPr>
          <w:p>
            <w:pPr>
              <w:spacing w:line="240" w:lineRule="auto" w:before="0" w:after="0"/>
              <w:pStyle w:val="Compact"/>
            </w:pPr>
            <w:r>
              <w:rPr>
                <w:sz w:val="20"/>
                <w:szCs w:val="20"/>
              </w:rPr>
              <w:t xml:space="preserve">-0.2158</w:t>
            </w:r>
          </w:p>
        </w:tc>
        <w:tc>
          <w:tcPr>
            <w:tcW w:w="0" w:type="auto"/>
          </w:tcPr>
          <w:p>
            <w:pPr>
              <w:spacing w:line="240" w:lineRule="auto" w:before="0" w:after="0"/>
              <w:pStyle w:val="Compact"/>
            </w:pPr>
            <w:r>
              <w:rPr>
                <w:sz w:val="20"/>
                <w:szCs w:val="20"/>
              </w:rPr>
              <w:t xml:space="preserve">0.5496</w:t>
            </w:r>
          </w:p>
        </w:tc>
        <w:tc>
          <w:tcPr>
            <w:tcW w:w="0" w:type="auto"/>
          </w:tcPr>
          <w:p>
            <w:pPr>
              <w:spacing w:line="240" w:lineRule="auto" w:before="0" w:after="0"/>
              <w:pStyle w:val="Compact"/>
            </w:pPr>
            <w:r>
              <w:rPr>
                <w:sz w:val="20"/>
                <w:szCs w:val="20"/>
              </w:rPr>
              <w:t xml:space="preserve">-0.3926</w:t>
            </w:r>
          </w:p>
        </w:tc>
        <w:tc>
          <w:tcPr>
            <w:tcW w:w="0" w:type="auto"/>
          </w:tcPr>
          <w:p>
            <w:pPr>
              <w:spacing w:line="240" w:lineRule="auto" w:before="0" w:after="0"/>
              <w:pStyle w:val="Compact"/>
            </w:pPr>
            <w:r>
              <w:rPr>
                <w:sz w:val="20"/>
                <w:szCs w:val="20"/>
              </w:rPr>
              <w:t xml:space="preserve">0.6946</w:t>
            </w:r>
          </w:p>
        </w:tc>
        <w:tc>
          <w:tcPr>
            <w:tcW w:w="0" w:type="auto"/>
          </w:tcPr>
          <w:p>
            <w:pPr>
              <w:spacing w:line="240" w:lineRule="auto" w:before="0" w:after="0"/>
              <w:pStyle w:val="Compact"/>
            </w:pPr>
            <w:r>
              <w:rPr>
                <w:sz w:val="20"/>
                <w:szCs w:val="20"/>
              </w:rPr>
              <w:t xml:space="preserve">[-1.293, 0.8615]</w:t>
            </w:r>
          </w:p>
        </w:tc>
        <w:tc>
          <w:tcPr>
            <w:tcW w:w="0" w:type="auto"/>
          </w:tcPr>
          <w:p>
            <w:pPr>
              <w:spacing w:line="240" w:lineRule="auto" w:before="0" w:after="0"/>
              <w:pStyle w:val="Compact"/>
            </w:pPr>
            <w:r>
              <w:rPr>
                <w:sz w:val="20"/>
                <w:szCs w:val="20"/>
              </w:rPr>
              <w:t xml:space="preserve">0.8059</w:t>
            </w:r>
          </w:p>
        </w:tc>
      </w:tr>
      <w:tr>
        <w:tc>
          <w:tcPr>
            <w:tcW w:w="0" w:type="auto"/>
          </w:tcPr>
          <w:p>
            <w:pPr>
              <w:spacing w:line="240" w:lineRule="auto" w:before="0" w:after="0"/>
              <w:pStyle w:val="Compact"/>
            </w:pPr>
            <w:r>
              <w:rPr>
                <w:sz w:val="20"/>
                <w:szCs w:val="20"/>
              </w:rPr>
              <w:t xml:space="preserve">log_payload_kg</w:t>
            </w:r>
          </w:p>
        </w:tc>
        <w:tc>
          <w:tcPr>
            <w:tcW w:w="0" w:type="auto"/>
          </w:tcPr>
          <w:p>
            <w:pPr>
              <w:spacing w:line="240" w:lineRule="auto" w:before="0" w:after="0"/>
              <w:pStyle w:val="Compact"/>
            </w:pPr>
            <w:r>
              <w:rPr>
                <w:sz w:val="20"/>
                <w:szCs w:val="20"/>
              </w:rPr>
              <w:t xml:space="preserve">0.1089</w:t>
            </w:r>
          </w:p>
        </w:tc>
        <w:tc>
          <w:tcPr>
            <w:tcW w:w="0" w:type="auto"/>
          </w:tcPr>
          <w:p>
            <w:pPr>
              <w:spacing w:line="240" w:lineRule="auto" w:before="0" w:after="0"/>
              <w:pStyle w:val="Compact"/>
            </w:pPr>
            <w:r>
              <w:rPr>
                <w:sz w:val="20"/>
                <w:szCs w:val="20"/>
              </w:rPr>
              <w:t xml:space="preserve">0.2506</w:t>
            </w:r>
          </w:p>
        </w:tc>
        <w:tc>
          <w:tcPr>
            <w:tcW w:w="0" w:type="auto"/>
          </w:tcPr>
          <w:p>
            <w:pPr>
              <w:spacing w:line="240" w:lineRule="auto" w:before="0" w:after="0"/>
              <w:pStyle w:val="Compact"/>
            </w:pPr>
            <w:r>
              <w:rPr>
                <w:sz w:val="20"/>
                <w:szCs w:val="20"/>
              </w:rPr>
              <w:t xml:space="preserve">0.4347</w:t>
            </w:r>
          </w:p>
        </w:tc>
        <w:tc>
          <w:tcPr>
            <w:tcW w:w="0" w:type="auto"/>
          </w:tcPr>
          <w:p>
            <w:pPr>
              <w:spacing w:line="240" w:lineRule="auto" w:before="0" w:after="0"/>
              <w:pStyle w:val="Compact"/>
            </w:pPr>
            <w:r>
              <w:rPr>
                <w:sz w:val="20"/>
                <w:szCs w:val="20"/>
              </w:rPr>
              <w:t xml:space="preserve">0.6637</w:t>
            </w:r>
          </w:p>
        </w:tc>
        <w:tc>
          <w:tcPr>
            <w:tcW w:w="0" w:type="auto"/>
          </w:tcPr>
          <w:p>
            <w:pPr>
              <w:spacing w:line="240" w:lineRule="auto" w:before="0" w:after="0"/>
              <w:pStyle w:val="Compact"/>
            </w:pPr>
            <w:r>
              <w:rPr>
                <w:sz w:val="20"/>
                <w:szCs w:val="20"/>
              </w:rPr>
              <w:t xml:space="preserve">[-0.3822, 0.6001]</w:t>
            </w:r>
          </w:p>
        </w:tc>
        <w:tc>
          <w:tcPr>
            <w:tcW w:w="0" w:type="auto"/>
          </w:tcPr>
          <w:p>
            <w:pPr>
              <w:spacing w:line="240" w:lineRule="auto" w:before="0" w:after="0"/>
              <w:pStyle w:val="Compact"/>
            </w:pPr>
            <w:r>
              <w:rPr>
                <w:sz w:val="20"/>
                <w:szCs w:val="20"/>
              </w:rPr>
              <w:t xml:space="preserve">1.1151</w:t>
            </w:r>
          </w:p>
        </w:tc>
      </w:tr>
    </w:tbl>
    <w:p>
      <w:pPr>
        <w:pStyle w:val="BodyText"/>
      </w:pPr>
      <w:r>
        <w:t xml:space="preserve">Fit: N = 23 events = 20</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2026-06-26T16:45:59Z</dcterms:created>
  <dcterms:modified xsi:type="dcterms:W3CDTF">2026-06-26T16:45:59Z</dcterms:modified>
</cp:coreProperties>
</file>

<file path=docProps/custom.xml><?xml version="1.0" encoding="utf-8"?>
<Properties xmlns="http://schemas.openxmlformats.org/officeDocument/2006/custom-properties" xmlns:vt="http://schemas.openxmlformats.org/officeDocument/2006/docPropsVTypes"/>
</file>