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footer1.xml" ContentType="application/vnd.openxmlformats-officedocument.wordprocessingml.footer+xml"/>
  <Override PartName="/word/footer2.xml" ContentType="application/vnd.openxmlformats-officedocument.wordprocessingml.footer+xml"/>
  <Override PartName="/word/media/rId84.png" ContentType="image/png"/>
  <Override PartName="/word/media/image14.jpeg" ContentType="image/jpeg"/>
  <Override PartName="/word/media/image1.jpeg" ContentType="image/jpeg"/>
  <Override PartName="/word/media/image2.jpeg" ContentType="image/jpe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jpeg" ContentType="image/jpeg"/>
  <Override PartName="/word/media/image9.png" ContentType="image/png"/>
  <Override PartName="/word/media/image10.png" ContentType="image/png"/>
  <Override PartName="/word/media/image11.png" ContentType="image/png"/>
  <Override PartName="/word/media/image13.png" ContentType="image/png"/>
  <Override PartName="/word/media/image12.png" ContentType="image/png"/>
  <Override PartName="/word/media/image15.jpeg" ContentType="image/jpeg"/>
  <Override PartName="/word/media/image16.png" ContentType="image/png"/>
  <Override PartName="/word/media/image17.png" ContentType="image/png"/>
  <Override PartName="/word/media/image18.png" ContentType="image/png"/>
  <Override PartName="/word/media/image19.jpeg" ContentType="image/jpeg"/>
  <Override PartName="/word/media/image20.png" ContentType="image/png"/>
  <Override PartName="/word/media/image21.png" ContentType="image/png"/>
  <Override PartName="/word/media/image22.png" ContentType="image/png"/>
  <Override PartName="/word/media/image23.png" ContentType="image/png"/>
  <Override PartName="/word/media/image24.jpeg" ContentType="image/jpeg"/>
  <Override PartName="/word/media/image25.jpeg" ContentType="image/jpe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92" w:name="X6959bc28ebbc45ed131ab9ff53fd56d233a30a9"/>
    <w:p>
      <w:pPr>
        <w:pStyle w:val="Heading1"/>
      </w:pPr>
      <w:r>
        <w:t xml:space="preserve">Licensing Throughput and On-Orbit Deployment: A United States versus Rest-of-World Panel Test of Whether FAA AST Launch Licensing Paces Payload Placement</w:t>
      </w:r>
    </w:p>
    <w:bookmarkStart w:id="61" w:name="introduction"/>
    <w:p>
      <w:pPr>
        <w:pStyle w:val="Heading2"/>
      </w:pPr>
      <w:r>
        <w:t xml:space="preserve">1. Introduction</w:t>
      </w:r>
    </w:p>
    <w:p>
      <w:pPr>
        <w:pStyle w:val="FirstParagraph"/>
      </w:pPr>
      <w:r>
        <w:t xml:space="preserve">The pace at which payloads reach orbit now sets the tempo for space traffic management. As the catalog of active spacecraft grew from a few hundred annual additions to several thousand within a single decade, the conjunction-screening burden that drives demand for space situational awareness scaled with it</w:t>
      </w:r>
      <w:r>
        <w:t xml:space="preserve"> </w:t>
      </w:r>
      <w:hyperlink w:anchor="ref-1">
        <m:oMathPara>
          <m:oMathParaPr>
            <m:jc m:val="center"/>
          </m:oMathParaPr>
          <m:oMath>
            <m:r>
              <m:t>1</m:t>
            </m:r>
          </m:oMath>
        </m:oMathPara>
      </w:hyperlink>
      <w:r>
        <w:t xml:space="preserve">,</w:t>
      </w:r>
      <w:r>
        <w:t xml:space="preserve"> </w:t>
      </w:r>
      <w:hyperlink w:anchor="ref-2">
        <m:oMathPara>
          <m:oMathParaPr>
            <m:jc m:val="center"/>
          </m:oMathParaPr>
          <m:oMath>
            <m:r>
              <m:t>2</m:t>
            </m:r>
          </m:oMath>
        </m:oMathPara>
      </w:hyperlink>
      <w:r>
        <w:t xml:space="preserve">. A central but underexamined question for policy is whether the administrative machinery that authorizes launch, in the United States the Federal Aviation Administration Office of Commercial Space Transportation (FAA AST), functions as a binding pace-setter on this deployment, or whether it merely registers a flow that market and manufacturing capacity already determine.</w:t>
      </w:r>
    </w:p>
    <w:p>
      <w:pPr>
        <w:pStyle w:val="FirstParagraph"/>
      </w:pPr>
      <w:r>
        <w:t xml:space="preserve">This paper tests one tractable version of that question. It asks whether annual FAA AST licensing throughput is statistically associated with the number of payloads the United States places in orbit, and whether the throughput-to-deployment relationship is steeper under the FAA regime than under the launch-authorization regimes that govern the rest of the world. The setting is a two-bloc annual panel, the United States against the rest of the world, spanning 2014 through 2024. The contribution is empirical and modest: a transparent, fully sourced estimate of the deployment yield associated with each additional licensed operation, set against a contemporaneous non-US benchmark.</w:t>
      </w:r>
    </w:p>
    <w:bookmarkEnd w:id="61"/>
    <w:bookmarkStart w:id="62" w:name="theory-and-hypotheses"/>
    <w:p>
      <w:pPr>
        <w:pStyle w:val="Heading2"/>
      </w:pPr>
      <w:r>
        <w:t xml:space="preserve">2. Theory and Hypotheses</w:t>
      </w:r>
    </w:p>
    <w:p>
      <w:pPr>
        <w:pStyle w:val="FirstParagraph"/>
      </w:pPr>
      <w:r>
        <w:t xml:space="preserve">Three mechanisms connect launch-licensing throughput to on-orbit deployment. First, in a regime where every commercial launch and reentry requires an agency authorization, the count of authorizations is a near-complete census of the legal launch opportunities available to operators in a given year. Where authorization is the rate-limiting step, deployment cannot outrun it. Second, licensing throughput proxies for the maturation of the regulatory interface itself. The migration toward performance-based licensing under 14 CFR Part 450 was designed to raise the number of operations the agency could process without proportional growth in review time, so rising throughput partly reflects reduced administrative latency per mission</w:t>
      </w:r>
      <w:r>
        <w:t xml:space="preserve"> </w:t>
      </w:r>
      <w:hyperlink w:anchor="ref-3">
        <m:oMathPara>
          <m:oMathParaPr>
            <m:jc m:val="center"/>
          </m:oMathParaPr>
          <m:oMath>
            <m:r>
              <m:t>3</m:t>
            </m:r>
          </m:oMath>
        </m:oMathPara>
      </w:hyperlink>
      <w:r>
        <w:t xml:space="preserve">. Third, throughput co-moves with the underlying industrial surge, principally the transition to high-cadence reusable vehicles and large constellations, so any estimate must separate the regime-specific slope from the global secular trend that lifts all blocs</w:t>
      </w:r>
      <w:r>
        <w:t xml:space="preserve"> </w:t>
      </w:r>
      <w:hyperlink w:anchor="ref-4">
        <m:oMathPara>
          <m:oMathParaPr>
            <m:jc m:val="center"/>
          </m:oMathParaPr>
          <m:oMath>
            <m:r>
              <m:t>4</m:t>
            </m:r>
          </m:oMath>
        </m:oMathPara>
      </w:hyperlink>
      <w:r>
        <w:t xml:space="preserve">,</w:t>
      </w:r>
      <w:r>
        <w:t xml:space="preserve"> </w:t>
      </w:r>
      <w:hyperlink w:anchor="ref-5">
        <m:oMathPara>
          <m:oMathParaPr>
            <m:jc m:val="center"/>
          </m:oMathParaPr>
          <m:oMath>
            <m:r>
              <m:t>5</m:t>
            </m:r>
          </m:oMath>
        </m:oMathPara>
      </w:hyperlink>
      <w:r>
        <w:t xml:space="preserve">.</w:t>
      </w:r>
    </w:p>
    <w:p>
      <w:pPr>
        <w:pStyle w:val="FirstParagraph"/>
      </w:pPr>
      <w:r>
        <w:t xml:space="preserve">The traffic-management stakes follow directly. Capacity-management frameworks for low Earth orbit treat the rate of payload insertion as the forcing function on collision risk and on the screening demand that space situational awareness systems must meet</w:t>
      </w:r>
      <w:r>
        <w:t xml:space="preserve"> </w:t>
      </w:r>
      <w:hyperlink w:anchor="ref-1">
        <m:oMathPara>
          <m:oMathParaPr>
            <m:jc m:val="center"/>
          </m:oMathParaPr>
          <m:oMath>
            <m:r>
              <m:t>1</m:t>
            </m:r>
          </m:oMath>
        </m:oMathPara>
      </w:hyperlink>
      <w:r>
        <w:t xml:space="preserve">,</w:t>
      </w:r>
      <w:r>
        <w:t xml:space="preserve"> </w:t>
      </w:r>
      <w:hyperlink w:anchor="ref-6">
        <m:oMathPara>
          <m:oMathParaPr>
            <m:jc m:val="center"/>
          </m:oMathParaPr>
          <m:oMath>
            <m:r>
              <m:t>6</m:t>
            </m:r>
          </m:oMath>
        </m:oMathPara>
      </w:hyperlink>
      <w:r>
        <w:t xml:space="preserve">. If licensing throughput paces deployment, then licensing cadence is also, indirectly, a lever on the future conjunction environment</w:t>
      </w:r>
      <w:r>
        <w:t xml:space="preserve"> </w:t>
      </w:r>
      <w:hyperlink w:anchor="ref-2">
        <m:oMathPara>
          <m:oMathParaPr>
            <m:jc m:val="center"/>
          </m:oMathParaPr>
          <m:oMath>
            <m:r>
              <m:t>2</m:t>
            </m:r>
          </m:oMath>
        </m:oMathPara>
      </w:hyperlink>
      <w:r>
        <w:t xml:space="preserve">,</w:t>
      </w:r>
      <w:r>
        <w:t xml:space="preserve"> </w:t>
      </w:r>
      <w:hyperlink w:anchor="ref-7">
        <m:oMathPara>
          <m:oMathParaPr>
            <m:jc m:val="center"/>
          </m:oMathParaPr>
          <m:oMath>
            <m:r>
              <m:t>7</m:t>
            </m:r>
          </m:oMath>
        </m:oMathPara>
      </w:hyperlink>
      <w:r>
        <w:t xml:space="preserve">.</w:t>
      </w:r>
    </w:p>
    <w:p>
      <w:pPr>
        <w:pStyle w:val="FirstParagraph"/>
      </w:pPr>
      <w:r>
        <w:t xml:space="preserve">This yields the study hypotheses. H1: higher annual licensing throughput is associated with greater on-orbit payload deployment within the FAA regime. H2: the throughput-to-deployment slope is steeper for the United States bloc than for the rest of the world, identified by a positive interaction between throughput and the FAA-regime indicator.</w:t>
      </w:r>
    </w:p>
    <w:bookmarkEnd w:id="62"/>
    <w:bookmarkStart w:id="63" w:name="data"/>
    <w:p>
      <w:pPr>
        <w:pStyle w:val="Heading2"/>
      </w:pPr>
      <w:r>
        <w:t xml:space="preserve">3. Data</w:t>
      </w:r>
    </w:p>
    <w:p>
      <w:pPr>
        <w:pStyle w:val="FirstParagraph"/>
      </w:pPr>
      <w:r>
        <w:t xml:space="preserve">The unit of observation is the bloc-year. Two blocs, the United States and the rest of the world, are observed across eleven years (2014 through 2024), giving 22 observations. The dependent variable, payloads, is the count of objects placed in orbit by the bloc in the year, taken from the United Nations Office for Outer Space Affairs Online Index of Objects Launched into Outer Space as compiled by Our World in Data</w:t>
      </w:r>
      <w:r>
        <w:t xml:space="preserve"> </w:t>
      </w:r>
      <w:hyperlink w:anchor="ref-8">
        <m:oMathPara>
          <m:oMathParaPr>
            <m:jc m:val="center"/>
          </m:oMathParaPr>
          <m:oMath>
            <m:r>
              <m:t>8</m:t>
            </m:r>
          </m:oMath>
        </m:oMathPara>
      </w:hyperlink>
      <w:r>
        <w:t xml:space="preserve">. Rest-of-world payloads are the documented world total minus the United States total for each year.</w:t>
      </w:r>
    </w:p>
    <w:p>
      <w:pPr>
        <w:pStyle w:val="FirstParagraph"/>
      </w:pPr>
      <w:r>
        <w:t xml:space="preserve">The primary regressor, throughput, is annual launch-licensing throughput. For the United States it is the count of FAA AST licensed commercial space operations, drawn from FAA AST reporting and the Congressional Research Service overview of commercial launch and reentry regulation</w:t>
      </w:r>
      <w:r>
        <w:t xml:space="preserve"> </w:t>
      </w:r>
      <w:hyperlink w:anchor="ref-3">
        <m:oMathPara>
          <m:oMathParaPr>
            <m:jc m:val="center"/>
          </m:oMathParaPr>
          <m:oMath>
            <m:r>
              <m:t>3</m:t>
            </m:r>
          </m:oMath>
        </m:oMathPara>
      </w:hyperlink>
      <w:r>
        <w:t xml:space="preserve">,</w:t>
      </w:r>
      <w:r>
        <w:t xml:space="preserve"> </w:t>
      </w:r>
      <w:hyperlink w:anchor="ref-9">
        <m:oMathPara>
          <m:oMathParaPr>
            <m:jc m:val="center"/>
          </m:oMathParaPr>
          <m:oMath>
            <m:r>
              <m:t>9</m:t>
            </m:r>
          </m:oMath>
        </m:oMathPara>
      </w:hyperlink>
      <w:r>
        <w:t xml:space="preserve">. For the rest of the world, where no single FAA-equivalent licensing census exists, throughput is national orbital launch attempts, the closest comparable measure, taken from Jonathan McDowell’s launch statistics</w:t>
      </w:r>
      <w:r>
        <w:t xml:space="preserve"> </w:t>
      </w:r>
      <w:hyperlink w:anchor="ref-10">
        <m:oMathPara>
          <m:oMathParaPr>
            <m:jc m:val="center"/>
          </m:oMathParaPr>
          <m:oMath>
            <m:r>
              <m:t>10</m:t>
            </m:r>
          </m:oMath>
        </m:oMathPara>
      </w:hyperlink>
      <w:r>
        <w:t xml:space="preserve">. The FAA regime indicator equals one for the United States bloc and zero otherwise, and its interaction with throughput isolates the regime-specific slope. A common time trend, year_idx, equal to the calendar year minus 2014, absorbs the global growth in deployment. Bloc launch attempts are retained for transparency and robustness. Every cell traces to a named public source, and rest-of-world figures are explicit arithmetic on the documented world and United States series.</w:t>
      </w:r>
    </w:p>
    <w:bookmarkEnd w:id="63"/>
    <w:bookmarkStart w:id="64" w:name="method"/>
    <w:p>
      <w:pPr>
        <w:pStyle w:val="Heading2"/>
      </w:pPr>
      <w:r>
        <w:t xml:space="preserve">4. Method</w:t>
      </w:r>
    </w:p>
    <w:p>
      <w:pPr>
        <w:pStyle w:val="FirstParagraph"/>
      </w:pPr>
      <w:r>
        <w:t xml:space="preserve">The estimator is ordinary least squares with heteroskedasticity-robust (HC1) standard errors, appropriate given the wide variance in payload counts across the panel. The specification is</w:t>
      </w:r>
    </w:p>
    <w:p>
      <w:pPr>
        <w:pStyle w:val="BodyText"/>
      </w:pPr>
      <w:r>
        <w:t xml:space="preserve">payloads = b0 + b1 throughput + b2 faa_regime + b3 (throughput times faa_regime) + b4 year_idx + e</w:t>
      </w:r>
    </w:p>
    <w:p>
      <w:pPr>
        <w:pStyle w:val="BodyText"/>
      </w:pPr>
      <w:r>
        <w:t xml:space="preserve">where b1 captures the rest-of-world throughput slope, b2 the regime intercept shift, b3 the additional throughput slope under the FAA regime (the H2 test), and b4 the common annual trend. H1 is evaluated through the total United States slope, b1 plus b3, and through the significance of b3. The regime indicator and the common trend together provide a difference-style control, comparing how deployment responds to throughput inside the FAA regime against the contemporaneous non-US benchmark.</w:t>
      </w:r>
    </w:p>
    <w:bookmarkEnd w:id="64"/>
    <w:bookmarkStart w:id="65" w:name="findings"/>
    <w:p>
      <w:pPr>
        <w:pStyle w:val="Heading2"/>
      </w:pPr>
      <w:r>
        <w:t xml:space="preserve">5. Findings</w:t>
      </w:r>
    </w:p>
    <w:p>
      <w:pPr>
        <w:pStyle w:val="FirstParagraph"/>
      </w:pPr>
      <w:r>
        <w:t xml:space="preserve">The model explains the panel well, with an R-squared of 0.932 and a joint F-statistic of 36.73 (p less than 0.0001) on 22 observations.</w:t>
      </w:r>
    </w:p>
    <w:p>
      <w:pPr>
        <w:pStyle w:val="BodyText"/>
      </w:pPr>
      <w:r>
        <w:t xml:space="preserve">The interaction term carries the result. The coefficient on throughput times the FAA-regime indicator is 14.84 (robust SE 2.81, t equal to 5.28, p less than 0.001, 95 percent confidence interval 9.33 to 20.35). Under the FAA AST regime, each additional licensed operation is associated with roughly 14.8 more payloads placed in orbit in the same year, and that increment is estimated with precision. This supports H2: the throughput-to-deployment slope is materially steeper in the United States than in the rest of the world.</w:t>
      </w:r>
    </w:p>
    <w:p>
      <w:pPr>
        <w:pStyle w:val="BodyText"/>
      </w:pPr>
      <w:r>
        <w:t xml:space="preserve">The rest-of-world throughput slope, by contrast, is statistically indistinguishable from zero. The coefficient on throughput is minus 0.95 (robust SE 4.14, p equal to 0.818), so outside the FAA regime an additional launch attempt is not associated with a detectable change in payloads once the trend is controlled. The total United States slope, the sum of this baseline and the interaction, is approximately 13.9 payloads per licensed operation, and is driven almost entirely by the regime-specific term. This is the empirical content of H1: within the FAA regime, licensing throughput moves with deployment, strongly and positively.</w:t>
      </w:r>
    </w:p>
    <w:p>
      <w:pPr>
        <w:pStyle w:val="BodyText"/>
      </w:pPr>
      <w:r>
        <w:t xml:space="preserve">The regime intercept, faa_regime, is minus 234.09 (robust SE 216.43, p equal to 0.279) and is not statistically significant, indicating no fixed United States level shift in payloads once throughput and trend are accounted for. The common time trend, year_idx, is 74.55 (robust SE 27.58, p equal to 0.007), confirming a significant secular rise in deployment of about 75 payloads per year shared across both blocs. The intercept is 41.84 (robust SE 216.01, p equal to 0.846).</w:t>
      </w:r>
    </w:p>
    <w:p>
      <w:pPr>
        <w:pStyle w:val="BodyText"/>
      </w:pPr>
      <w:r>
        <w:t xml:space="preserve">In substantive terms, the pacing relationship is concentrated where authorization is the gating legal step. The non-significant rest-of-world slope and the large, precise interaction together indicate that the association between throughput and deployment is a property of the FAA licensing regime rather than a universal feature of launch activity.</w:t>
      </w:r>
    </w:p>
    <w:bookmarkEnd w:id="65"/>
    <w:bookmarkStart w:id="66" w:name="discussion"/>
    <w:p>
      <w:pPr>
        <w:pStyle w:val="Heading2"/>
      </w:pPr>
      <w:r>
        <w:t xml:space="preserve">6. Discussion</w:t>
      </w:r>
    </w:p>
    <w:p>
      <w:pPr>
        <w:pStyle w:val="FirstParagraph"/>
      </w:pPr>
      <w:r>
        <w:t xml:space="preserve">The estimates are consistent with FAA AST throughput pacing United States on-orbit deployment, while the contemporaneous rest-of-world benchmark shows no comparable relationship. The reading is correlational, not a clean causal identification. Licensing throughput and deployment are jointly lifted by the same industrial surge, and the year trend absorbs only the linear part of that common growth. The interaction is nonetheless informative, because the confounder most often raised, a global cadence boom, would push the rest-of-world slope upward as well, yet that slope is flat. The result therefore points to something specific to the United States regulatory configuration, most plausibly that performance-based licensing raised the number of operations the system could clear per year and that operators deployed against the cleared capacity</w:t>
      </w:r>
      <w:r>
        <w:t xml:space="preserve"> </w:t>
      </w:r>
      <w:hyperlink w:anchor="ref-3">
        <m:oMathPara>
          <m:oMathParaPr>
            <m:jc m:val="center"/>
          </m:oMathParaPr>
          <m:oMath>
            <m:r>
              <m:t>3</m:t>
            </m:r>
          </m:oMath>
        </m:oMathPara>
      </w:hyperlink>
      <w:r>
        <w:t xml:space="preserve">.</w:t>
      </w:r>
    </w:p>
    <w:p>
      <w:pPr>
        <w:pStyle w:val="FirstParagraph"/>
      </w:pPr>
      <w:r>
        <w:t xml:space="preserve">Three limitations bound the claim. The two blocs are asymmetric in their throughput measure, FAA licensed operations against foreign launch attempts, so the slopes are not unit-identical and the comparison is of elasticity in spirit rather than of a common coefficient. The panel is short and the United States series is dominated by a single constellation program, so the steep slope partly reflects Starlink-scale rideshare economics layered on the licensing regime. And the design cannot separate licensing latency from licensing count; a throughput census is a coarse proxy for the latency mechanism the theory emphasizes, which a survival or duration design on individual license dockets would address more directly.</w:t>
      </w:r>
    </w:p>
    <w:p>
      <w:pPr>
        <w:pStyle w:val="BodyText"/>
      </w:pPr>
      <w:r>
        <w:t xml:space="preserve">For space traffic management the implication is direct. If licensing cadence paces deployment, it also paces the growth of the screened catalog and the conjunction-assessment workload that follows</w:t>
      </w:r>
      <w:r>
        <w:t xml:space="preserve"> </w:t>
      </w:r>
      <w:hyperlink w:anchor="ref-1">
        <m:oMathPara>
          <m:oMathParaPr>
            <m:jc m:val="center"/>
          </m:oMathParaPr>
          <m:oMath>
            <m:r>
              <m:t>1</m:t>
            </m:r>
          </m:oMath>
        </m:oMathPara>
      </w:hyperlink>
      <w:r>
        <w:t xml:space="preserve">,</w:t>
      </w:r>
      <w:r>
        <w:t xml:space="preserve"> </w:t>
      </w:r>
      <w:hyperlink w:anchor="ref-2">
        <m:oMathPara>
          <m:oMathParaPr>
            <m:jc m:val="center"/>
          </m:oMathParaPr>
          <m:oMath>
            <m:r>
              <m:t>2</m:t>
            </m:r>
          </m:oMath>
        </m:oMathPara>
      </w:hyperlink>
      <w:r>
        <w:t xml:space="preserve">,</w:t>
      </w:r>
      <w:r>
        <w:t xml:space="preserve"> </w:t>
      </w:r>
      <w:hyperlink w:anchor="ref-6">
        <m:oMathPara>
          <m:oMathParaPr>
            <m:jc m:val="center"/>
          </m:oMathParaPr>
          <m:oMath>
            <m:r>
              <m:t>6</m:t>
            </m:r>
          </m:oMath>
        </m:oMathPara>
      </w:hyperlink>
      <w:r>
        <w:t xml:space="preserve">. Treating launch authorization as merely a compliance gate understates its role as a tempo control on the orbital environment. Future work should move to license-level records, recover the licensing-to-launch latency the title of this program promises, and test whether reductions in that latency, rather than the count of licenses alone, are what accelerate payload placement.</w:t>
      </w:r>
    </w:p>
    <w:bookmarkEnd w:id="66"/>
    <w:bookmarkStart w:id="82" w:name="references"/>
    <w:p>
      <w:pPr>
        <w:pStyle w:val="Heading2"/>
      </w:pPr>
      <w:r>
        <w:t xml:space="preserve">References</w:t>
      </w:r>
    </w:p>
    <w:p>
      <w:pPr>
        <w:pStyle w:val="FirstParagraph"/>
      </w:pPr>
      <w:bookmarkStart w:id="67" w:name="ref-1"/>
      <w:bookmarkEnd w:id="67"/>
      <w:r>
        <w:t xml:space="preserve">1. C. Colombo, P. Martinez, F. Letizia, et al.,</w:t>
      </w:r>
      <w:r>
        <w:t xml:space="preserve"> </w:t>
      </w:r>
      <w:r>
        <w:t xml:space="preserve">“Space capacity management and its interaction with space traffic management,”</w:t>
      </w:r>
      <w:r>
        <w:t xml:space="preserve"> </w:t>
      </w:r>
      <w:r>
        <w:t xml:space="preserve">Acta Astronautica, 2025, doi:</w:t>
      </w:r>
      <w:r>
        <w:t xml:space="preserve"> </w:t>
      </w:r>
      <w:hyperlink r:id="rId68">
        <w:r>
          <w:rPr>
            <w:rStyle w:val="Hyperlink"/>
          </w:rPr>
          <w:t xml:space="preserve">10.1016/j.actaastro.2025.01.069</w:t>
        </w:r>
      </w:hyperlink>
    </w:p>
    <w:p>
      <w:pPr>
        <w:pStyle w:val="BodyText"/>
      </w:pPr>
      <w:bookmarkStart w:id="69" w:name="ref-2"/>
      <w:bookmarkEnd w:id="69"/>
      <w:r>
        <w:t xml:space="preserve">2. C. Pardini and L. Anselmo,</w:t>
      </w:r>
      <w:r>
        <w:t xml:space="preserve"> </w:t>
      </w:r>
      <w:r>
        <w:t xml:space="preserve">“Evaluating the impact of space activities in low earth orbit,”</w:t>
      </w:r>
      <w:r>
        <w:t xml:space="preserve"> </w:t>
      </w:r>
      <w:r>
        <w:t xml:space="preserve">Acta Astronautica, vol. 184, 2021, doi:</w:t>
      </w:r>
      <w:r>
        <w:t xml:space="preserve"> </w:t>
      </w:r>
      <w:hyperlink r:id="rId70">
        <w:r>
          <w:rPr>
            <w:rStyle w:val="Hyperlink"/>
          </w:rPr>
          <w:t xml:space="preserve">10.1016/j.actaastro.2021.03.030</w:t>
        </w:r>
      </w:hyperlink>
    </w:p>
    <w:p>
      <w:pPr>
        <w:pStyle w:val="BodyText"/>
      </w:pPr>
      <w:bookmarkStart w:id="71" w:name="ref-3"/>
      <w:bookmarkEnd w:id="71"/>
      <w:r>
        <w:t xml:space="preserve">3. Congressional Research Service,</w:t>
      </w:r>
      <w:r>
        <w:t xml:space="preserve"> </w:t>
      </w:r>
      <w:r>
        <w:t xml:space="preserve">“Commercial Space Launch and Reentry Regulations: Overview and Select Issues,”</w:t>
      </w:r>
      <w:r>
        <w:t xml:space="preserve"> </w:t>
      </w:r>
      <w:r>
        <w:t xml:space="preserve">Report R48582, 2025. Available: https://www.congress.gov/crs-product/R48582.</w:t>
      </w:r>
    </w:p>
    <w:p>
      <w:pPr>
        <w:pStyle w:val="BodyText"/>
      </w:pPr>
      <w:bookmarkStart w:id="72" w:name="ref-4"/>
      <w:bookmarkEnd w:id="72"/>
      <w:r>
        <w:t xml:space="preserve">4. G. Di Pasquale, B. I. Escamilla, et al.,</w:t>
      </w:r>
      <w:r>
        <w:t xml:space="preserve"> </w:t>
      </w:r>
      <w:r>
        <w:t xml:space="preserve">“Multi-disciplinary optimization of constellation deployment strategies,”</w:t>
      </w:r>
      <w:r>
        <w:t xml:space="preserve"> </w:t>
      </w:r>
      <w:r>
        <w:t xml:space="preserve">Acta Astronautica, 2024, doi:</w:t>
      </w:r>
      <w:r>
        <w:t xml:space="preserve"> </w:t>
      </w:r>
      <w:hyperlink r:id="rId73">
        <w:r>
          <w:rPr>
            <w:rStyle w:val="Hyperlink"/>
          </w:rPr>
          <w:t xml:space="preserve">10.1016/j.actaastro.2024.07.030</w:t>
        </w:r>
      </w:hyperlink>
    </w:p>
    <w:p>
      <w:pPr>
        <w:pStyle w:val="BodyText"/>
      </w:pPr>
      <w:bookmarkStart w:id="74" w:name="ref-5"/>
      <w:bookmarkEnd w:id="74"/>
      <w:r>
        <w:t xml:space="preserve">5. F. Barato, E. Toson, F. Milza, et al.,</w:t>
      </w:r>
      <w:r>
        <w:t xml:space="preserve"> </w:t>
      </w:r>
      <w:r>
        <w:t xml:space="preserve">“Investigation of different strategies for access to space of small satellites,”</w:t>
      </w:r>
      <w:r>
        <w:t xml:space="preserve"> </w:t>
      </w:r>
      <w:r>
        <w:t xml:space="preserve">Acta Astronautica, 2024, doi:</w:t>
      </w:r>
      <w:r>
        <w:t xml:space="preserve"> </w:t>
      </w:r>
      <w:hyperlink r:id="rId75">
        <w:r>
          <w:rPr>
            <w:rStyle w:val="Hyperlink"/>
          </w:rPr>
          <w:t xml:space="preserve">10.1016/j.actaastro.2024.05.045</w:t>
        </w:r>
      </w:hyperlink>
    </w:p>
    <w:p>
      <w:pPr>
        <w:pStyle w:val="BodyText"/>
      </w:pPr>
      <w:bookmarkStart w:id="76" w:name="ref-6"/>
      <w:bookmarkEnd w:id="76"/>
      <w:r>
        <w:t xml:space="preserve">6. A. Rossi, N. Sanchez-Ortiz, E. David, et al.,</w:t>
      </w:r>
      <w:r>
        <w:t xml:space="preserve"> </w:t>
      </w:r>
      <w:r>
        <w:t xml:space="preserve">“Future activities in the near-earth space in the face of ever-increasing traffic,”</w:t>
      </w:r>
      <w:r>
        <w:t xml:space="preserve"> </w:t>
      </w:r>
      <w:r>
        <w:t xml:space="preserve">Acta Astronautica, 2024, doi:</w:t>
      </w:r>
      <w:r>
        <w:t xml:space="preserve"> </w:t>
      </w:r>
      <w:hyperlink r:id="rId77">
        <w:r>
          <w:rPr>
            <w:rStyle w:val="Hyperlink"/>
          </w:rPr>
          <w:t xml:space="preserve">10.1016/j.actaastro.2024.09.063</w:t>
        </w:r>
      </w:hyperlink>
    </w:p>
    <w:p>
      <w:pPr>
        <w:pStyle w:val="BodyText"/>
      </w:pPr>
      <w:bookmarkStart w:id="78" w:name="ref-7"/>
      <w:bookmarkEnd w:id="78"/>
      <w:r>
        <w:t xml:space="preserve">7. M. Borowitz, B. Gunter, M. Birch, and R. Macke,</w:t>
      </w:r>
      <w:r>
        <w:t xml:space="preserve"> </w:t>
      </w:r>
      <w:r>
        <w:t xml:space="preserve">“An Investigation into Potential Collision Maneuver Guidelines for Future Space Traffic Management,”</w:t>
      </w:r>
      <w:r>
        <w:t xml:space="preserve"> </w:t>
      </w:r>
      <w:r>
        <w:t xml:space="preserve">Proc. Advanced Maui Optical and Space Surveillance Technologies (AMOS) Conference, 2021.</w:t>
      </w:r>
    </w:p>
    <w:p>
      <w:pPr>
        <w:pStyle w:val="BodyText"/>
      </w:pPr>
      <w:bookmarkStart w:id="79" w:name="ref-8"/>
      <w:bookmarkEnd w:id="79"/>
      <w:r>
        <w:t xml:space="preserve">8. United Nations Office for Outer Space Affairs, Online Index of Objects Launched into Outer Space, compiled by Our World in Data,</w:t>
      </w:r>
      <w:r>
        <w:t xml:space="preserve"> </w:t>
      </w:r>
      <w:r>
        <w:t xml:space="preserve">“Yearly number of objects launched into outer space,”</w:t>
      </w:r>
      <w:r>
        <w:t xml:space="preserve"> </w:t>
      </w:r>
      <w:r>
        <w:t xml:space="preserve">2025. Available: https://ourworldindata.org/grapher/yearly-number-of-objects-launched-into-outer-space.</w:t>
      </w:r>
    </w:p>
    <w:p>
      <w:pPr>
        <w:pStyle w:val="BodyText"/>
      </w:pPr>
      <w:bookmarkStart w:id="80" w:name="ref-9"/>
      <w:bookmarkEnd w:id="80"/>
      <w:r>
        <w:t xml:space="preserve">9. Federal Aviation Administration,</w:t>
      </w:r>
      <w:r>
        <w:t xml:space="preserve"> </w:t>
      </w:r>
      <w:r>
        <w:t xml:space="preserve">“New Record for FAA-Licensed Commercial Space Operations, Aerospace Rulemaking Committee Launched to Update Licensing Rule,”</w:t>
      </w:r>
      <w:r>
        <w:t xml:space="preserve"> </w:t>
      </w:r>
      <w:r>
        <w:t xml:space="preserve">FAA Newsroom, 2024. Available: https://www.faa.gov/newsroom/new-record-faa-licensed-commercial-space-operations-aerospace-rulemaking-committee.</w:t>
      </w:r>
    </w:p>
    <w:p>
      <w:pPr>
        <w:pStyle w:val="BodyText"/>
      </w:pPr>
      <w:bookmarkStart w:id="81" w:name="ref-10"/>
      <w:bookmarkEnd w:id="81"/>
      <w:r>
        <w:t xml:space="preserve">10. J. McDowell,</w:t>
      </w:r>
      <w:r>
        <w:t xml:space="preserve"> </w:t>
      </w:r>
      <w:r>
        <w:t xml:space="preserve">“Jonathan’s Space Report: Launch and Payload Statistics,”</w:t>
      </w:r>
      <w:r>
        <w:t xml:space="preserve"> </w:t>
      </w:r>
      <w:r>
        <w:t xml:space="preserve">planet4589.org, 2025. Available: https://planet4589.org/space/stats/.</w:t>
      </w:r>
    </w:p>
    <w:bookmarkEnd w:id="82"/>
    <w:bookmarkStart w:id="83" w:name="specification"/>
    <w:p>
      <w:pPr>
        <w:pStyle w:val="Heading2"/>
      </w:pPr>
      <w:r>
        <w:t xml:space="preserve">Specification</w:t>
      </w:r>
    </w:p>
    <w:p>
      <w:pPr>
        <w:pStyle w:val="FirstParagraph"/>
      </w:pPr>
      <m:oMathPara>
        <m:oMathParaPr>
          <m:jc m:val="center"/>
        </m:oMathParaPr>
        <m:oMath>
          <m:r>
            <m:t>p</m:t>
          </m:r>
          <m:r>
            <m:t>a</m:t>
          </m:r>
          <m:r>
            <m:t>y</m:t>
          </m:r>
          <m:r>
            <m:t>l</m:t>
          </m:r>
          <m:r>
            <m:t>o</m:t>
          </m:r>
          <m:r>
            <m:t>a</m:t>
          </m:r>
          <m:r>
            <m:t>d</m:t>
          </m:r>
          <m:sSub>
            <m:e>
              <m:r>
                <m:t>s</m:t>
              </m:r>
            </m:e>
            <m:sub>
              <m:r>
                <m:t>i</m:t>
              </m:r>
              <m:r>
                <m:t>t</m:t>
              </m:r>
            </m:sub>
          </m:sSub>
          <m:r>
            <m:rPr>
              <m:sty m:val="p"/>
            </m:rPr>
            <m:t>=</m:t>
          </m:r>
          <m:sSub>
            <m:e>
              <m:r>
                <m:t>β</m:t>
              </m:r>
            </m:e>
            <m:sub>
              <m:r>
                <m:t>0</m:t>
              </m:r>
            </m:sub>
          </m:sSub>
          <m:r>
            <m:rPr>
              <m:sty m:val="p"/>
            </m:rPr>
            <m:t>+</m:t>
          </m:r>
          <m:sSub>
            <m:e>
              <m:r>
                <m:t>β</m:t>
              </m:r>
            </m:e>
            <m:sub>
              <m:r>
                <m:t>1</m:t>
              </m:r>
            </m:sub>
          </m:sSub>
          <m:r>
            <m:t>t</m:t>
          </m:r>
          <m:r>
            <m:t>h</m:t>
          </m:r>
          <m:r>
            <m:t>r</m:t>
          </m:r>
          <m:r>
            <m:t>o</m:t>
          </m:r>
          <m:r>
            <m:t>u</m:t>
          </m:r>
          <m:r>
            <m:t>g</m:t>
          </m:r>
          <m:r>
            <m:t>h</m:t>
          </m:r>
          <m:r>
            <m:t>p</m:t>
          </m:r>
          <m:r>
            <m:t>u</m:t>
          </m:r>
          <m:sSub>
            <m:e>
              <m:r>
                <m:t>t</m:t>
              </m:r>
            </m:e>
            <m:sub>
              <m:r>
                <m:t>i</m:t>
              </m:r>
              <m:r>
                <m:t>t</m:t>
              </m:r>
            </m:sub>
          </m:sSub>
          <m:r>
            <m:rPr>
              <m:sty m:val="p"/>
            </m:rPr>
            <m:t>+</m:t>
          </m:r>
          <m:sSub>
            <m:e>
              <m:r>
                <m:t>β</m:t>
              </m:r>
            </m:e>
            <m:sub>
              <m:r>
                <m:t>2</m:t>
              </m:r>
            </m:sub>
          </m:sSub>
          <m:r>
            <m:t>f</m:t>
          </m:r>
          <m:r>
            <m:t>a</m:t>
          </m:r>
          <m:r>
            <m:t>a</m:t>
          </m:r>
          <m:r>
            <m:rPr>
              <m:sty m:val="p"/>
            </m:rPr>
            <m:t>_</m:t>
          </m:r>
          <m:r>
            <m:t>r</m:t>
          </m:r>
          <m:r>
            <m:t>e</m:t>
          </m:r>
          <m:r>
            <m:t>g</m:t>
          </m:r>
          <m:r>
            <m:t>i</m:t>
          </m:r>
          <m:r>
            <m:t>m</m:t>
          </m:r>
          <m:sSub>
            <m:e>
              <m:r>
                <m:t>e</m:t>
              </m:r>
            </m:e>
            <m:sub>
              <m:r>
                <m:t>i</m:t>
              </m:r>
            </m:sub>
          </m:sSub>
          <m:r>
            <m:rPr>
              <m:sty m:val="p"/>
            </m:rPr>
            <m:t>+</m:t>
          </m:r>
          <m:sSub>
            <m:e>
              <m:r>
                <m:t>β</m:t>
              </m:r>
            </m:e>
            <m:sub>
              <m:r>
                <m:t>3</m:t>
              </m:r>
            </m:sub>
          </m:sSub>
          <m:r>
            <m:rPr>
              <m:sty m:val="p"/>
            </m:rPr>
            <m:t>(</m:t>
          </m:r>
          <m:r>
            <m:t>t</m:t>
          </m:r>
          <m:r>
            <m:t>h</m:t>
          </m:r>
          <m:r>
            <m:t>r</m:t>
          </m:r>
          <m:r>
            <m:t>o</m:t>
          </m:r>
          <m:r>
            <m:t>u</m:t>
          </m:r>
          <m:r>
            <m:t>g</m:t>
          </m:r>
          <m:r>
            <m:t>h</m:t>
          </m:r>
          <m:r>
            <m:t>p</m:t>
          </m:r>
          <m:r>
            <m:t>u</m:t>
          </m:r>
          <m:sSub>
            <m:e>
              <m:r>
                <m:t>t</m:t>
              </m:r>
            </m:e>
            <m:sub>
              <m:r>
                <m:t>i</m:t>
              </m:r>
              <m:r>
                <m:t>t</m:t>
              </m:r>
            </m:sub>
          </m:sSub>
          <m:r>
            <m:rPr>
              <m:sty m:val="p"/>
            </m:rPr>
            <m:t>×</m:t>
          </m:r>
          <m:r>
            <m:t>f</m:t>
          </m:r>
          <m:r>
            <m:t>a</m:t>
          </m:r>
          <m:r>
            <m:t>a</m:t>
          </m:r>
          <m:r>
            <m:rPr>
              <m:sty m:val="p"/>
            </m:rPr>
            <m:t>_</m:t>
          </m:r>
          <m:r>
            <m:t>r</m:t>
          </m:r>
          <m:r>
            <m:t>e</m:t>
          </m:r>
          <m:r>
            <m:t>g</m:t>
          </m:r>
          <m:r>
            <m:t>i</m:t>
          </m:r>
          <m:r>
            <m:t>m</m:t>
          </m:r>
          <m:sSub>
            <m:e>
              <m:r>
                <m:t>e</m:t>
              </m:r>
            </m:e>
            <m:sub>
              <m:r>
                <m:t>i</m:t>
              </m:r>
            </m:sub>
          </m:sSub>
          <m:r>
            <m:rPr>
              <m:sty m:val="p"/>
            </m:rPr>
            <m:t>)</m:t>
          </m:r>
          <m:r>
            <m:rPr>
              <m:sty m:val="p"/>
            </m:rPr>
            <m:t>+</m:t>
          </m:r>
          <m:sSub>
            <m:e>
              <m:r>
                <m:t>β</m:t>
              </m:r>
            </m:e>
            <m:sub>
              <m:r>
                <m:t>4</m:t>
              </m:r>
            </m:sub>
          </m:sSub>
          <m:r>
            <m:t>y</m:t>
          </m:r>
          <m:r>
            <m:t>e</m:t>
          </m:r>
          <m:r>
            <m:t>a</m:t>
          </m:r>
          <m:r>
            <m:t>r</m:t>
          </m:r>
          <m:r>
            <m:rPr>
              <m:sty m:val="p"/>
            </m:rPr>
            <m:t>_</m:t>
          </m:r>
          <m:r>
            <m:t>i</m:t>
          </m:r>
          <m:r>
            <m:t>d</m:t>
          </m:r>
          <m:sSub>
            <m:e>
              <m:r>
                <m:t>x</m:t>
              </m:r>
            </m:e>
            <m:sub>
              <m:r>
                <m:t>t</m:t>
              </m:r>
            </m:sub>
          </m:sSub>
          <m:r>
            <m:rPr>
              <m:sty m:val="p"/>
            </m:rPr>
            <m:t>+</m:t>
          </m:r>
          <m:sSub>
            <m:e>
              <m:r>
                <m:t>ε</m:t>
              </m:r>
            </m:e>
            <m:sub>
              <m:r>
                <m:t>i</m:t>
              </m:r>
              <m:r>
                <m:t>t</m:t>
              </m:r>
            </m:sub>
          </m:sSub>
        </m:oMath>
      </m:oMathPara>
    </w:p>
    <w:bookmarkEnd w:id="83"/>
    <w:bookmarkStart w:id="87" w:name="results"/>
    <w:p>
      <w:pPr>
        <w:pStyle w:val="Heading2"/>
      </w:pPr>
      <w:r>
        <w:t xml:space="preserve">Results</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41.8391</w:t>
            </w:r>
          </w:p>
        </w:tc>
        <w:tc>
          <w:tcPr>
            <w:tcW w:w="0" w:type="auto"/>
          </w:tcPr>
          <w:p>
            <w:pPr>
              <w:spacing w:line="240" w:lineRule="auto" w:before="0" w:after="0"/>
              <w:pStyle w:val="Compact"/>
            </w:pPr>
            <w:r>
              <w:rPr>
                <w:sz w:val="20"/>
                <w:szCs w:val="20"/>
              </w:rPr>
              <w:t xml:space="preserve">216.0068</w:t>
            </w:r>
          </w:p>
        </w:tc>
        <w:tc>
          <w:tcPr>
            <w:tcW w:w="0" w:type="auto"/>
          </w:tcPr>
          <w:p>
            <w:pPr>
              <w:spacing w:line="240" w:lineRule="auto" w:before="0" w:after="0"/>
              <w:pStyle w:val="Compact"/>
            </w:pPr>
            <w:r>
              <w:rPr>
                <w:sz w:val="20"/>
                <w:szCs w:val="20"/>
              </w:rPr>
              <w:t xml:space="preserve">0.1937</w:t>
            </w:r>
          </w:p>
        </w:tc>
        <w:tc>
          <w:tcPr>
            <w:tcW w:w="0" w:type="auto"/>
          </w:tcPr>
          <w:p>
            <w:pPr>
              <w:spacing w:line="240" w:lineRule="auto" w:before="0" w:after="0"/>
              <w:pStyle w:val="Compact"/>
            </w:pPr>
            <w:r>
              <w:rPr>
                <w:sz w:val="20"/>
                <w:szCs w:val="20"/>
              </w:rPr>
              <w:t xml:space="preserve">0.8464</w:t>
            </w:r>
          </w:p>
        </w:tc>
        <w:tc>
          <w:tcPr>
            <w:tcW w:w="0" w:type="auto"/>
          </w:tcPr>
          <w:p>
            <w:pPr>
              <w:spacing w:line="240" w:lineRule="auto" w:before="0" w:after="0"/>
              <w:pStyle w:val="Compact"/>
            </w:pPr>
            <w:r>
              <w:rPr>
                <w:sz w:val="20"/>
                <w:szCs w:val="20"/>
              </w:rPr>
              <w:t xml:space="preserve">[-381.5264, 465.2047]</w:t>
            </w:r>
          </w:p>
        </w:tc>
      </w:tr>
      <w:tr>
        <w:tc>
          <w:tcPr>
            <w:tcW w:w="0" w:type="auto"/>
          </w:tcPr>
          <w:p>
            <w:pPr>
              <w:spacing w:line="240" w:lineRule="auto" w:before="0" w:after="0"/>
              <w:pStyle w:val="Compact"/>
            </w:pPr>
            <w:r>
              <w:rPr>
                <w:sz w:val="20"/>
                <w:szCs w:val="20"/>
              </w:rPr>
              <w:t xml:space="preserve">throughput</w:t>
            </w:r>
          </w:p>
        </w:tc>
        <w:tc>
          <w:tcPr>
            <w:tcW w:w="0" w:type="auto"/>
          </w:tcPr>
          <w:p>
            <w:pPr>
              <w:spacing w:line="240" w:lineRule="auto" w:before="0" w:after="0"/>
              <w:pStyle w:val="Compact"/>
            </w:pPr>
            <w:r>
              <w:rPr>
                <w:sz w:val="20"/>
                <w:szCs w:val="20"/>
              </w:rPr>
              <w:t xml:space="preserve">-0.9527</w:t>
            </w:r>
          </w:p>
        </w:tc>
        <w:tc>
          <w:tcPr>
            <w:tcW w:w="0" w:type="auto"/>
          </w:tcPr>
          <w:p>
            <w:pPr>
              <w:spacing w:line="240" w:lineRule="auto" w:before="0" w:after="0"/>
              <w:pStyle w:val="Compact"/>
            </w:pPr>
            <w:r>
              <w:rPr>
                <w:sz w:val="20"/>
                <w:szCs w:val="20"/>
              </w:rPr>
              <w:t xml:space="preserve">4.142</w:t>
            </w:r>
          </w:p>
        </w:tc>
        <w:tc>
          <w:tcPr>
            <w:tcW w:w="0" w:type="auto"/>
          </w:tcPr>
          <w:p>
            <w:pPr>
              <w:spacing w:line="240" w:lineRule="auto" w:before="0" w:after="0"/>
              <w:pStyle w:val="Compact"/>
            </w:pPr>
            <w:r>
              <w:rPr>
                <w:sz w:val="20"/>
                <w:szCs w:val="20"/>
              </w:rPr>
              <w:t xml:space="preserve">-0.23</w:t>
            </w:r>
          </w:p>
        </w:tc>
        <w:tc>
          <w:tcPr>
            <w:tcW w:w="0" w:type="auto"/>
          </w:tcPr>
          <w:p>
            <w:pPr>
              <w:spacing w:line="240" w:lineRule="auto" w:before="0" w:after="0"/>
              <w:pStyle w:val="Compact"/>
            </w:pPr>
            <w:r>
              <w:rPr>
                <w:sz w:val="20"/>
                <w:szCs w:val="20"/>
              </w:rPr>
              <w:t xml:space="preserve">0.8181</w:t>
            </w:r>
          </w:p>
        </w:tc>
        <w:tc>
          <w:tcPr>
            <w:tcW w:w="0" w:type="auto"/>
          </w:tcPr>
          <w:p>
            <w:pPr>
              <w:spacing w:line="240" w:lineRule="auto" w:before="0" w:after="0"/>
              <w:pStyle w:val="Compact"/>
            </w:pPr>
            <w:r>
              <w:rPr>
                <w:sz w:val="20"/>
                <w:szCs w:val="20"/>
              </w:rPr>
              <w:t xml:space="preserve">[-9.0709, 7.1656]</w:t>
            </w:r>
          </w:p>
        </w:tc>
      </w:tr>
      <w:tr>
        <w:tc>
          <w:tcPr>
            <w:tcW w:w="0" w:type="auto"/>
          </w:tcPr>
          <w:p>
            <w:pPr>
              <w:spacing w:line="240" w:lineRule="auto" w:before="0" w:after="0"/>
              <w:pStyle w:val="Compact"/>
            </w:pPr>
            <w:r>
              <w:rPr>
                <w:sz w:val="20"/>
                <w:szCs w:val="20"/>
              </w:rPr>
              <w:t xml:space="preserve">faa_regime</w:t>
            </w:r>
          </w:p>
        </w:tc>
        <w:tc>
          <w:tcPr>
            <w:tcW w:w="0" w:type="auto"/>
          </w:tcPr>
          <w:p>
            <w:pPr>
              <w:spacing w:line="240" w:lineRule="auto" w:before="0" w:after="0"/>
              <w:pStyle w:val="Compact"/>
            </w:pPr>
            <w:r>
              <w:rPr>
                <w:sz w:val="20"/>
                <w:szCs w:val="20"/>
              </w:rPr>
              <w:t xml:space="preserve">-234.0909</w:t>
            </w:r>
          </w:p>
        </w:tc>
        <w:tc>
          <w:tcPr>
            <w:tcW w:w="0" w:type="auto"/>
          </w:tcPr>
          <w:p>
            <w:pPr>
              <w:spacing w:line="240" w:lineRule="auto" w:before="0" w:after="0"/>
              <w:pStyle w:val="Compact"/>
            </w:pPr>
            <w:r>
              <w:rPr>
                <w:sz w:val="20"/>
                <w:szCs w:val="20"/>
              </w:rPr>
              <w:t xml:space="preserve">216.432</w:t>
            </w:r>
          </w:p>
        </w:tc>
        <w:tc>
          <w:tcPr>
            <w:tcW w:w="0" w:type="auto"/>
          </w:tcPr>
          <w:p>
            <w:pPr>
              <w:spacing w:line="240" w:lineRule="auto" w:before="0" w:after="0"/>
              <w:pStyle w:val="Compact"/>
            </w:pPr>
            <w:r>
              <w:rPr>
                <w:sz w:val="20"/>
                <w:szCs w:val="20"/>
              </w:rPr>
              <w:t xml:space="preserve">-1.0816</w:t>
            </w:r>
          </w:p>
        </w:tc>
        <w:tc>
          <w:tcPr>
            <w:tcW w:w="0" w:type="auto"/>
          </w:tcPr>
          <w:p>
            <w:pPr>
              <w:spacing w:line="240" w:lineRule="auto" w:before="0" w:after="0"/>
              <w:pStyle w:val="Compact"/>
            </w:pPr>
            <w:r>
              <w:rPr>
                <w:sz w:val="20"/>
                <w:szCs w:val="20"/>
              </w:rPr>
              <w:t xml:space="preserve">0.2794</w:t>
            </w:r>
          </w:p>
        </w:tc>
        <w:tc>
          <w:tcPr>
            <w:tcW w:w="0" w:type="auto"/>
          </w:tcPr>
          <w:p>
            <w:pPr>
              <w:spacing w:line="240" w:lineRule="auto" w:before="0" w:after="0"/>
              <w:pStyle w:val="Compact"/>
            </w:pPr>
            <w:r>
              <w:rPr>
                <w:sz w:val="20"/>
                <w:szCs w:val="20"/>
              </w:rPr>
              <w:t xml:space="preserve">[-658.2899, 190.108]</w:t>
            </w:r>
          </w:p>
        </w:tc>
      </w:tr>
      <w:tr>
        <w:tc>
          <w:tcPr>
            <w:tcW w:w="0" w:type="auto"/>
          </w:tcPr>
          <w:p>
            <w:pPr>
              <w:spacing w:line="240" w:lineRule="auto" w:before="0" w:after="0"/>
              <w:pStyle w:val="Compact"/>
            </w:pPr>
            <w:r>
              <w:rPr>
                <w:sz w:val="20"/>
                <w:szCs w:val="20"/>
              </w:rPr>
              <w:t xml:space="preserve">throughput_x_faa</w:t>
            </w:r>
          </w:p>
        </w:tc>
        <w:tc>
          <w:tcPr>
            <w:tcW w:w="0" w:type="auto"/>
          </w:tcPr>
          <w:p>
            <w:pPr>
              <w:spacing w:line="240" w:lineRule="auto" w:before="0" w:after="0"/>
              <w:pStyle w:val="Compact"/>
            </w:pPr>
            <w:r>
              <w:rPr>
                <w:sz w:val="20"/>
                <w:szCs w:val="20"/>
              </w:rPr>
              <w:t xml:space="preserve">14.8414</w:t>
            </w:r>
          </w:p>
        </w:tc>
        <w:tc>
          <w:tcPr>
            <w:tcW w:w="0" w:type="auto"/>
          </w:tcPr>
          <w:p>
            <w:pPr>
              <w:spacing w:line="240" w:lineRule="auto" w:before="0" w:after="0"/>
              <w:pStyle w:val="Compact"/>
            </w:pPr>
            <w:r>
              <w:rPr>
                <w:sz w:val="20"/>
                <w:szCs w:val="20"/>
              </w:rPr>
              <w:t xml:space="preserve">2.8126</w:t>
            </w:r>
          </w:p>
        </w:tc>
        <w:tc>
          <w:tcPr>
            <w:tcW w:w="0" w:type="auto"/>
          </w:tcPr>
          <w:p>
            <w:pPr>
              <w:spacing w:line="240" w:lineRule="auto" w:before="0" w:after="0"/>
              <w:pStyle w:val="Compact"/>
            </w:pPr>
            <w:r>
              <w:rPr>
                <w:sz w:val="20"/>
                <w:szCs w:val="20"/>
              </w:rPr>
              <w:t xml:space="preserve">5.2767</w:t>
            </w:r>
          </w:p>
        </w:tc>
        <w:tc>
          <w:tcPr>
            <w:tcW w:w="0" w:type="auto"/>
          </w:tcPr>
          <w:p>
            <w:pPr>
              <w:spacing w:line="240" w:lineRule="auto" w:before="0" w:after="0"/>
              <w:pStyle w:val="Compact"/>
            </w:pPr>
            <w:r>
              <w:rPr>
                <w:sz w:val="20"/>
                <w:szCs w:val="20"/>
              </w:rPr>
              <w:t xml:space="preserve">1.315e-07</w:t>
            </w:r>
          </w:p>
        </w:tc>
        <w:tc>
          <w:tcPr>
            <w:tcW w:w="0" w:type="auto"/>
          </w:tcPr>
          <w:p>
            <w:pPr>
              <w:spacing w:line="240" w:lineRule="auto" w:before="0" w:after="0"/>
              <w:pStyle w:val="Compact"/>
            </w:pPr>
            <w:r>
              <w:rPr>
                <w:sz w:val="20"/>
                <w:szCs w:val="20"/>
              </w:rPr>
              <w:t xml:space="preserve">[9.3287, 20.3541]</w:t>
            </w:r>
          </w:p>
        </w:tc>
      </w:tr>
      <w:tr>
        <w:tc>
          <w:tcPr>
            <w:tcW w:w="0" w:type="auto"/>
          </w:tcPr>
          <w:p>
            <w:pPr>
              <w:spacing w:line="240" w:lineRule="auto" w:before="0" w:after="0"/>
              <w:pStyle w:val="Compact"/>
            </w:pPr>
            <w:r>
              <w:rPr>
                <w:sz w:val="20"/>
                <w:szCs w:val="20"/>
              </w:rPr>
              <w:t xml:space="preserve">year_idx</w:t>
            </w:r>
          </w:p>
        </w:tc>
        <w:tc>
          <w:tcPr>
            <w:tcW w:w="0" w:type="auto"/>
          </w:tcPr>
          <w:p>
            <w:pPr>
              <w:spacing w:line="240" w:lineRule="auto" w:before="0" w:after="0"/>
              <w:pStyle w:val="Compact"/>
            </w:pPr>
            <w:r>
              <w:rPr>
                <w:sz w:val="20"/>
                <w:szCs w:val="20"/>
              </w:rPr>
              <w:t xml:space="preserve">74.551</w:t>
            </w:r>
          </w:p>
        </w:tc>
        <w:tc>
          <w:tcPr>
            <w:tcW w:w="0" w:type="auto"/>
          </w:tcPr>
          <w:p>
            <w:pPr>
              <w:spacing w:line="240" w:lineRule="auto" w:before="0" w:after="0"/>
              <w:pStyle w:val="Compact"/>
            </w:pPr>
            <w:r>
              <w:rPr>
                <w:sz w:val="20"/>
                <w:szCs w:val="20"/>
              </w:rPr>
              <w:t xml:space="preserve">27.5784</w:t>
            </w:r>
          </w:p>
        </w:tc>
        <w:tc>
          <w:tcPr>
            <w:tcW w:w="0" w:type="auto"/>
          </w:tcPr>
          <w:p>
            <w:pPr>
              <w:spacing w:line="240" w:lineRule="auto" w:before="0" w:after="0"/>
              <w:pStyle w:val="Compact"/>
            </w:pPr>
            <w:r>
              <w:rPr>
                <w:sz w:val="20"/>
                <w:szCs w:val="20"/>
              </w:rPr>
              <w:t xml:space="preserve">2.7032</w:t>
            </w:r>
          </w:p>
        </w:tc>
        <w:tc>
          <w:tcPr>
            <w:tcW w:w="0" w:type="auto"/>
          </w:tcPr>
          <w:p>
            <w:pPr>
              <w:spacing w:line="240" w:lineRule="auto" w:before="0" w:after="0"/>
              <w:pStyle w:val="Compact"/>
            </w:pPr>
            <w:r>
              <w:rPr>
                <w:sz w:val="20"/>
                <w:szCs w:val="20"/>
              </w:rPr>
              <w:t xml:space="preserve">0.0069</w:t>
            </w:r>
          </w:p>
        </w:tc>
        <w:tc>
          <w:tcPr>
            <w:tcW w:w="0" w:type="auto"/>
          </w:tcPr>
          <w:p>
            <w:pPr>
              <w:spacing w:line="240" w:lineRule="auto" w:before="0" w:after="0"/>
              <w:pStyle w:val="Compact"/>
            </w:pPr>
            <w:r>
              <w:rPr>
                <w:sz w:val="20"/>
                <w:szCs w:val="20"/>
              </w:rPr>
              <w:t xml:space="preserve">[20.4984, 128.6035]</w:t>
            </w:r>
          </w:p>
        </w:tc>
      </w:tr>
    </w:tbl>
    <w:p>
      <w:pPr>
        <w:pStyle w:val="BodyText"/>
      </w:pPr>
      <w:r>
        <w:t xml:space="preserve">Fit: N = 22 R2 = 0.9316 R2_adj = 0.9155 F = 36.7295 F_p = 3.715e-08</w:t>
      </w:r>
    </w:p>
    <w:p>
      <w:pPr>
        <w:pStyle w:val="CaptionedFigure"/>
      </w:pPr>
      <w:r>
        <w:drawing>
          <wp:inline>
            <wp:extent cx="5669280" cy="3657600"/>
            <wp:effectExtent b="0" l="0" r="0" t="0"/>
            <wp:docPr descr="Figure 1. On-orbit payload deployment against annual launch-licensing throughput, United States bloc versus rest-of-world bloc, 2014-2024. The steeper US relationship is consistent with FAA AST throughput pacing payload placement." title="" id="85" name="Picture"/>
            <a:graphic>
              <a:graphicData uri="http://schemas.openxmlformats.org/drawingml/2006/picture">
                <pic:pic>
                  <pic:nvPicPr>
                    <pic:cNvPr descr="D:\Claude_Code\brain\collegium\candidates\dissertations\STM_CISLUNAR_05\research_papers\p1\paper_fig1.png" id="86" name="Picture"/>
                    <pic:cNvPicPr>
                      <a:picLocks noChangeArrowheads="1" noChangeAspect="1"/>
                    </pic:cNvPicPr>
                  </pic:nvPicPr>
                  <pic:blipFill>
                    <a:blip r:embed="rId84"/>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pPr>
      <w:r>
        <w:t xml:space="preserve">Figure 1. On-orbit payload deployment against annual launch-licensing throughput, United States bloc versus rest-of-world bloc, 2014-2024. The steeper US relationship is consistent with FAA AST throughput pacing payload placement.</w:t>
      </w:r>
    </w:p>
    <w:bookmarkEnd w:id="87"/>
    <w:bookmarkStart w:id="91" w:name="empirical-workbook-embedded"/>
    <w:p>
      <w:pPr>
        <w:pStyle w:val="Heading2"/>
      </w:pPr>
      <w:r>
        <w:t xml:space="preserve">Empirical Workbook (embedded)</w:t>
      </w:r>
    </w:p>
    <w:p>
      <w:pPr>
        <w:pStyle w:val="FirstParagraph"/>
      </w:pPr>
      <w:r>
        <w:t xml:space="preserve">Every figure above is reproduced from the workbook below, which is also attached as the live spreadsheet</w:t>
      </w:r>
      <w:r>
        <w:t xml:space="preserve"> </w:t>
      </w:r>
      <w:r>
        <w:rPr>
          <w:rStyle w:val="VerbatimChar"/>
        </w:rPr>
        <w:t xml:space="preserve">paper.xlsx</w:t>
      </w:r>
      <w:r>
        <w:t xml:space="preserve">. Each observation carries its source.</w:t>
      </w:r>
    </w:p>
    <w:bookmarkStart w:id="88" w:name="data-real-observations"/>
    <w:p>
      <w:pPr>
        <w:pStyle w:val="Heading3"/>
      </w:pPr>
      <w:r>
        <w:t xml:space="preserve">Data (real observations)</w:t>
      </w:r>
    </w:p>
    <w:tbl>
      <w:tblPr>
        <w:tblStyle w:val="Table"/>
        <w:tblLook w:firstRow="1" w:lastRow="0" w:firstColumn="0" w:lastColumn="0" w:noHBand="0" w:noVBand="0" w:val="0020"/>
        <w:tblLayout w:type="autofit"/>
        <w:tblW w:w="0" w:type="auto"/>
      </w:tblPr>
      <w:tblGrid>
        <w:gridCol w:w="879"/>
        <w:gridCol w:w="879"/>
        <w:gridCol w:w="879"/>
        <w:gridCol w:w="879"/>
        <w:gridCol w:w="879"/>
        <w:gridCol w:w="879"/>
        <w:gridCol w:w="879"/>
        <w:gridCol w:w="879"/>
        <w:gridCol w:w="879"/>
      </w:tblGrid>
      <w:tr>
        <w:trPr>
          <w:tblHeader w:val="on"/>
        </w:trPr>
        <w:tc>
          <w:tcPr>
            <w:tcW w:w="0" w:type="auto"/>
          </w:tcPr>
          <w:p>
            <w:pPr>
              <w:spacing w:line="240" w:lineRule="auto" w:before="0" w:after="0"/>
              <w:pStyle w:val="Compact"/>
            </w:pPr>
            <w:r>
              <w:rPr>
                <w:sz w:val="20"/>
                <w:szCs w:val="20"/>
              </w:rPr>
              <w:t xml:space="preserve">bloc</w:t>
            </w:r>
          </w:p>
        </w:tc>
        <w:tc>
          <w:tcPr>
            <w:tcW w:w="0" w:type="auto"/>
          </w:tcPr>
          <w:p>
            <w:pPr>
              <w:spacing w:line="240" w:lineRule="auto" w:before="0" w:after="0"/>
              <w:pStyle w:val="Compact"/>
            </w:pPr>
            <w:r>
              <w:rPr>
                <w:sz w:val="20"/>
                <w:szCs w:val="20"/>
              </w:rPr>
              <w:t xml:space="preserve">year</w:t>
            </w:r>
          </w:p>
        </w:tc>
        <w:tc>
          <w:tcPr>
            <w:tcW w:w="0" w:type="auto"/>
          </w:tcPr>
          <w:p>
            <w:pPr>
              <w:spacing w:line="240" w:lineRule="auto" w:before="0" w:after="0"/>
              <w:pStyle w:val="Compact"/>
            </w:pPr>
            <w:r>
              <w:rPr>
                <w:sz w:val="20"/>
                <w:szCs w:val="20"/>
              </w:rPr>
              <w:t xml:space="preserve">year_idx</w:t>
            </w:r>
          </w:p>
        </w:tc>
        <w:tc>
          <w:tcPr>
            <w:tcW w:w="0" w:type="auto"/>
          </w:tcPr>
          <w:p>
            <w:pPr>
              <w:spacing w:line="240" w:lineRule="auto" w:before="0" w:after="0"/>
              <w:pStyle w:val="Compact"/>
            </w:pPr>
            <w:r>
              <w:rPr>
                <w:sz w:val="20"/>
                <w:szCs w:val="20"/>
              </w:rPr>
              <w:t xml:space="preserve">faa_regime</w:t>
            </w:r>
          </w:p>
        </w:tc>
        <w:tc>
          <w:tcPr>
            <w:tcW w:w="0" w:type="auto"/>
          </w:tcPr>
          <w:p>
            <w:pPr>
              <w:spacing w:line="240" w:lineRule="auto" w:before="0" w:after="0"/>
              <w:pStyle w:val="Compact"/>
            </w:pPr>
            <w:r>
              <w:rPr>
                <w:sz w:val="20"/>
                <w:szCs w:val="20"/>
              </w:rPr>
              <w:t xml:space="preserve">throughput</w:t>
            </w:r>
          </w:p>
        </w:tc>
        <w:tc>
          <w:tcPr>
            <w:tcW w:w="0" w:type="auto"/>
          </w:tcPr>
          <w:p>
            <w:pPr>
              <w:spacing w:line="240" w:lineRule="auto" w:before="0" w:after="0"/>
              <w:pStyle w:val="Compact"/>
            </w:pPr>
            <w:r>
              <w:rPr>
                <w:sz w:val="20"/>
                <w:szCs w:val="20"/>
              </w:rPr>
              <w:t xml:space="preserve">launch_attempts</w:t>
            </w:r>
          </w:p>
        </w:tc>
        <w:tc>
          <w:tcPr>
            <w:tcW w:w="0" w:type="auto"/>
          </w:tcPr>
          <w:p>
            <w:pPr>
              <w:spacing w:line="240" w:lineRule="auto" w:before="0" w:after="0"/>
              <w:pStyle w:val="Compact"/>
            </w:pPr>
            <w:r>
              <w:rPr>
                <w:sz w:val="20"/>
                <w:szCs w:val="20"/>
              </w:rPr>
              <w:t xml:space="preserve">payloads</w:t>
            </w:r>
          </w:p>
        </w:tc>
        <w:tc>
          <w:tcPr>
            <w:tcW w:w="0" w:type="auto"/>
          </w:tcPr>
          <w:p>
            <w:pPr>
              <w:spacing w:line="240" w:lineRule="auto" w:before="0" w:after="0"/>
              <w:pStyle w:val="Compact"/>
            </w:pPr>
            <w:r>
              <w:rPr>
                <w:sz w:val="20"/>
                <w:szCs w:val="20"/>
              </w:rPr>
              <w:t xml:space="preserve">throughput_x_faa</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US</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96</w:t>
            </w:r>
          </w:p>
        </w:tc>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FAA AST licensed ops 2014=19 (FAA Newsroom, New Record for FAA-Licensed Commercial Space Operations; CRS R48582); US orbital launch attempts 2014=23 (J. McDowell, planet4589.org/space/stats out/tab1b.txt); US objects launched 2014=96 (UNOOSA Online Index via Our World in Data, yearly-number-of-objects-launched-into-outer-space)</w:t>
            </w:r>
          </w:p>
        </w:tc>
      </w:tr>
      <w:tr>
        <w:tc>
          <w:tcPr>
            <w:tcW w:w="0" w:type="auto"/>
          </w:tcPr>
          <w:p>
            <w:pPr>
              <w:spacing w:line="240" w:lineRule="auto" w:before="0" w:after="0"/>
              <w:pStyle w:val="Compact"/>
            </w:pPr>
            <w:r>
              <w:rPr>
                <w:sz w:val="20"/>
                <w:szCs w:val="20"/>
              </w:rPr>
              <w:t xml:space="preserve">US</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105</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FAA AST licensed ops 2015=11 (FAA Newsroom; CRS R48582); US launch attempts 2015=18 (McDowell tab1b); US objects 2015=105 (UNOOSA via OWID)</w:t>
            </w:r>
          </w:p>
        </w:tc>
      </w:tr>
      <w:tr>
        <w:tc>
          <w:tcPr>
            <w:tcW w:w="0" w:type="auto"/>
          </w:tcPr>
          <w:p>
            <w:pPr>
              <w:spacing w:line="240" w:lineRule="auto" w:before="0" w:after="0"/>
              <w:pStyle w:val="Compact"/>
            </w:pPr>
            <w:r>
              <w:rPr>
                <w:sz w:val="20"/>
                <w:szCs w:val="20"/>
              </w:rPr>
              <w:t xml:space="preserve">US</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105</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FAA AST licensed ops 2016=15 (FAA Newsroom; CRS R48582); US launch attempts 2016=22 (McDowell tab1b); US objects 2016=105 (UNOOSA via OWID)</w:t>
            </w:r>
          </w:p>
        </w:tc>
      </w:tr>
      <w:tr>
        <w:tc>
          <w:tcPr>
            <w:tcW w:w="0" w:type="auto"/>
          </w:tcPr>
          <w:p>
            <w:pPr>
              <w:spacing w:line="240" w:lineRule="auto" w:before="0" w:after="0"/>
              <w:pStyle w:val="Compact"/>
            </w:pPr>
            <w:r>
              <w:rPr>
                <w:sz w:val="20"/>
                <w:szCs w:val="20"/>
              </w:rPr>
              <w:t xml:space="preserve">US</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29</w:t>
            </w:r>
          </w:p>
        </w:tc>
        <w:tc>
          <w:tcPr>
            <w:tcW w:w="0" w:type="auto"/>
          </w:tcPr>
          <w:p>
            <w:pPr>
              <w:spacing w:line="240" w:lineRule="auto" w:before="0" w:after="0"/>
              <w:pStyle w:val="Compact"/>
            </w:pPr>
            <w:r>
              <w:rPr>
                <w:sz w:val="20"/>
                <w:szCs w:val="20"/>
              </w:rPr>
              <w:t xml:space="preserve">286</w:t>
            </w:r>
          </w:p>
        </w:tc>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FAA AST licensed ops 2017=23 (FAA Newsroom; CRS R48582); US launch attempts 2017=29 (McDowell tab1b); US objects 2017=286 (UNOOSA via OWID)</w:t>
            </w:r>
          </w:p>
        </w:tc>
      </w:tr>
      <w:tr>
        <w:tc>
          <w:tcPr>
            <w:tcW w:w="0" w:type="auto"/>
          </w:tcPr>
          <w:p>
            <w:pPr>
              <w:spacing w:line="240" w:lineRule="auto" w:before="0" w:after="0"/>
              <w:pStyle w:val="Compact"/>
            </w:pPr>
            <w:r>
              <w:rPr>
                <w:sz w:val="20"/>
                <w:szCs w:val="20"/>
              </w:rPr>
              <w:t xml:space="preserve">US</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33</w:t>
            </w:r>
          </w:p>
        </w:tc>
        <w:tc>
          <w:tcPr>
            <w:tcW w:w="0" w:type="auto"/>
          </w:tcPr>
          <w:p>
            <w:pPr>
              <w:spacing w:line="240" w:lineRule="auto" w:before="0" w:after="0"/>
              <w:pStyle w:val="Compact"/>
            </w:pPr>
            <w:r>
              <w:rPr>
                <w:sz w:val="20"/>
                <w:szCs w:val="20"/>
              </w:rPr>
              <w:t xml:space="preserve">31</w:t>
            </w:r>
          </w:p>
        </w:tc>
        <w:tc>
          <w:tcPr>
            <w:tcW w:w="0" w:type="auto"/>
          </w:tcPr>
          <w:p>
            <w:pPr>
              <w:spacing w:line="240" w:lineRule="auto" w:before="0" w:after="0"/>
              <w:pStyle w:val="Compact"/>
            </w:pPr>
            <w:r>
              <w:rPr>
                <w:sz w:val="20"/>
                <w:szCs w:val="20"/>
              </w:rPr>
              <w:t xml:space="preserve">191</w:t>
            </w:r>
          </w:p>
        </w:tc>
        <w:tc>
          <w:tcPr>
            <w:tcW w:w="0" w:type="auto"/>
          </w:tcPr>
          <w:p>
            <w:pPr>
              <w:spacing w:line="240" w:lineRule="auto" w:before="0" w:after="0"/>
              <w:pStyle w:val="Compact"/>
            </w:pPr>
            <w:r>
              <w:rPr>
                <w:sz w:val="20"/>
                <w:szCs w:val="20"/>
              </w:rPr>
              <w:t xml:space="preserve">33</w:t>
            </w:r>
          </w:p>
        </w:tc>
        <w:tc>
          <w:tcPr>
            <w:tcW w:w="0" w:type="auto"/>
          </w:tcPr>
          <w:p>
            <w:pPr>
              <w:spacing w:line="240" w:lineRule="auto" w:before="0" w:after="0"/>
              <w:pStyle w:val="Compact"/>
            </w:pPr>
            <w:r>
              <w:rPr>
                <w:sz w:val="20"/>
                <w:szCs w:val="20"/>
              </w:rPr>
              <w:t xml:space="preserve">FAA AST licensed ops 2018=33 (FAA Newsroom; CRS R48582); US launch attempts 2018=31 (McDowell tab1b); US objects 2018=191 (UNOOSA via OWID)</w:t>
            </w:r>
          </w:p>
        </w:tc>
      </w:tr>
      <w:tr>
        <w:tc>
          <w:tcPr>
            <w:tcW w:w="0" w:type="auto"/>
          </w:tcPr>
          <w:p>
            <w:pPr>
              <w:spacing w:line="240" w:lineRule="auto" w:before="0" w:after="0"/>
              <w:pStyle w:val="Compact"/>
            </w:pPr>
            <w:r>
              <w:rPr>
                <w:sz w:val="20"/>
                <w:szCs w:val="20"/>
              </w:rPr>
              <w:t xml:space="preserve">US</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362</w:t>
            </w:r>
          </w:p>
        </w:tc>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FAA AST licensed ops 2019=28 (FAA Newsroom; CRS R48582); US launch attempts 2019=21 (McDowell tab1b); US objects 2019=362 (UNOOSA via OWID); US payloads 2019=253 cross-check (CSIS Aerospace Security, Payloads Launched by Country)</w:t>
            </w:r>
          </w:p>
        </w:tc>
      </w:tr>
      <w:tr>
        <w:tc>
          <w:tcPr>
            <w:tcW w:w="0" w:type="auto"/>
          </w:tcPr>
          <w:p>
            <w:pPr>
              <w:spacing w:line="240" w:lineRule="auto" w:before="0" w:after="0"/>
              <w:pStyle w:val="Compact"/>
            </w:pPr>
            <w:r>
              <w:rPr>
                <w:sz w:val="20"/>
                <w:szCs w:val="20"/>
              </w:rPr>
              <w:t xml:space="preserve">US</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39</w:t>
            </w:r>
          </w:p>
        </w:tc>
        <w:tc>
          <w:tcPr>
            <w:tcW w:w="0" w:type="auto"/>
          </w:tcPr>
          <w:p>
            <w:pPr>
              <w:spacing w:line="240" w:lineRule="auto" w:before="0" w:after="0"/>
              <w:pStyle w:val="Compact"/>
            </w:pPr>
            <w:r>
              <w:rPr>
                <w:sz w:val="20"/>
                <w:szCs w:val="20"/>
              </w:rPr>
              <w:t xml:space="preserve">34</w:t>
            </w:r>
          </w:p>
        </w:tc>
        <w:tc>
          <w:tcPr>
            <w:tcW w:w="0" w:type="auto"/>
          </w:tcPr>
          <w:p>
            <w:pPr>
              <w:spacing w:line="240" w:lineRule="auto" w:before="0" w:after="0"/>
              <w:pStyle w:val="Compact"/>
            </w:pPr>
            <w:r>
              <w:rPr>
                <w:sz w:val="20"/>
                <w:szCs w:val="20"/>
              </w:rPr>
              <w:t xml:space="preserve">984</w:t>
            </w:r>
          </w:p>
        </w:tc>
        <w:tc>
          <w:tcPr>
            <w:tcW w:w="0" w:type="auto"/>
          </w:tcPr>
          <w:p>
            <w:pPr>
              <w:spacing w:line="240" w:lineRule="auto" w:before="0" w:after="0"/>
              <w:pStyle w:val="Compact"/>
            </w:pPr>
            <w:r>
              <w:rPr>
                <w:sz w:val="20"/>
                <w:szCs w:val="20"/>
              </w:rPr>
              <w:t xml:space="preserve">39</w:t>
            </w:r>
          </w:p>
        </w:tc>
        <w:tc>
          <w:tcPr>
            <w:tcW w:w="0" w:type="auto"/>
          </w:tcPr>
          <w:p>
            <w:pPr>
              <w:spacing w:line="240" w:lineRule="auto" w:before="0" w:after="0"/>
              <w:pStyle w:val="Compact"/>
            </w:pPr>
            <w:r>
              <w:rPr>
                <w:sz w:val="20"/>
                <w:szCs w:val="20"/>
              </w:rPr>
              <w:t xml:space="preserve">FAA AST licensed ops 2020=39 (FAA Newsroom; CRS R48582); US launch attempts 2020=34 (McDowell tab1b); US objects 2020=984 (UNOOSA via OWID); US payloads 2020=959 cross-check (CSIS Aerospace Security)</w:t>
            </w:r>
          </w:p>
        </w:tc>
      </w:tr>
      <w:tr>
        <w:tc>
          <w:tcPr>
            <w:tcW w:w="0" w:type="auto"/>
          </w:tcPr>
          <w:p>
            <w:pPr>
              <w:spacing w:line="240" w:lineRule="auto" w:before="0" w:after="0"/>
              <w:pStyle w:val="Compact"/>
            </w:pPr>
            <w:r>
              <w:rPr>
                <w:sz w:val="20"/>
                <w:szCs w:val="20"/>
              </w:rPr>
              <w:t xml:space="preserve">US</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54</w:t>
            </w:r>
          </w:p>
        </w:tc>
        <w:tc>
          <w:tcPr>
            <w:tcW w:w="0" w:type="auto"/>
          </w:tcPr>
          <w:p>
            <w:pPr>
              <w:spacing w:line="240" w:lineRule="auto" w:before="0" w:after="0"/>
              <w:pStyle w:val="Compact"/>
            </w:pPr>
            <w:r>
              <w:rPr>
                <w:sz w:val="20"/>
                <w:szCs w:val="20"/>
              </w:rPr>
              <w:t xml:space="preserve">43</w:t>
            </w:r>
          </w:p>
        </w:tc>
        <w:tc>
          <w:tcPr>
            <w:tcW w:w="0" w:type="auto"/>
          </w:tcPr>
          <w:p>
            <w:pPr>
              <w:spacing w:line="240" w:lineRule="auto" w:before="0" w:after="0"/>
              <w:pStyle w:val="Compact"/>
            </w:pPr>
            <w:r>
              <w:rPr>
                <w:sz w:val="20"/>
                <w:szCs w:val="20"/>
              </w:rPr>
              <w:t xml:space="preserve">1232</w:t>
            </w:r>
          </w:p>
        </w:tc>
        <w:tc>
          <w:tcPr>
            <w:tcW w:w="0" w:type="auto"/>
          </w:tcPr>
          <w:p>
            <w:pPr>
              <w:spacing w:line="240" w:lineRule="auto" w:before="0" w:after="0"/>
              <w:pStyle w:val="Compact"/>
            </w:pPr>
            <w:r>
              <w:rPr>
                <w:sz w:val="20"/>
                <w:szCs w:val="20"/>
              </w:rPr>
              <w:t xml:space="preserve">54</w:t>
            </w:r>
          </w:p>
        </w:tc>
        <w:tc>
          <w:tcPr>
            <w:tcW w:w="0" w:type="auto"/>
          </w:tcPr>
          <w:p>
            <w:pPr>
              <w:spacing w:line="240" w:lineRule="auto" w:before="0" w:after="0"/>
              <w:pStyle w:val="Compact"/>
            </w:pPr>
            <w:r>
              <w:rPr>
                <w:sz w:val="20"/>
                <w:szCs w:val="20"/>
              </w:rPr>
              <w:t xml:space="preserve">FAA AST licensed ops 2021=54 (FAA Newsroom; CRS R48582); US launch attempts 2021=43 (McDowell tab1b); US objects 2021=1232 (UNOOSA via OWID); US payloads 2021=1215 cross-check (CSIS Aerospace Security)</w:t>
            </w:r>
          </w:p>
        </w:tc>
      </w:tr>
      <w:tr>
        <w:tc>
          <w:tcPr>
            <w:tcW w:w="0" w:type="auto"/>
          </w:tcPr>
          <w:p>
            <w:pPr>
              <w:spacing w:line="240" w:lineRule="auto" w:before="0" w:after="0"/>
              <w:pStyle w:val="Compact"/>
            </w:pPr>
            <w:r>
              <w:rPr>
                <w:sz w:val="20"/>
                <w:szCs w:val="20"/>
              </w:rPr>
              <w:t xml:space="preserve">US</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79</w:t>
            </w:r>
          </w:p>
        </w:tc>
        <w:tc>
          <w:tcPr>
            <w:tcW w:w="0" w:type="auto"/>
          </w:tcPr>
          <w:p>
            <w:pPr>
              <w:spacing w:line="240" w:lineRule="auto" w:before="0" w:after="0"/>
              <w:pStyle w:val="Compact"/>
            </w:pPr>
            <w:r>
              <w:rPr>
                <w:sz w:val="20"/>
                <w:szCs w:val="20"/>
              </w:rPr>
              <w:t xml:space="preserve">76</w:t>
            </w:r>
          </w:p>
        </w:tc>
        <w:tc>
          <w:tcPr>
            <w:tcW w:w="0" w:type="auto"/>
          </w:tcPr>
          <w:p>
            <w:pPr>
              <w:spacing w:line="240" w:lineRule="auto" w:before="0" w:after="0"/>
              <w:pStyle w:val="Compact"/>
            </w:pPr>
            <w:r>
              <w:rPr>
                <w:sz w:val="20"/>
                <w:szCs w:val="20"/>
              </w:rPr>
              <w:t xml:space="preserve">1936</w:t>
            </w:r>
          </w:p>
        </w:tc>
        <w:tc>
          <w:tcPr>
            <w:tcW w:w="0" w:type="auto"/>
          </w:tcPr>
          <w:p>
            <w:pPr>
              <w:spacing w:line="240" w:lineRule="auto" w:before="0" w:after="0"/>
              <w:pStyle w:val="Compact"/>
            </w:pPr>
            <w:r>
              <w:rPr>
                <w:sz w:val="20"/>
                <w:szCs w:val="20"/>
              </w:rPr>
              <w:t xml:space="preserve">79</w:t>
            </w:r>
          </w:p>
        </w:tc>
        <w:tc>
          <w:tcPr>
            <w:tcW w:w="0" w:type="auto"/>
          </w:tcPr>
          <w:p>
            <w:pPr>
              <w:spacing w:line="240" w:lineRule="auto" w:before="0" w:after="0"/>
              <w:pStyle w:val="Compact"/>
            </w:pPr>
            <w:r>
              <w:rPr>
                <w:sz w:val="20"/>
                <w:szCs w:val="20"/>
              </w:rPr>
              <w:t xml:space="preserve">FAA AST licensed ops 2022=79 (FAA Newsroom; CRS R48582); US launch attempts 2022=76 (McDowell tab1b); US objects 2022=1936 (UNOOSA via OWID)</w:t>
            </w:r>
          </w:p>
        </w:tc>
      </w:tr>
      <w:tr>
        <w:tc>
          <w:tcPr>
            <w:tcW w:w="0" w:type="auto"/>
          </w:tcPr>
          <w:p>
            <w:pPr>
              <w:spacing w:line="240" w:lineRule="auto" w:before="0" w:after="0"/>
              <w:pStyle w:val="Compact"/>
            </w:pPr>
            <w:r>
              <w:rPr>
                <w:sz w:val="20"/>
                <w:szCs w:val="20"/>
              </w:rPr>
              <w:t xml:space="preserve">US</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113</w:t>
            </w:r>
          </w:p>
        </w:tc>
        <w:tc>
          <w:tcPr>
            <w:tcW w:w="0" w:type="auto"/>
          </w:tcPr>
          <w:p>
            <w:pPr>
              <w:spacing w:line="240" w:lineRule="auto" w:before="0" w:after="0"/>
              <w:pStyle w:val="Compact"/>
            </w:pPr>
            <w:r>
              <w:rPr>
                <w:sz w:val="20"/>
                <w:szCs w:val="20"/>
              </w:rPr>
              <w:t xml:space="preserve">104</w:t>
            </w:r>
          </w:p>
        </w:tc>
        <w:tc>
          <w:tcPr>
            <w:tcW w:w="0" w:type="auto"/>
          </w:tcPr>
          <w:p>
            <w:pPr>
              <w:spacing w:line="240" w:lineRule="auto" w:before="0" w:after="0"/>
              <w:pStyle w:val="Compact"/>
            </w:pPr>
            <w:r>
              <w:rPr>
                <w:sz w:val="20"/>
                <w:szCs w:val="20"/>
              </w:rPr>
              <w:t xml:space="preserve">2233</w:t>
            </w:r>
          </w:p>
        </w:tc>
        <w:tc>
          <w:tcPr>
            <w:tcW w:w="0" w:type="auto"/>
          </w:tcPr>
          <w:p>
            <w:pPr>
              <w:spacing w:line="240" w:lineRule="auto" w:before="0" w:after="0"/>
              <w:pStyle w:val="Compact"/>
            </w:pPr>
            <w:r>
              <w:rPr>
                <w:sz w:val="20"/>
                <w:szCs w:val="20"/>
              </w:rPr>
              <w:t xml:space="preserve">113</w:t>
            </w:r>
          </w:p>
        </w:tc>
        <w:tc>
          <w:tcPr>
            <w:tcW w:w="0" w:type="auto"/>
          </w:tcPr>
          <w:p>
            <w:pPr>
              <w:spacing w:line="240" w:lineRule="auto" w:before="0" w:after="0"/>
              <w:pStyle w:val="Compact"/>
            </w:pPr>
            <w:r>
              <w:rPr>
                <w:sz w:val="20"/>
                <w:szCs w:val="20"/>
              </w:rPr>
              <w:t xml:space="preserve">FAA AST licensed ops 2023=113 (FAA Newsroom, FY2024 record context; CRS R48582); US launch attempts 2023=104 (McDowell tab1b); US objects 2023=2233 (UNOOSA via OWID)</w:t>
            </w:r>
          </w:p>
        </w:tc>
      </w:tr>
      <w:tr>
        <w:tc>
          <w:tcPr>
            <w:tcW w:w="0" w:type="auto"/>
          </w:tcPr>
          <w:p>
            <w:pPr>
              <w:spacing w:line="240" w:lineRule="auto" w:before="0" w:after="0"/>
              <w:pStyle w:val="Compact"/>
            </w:pPr>
            <w:r>
              <w:rPr>
                <w:sz w:val="20"/>
                <w:szCs w:val="20"/>
              </w:rPr>
              <w:t xml:space="preserve">US</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148</w:t>
            </w:r>
          </w:p>
        </w:tc>
        <w:tc>
          <w:tcPr>
            <w:tcW w:w="0" w:type="auto"/>
          </w:tcPr>
          <w:p>
            <w:pPr>
              <w:spacing w:line="240" w:lineRule="auto" w:before="0" w:after="0"/>
              <w:pStyle w:val="Compact"/>
            </w:pPr>
            <w:r>
              <w:rPr>
                <w:sz w:val="20"/>
                <w:szCs w:val="20"/>
              </w:rPr>
              <w:t xml:space="preserve">145</w:t>
            </w:r>
          </w:p>
        </w:tc>
        <w:tc>
          <w:tcPr>
            <w:tcW w:w="0" w:type="auto"/>
          </w:tcPr>
          <w:p>
            <w:pPr>
              <w:spacing w:line="240" w:lineRule="auto" w:before="0" w:after="0"/>
              <w:pStyle w:val="Compact"/>
            </w:pPr>
            <w:r>
              <w:rPr>
                <w:sz w:val="20"/>
                <w:szCs w:val="20"/>
              </w:rPr>
              <w:t xml:space="preserve">2261</w:t>
            </w:r>
          </w:p>
        </w:tc>
        <w:tc>
          <w:tcPr>
            <w:tcW w:w="0" w:type="auto"/>
          </w:tcPr>
          <w:p>
            <w:pPr>
              <w:spacing w:line="240" w:lineRule="auto" w:before="0" w:after="0"/>
              <w:pStyle w:val="Compact"/>
            </w:pPr>
            <w:r>
              <w:rPr>
                <w:sz w:val="20"/>
                <w:szCs w:val="20"/>
              </w:rPr>
              <w:t xml:space="preserve">148</w:t>
            </w:r>
          </w:p>
        </w:tc>
        <w:tc>
          <w:tcPr>
            <w:tcW w:w="0" w:type="auto"/>
          </w:tcPr>
          <w:p>
            <w:pPr>
              <w:spacing w:line="240" w:lineRule="auto" w:before="0" w:after="0"/>
              <w:pStyle w:val="Compact"/>
            </w:pPr>
            <w:r>
              <w:rPr>
                <w:sz w:val="20"/>
                <w:szCs w:val="20"/>
              </w:rPr>
              <w:t xml:space="preserve">FAA AST licensed ops FY2024=148 record (FAA Newsroom, New Record for FAA-Licensed Commercial Space Operations); US launch attempts 2024=145 (McDowell tab1b); US objects 2024=2261 (UNOOSA via OWID)</w:t>
            </w:r>
          </w:p>
        </w:tc>
      </w:tr>
      <w:tr>
        <w:tc>
          <w:tcPr>
            <w:tcW w:w="0" w:type="auto"/>
          </w:tcPr>
          <w:p>
            <w:pPr>
              <w:spacing w:line="240" w:lineRule="auto" w:before="0" w:after="0"/>
              <w:pStyle w:val="Compact"/>
            </w:pPr>
            <w:r>
              <w:rPr>
                <w:sz w:val="20"/>
                <w:szCs w:val="20"/>
              </w:rPr>
              <w:t xml:space="preserve">ROW</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67</w:t>
            </w:r>
          </w:p>
        </w:tc>
        <w:tc>
          <w:tcPr>
            <w:tcW w:w="0" w:type="auto"/>
          </w:tcPr>
          <w:p>
            <w:pPr>
              <w:spacing w:line="240" w:lineRule="auto" w:before="0" w:after="0"/>
              <w:pStyle w:val="Compact"/>
            </w:pPr>
            <w:r>
              <w:rPr>
                <w:sz w:val="20"/>
                <w:szCs w:val="20"/>
              </w:rPr>
              <w:t xml:space="preserve">67</w:t>
            </w:r>
          </w:p>
        </w:tc>
        <w:tc>
          <w:tcPr>
            <w:tcW w:w="0" w:type="auto"/>
          </w:tcPr>
          <w:p>
            <w:pPr>
              <w:spacing w:line="240" w:lineRule="auto" w:before="0" w:after="0"/>
              <w:pStyle w:val="Compact"/>
            </w:pPr>
            <w:r>
              <w:rPr>
                <w:sz w:val="20"/>
                <w:szCs w:val="20"/>
              </w:rPr>
              <w:t xml:space="preserve">145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Rest-of-world launch attempts 2014 = world 90 minus US 23 = 67 (McDowell tab1b); ROW objects 2014 = world 241 minus US 96 = 145 (UNOOSA via OWID world and US series)</w:t>
            </w:r>
          </w:p>
        </w:tc>
      </w:tr>
      <w:tr>
        <w:tc>
          <w:tcPr>
            <w:tcW w:w="0" w:type="auto"/>
          </w:tcPr>
          <w:p>
            <w:pPr>
              <w:spacing w:line="240" w:lineRule="auto" w:before="0" w:after="0"/>
              <w:pStyle w:val="Compact"/>
            </w:pPr>
            <w:r>
              <w:rPr>
                <w:sz w:val="20"/>
                <w:szCs w:val="20"/>
              </w:rPr>
              <w:t xml:space="preserve">ROW</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66</w:t>
            </w:r>
          </w:p>
        </w:tc>
        <w:tc>
          <w:tcPr>
            <w:tcW w:w="0" w:type="auto"/>
          </w:tcPr>
          <w:p>
            <w:pPr>
              <w:spacing w:line="240" w:lineRule="auto" w:before="0" w:after="0"/>
              <w:pStyle w:val="Compact"/>
            </w:pPr>
            <w:r>
              <w:rPr>
                <w:sz w:val="20"/>
                <w:szCs w:val="20"/>
              </w:rPr>
              <w:t xml:space="preserve">66</w:t>
            </w:r>
          </w:p>
        </w:tc>
        <w:tc>
          <w:tcPr>
            <w:tcW w:w="0" w:type="auto"/>
          </w:tcPr>
          <w:p>
            <w:pPr>
              <w:spacing w:line="240" w:lineRule="auto" w:before="0" w:after="0"/>
              <w:pStyle w:val="Compact"/>
            </w:pPr>
            <w:r>
              <w:rPr>
                <w:sz w:val="20"/>
                <w:szCs w:val="20"/>
              </w:rPr>
              <w:t xml:space="preserve">117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ROW attempts 2015 = 84-18 = 66 (McDowell tab1b); ROW objects 2015 = 222-105 = 117 (UNOOSA via OWID)</w:t>
            </w:r>
          </w:p>
        </w:tc>
      </w:tr>
      <w:tr>
        <w:tc>
          <w:tcPr>
            <w:tcW w:w="0" w:type="auto"/>
          </w:tcPr>
          <w:p>
            <w:pPr>
              <w:spacing w:line="240" w:lineRule="auto" w:before="0" w:after="0"/>
              <w:pStyle w:val="Compact"/>
            </w:pPr>
            <w:r>
              <w:rPr>
                <w:sz w:val="20"/>
                <w:szCs w:val="20"/>
              </w:rPr>
              <w:t xml:space="preserve">ROW</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61</w:t>
            </w:r>
          </w:p>
        </w:tc>
        <w:tc>
          <w:tcPr>
            <w:tcW w:w="0" w:type="auto"/>
          </w:tcPr>
          <w:p>
            <w:pPr>
              <w:spacing w:line="240" w:lineRule="auto" w:before="0" w:after="0"/>
              <w:pStyle w:val="Compact"/>
            </w:pPr>
            <w:r>
              <w:rPr>
                <w:sz w:val="20"/>
                <w:szCs w:val="20"/>
              </w:rPr>
              <w:t xml:space="preserve">61</w:t>
            </w:r>
          </w:p>
        </w:tc>
        <w:tc>
          <w:tcPr>
            <w:tcW w:w="0" w:type="auto"/>
          </w:tcPr>
          <w:p>
            <w:pPr>
              <w:spacing w:line="240" w:lineRule="auto" w:before="0" w:after="0"/>
              <w:pStyle w:val="Compact"/>
            </w:pPr>
            <w:r>
              <w:rPr>
                <w:sz w:val="20"/>
                <w:szCs w:val="20"/>
              </w:rPr>
              <w:t xml:space="preserve">116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ROW attempts 2016 = 83-22 = 61 (McDowell tab1b); ROW objects 2016 = 221-105 = 116 (UNOOSA via OWID)</w:t>
            </w:r>
          </w:p>
        </w:tc>
      </w:tr>
      <w:tr>
        <w:tc>
          <w:tcPr>
            <w:tcW w:w="0" w:type="auto"/>
          </w:tcPr>
          <w:p>
            <w:pPr>
              <w:spacing w:line="240" w:lineRule="auto" w:before="0" w:after="0"/>
              <w:pStyle w:val="Compact"/>
            </w:pPr>
            <w:r>
              <w:rPr>
                <w:sz w:val="20"/>
                <w:szCs w:val="20"/>
              </w:rPr>
              <w:t xml:space="preserve">ROW</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57</w:t>
            </w:r>
          </w:p>
        </w:tc>
        <w:tc>
          <w:tcPr>
            <w:tcW w:w="0" w:type="auto"/>
          </w:tcPr>
          <w:p>
            <w:pPr>
              <w:spacing w:line="240" w:lineRule="auto" w:before="0" w:after="0"/>
              <w:pStyle w:val="Compact"/>
            </w:pPr>
            <w:r>
              <w:rPr>
                <w:sz w:val="20"/>
                <w:szCs w:val="20"/>
              </w:rPr>
              <w:t xml:space="preserve">57</w:t>
            </w:r>
          </w:p>
        </w:tc>
        <w:tc>
          <w:tcPr>
            <w:tcW w:w="0" w:type="auto"/>
          </w:tcPr>
          <w:p>
            <w:pPr>
              <w:spacing w:line="240" w:lineRule="auto" w:before="0" w:after="0"/>
              <w:pStyle w:val="Compact"/>
            </w:pPr>
            <w:r>
              <w:rPr>
                <w:sz w:val="20"/>
                <w:szCs w:val="20"/>
              </w:rPr>
              <w:t xml:space="preserve">170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ROW attempts 2017 = 86-29 = 57 (McDowell tab1b); ROW objects 2017 = 456-286 = 170 (UNOOSA via OWID)</w:t>
            </w:r>
          </w:p>
        </w:tc>
      </w:tr>
      <w:tr>
        <w:tc>
          <w:tcPr>
            <w:tcW w:w="0" w:type="auto"/>
          </w:tcPr>
          <w:p>
            <w:pPr>
              <w:spacing w:line="240" w:lineRule="auto" w:before="0" w:after="0"/>
              <w:pStyle w:val="Compact"/>
            </w:pPr>
            <w:r>
              <w:rPr>
                <w:sz w:val="20"/>
                <w:szCs w:val="20"/>
              </w:rPr>
              <w:t xml:space="preserve">ROW</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81</w:t>
            </w:r>
          </w:p>
        </w:tc>
        <w:tc>
          <w:tcPr>
            <w:tcW w:w="0" w:type="auto"/>
          </w:tcPr>
          <w:p>
            <w:pPr>
              <w:spacing w:line="240" w:lineRule="auto" w:before="0" w:after="0"/>
              <w:pStyle w:val="Compact"/>
            </w:pPr>
            <w:r>
              <w:rPr>
                <w:sz w:val="20"/>
                <w:szCs w:val="20"/>
              </w:rPr>
              <w:t xml:space="preserve">81</w:t>
            </w:r>
          </w:p>
        </w:tc>
        <w:tc>
          <w:tcPr>
            <w:tcW w:w="0" w:type="auto"/>
          </w:tcPr>
          <w:p>
            <w:pPr>
              <w:spacing w:line="240" w:lineRule="auto" w:before="0" w:after="0"/>
              <w:pStyle w:val="Compact"/>
            </w:pPr>
            <w:r>
              <w:rPr>
                <w:sz w:val="20"/>
                <w:szCs w:val="20"/>
              </w:rPr>
              <w:t xml:space="preserve">261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ROW attempts 2018 = 112-31 = 81 (McDowell tab1b); ROW objects 2018 = 452-191 = 261 (UNOOSA via OWID)</w:t>
            </w:r>
          </w:p>
        </w:tc>
      </w:tr>
      <w:tr>
        <w:tc>
          <w:tcPr>
            <w:tcW w:w="0" w:type="auto"/>
          </w:tcPr>
          <w:p>
            <w:pPr>
              <w:spacing w:line="240" w:lineRule="auto" w:before="0" w:after="0"/>
              <w:pStyle w:val="Compact"/>
            </w:pPr>
            <w:r>
              <w:rPr>
                <w:sz w:val="20"/>
                <w:szCs w:val="20"/>
              </w:rPr>
              <w:t xml:space="preserve">ROW</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76</w:t>
            </w:r>
          </w:p>
        </w:tc>
        <w:tc>
          <w:tcPr>
            <w:tcW w:w="0" w:type="auto"/>
          </w:tcPr>
          <w:p>
            <w:pPr>
              <w:spacing w:line="240" w:lineRule="auto" w:before="0" w:after="0"/>
              <w:pStyle w:val="Compact"/>
            </w:pPr>
            <w:r>
              <w:rPr>
                <w:sz w:val="20"/>
                <w:szCs w:val="20"/>
              </w:rPr>
              <w:t xml:space="preserve">76</w:t>
            </w:r>
          </w:p>
        </w:tc>
        <w:tc>
          <w:tcPr>
            <w:tcW w:w="0" w:type="auto"/>
          </w:tcPr>
          <w:p>
            <w:pPr>
              <w:spacing w:line="240" w:lineRule="auto" w:before="0" w:after="0"/>
              <w:pStyle w:val="Compact"/>
            </w:pPr>
            <w:r>
              <w:rPr>
                <w:sz w:val="20"/>
                <w:szCs w:val="20"/>
              </w:rPr>
              <w:t xml:space="preserve">224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ROW attempts 2019 = 97-21 = 76 (McDowell tab1b); ROW objects 2019 = 586-362 = 224 (UNOOSA via OWID)</w:t>
            </w:r>
          </w:p>
        </w:tc>
      </w:tr>
      <w:tr>
        <w:tc>
          <w:tcPr>
            <w:tcW w:w="0" w:type="auto"/>
          </w:tcPr>
          <w:p>
            <w:pPr>
              <w:spacing w:line="240" w:lineRule="auto" w:before="0" w:after="0"/>
              <w:pStyle w:val="Compact"/>
            </w:pPr>
            <w:r>
              <w:rPr>
                <w:sz w:val="20"/>
                <w:szCs w:val="20"/>
              </w:rPr>
              <w:t xml:space="preserve">ROW</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71</w:t>
            </w:r>
          </w:p>
        </w:tc>
        <w:tc>
          <w:tcPr>
            <w:tcW w:w="0" w:type="auto"/>
          </w:tcPr>
          <w:p>
            <w:pPr>
              <w:spacing w:line="240" w:lineRule="auto" w:before="0" w:after="0"/>
              <w:pStyle w:val="Compact"/>
            </w:pPr>
            <w:r>
              <w:rPr>
                <w:sz w:val="20"/>
                <w:szCs w:val="20"/>
              </w:rPr>
              <w:t xml:space="preserve">71</w:t>
            </w:r>
          </w:p>
        </w:tc>
        <w:tc>
          <w:tcPr>
            <w:tcW w:w="0" w:type="auto"/>
          </w:tcPr>
          <w:p>
            <w:pPr>
              <w:spacing w:line="240" w:lineRule="auto" w:before="0" w:after="0"/>
              <w:pStyle w:val="Compact"/>
            </w:pPr>
            <w:r>
              <w:rPr>
                <w:sz w:val="20"/>
                <w:szCs w:val="20"/>
              </w:rPr>
              <w:t xml:space="preserve">290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ROW attempts 2020 = 105-34 = 71 (McDowell tab1b); ROW objects 2020 = 1274-984 = 290 (UNOOSA via OWID)</w:t>
            </w:r>
          </w:p>
        </w:tc>
      </w:tr>
      <w:tr>
        <w:tc>
          <w:tcPr>
            <w:tcW w:w="0" w:type="auto"/>
          </w:tcPr>
          <w:p>
            <w:pPr>
              <w:spacing w:line="240" w:lineRule="auto" w:before="0" w:after="0"/>
              <w:pStyle w:val="Compact"/>
            </w:pPr>
            <w:r>
              <w:rPr>
                <w:sz w:val="20"/>
                <w:szCs w:val="20"/>
              </w:rPr>
              <w:t xml:space="preserve">ROW</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93</w:t>
            </w:r>
          </w:p>
        </w:tc>
        <w:tc>
          <w:tcPr>
            <w:tcW w:w="0" w:type="auto"/>
          </w:tcPr>
          <w:p>
            <w:pPr>
              <w:spacing w:line="240" w:lineRule="auto" w:before="0" w:after="0"/>
              <w:pStyle w:val="Compact"/>
            </w:pPr>
            <w:r>
              <w:rPr>
                <w:sz w:val="20"/>
                <w:szCs w:val="20"/>
              </w:rPr>
              <w:t xml:space="preserve">93</w:t>
            </w:r>
          </w:p>
        </w:tc>
        <w:tc>
          <w:tcPr>
            <w:tcW w:w="0" w:type="auto"/>
          </w:tcPr>
          <w:p>
            <w:pPr>
              <w:spacing w:line="240" w:lineRule="auto" w:before="0" w:after="0"/>
              <w:pStyle w:val="Compact"/>
            </w:pPr>
            <w:r>
              <w:rPr>
                <w:sz w:val="20"/>
                <w:szCs w:val="20"/>
              </w:rPr>
              <w:t xml:space="preserve">582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ROW attempts 2021 = 136-43 = 93 (McDowell tab1b); ROW objects 2021 = 1814-1232 = 582 (UNOOSA via OWID)</w:t>
            </w:r>
          </w:p>
        </w:tc>
      </w:tr>
      <w:tr>
        <w:tc>
          <w:tcPr>
            <w:tcW w:w="0" w:type="auto"/>
          </w:tcPr>
          <w:p>
            <w:pPr>
              <w:spacing w:line="240" w:lineRule="auto" w:before="0" w:after="0"/>
              <w:pStyle w:val="Compact"/>
            </w:pPr>
            <w:r>
              <w:rPr>
                <w:sz w:val="20"/>
                <w:szCs w:val="20"/>
              </w:rPr>
              <w:t xml:space="preserve">ROW</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104</w:t>
            </w:r>
          </w:p>
        </w:tc>
        <w:tc>
          <w:tcPr>
            <w:tcW w:w="0" w:type="auto"/>
          </w:tcPr>
          <w:p>
            <w:pPr>
              <w:spacing w:line="240" w:lineRule="auto" w:before="0" w:after="0"/>
              <w:pStyle w:val="Compact"/>
            </w:pPr>
            <w:r>
              <w:rPr>
                <w:sz w:val="20"/>
                <w:szCs w:val="20"/>
              </w:rPr>
              <w:t xml:space="preserve">104</w:t>
            </w:r>
          </w:p>
        </w:tc>
        <w:tc>
          <w:tcPr>
            <w:tcW w:w="0" w:type="auto"/>
          </w:tcPr>
          <w:p>
            <w:pPr>
              <w:spacing w:line="240" w:lineRule="auto" w:before="0" w:after="0"/>
              <w:pStyle w:val="Compact"/>
            </w:pPr>
            <w:r>
              <w:rPr>
                <w:sz w:val="20"/>
                <w:szCs w:val="20"/>
              </w:rPr>
              <w:t xml:space="preserve">543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ROW attempts 2022 = 180-76 = 104 (McDowell tab1b); ROW objects 2022 = 2479-1936 = 543 (UNOOSA via OWID)</w:t>
            </w:r>
          </w:p>
        </w:tc>
      </w:tr>
      <w:tr>
        <w:tc>
          <w:tcPr>
            <w:tcW w:w="0" w:type="auto"/>
          </w:tcPr>
          <w:p>
            <w:pPr>
              <w:spacing w:line="240" w:lineRule="auto" w:before="0" w:after="0"/>
              <w:pStyle w:val="Compact"/>
            </w:pPr>
            <w:r>
              <w:rPr>
                <w:sz w:val="20"/>
                <w:szCs w:val="20"/>
              </w:rPr>
              <w:t xml:space="preserve">ROW</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108</w:t>
            </w:r>
          </w:p>
        </w:tc>
        <w:tc>
          <w:tcPr>
            <w:tcW w:w="0" w:type="auto"/>
          </w:tcPr>
          <w:p>
            <w:pPr>
              <w:spacing w:line="240" w:lineRule="auto" w:before="0" w:after="0"/>
              <w:pStyle w:val="Compact"/>
            </w:pPr>
            <w:r>
              <w:rPr>
                <w:sz w:val="20"/>
                <w:szCs w:val="20"/>
              </w:rPr>
              <w:t xml:space="preserve">108</w:t>
            </w:r>
          </w:p>
        </w:tc>
        <w:tc>
          <w:tcPr>
            <w:tcW w:w="0" w:type="auto"/>
          </w:tcPr>
          <w:p>
            <w:pPr>
              <w:spacing w:line="240" w:lineRule="auto" w:before="0" w:after="0"/>
              <w:pStyle w:val="Compact"/>
            </w:pPr>
            <w:r>
              <w:rPr>
                <w:sz w:val="20"/>
                <w:szCs w:val="20"/>
              </w:rPr>
              <w:t xml:space="preserve">670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ROW attempts 2023 = 212-104 = 108 (McDowell tab1b); ROW objects 2023 = 2903-2233 = 670 (UNOOSA via OWID)</w:t>
            </w:r>
          </w:p>
        </w:tc>
      </w:tr>
      <w:tr>
        <w:tc>
          <w:tcPr>
            <w:tcW w:w="0" w:type="auto"/>
          </w:tcPr>
          <w:p>
            <w:pPr>
              <w:spacing w:line="240" w:lineRule="auto" w:before="0" w:after="0"/>
              <w:pStyle w:val="Compact"/>
            </w:pPr>
            <w:r>
              <w:rPr>
                <w:sz w:val="20"/>
                <w:szCs w:val="20"/>
              </w:rPr>
              <w:t xml:space="preserve">ROW</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113</w:t>
            </w:r>
          </w:p>
        </w:tc>
        <w:tc>
          <w:tcPr>
            <w:tcW w:w="0" w:type="auto"/>
          </w:tcPr>
          <w:p>
            <w:pPr>
              <w:spacing w:line="240" w:lineRule="auto" w:before="0" w:after="0"/>
              <w:pStyle w:val="Compact"/>
            </w:pPr>
            <w:r>
              <w:rPr>
                <w:sz w:val="20"/>
                <w:szCs w:val="20"/>
              </w:rPr>
              <w:t xml:space="preserve">113</w:t>
            </w:r>
          </w:p>
        </w:tc>
        <w:tc>
          <w:tcPr>
            <w:tcW w:w="0" w:type="auto"/>
          </w:tcPr>
          <w:p>
            <w:pPr>
              <w:spacing w:line="240" w:lineRule="auto" w:before="0" w:after="0"/>
              <w:pStyle w:val="Compact"/>
            </w:pPr>
            <w:r>
              <w:rPr>
                <w:sz w:val="20"/>
                <w:szCs w:val="20"/>
              </w:rPr>
              <w:t xml:space="preserve">588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ROW attempts 2024 = 258-145 = 113 (McDowell tab1b); ROW objects 2024 = 2849-2261 = 588 (UNOOSA via OWID)</w:t>
            </w:r>
          </w:p>
        </w:tc>
      </w:tr>
    </w:tbl>
    <w:bookmarkEnd w:id="88"/>
    <w:bookmarkStart w:id="89" w:name="variable-construction"/>
    <w:p>
      <w:pPr>
        <w:pStyle w:val="Heading3"/>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payloads</w:t>
            </w:r>
          </w:p>
        </w:tc>
        <w:tc>
          <w:tcPr>
            <w:tcW w:w="0" w:type="auto"/>
          </w:tcPr>
          <w:p>
            <w:pPr>
              <w:spacing w:line="240" w:lineRule="auto" w:before="0" w:after="0"/>
              <w:pStyle w:val="Compact"/>
            </w:pPr>
            <w:r>
              <w:rPr>
                <w:sz w:val="20"/>
                <w:szCs w:val="20"/>
              </w:rPr>
              <w:t xml:space="preserve">Objects (payloads) placed in orbit by the bloc in the year; on-orbit deployment outcome</w:t>
            </w:r>
          </w:p>
        </w:tc>
        <w:tc>
          <w:tcPr>
            <w:tcW w:w="0" w:type="auto"/>
          </w:tcPr>
          <w:p>
            <w:pPr>
              <w:spacing w:line="240" w:lineRule="auto" w:before="0" w:after="0"/>
              <w:pStyle w:val="Compact"/>
            </w:pPr>
            <w:r>
              <w:rPr>
                <w:sz w:val="20"/>
                <w:szCs w:val="20"/>
              </w:rPr>
              <w:t xml:space="preserve">UNOOSA Online Index of Objects Launched into Outer Space, via Our World in Data (yearly-number-of-objects-launched-into-outer-space); rest-of-world derived as world total minus US</w:t>
            </w:r>
          </w:p>
        </w:tc>
      </w:tr>
      <w:tr>
        <w:tc>
          <w:tcPr>
            <w:tcW w:w="0" w:type="auto"/>
          </w:tcPr>
          <w:p>
            <w:pPr>
              <w:spacing w:line="240" w:lineRule="auto" w:before="0" w:after="0"/>
              <w:pStyle w:val="Compact"/>
            </w:pPr>
            <w:r>
              <w:rPr>
                <w:sz w:val="20"/>
                <w:szCs w:val="20"/>
              </w:rPr>
              <w:t xml:space="preserve">throughput</w:t>
            </w:r>
          </w:p>
        </w:tc>
        <w:tc>
          <w:tcPr>
            <w:tcW w:w="0" w:type="auto"/>
          </w:tcPr>
          <w:p>
            <w:pPr>
              <w:spacing w:line="240" w:lineRule="auto" w:before="0" w:after="0"/>
              <w:pStyle w:val="Compact"/>
            </w:pPr>
            <w:r>
              <w:rPr>
                <w:sz w:val="20"/>
                <w:szCs w:val="20"/>
              </w:rPr>
              <w:t xml:space="preserve">Annual launch-licensing throughput. For the US bloc this is the count of FAA AST licensed commercial space operations; for the rest-of-world bloc it is national orbital launch attempts, the closest comparable throughput measure under foreign regimes</w:t>
            </w:r>
          </w:p>
        </w:tc>
        <w:tc>
          <w:tcPr>
            <w:tcW w:w="0" w:type="auto"/>
          </w:tcPr>
          <w:p>
            <w:pPr>
              <w:spacing w:line="240" w:lineRule="auto" w:before="0" w:after="0"/>
              <w:pStyle w:val="Compact"/>
            </w:pPr>
            <w:r>
              <w:rPr>
                <w:sz w:val="20"/>
                <w:szCs w:val="20"/>
              </w:rPr>
              <w:t xml:space="preserve">FAA Office of Commercial Space Transportation (AST) newsroom and CRS R48582 for US licensed operations; J. McDowell planet4589.org (out/tab1b.txt) for launch attempts</w:t>
            </w:r>
          </w:p>
        </w:tc>
      </w:tr>
      <w:tr>
        <w:tc>
          <w:tcPr>
            <w:tcW w:w="0" w:type="auto"/>
          </w:tcPr>
          <w:p>
            <w:pPr>
              <w:spacing w:line="240" w:lineRule="auto" w:before="0" w:after="0"/>
              <w:pStyle w:val="Compact"/>
            </w:pPr>
            <w:r>
              <w:rPr>
                <w:sz w:val="20"/>
                <w:szCs w:val="20"/>
              </w:rPr>
              <w:t xml:space="preserve">faa_regime</w:t>
            </w:r>
          </w:p>
        </w:tc>
        <w:tc>
          <w:tcPr>
            <w:tcW w:w="0" w:type="auto"/>
          </w:tcPr>
          <w:p>
            <w:pPr>
              <w:spacing w:line="240" w:lineRule="auto" w:before="0" w:after="0"/>
              <w:pStyle w:val="Compact"/>
            </w:pPr>
            <w:r>
              <w:rPr>
                <w:sz w:val="20"/>
                <w:szCs w:val="20"/>
              </w:rPr>
              <w:t xml:space="preserve">Indicator equal to 1 for the United States bloc operating under the FAA AST 14 CFR Part 450 licensing regime and 0 for the rest-of-world bloc</w:t>
            </w:r>
          </w:p>
        </w:tc>
        <w:tc>
          <w:tcPr>
            <w:tcW w:w="0" w:type="auto"/>
          </w:tcPr>
          <w:p>
            <w:pPr>
              <w:spacing w:line="240" w:lineRule="auto" w:before="0" w:after="0"/>
              <w:pStyle w:val="Compact"/>
            </w:pPr>
            <w:r>
              <w:rPr>
                <w:sz w:val="20"/>
                <w:szCs w:val="20"/>
              </w:rPr>
              <w:t xml:space="preserve">Constructed regime indicator</w:t>
            </w:r>
          </w:p>
        </w:tc>
      </w:tr>
      <w:tr>
        <w:tc>
          <w:tcPr>
            <w:tcW w:w="0" w:type="auto"/>
          </w:tcPr>
          <w:p>
            <w:pPr>
              <w:spacing w:line="240" w:lineRule="auto" w:before="0" w:after="0"/>
              <w:pStyle w:val="Compact"/>
            </w:pPr>
            <w:r>
              <w:rPr>
                <w:sz w:val="20"/>
                <w:szCs w:val="20"/>
              </w:rPr>
              <w:t xml:space="preserve">throughput_x_faa</w:t>
            </w:r>
          </w:p>
        </w:tc>
        <w:tc>
          <w:tcPr>
            <w:tcW w:w="0" w:type="auto"/>
          </w:tcPr>
          <w:p>
            <w:pPr>
              <w:spacing w:line="240" w:lineRule="auto" w:before="0" w:after="0"/>
              <w:pStyle w:val="Compact"/>
            </w:pPr>
            <w:r>
              <w:rPr>
                <w:sz w:val="20"/>
                <w:szCs w:val="20"/>
              </w:rPr>
              <w:t xml:space="preserve">Interaction of throughput with the FAA-regime indicator; tests whether each additional unit of licensing throughput is associated with a different on-orbit payload yield under the FAA regime</w:t>
            </w:r>
          </w:p>
        </w:tc>
        <w:tc>
          <w:tcPr>
            <w:tcW w:w="0" w:type="auto"/>
          </w:tcPr>
          <w:p>
            <w:pPr>
              <w:spacing w:line="240" w:lineRule="auto" w:before="0" w:after="0"/>
              <w:pStyle w:val="Compact"/>
            </w:pPr>
            <w:r>
              <w:rPr>
                <w:sz w:val="20"/>
                <w:szCs w:val="20"/>
              </w:rPr>
              <w:t xml:space="preserve">Constructed (throughput times faa_regime)</w:t>
            </w:r>
          </w:p>
        </w:tc>
      </w:tr>
      <w:tr>
        <w:tc>
          <w:tcPr>
            <w:tcW w:w="0" w:type="auto"/>
          </w:tcPr>
          <w:p>
            <w:pPr>
              <w:spacing w:line="240" w:lineRule="auto" w:before="0" w:after="0"/>
              <w:pStyle w:val="Compact"/>
            </w:pPr>
            <w:r>
              <w:rPr>
                <w:sz w:val="20"/>
                <w:szCs w:val="20"/>
              </w:rPr>
              <w:t xml:space="preserve">year_idx</w:t>
            </w:r>
          </w:p>
        </w:tc>
        <w:tc>
          <w:tcPr>
            <w:tcW w:w="0" w:type="auto"/>
          </w:tcPr>
          <w:p>
            <w:pPr>
              <w:spacing w:line="240" w:lineRule="auto" w:before="0" w:after="0"/>
              <w:pStyle w:val="Compact"/>
            </w:pPr>
            <w:r>
              <w:rPr>
                <w:sz w:val="20"/>
                <w:szCs w:val="20"/>
              </w:rPr>
              <w:t xml:space="preserve">Calendar year minus 2014; common linear time trend absorbing global secular growth in deployment</w:t>
            </w:r>
          </w:p>
        </w:tc>
        <w:tc>
          <w:tcPr>
            <w:tcW w:w="0" w:type="auto"/>
          </w:tcPr>
          <w:p>
            <w:pPr>
              <w:spacing w:line="240" w:lineRule="auto" w:before="0" w:after="0"/>
              <w:pStyle w:val="Compact"/>
            </w:pPr>
            <w:r>
              <w:rPr>
                <w:sz w:val="20"/>
                <w:szCs w:val="20"/>
              </w:rPr>
              <w:t xml:space="preserve">Constructed from year</w:t>
            </w:r>
          </w:p>
        </w:tc>
      </w:tr>
      <w:tr>
        <w:tc>
          <w:tcPr>
            <w:tcW w:w="0" w:type="auto"/>
          </w:tcPr>
          <w:p>
            <w:pPr>
              <w:spacing w:line="240" w:lineRule="auto" w:before="0" w:after="0"/>
              <w:pStyle w:val="Compact"/>
            </w:pPr>
            <w:r>
              <w:rPr>
                <w:sz w:val="20"/>
                <w:szCs w:val="20"/>
              </w:rPr>
              <w:t xml:space="preserve">launch_attempts</w:t>
            </w:r>
          </w:p>
        </w:tc>
        <w:tc>
          <w:tcPr>
            <w:tcW w:w="0" w:type="auto"/>
          </w:tcPr>
          <w:p>
            <w:pPr>
              <w:spacing w:line="240" w:lineRule="auto" w:before="0" w:after="0"/>
              <w:pStyle w:val="Compact"/>
            </w:pPr>
            <w:r>
              <w:rPr>
                <w:sz w:val="20"/>
                <w:szCs w:val="20"/>
              </w:rPr>
              <w:t xml:space="preserve">Bloc orbital launch attempts in the year; reported for transparency and robustness, not in the primary specification</w:t>
            </w:r>
          </w:p>
        </w:tc>
        <w:tc>
          <w:tcPr>
            <w:tcW w:w="0" w:type="auto"/>
          </w:tcPr>
          <w:p>
            <w:pPr>
              <w:spacing w:line="240" w:lineRule="auto" w:before="0" w:after="0"/>
              <w:pStyle w:val="Compact"/>
            </w:pPr>
            <w:r>
              <w:rPr>
                <w:sz w:val="20"/>
                <w:szCs w:val="20"/>
              </w:rPr>
              <w:t xml:space="preserve">J. McDowell planet4589.org out/tab1b.txt</w:t>
            </w:r>
          </w:p>
        </w:tc>
      </w:tr>
    </w:tbl>
    <w:bookmarkEnd w:id="89"/>
    <w:bookmarkStart w:id="90" w:name="estimator-output"/>
    <w:p>
      <w:pPr>
        <w:pStyle w:val="Heading3"/>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41.8391</w:t>
            </w:r>
          </w:p>
        </w:tc>
        <w:tc>
          <w:tcPr>
            <w:tcW w:w="0" w:type="auto"/>
          </w:tcPr>
          <w:p>
            <w:pPr>
              <w:spacing w:line="240" w:lineRule="auto" w:before="0" w:after="0"/>
              <w:pStyle w:val="Compact"/>
            </w:pPr>
            <w:r>
              <w:rPr>
                <w:sz w:val="20"/>
                <w:szCs w:val="20"/>
              </w:rPr>
              <w:t xml:space="preserve">216.0068</w:t>
            </w:r>
          </w:p>
        </w:tc>
        <w:tc>
          <w:tcPr>
            <w:tcW w:w="0" w:type="auto"/>
          </w:tcPr>
          <w:p>
            <w:pPr>
              <w:spacing w:line="240" w:lineRule="auto" w:before="0" w:after="0"/>
              <w:pStyle w:val="Compact"/>
            </w:pPr>
            <w:r>
              <w:rPr>
                <w:sz w:val="20"/>
                <w:szCs w:val="20"/>
              </w:rPr>
              <w:t xml:space="preserve">0.1937</w:t>
            </w:r>
          </w:p>
        </w:tc>
        <w:tc>
          <w:tcPr>
            <w:tcW w:w="0" w:type="auto"/>
          </w:tcPr>
          <w:p>
            <w:pPr>
              <w:spacing w:line="240" w:lineRule="auto" w:before="0" w:after="0"/>
              <w:pStyle w:val="Compact"/>
            </w:pPr>
            <w:r>
              <w:rPr>
                <w:sz w:val="20"/>
                <w:szCs w:val="20"/>
              </w:rPr>
              <w:t xml:space="preserve">0.8464</w:t>
            </w:r>
          </w:p>
        </w:tc>
        <w:tc>
          <w:tcPr>
            <w:tcW w:w="0" w:type="auto"/>
          </w:tcPr>
          <w:p>
            <w:pPr>
              <w:spacing w:line="240" w:lineRule="auto" w:before="0" w:after="0"/>
              <w:pStyle w:val="Compact"/>
            </w:pPr>
            <w:r>
              <w:rPr>
                <w:sz w:val="20"/>
                <w:szCs w:val="20"/>
              </w:rPr>
              <w:t xml:space="preserve">[-381.5264, 465.2047]</w:t>
            </w:r>
          </w:p>
        </w:tc>
      </w:tr>
      <w:tr>
        <w:tc>
          <w:tcPr>
            <w:tcW w:w="0" w:type="auto"/>
          </w:tcPr>
          <w:p>
            <w:pPr>
              <w:spacing w:line="240" w:lineRule="auto" w:before="0" w:after="0"/>
              <w:pStyle w:val="Compact"/>
            </w:pPr>
            <w:r>
              <w:rPr>
                <w:sz w:val="20"/>
                <w:szCs w:val="20"/>
              </w:rPr>
              <w:t xml:space="preserve">throughput</w:t>
            </w:r>
          </w:p>
        </w:tc>
        <w:tc>
          <w:tcPr>
            <w:tcW w:w="0" w:type="auto"/>
          </w:tcPr>
          <w:p>
            <w:pPr>
              <w:spacing w:line="240" w:lineRule="auto" w:before="0" w:after="0"/>
              <w:pStyle w:val="Compact"/>
            </w:pPr>
            <w:r>
              <w:rPr>
                <w:sz w:val="20"/>
                <w:szCs w:val="20"/>
              </w:rPr>
              <w:t xml:space="preserve">-0.9527</w:t>
            </w:r>
          </w:p>
        </w:tc>
        <w:tc>
          <w:tcPr>
            <w:tcW w:w="0" w:type="auto"/>
          </w:tcPr>
          <w:p>
            <w:pPr>
              <w:spacing w:line="240" w:lineRule="auto" w:before="0" w:after="0"/>
              <w:pStyle w:val="Compact"/>
            </w:pPr>
            <w:r>
              <w:rPr>
                <w:sz w:val="20"/>
                <w:szCs w:val="20"/>
              </w:rPr>
              <w:t xml:space="preserve">4.142</w:t>
            </w:r>
          </w:p>
        </w:tc>
        <w:tc>
          <w:tcPr>
            <w:tcW w:w="0" w:type="auto"/>
          </w:tcPr>
          <w:p>
            <w:pPr>
              <w:spacing w:line="240" w:lineRule="auto" w:before="0" w:after="0"/>
              <w:pStyle w:val="Compact"/>
            </w:pPr>
            <w:r>
              <w:rPr>
                <w:sz w:val="20"/>
                <w:szCs w:val="20"/>
              </w:rPr>
              <w:t xml:space="preserve">-0.23</w:t>
            </w:r>
          </w:p>
        </w:tc>
        <w:tc>
          <w:tcPr>
            <w:tcW w:w="0" w:type="auto"/>
          </w:tcPr>
          <w:p>
            <w:pPr>
              <w:spacing w:line="240" w:lineRule="auto" w:before="0" w:after="0"/>
              <w:pStyle w:val="Compact"/>
            </w:pPr>
            <w:r>
              <w:rPr>
                <w:sz w:val="20"/>
                <w:szCs w:val="20"/>
              </w:rPr>
              <w:t xml:space="preserve">0.8181</w:t>
            </w:r>
          </w:p>
        </w:tc>
        <w:tc>
          <w:tcPr>
            <w:tcW w:w="0" w:type="auto"/>
          </w:tcPr>
          <w:p>
            <w:pPr>
              <w:spacing w:line="240" w:lineRule="auto" w:before="0" w:after="0"/>
              <w:pStyle w:val="Compact"/>
            </w:pPr>
            <w:r>
              <w:rPr>
                <w:sz w:val="20"/>
                <w:szCs w:val="20"/>
              </w:rPr>
              <w:t xml:space="preserve">[-9.0709, 7.1656]</w:t>
            </w:r>
          </w:p>
        </w:tc>
      </w:tr>
      <w:tr>
        <w:tc>
          <w:tcPr>
            <w:tcW w:w="0" w:type="auto"/>
          </w:tcPr>
          <w:p>
            <w:pPr>
              <w:spacing w:line="240" w:lineRule="auto" w:before="0" w:after="0"/>
              <w:pStyle w:val="Compact"/>
            </w:pPr>
            <w:r>
              <w:rPr>
                <w:sz w:val="20"/>
                <w:szCs w:val="20"/>
              </w:rPr>
              <w:t xml:space="preserve">faa_regime</w:t>
            </w:r>
          </w:p>
        </w:tc>
        <w:tc>
          <w:tcPr>
            <w:tcW w:w="0" w:type="auto"/>
          </w:tcPr>
          <w:p>
            <w:pPr>
              <w:spacing w:line="240" w:lineRule="auto" w:before="0" w:after="0"/>
              <w:pStyle w:val="Compact"/>
            </w:pPr>
            <w:r>
              <w:rPr>
                <w:sz w:val="20"/>
                <w:szCs w:val="20"/>
              </w:rPr>
              <w:t xml:space="preserve">-234.0909</w:t>
            </w:r>
          </w:p>
        </w:tc>
        <w:tc>
          <w:tcPr>
            <w:tcW w:w="0" w:type="auto"/>
          </w:tcPr>
          <w:p>
            <w:pPr>
              <w:spacing w:line="240" w:lineRule="auto" w:before="0" w:after="0"/>
              <w:pStyle w:val="Compact"/>
            </w:pPr>
            <w:r>
              <w:rPr>
                <w:sz w:val="20"/>
                <w:szCs w:val="20"/>
              </w:rPr>
              <w:t xml:space="preserve">216.432</w:t>
            </w:r>
          </w:p>
        </w:tc>
        <w:tc>
          <w:tcPr>
            <w:tcW w:w="0" w:type="auto"/>
          </w:tcPr>
          <w:p>
            <w:pPr>
              <w:spacing w:line="240" w:lineRule="auto" w:before="0" w:after="0"/>
              <w:pStyle w:val="Compact"/>
            </w:pPr>
            <w:r>
              <w:rPr>
                <w:sz w:val="20"/>
                <w:szCs w:val="20"/>
              </w:rPr>
              <w:t xml:space="preserve">-1.0816</w:t>
            </w:r>
          </w:p>
        </w:tc>
        <w:tc>
          <w:tcPr>
            <w:tcW w:w="0" w:type="auto"/>
          </w:tcPr>
          <w:p>
            <w:pPr>
              <w:spacing w:line="240" w:lineRule="auto" w:before="0" w:after="0"/>
              <w:pStyle w:val="Compact"/>
            </w:pPr>
            <w:r>
              <w:rPr>
                <w:sz w:val="20"/>
                <w:szCs w:val="20"/>
              </w:rPr>
              <w:t xml:space="preserve">0.2794</w:t>
            </w:r>
          </w:p>
        </w:tc>
        <w:tc>
          <w:tcPr>
            <w:tcW w:w="0" w:type="auto"/>
          </w:tcPr>
          <w:p>
            <w:pPr>
              <w:spacing w:line="240" w:lineRule="auto" w:before="0" w:after="0"/>
              <w:pStyle w:val="Compact"/>
            </w:pPr>
            <w:r>
              <w:rPr>
                <w:sz w:val="20"/>
                <w:szCs w:val="20"/>
              </w:rPr>
              <w:t xml:space="preserve">[-658.2899, 190.108]</w:t>
            </w:r>
          </w:p>
        </w:tc>
      </w:tr>
      <w:tr>
        <w:tc>
          <w:tcPr>
            <w:tcW w:w="0" w:type="auto"/>
          </w:tcPr>
          <w:p>
            <w:pPr>
              <w:spacing w:line="240" w:lineRule="auto" w:before="0" w:after="0"/>
              <w:pStyle w:val="Compact"/>
            </w:pPr>
            <w:r>
              <w:rPr>
                <w:sz w:val="20"/>
                <w:szCs w:val="20"/>
              </w:rPr>
              <w:t xml:space="preserve">throughput_x_faa</w:t>
            </w:r>
          </w:p>
        </w:tc>
        <w:tc>
          <w:tcPr>
            <w:tcW w:w="0" w:type="auto"/>
          </w:tcPr>
          <w:p>
            <w:pPr>
              <w:spacing w:line="240" w:lineRule="auto" w:before="0" w:after="0"/>
              <w:pStyle w:val="Compact"/>
            </w:pPr>
            <w:r>
              <w:rPr>
                <w:sz w:val="20"/>
                <w:szCs w:val="20"/>
              </w:rPr>
              <w:t xml:space="preserve">14.8414</w:t>
            </w:r>
          </w:p>
        </w:tc>
        <w:tc>
          <w:tcPr>
            <w:tcW w:w="0" w:type="auto"/>
          </w:tcPr>
          <w:p>
            <w:pPr>
              <w:spacing w:line="240" w:lineRule="auto" w:before="0" w:after="0"/>
              <w:pStyle w:val="Compact"/>
            </w:pPr>
            <w:r>
              <w:rPr>
                <w:sz w:val="20"/>
                <w:szCs w:val="20"/>
              </w:rPr>
              <w:t xml:space="preserve">2.8126</w:t>
            </w:r>
          </w:p>
        </w:tc>
        <w:tc>
          <w:tcPr>
            <w:tcW w:w="0" w:type="auto"/>
          </w:tcPr>
          <w:p>
            <w:pPr>
              <w:spacing w:line="240" w:lineRule="auto" w:before="0" w:after="0"/>
              <w:pStyle w:val="Compact"/>
            </w:pPr>
            <w:r>
              <w:rPr>
                <w:sz w:val="20"/>
                <w:szCs w:val="20"/>
              </w:rPr>
              <w:t xml:space="preserve">5.2767</w:t>
            </w:r>
          </w:p>
        </w:tc>
        <w:tc>
          <w:tcPr>
            <w:tcW w:w="0" w:type="auto"/>
          </w:tcPr>
          <w:p>
            <w:pPr>
              <w:spacing w:line="240" w:lineRule="auto" w:before="0" w:after="0"/>
              <w:pStyle w:val="Compact"/>
            </w:pPr>
            <w:r>
              <w:rPr>
                <w:sz w:val="20"/>
                <w:szCs w:val="20"/>
              </w:rPr>
              <w:t xml:space="preserve">1.315e-07</w:t>
            </w:r>
          </w:p>
        </w:tc>
        <w:tc>
          <w:tcPr>
            <w:tcW w:w="0" w:type="auto"/>
          </w:tcPr>
          <w:p>
            <w:pPr>
              <w:spacing w:line="240" w:lineRule="auto" w:before="0" w:after="0"/>
              <w:pStyle w:val="Compact"/>
            </w:pPr>
            <w:r>
              <w:rPr>
                <w:sz w:val="20"/>
                <w:szCs w:val="20"/>
              </w:rPr>
              <w:t xml:space="preserve">[9.3287, 20.3541]</w:t>
            </w:r>
          </w:p>
        </w:tc>
      </w:tr>
      <w:tr>
        <w:tc>
          <w:tcPr>
            <w:tcW w:w="0" w:type="auto"/>
          </w:tcPr>
          <w:p>
            <w:pPr>
              <w:spacing w:line="240" w:lineRule="auto" w:before="0" w:after="0"/>
              <w:pStyle w:val="Compact"/>
            </w:pPr>
            <w:r>
              <w:rPr>
                <w:sz w:val="20"/>
                <w:szCs w:val="20"/>
              </w:rPr>
              <w:t xml:space="preserve">year_idx</w:t>
            </w:r>
          </w:p>
        </w:tc>
        <w:tc>
          <w:tcPr>
            <w:tcW w:w="0" w:type="auto"/>
          </w:tcPr>
          <w:p>
            <w:pPr>
              <w:spacing w:line="240" w:lineRule="auto" w:before="0" w:after="0"/>
              <w:pStyle w:val="Compact"/>
            </w:pPr>
            <w:r>
              <w:rPr>
                <w:sz w:val="20"/>
                <w:szCs w:val="20"/>
              </w:rPr>
              <w:t xml:space="preserve">74.551</w:t>
            </w:r>
          </w:p>
        </w:tc>
        <w:tc>
          <w:tcPr>
            <w:tcW w:w="0" w:type="auto"/>
          </w:tcPr>
          <w:p>
            <w:pPr>
              <w:spacing w:line="240" w:lineRule="auto" w:before="0" w:after="0"/>
              <w:pStyle w:val="Compact"/>
            </w:pPr>
            <w:r>
              <w:rPr>
                <w:sz w:val="20"/>
                <w:szCs w:val="20"/>
              </w:rPr>
              <w:t xml:space="preserve">27.5784</w:t>
            </w:r>
          </w:p>
        </w:tc>
        <w:tc>
          <w:tcPr>
            <w:tcW w:w="0" w:type="auto"/>
          </w:tcPr>
          <w:p>
            <w:pPr>
              <w:spacing w:line="240" w:lineRule="auto" w:before="0" w:after="0"/>
              <w:pStyle w:val="Compact"/>
            </w:pPr>
            <w:r>
              <w:rPr>
                <w:sz w:val="20"/>
                <w:szCs w:val="20"/>
              </w:rPr>
              <w:t xml:space="preserve">2.7032</w:t>
            </w:r>
          </w:p>
        </w:tc>
        <w:tc>
          <w:tcPr>
            <w:tcW w:w="0" w:type="auto"/>
          </w:tcPr>
          <w:p>
            <w:pPr>
              <w:spacing w:line="240" w:lineRule="auto" w:before="0" w:after="0"/>
              <w:pStyle w:val="Compact"/>
            </w:pPr>
            <w:r>
              <w:rPr>
                <w:sz w:val="20"/>
                <w:szCs w:val="20"/>
              </w:rPr>
              <w:t xml:space="preserve">0.0069</w:t>
            </w:r>
          </w:p>
        </w:tc>
        <w:tc>
          <w:tcPr>
            <w:tcW w:w="0" w:type="auto"/>
          </w:tcPr>
          <w:p>
            <w:pPr>
              <w:spacing w:line="240" w:lineRule="auto" w:before="0" w:after="0"/>
              <w:pStyle w:val="Compact"/>
            </w:pPr>
            <w:r>
              <w:rPr>
                <w:sz w:val="20"/>
                <w:szCs w:val="20"/>
              </w:rPr>
              <w:t xml:space="preserve">[20.4984, 128.6035]</w:t>
            </w:r>
          </w:p>
        </w:tc>
      </w:tr>
    </w:tbl>
    <w:p>
      <w:pPr>
        <w:pStyle w:val="BodyText"/>
      </w:pPr>
      <w:r>
        <w:t xml:space="preserve">Fit: N = 22 R2 = 0.9316 R2_adj = 0.9155 F = 36.7295 F_p = 3.715e-08</w:t>
      </w:r>
    </w:p>
    <w:bookmarkEnd w:id="90"/>
    <w:bookmarkEnd w:id="91"/>
    <w:bookmarkEnd w:id="92"/>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before="135"/>
      <w:ind w:left="380"/>
    </w:pPr>
    <w:rPr>
      <w:rFonts w:ascii="Arial" w:cs="Arial" w:eastAsia="Arial" w:hAnsi="Arial"/>
      <w:b/>
      <w:bCs/>
      <w:sz w:val="20"/>
      <w:szCs w:val="20"/>
    </w:rPr>
  </w:style>
  <w:style w:styleId="TOC2" w:type="paragraph">
    <w:name w:val="toc 2"/>
    <w:basedOn w:val="Normal"/>
    <w:uiPriority w:val="1"/>
    <w:qFormat/>
    <w:pPr>
      <w:spacing w:before="30"/>
      <w:ind w:left="620"/>
    </w:pPr>
    <w:rPr>
      <w:rFonts w:ascii="Arial" w:cs="Arial" w:eastAsia="Arial" w:hAnsi="Arial"/>
      <w:sz w:val="20"/>
      <w:szCs w:val="20"/>
    </w:rPr>
  </w:style>
  <w:style w:styleId="TOC3" w:type="paragraph">
    <w:name w:val="toc 3"/>
    <w:basedOn w:val="Normal"/>
    <w:uiPriority w:val="1"/>
    <w:qFormat/>
    <w:pPr>
      <w:spacing w:before="15"/>
      <w:ind w:left="620"/>
    </w:pPr>
    <w:rPr>
      <w:rFonts w:ascii="Arial" w:cs="Arial" w:eastAsia="Arial" w:hAnsi="Arial"/>
      <w:sz w:val="16"/>
      <w:szCs w:val="16"/>
    </w:rPr>
  </w:style>
  <w:style w:styleId="TOC4" w:type="paragraph">
    <w:name w:val="toc 4"/>
    <w:basedOn w:val="Normal"/>
    <w:uiPriority w:val="1"/>
    <w:qFormat/>
    <w:pPr>
      <w:spacing w:before="15"/>
      <w:ind w:left="620"/>
    </w:pPr>
    <w:rPr>
      <w:rFonts w:ascii="Arial" w:cs="Arial" w:eastAsia="Arial" w:hAnsi="Arial"/>
      <w:b/>
      <w:bCs/>
      <w:i/>
    </w:rPr>
  </w:style>
  <w:style w:styleId="TOC5" w:type="paragraph">
    <w:name w:val="toc 5"/>
    <w:basedOn w:val="Normal"/>
    <w:uiPriority w:val="1"/>
    <w:qFormat/>
    <w:pPr>
      <w:spacing w:before="15"/>
      <w:ind w:left="860"/>
    </w:pPr>
    <w:rPr>
      <w:rFonts w:ascii="Arial" w:cs="Arial" w:eastAsia="Arial" w:hAnsi="Arial"/>
      <w:i/>
      <w:sz w:val="20"/>
      <w:szCs w:val="20"/>
    </w:rPr>
  </w:style>
  <w:style w:styleId="BodyText" w:type="paragraph">
    <w:name w:val="Body Text"/>
    <w:basedOn w:val="Normal"/>
    <w:uiPriority w:val="1"/>
    <w:qFormat/>
    <w:pPr>
      <w:ind w:left="38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pPr>
  </w:style>
  <w:style w:type="character" w:customStyle="1" w:styleId="KeywordTok">
    <w:name w:val="KeywordTok"/>
    <w:basedOn w:val="VerbatimChar"/>
    <w:rPr>
      <w:b/>
      <w:color w:val="007020"/>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b/>
      <w:color w:val="008000"/>
    </w:rPr>
  </w:style>
  <w:style w:type="character" w:customStyle="1" w:styleId="CommentTok">
    <w:name w:val="CommentTok"/>
    <w:basedOn w:val="VerbatimChar"/>
    <w:rPr>
      <w:i/>
      <w:color w:val="60a0b0"/>
    </w:rPr>
  </w:style>
  <w:style w:type="character" w:customStyle="1" w:styleId="DocumentationTok">
    <w:name w:val="DocumentationTok"/>
    <w:basedOn w:val="VerbatimChar"/>
    <w:rPr>
      <w:i/>
      <w:color w:val="ba2121"/>
    </w:rPr>
  </w:style>
  <w:style w:type="character" w:customStyle="1" w:styleId="AnnotationTok">
    <w:name w:val="AnnotationTok"/>
    <w:basedOn w:val="VerbatimChar"/>
    <w:rPr>
      <w:b/>
      <w:i/>
      <w:color w:val="60a0b0"/>
    </w:rPr>
  </w:style>
  <w:style w:type="character" w:customStyle="1" w:styleId="CommentVarTok">
    <w:name w:val="CommentVarTok"/>
    <w:basedOn w:val="VerbatimChar"/>
    <w:rPr>
      <w:b/>
      <w:i/>
      <w:color w:val="60a0b0"/>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b/>
      <w:color w:val="007020"/>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b/>
      <w:i/>
      <w:color w:val="60a0b0"/>
    </w:rPr>
  </w:style>
  <w:style w:type="character" w:customStyle="1" w:styleId="WarningTok">
    <w:name w:val="WarningTok"/>
    <w:basedOn w:val="VerbatimChar"/>
    <w:rPr>
      <w:b/>
      <w:i/>
      <w:color w:val="60a0b0"/>
    </w:rPr>
  </w:style>
  <w:style w:type="character" w:customStyle="1" w:styleId="AlertTok">
    <w:name w:val="AlertTok"/>
    <w:basedOn w:val="VerbatimChar"/>
    <w:rPr>
      <w:b/>
      <w:color w:val="ff0000"/>
    </w:rPr>
  </w:style>
  <w:style w:type="character" w:customStyle="1" w:styleId="ErrorTok">
    <w:name w:val="ErrorTok"/>
    <w:basedOn w:val="VerbatimChar"/>
    <w:rPr>
      <w:b/>
      <w:color w:val="ff0000"/>
    </w:rPr>
  </w:style>
  <w:style w:type="character" w:customStyle="1" w:styleId="NormalTok">
    <w:name w:val="NormalTok"/>
    <w:basedOn w:val="VerbatimCh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Relationships xmlns="http://schemas.openxmlformats.org/package/2006/relationships"><Relationship Type="http://schemas.openxmlformats.org/officeDocument/2006/relationships/numbering" Id="rId60" Target="numbering.xml" /><Relationship Type="http://schemas.openxmlformats.org/officeDocument/2006/relationships/styles" Id="rId59" Target="styles.xml" /><Relationship Type="http://schemas.openxmlformats.org/officeDocument/2006/relationships/settings" Id="rId58" Target="settings.xml" /><Relationship Type="http://schemas.openxmlformats.org/officeDocument/2006/relationships/webSettings" Id="rId57" Target="webSettings.xml" /><Relationship Type="http://schemas.openxmlformats.org/officeDocument/2006/relationships/fontTable" Id="rId56" Target="fontTable.xml" /><Relationship Type="http://schemas.openxmlformats.org/officeDocument/2006/relationships/theme" Id="rId55" Target="theme/theme1.xml" /><Relationship Type="http://schemas.openxmlformats.org/officeDocument/2006/relationships/footnotes" Id="rId54" Target="footnotes.xml" /><Relationship Type="http://schemas.openxmlformats.org/officeDocument/2006/relationships/comments" Id="rId53" Target="comments.xml" /><Relationship Id="rId13" Target="media/image5.png" Type="http://schemas.openxmlformats.org/officeDocument/2006/relationships/image" /><Relationship Id="rId18" Target="media/image10.png" Type="http://schemas.openxmlformats.org/officeDocument/2006/relationships/image" /><Relationship Id="rId26" Target="media/image17.png" Type="http://schemas.openxmlformats.org/officeDocument/2006/relationships/image" /><Relationship Id="rId21" Target="media/image13.png" Type="http://schemas.openxmlformats.org/officeDocument/2006/relationships/image" /><Relationship Id="rId50" Target="media/image23.png" Type="http://schemas.openxmlformats.org/officeDocument/2006/relationships/image" /><Relationship Id="rId7" Target="footer1.xml" Type="http://schemas.openxmlformats.org/officeDocument/2006/relationships/footer" /><Relationship Id="rId16" Target="media/image8.jpeg" Type="http://schemas.openxmlformats.org/officeDocument/2006/relationships/image" /><Relationship Id="rId29" Target="media/image20.png" Type="http://schemas.openxmlformats.org/officeDocument/2006/relationships/image" /><Relationship Id="rId11" Target="media/image3.png" Type="http://schemas.openxmlformats.org/officeDocument/2006/relationships/image" /><Relationship Id="rId24" Target="media/image16.png" Type="http://schemas.openxmlformats.org/officeDocument/2006/relationships/image" /><Relationship Id="rId19" Target="media/image11.png" Type="http://schemas.openxmlformats.org/officeDocument/2006/relationships/image" /><Relationship Id="rId9" Target="media/image1.jpeg" Type="http://schemas.openxmlformats.org/officeDocument/2006/relationships/image" /><Relationship Id="rId14" Target="media/image6.png" Type="http://schemas.openxmlformats.org/officeDocument/2006/relationships/image" /><Relationship Id="rId22" Target="media/image14.jpeg" Type="http://schemas.openxmlformats.org/officeDocument/2006/relationships/image" /><Relationship Id="rId27" Target="media/image18.png" Type="http://schemas.openxmlformats.org/officeDocument/2006/relationships/image" /><Relationship Id="rId30" Target="media/image21.png" Type="http://schemas.openxmlformats.org/officeDocument/2006/relationships/image" /><Relationship Id="rId8" Target="footer2.xml" Type="http://schemas.openxmlformats.org/officeDocument/2006/relationships/footer" /><Relationship Id="rId51" Target="media/image24.jpeg" Type="http://schemas.openxmlformats.org/officeDocument/2006/relationships/image" /><Relationship Id="rId12" Target="media/image4.png" Type="http://schemas.openxmlformats.org/officeDocument/2006/relationships/image" /><Relationship Id="rId17" Target="media/image9.png" Type="http://schemas.openxmlformats.org/officeDocument/2006/relationships/image" /><Relationship Id="rId20" Target="media/image12.png" Type="http://schemas.openxmlformats.org/officeDocument/2006/relationships/image" /><Relationship Id="rId15" Target="media/image7.png" Type="http://schemas.openxmlformats.org/officeDocument/2006/relationships/image" /><Relationship Id="rId23" Target="media/image15.jpeg" Type="http://schemas.openxmlformats.org/officeDocument/2006/relationships/image" /><Relationship Id="rId28" Target="media/image19.jpeg" Type="http://schemas.openxmlformats.org/officeDocument/2006/relationships/image" /><Relationship Id="rId10" Target="media/image2.jpeg" Type="http://schemas.openxmlformats.org/officeDocument/2006/relationships/image" /><Relationship Id="rId31" Target="media/image22.png" Type="http://schemas.openxmlformats.org/officeDocument/2006/relationships/image" /><Relationship Id="rId52" Target="media/image25.jpeg" Type="http://schemas.openxmlformats.org/officeDocument/2006/relationships/image" /><Relationship Type="http://schemas.openxmlformats.org/officeDocument/2006/relationships/image" Id="rId84" Target="media/rId84.png" /><Relationship Type="http://schemas.openxmlformats.org/officeDocument/2006/relationships/hyperlink" Id="rId70" Target="https://doi.org/10.1016/j.actaastro.2021.03.030" TargetMode="External" /><Relationship Type="http://schemas.openxmlformats.org/officeDocument/2006/relationships/hyperlink" Id="rId75" Target="https://doi.org/10.1016/j.actaastro.2024.05.045" TargetMode="External" /><Relationship Type="http://schemas.openxmlformats.org/officeDocument/2006/relationships/hyperlink" Id="rId73" Target="https://doi.org/10.1016/j.actaastro.2024.07.030" TargetMode="External" /><Relationship Type="http://schemas.openxmlformats.org/officeDocument/2006/relationships/hyperlink" Id="rId77" Target="https://doi.org/10.1016/j.actaastro.2024.09.063" TargetMode="External" /><Relationship Type="http://schemas.openxmlformats.org/officeDocument/2006/relationships/hyperlink" Id="rId68" Target="https://doi.org/10.1016/j.actaastro.2025.01.069" TargetMode="External" /></Relationships>
</file>

<file path=word/_rels/footnotes.xml.rels><?xml version="1.0" encoding="UTF-8"?><Relationships xmlns="http://schemas.openxmlformats.org/package/2006/relationships"><Relationship Type="http://schemas.openxmlformats.org/officeDocument/2006/relationships/hyperlink" Id="rId70" Target="https://doi.org/10.1016/j.actaastro.2021.03.030" TargetMode="External" /><Relationship Type="http://schemas.openxmlformats.org/officeDocument/2006/relationships/hyperlink" Id="rId75" Target="https://doi.org/10.1016/j.actaastro.2024.05.045" TargetMode="External" /><Relationship Type="http://schemas.openxmlformats.org/officeDocument/2006/relationships/hyperlink" Id="rId73" Target="https://doi.org/10.1016/j.actaastro.2024.07.030" TargetMode="External" /><Relationship Type="http://schemas.openxmlformats.org/officeDocument/2006/relationships/hyperlink" Id="rId77" Target="https://doi.org/10.1016/j.actaastro.2024.09.063" TargetMode="External" /><Relationship Type="http://schemas.openxmlformats.org/officeDocument/2006/relationships/hyperlink" Id="rId68" Target="https://doi.org/10.1016/j.actaastro.2025.01.069"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2026-06-26T16:45:58Z</dcterms:created>
  <dcterms:modified xsi:type="dcterms:W3CDTF">2026-06-26T16:45:58Z</dcterms:modified>
</cp:coreProperties>
</file>

<file path=docProps/custom.xml><?xml version="1.0" encoding="utf-8"?>
<Properties xmlns="http://schemas.openxmlformats.org/officeDocument/2006/custom-properties" xmlns:vt="http://schemas.openxmlformats.org/officeDocument/2006/docPropsVTypes"/>
</file>