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LICENSING-TO-LAUNCH LATENCY AND STM DEMAND: DOES FAA AST THROUGHPUT PACE ON-ORBIT CONJUNCTION LOAD?</w:t>
      </w:r>
    </w:p>
    <w:p>
      <w:pPr>
        <w:jc w:val="center"/>
      </w:pPr>
    </w:p>
    <w:p>
      <w:pPr>
        <w:jc w:val="center"/>
      </w:pPr>
      <w:r>
        <w:rPr>
          <w:rFonts w:ascii="Times New Roman" w:hAnsi="Times New Roman"/>
          <w:sz w:val="24"/>
        </w:rPr>
        <w:t>by</w:t>
      </w:r>
    </w:p>
    <w:p>
      <w:pPr>
        <w:jc w:val="center"/>
      </w:pPr>
      <w:r>
        <w:rPr>
          <w:rFonts w:ascii="Times New Roman" w:hAnsi="Times New Roman"/>
          <w:b/>
          <w:sz w:val="28"/>
        </w:rPr>
        <w:t>Lukas Sklar</w:t>
      </w:r>
    </w:p>
    <w:p>
      <w:pPr>
        <w:jc w:val="center"/>
      </w:pPr>
      <w:r>
        <w:rPr>
          <w:rFonts w:ascii="Times New Roman" w:hAnsi="Times New Roman"/>
          <w:sz w:val="24"/>
        </w:rPr>
        <w:t>1B-SDA-070</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6" w:name="chapter-1.-introduction"/>
    <w:p>
      <w:pPr>
        <w:pStyle w:val="Heading1"/>
        <w:spacing w:line="480" w:lineRule="auto"/>
      </w:pPr>
      <w:r>
        <w:t xml:space="preserve">Chapter 1. Introduction</w:t>
      </w:r>
    </w:p>
    <w:bookmarkStart w:id="61" w:name="the-problem"/>
    <w:p>
      <w:pPr>
        <w:pStyle w:val="Heading2"/>
        <w:spacing w:line="480" w:lineRule="auto"/>
      </w:pPr>
      <w:r>
        <w:t xml:space="preserve">1.1 The Problem</w:t>
      </w:r>
    </w:p>
    <w:p>
      <w:pPr>
        <w:pStyle w:val="FirstParagraph"/>
        <w:spacing w:line="480" w:lineRule="auto"/>
      </w:pPr>
      <w:r>
        <w:t xml:space="preserve">The orbital environment in low Earth orbit has crossed a threshold at which the catalogued resident space object population, and the conjunction screening workload that population imposes, can no longer be treated as a background condition of space operations. It has become, instead, the operational center of gravity for civil space traffic management. The NASA Conjunction Assessment Risk Analysis program and its operational successors have documented a screening volume that scales with the catalogued population and with the proliferation of large constellations, and that scaling is now the binding constraint on analyst time, sensor tasking, and maneuver burden for the United States government civil fleet</w:t>
      </w:r>
      <w:r>
        <w:t xml:space="preserve"> </w:t>
      </w:r>
      <w:hyperlink w:anchor="ref-5">
        <w:r>
          <w:rPr>
            <w:rStyle w:val="Hyperlink"/>
          </w:rPr>
          <w:t xml:space="preserve">[5]</w:t>
        </w:r>
      </w:hyperlink>
      <w:r>
        <w:t xml:space="preserve">,</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 The Acta Astronautica literature on capacity management and space traffic management has converged on the same diagnosis: the rate of payload insertion is the forcing function on collision risk and on the screening demand that situational awareness systems must meet</w:t>
      </w:r>
      <w:r>
        <w:t xml:space="preserve"> </w:t>
      </w:r>
      <w:hyperlink w:anchor="ref-6">
        <w:r>
          <w:rPr>
            <w:rStyle w:val="Hyperlink"/>
          </w:rPr>
          <w:t xml:space="preserve">[6]</w:t>
        </w:r>
      </w:hyperlink>
      <w:r>
        <w:t xml:space="preserve">,</w:t>
      </w:r>
      <w:r>
        <w:t xml:space="preserve"> </w:t>
      </w:r>
      <w:hyperlink w:anchor="ref-22">
        <w:r>
          <w:rPr>
            <w:rStyle w:val="Hyperlink"/>
          </w:rPr>
          <w:t xml:space="preserve">[22]</w:t>
        </w:r>
      </w:hyperlink>
      <w:r>
        <w:t xml:space="preserve">. The constellation risk literature has refined the diagnosis at the geometric and statistical level, modeling collision probabilities as functions of population, geometry, and constellation design</w:t>
      </w:r>
      <w:r>
        <w:t xml:space="preserve"> </w:t>
      </w:r>
      <w:hyperlink w:anchor="ref-13">
        <w:r>
          <w:rPr>
            <w:rStyle w:val="Hyperlink"/>
          </w:rPr>
          <w:t xml:space="preserve">[13]</w:t>
        </w:r>
      </w:hyperlink>
      <w:r>
        <w:t xml:space="preserve">,</w:t>
      </w:r>
      <w:r>
        <w:t xml:space="preserve"> </w:t>
      </w:r>
      <w:hyperlink w:anchor="ref-14">
        <w:r>
          <w:rPr>
            <w:rStyle w:val="Hyperlink"/>
          </w:rPr>
          <w:t xml:space="preserve">[14]</w:t>
        </w:r>
      </w:hyperlink>
      <w:r>
        <w:t xml:space="preserve">,</w:t>
      </w:r>
      <w:r>
        <w:t xml:space="preserve"> </w:t>
      </w:r>
      <w:hyperlink w:anchor="ref-15">
        <w:r>
          <w:rPr>
            <w:rStyle w:val="Hyperlink"/>
          </w:rPr>
          <w:t xml:space="preserve">[15]</w:t>
        </w:r>
      </w:hyperlink>
      <w:r>
        <w:t xml:space="preserve">,</w:t>
      </w:r>
      <w:r>
        <w:t xml:space="preserve"> </w:t>
      </w:r>
      <w:hyperlink w:anchor="ref-16">
        <w:r>
          <w:rPr>
            <w:rStyle w:val="Hyperlink"/>
          </w:rPr>
          <w:t xml:space="preserve">[16]</w:t>
        </w:r>
      </w:hyperlink>
      <w:r>
        <w:t xml:space="preserve">.</w:t>
      </w:r>
    </w:p>
    <w:p>
      <w:pPr>
        <w:pStyle w:val="BodyText"/>
        <w:spacing w:line="480" w:lineRule="auto"/>
        <w:ind w:firstLine="720"/>
      </w:pPr>
      <w:r>
        <w:t xml:space="preserve">What the literature has not asked, and what this dissertation asks, is whether the rate at which that demand arrives is itself paced by an administrative instrument that sits upstream of the launch pad. Every commercial payload that the United States contributes to the catalogue first passes through a launch licensed by the Federal Aviation Administration Office of Commercial Space Transportation (FAA AST). The licensing process imposes a latency that varies across operators, vehicles, and regulatory windows. If that latency binds, it functions as a tap on the pipe that fills the catalogue and, by extension, on the workload borne by NASA conjunction assessment, by the Eighteenth and Nineteenth Space Defense Squadrons that maintain the public catalogue, and by every operator that consumes screening products downstream. If the latency does not bind, the regulatory instrument is at best a permissive gate and at worst an irrelevance, and the policy discourse that has placed licensing reform at the center of space traffic management strategy has been mistargeted.</w:t>
      </w:r>
    </w:p>
    <w:p>
      <w:pPr>
        <w:pStyle w:val="BodyText"/>
        <w:spacing w:line="480" w:lineRule="auto"/>
        <w:ind w:firstLine="720"/>
      </w:pPr>
      <w:r>
        <w:t xml:space="preserve">The question is therefore not whether the catalogue is growing, which is settled, nor whether constellation deployment dominates that growth, which is also settled</w:t>
      </w:r>
      <w:r>
        <w:t xml:space="preserve"> </w:t>
      </w:r>
      <w:hyperlink w:anchor="ref-13">
        <w:r>
          <w:rPr>
            <w:rStyle w:val="Hyperlink"/>
          </w:rPr>
          <w:t xml:space="preserve">[13]</w:t>
        </w:r>
      </w:hyperlink>
      <w:r>
        <w:t xml:space="preserve">,</w:t>
      </w:r>
      <w:r>
        <w:t xml:space="preserve"> </w:t>
      </w:r>
      <w:hyperlink w:anchor="ref-14">
        <w:r>
          <w:rPr>
            <w:rStyle w:val="Hyperlink"/>
          </w:rPr>
          <w:t xml:space="preserve">[14]</w:t>
        </w:r>
      </w:hyperlink>
      <w:r>
        <w:t xml:space="preserve">,</w:t>
      </w:r>
      <w:r>
        <w:t xml:space="preserve"> </w:t>
      </w:r>
      <w:hyperlink w:anchor="ref-16">
        <w:r>
          <w:rPr>
            <w:rStyle w:val="Hyperlink"/>
          </w:rPr>
          <w:t xml:space="preserve">[16]</w:t>
        </w:r>
      </w:hyperlink>
      <w:r>
        <w:t xml:space="preserve">. The question is whether the administrative throughput of a specific regulator, measured at the level of individual license dockets and aggregated to the national level, exerts a measurable and signed effect on the rate at which mass reaches orbit and at which conjunction load accumulates. This is a question about pass-through, in the econometric sense, from a regulatory instrument to a physical state of the orbital environment. It is the question that this dissertation states, parameterizes, identifies, and tests.</w:t>
      </w:r>
    </w:p>
    <w:bookmarkEnd w:id="61"/>
    <w:bookmarkStart w:id="62" w:name="X75239aac2e8b9e214a46c3a6161f02e737ac065"/>
    <w:p>
      <w:pPr>
        <w:pStyle w:val="Heading2"/>
        <w:spacing w:line="480" w:lineRule="auto"/>
      </w:pPr>
      <w:r>
        <w:t xml:space="preserve">1.2 Stakes for NASA and the Jet Propulsion Laboratory</w:t>
      </w:r>
    </w:p>
    <w:p>
      <w:pPr>
        <w:pStyle w:val="FirstParagraph"/>
        <w:spacing w:line="480" w:lineRule="auto"/>
      </w:pPr>
      <w:r>
        <w:t xml:space="preserve">The stakes attach to NASA and to the Jet Propulsion Laboratory in three concrete ways. The first is operational. NASA’s robotic conjunction assessment concept of operations was designed and implemented under a catalogue and a screening load that have since been outgrown by an order of magnitude</w:t>
      </w:r>
      <w:r>
        <w:t xml:space="preserve"> </w:t>
      </w:r>
      <w:hyperlink w:anchor="ref-5">
        <w:r>
          <w:rPr>
            <w:rStyle w:val="Hyperlink"/>
          </w:rPr>
          <w:t xml:space="preserve">[5]</w:t>
        </w:r>
      </w:hyperlink>
      <w:r>
        <w:t xml:space="preserve">,</w:t>
      </w:r>
      <w:r>
        <w:t xml:space="preserve"> </w:t>
      </w:r>
      <w:hyperlink w:anchor="ref-9">
        <w:r>
          <w:rPr>
            <w:rStyle w:val="Hyperlink"/>
          </w:rPr>
          <w:t xml:space="preserve">[9]</w:t>
        </w:r>
      </w:hyperlink>
      <w:r>
        <w:t xml:space="preserve">. Every additional payload placed in low Earth orbit by a United States licensed launch propagates into that workload with a finite lag set by orbital regime, sensor revisit, and screening cadence</w:t>
      </w:r>
      <w:r>
        <w:t xml:space="preserve"> </w:t>
      </w:r>
      <w:hyperlink w:anchor="ref-10">
        <w:r>
          <w:rPr>
            <w:rStyle w:val="Hyperlink"/>
          </w:rPr>
          <w:t xml:space="preserve">[10]</w:t>
        </w:r>
      </w:hyperlink>
      <w:r>
        <w:t xml:space="preserve">. If licensing throughput is a pacing variable, then NASA’s conjunction assessment capacity planning, and the future Department of Commerce traffic coordination function that inherits parts of it, are partly forecastable from FAA AST administrative variables that the agencies do not currently incorporate into their workload projections. If it is not a pacing variable, the same planning functions are correctly treating the licensing process as exogenous, and the search for upstream levers must move elsewhere. Either finding is operationally consequential, and the current state of the literature does not adjudicate between them.</w:t>
      </w:r>
    </w:p>
    <w:p>
      <w:pPr>
        <w:pStyle w:val="BodyText"/>
        <w:spacing w:line="480" w:lineRule="auto"/>
        <w:ind w:firstLine="720"/>
      </w:pPr>
      <w:r>
        <w:t xml:space="preserve">The second stake is programmatic. JPL operates a flight portfolio that depends on a clear and predictable low Earth orbit environment for ascent corridors, for early orbit operations on missions that pass through low Earth orbit en route to deeper destinations, and for the rapidly maturing class of lunar and cislunar missions that the laboratory has positioned itself to lead</w:t>
      </w:r>
      <w:r>
        <w:t xml:space="preserve"> </w:t>
      </w:r>
      <w:hyperlink w:anchor="ref-3">
        <w:r>
          <w:rPr>
            <w:rStyle w:val="Hyperlink"/>
          </w:rPr>
          <w:t xml:space="preserve">[3]</w:t>
        </w:r>
      </w:hyperlink>
      <w:r>
        <w:t xml:space="preserve">,</w:t>
      </w:r>
      <w:r>
        <w:t xml:space="preserve"> </w:t>
      </w:r>
      <w:hyperlink w:anchor="ref-7">
        <w:r>
          <w:rPr>
            <w:rStyle w:val="Hyperlink"/>
          </w:rPr>
          <w:t xml:space="preserve">[7]</w:t>
        </w:r>
      </w:hyperlink>
      <w:r>
        <w:t xml:space="preserve">. The architectural literature on cislunar traffic management treats the licensing question as one that will inevitably be re-encountered as cislunar volumes materialize, with the structural parameters of the regulatory regime governing how quickly those volumes accumulate</w:t>
      </w:r>
      <w:r>
        <w:t xml:space="preserve"> </w:t>
      </w:r>
      <w:hyperlink w:anchor="ref-3">
        <w:r>
          <w:rPr>
            <w:rStyle w:val="Hyperlink"/>
          </w:rPr>
          <w:t xml:space="preserve">[3]</w:t>
        </w:r>
      </w:hyperlink>
      <w:r>
        <w:t xml:space="preserve">,</w:t>
      </w:r>
      <w:r>
        <w:t xml:space="preserve"> </w:t>
      </w:r>
      <w:hyperlink w:anchor="ref-7">
        <w:r>
          <w:rPr>
            <w:rStyle w:val="Hyperlink"/>
          </w:rPr>
          <w:t xml:space="preserve">[7]</w:t>
        </w:r>
      </w:hyperlink>
      <w:r>
        <w:t xml:space="preserve">. The terrestrial low Earth orbit case is the prerequisite case. If the pass-through from licensing throughput to conjunction load can be estimated cleanly in low Earth orbit, the same estimator can be transported to the cislunar regime as a calibrated prior. If the pass-through cannot be estimated cleanly in low Earth orbit, the cislunar architectural literature will continue to specify regulatory mechanisms without empirical grounding, and JPL’s cislunar mission planning will inherit that imprecision.</w:t>
      </w:r>
    </w:p>
    <w:p>
      <w:pPr>
        <w:pStyle w:val="BodyText"/>
        <w:spacing w:line="480" w:lineRule="auto"/>
        <w:ind w:firstLine="720"/>
      </w:pPr>
      <w:r>
        <w:t xml:space="preserve">The third stake is institutional. NASA and JPL are the two organizations in the United States civil space system with the analytic depth and the operational mandate to act on a clean pass-through estimate. The Congressional Research Service overview of commercial space launch and reentry regulation places the licensing reform debate squarely in the policy arena, with the migration to 14 CFR Part 450 framed as a deliberate effort to raise the number of operations the agency can process per unit of administrative effort</w:t>
      </w:r>
      <w:r>
        <w:t xml:space="preserve"> </w:t>
      </w:r>
      <w:hyperlink w:anchor="ref-19">
        <w:r>
          <w:rPr>
            <w:rStyle w:val="Hyperlink"/>
          </w:rPr>
          <w:t xml:space="preserve">[19]</w:t>
        </w:r>
      </w:hyperlink>
      <w:r>
        <w:t xml:space="preserve">. If that reform is producing measurable downstream effects on the orbital environment, NASA and JPL are the institutions that will both bear the consequences and inform the next iteration of the rule. The estimate this dissertation produces is therefore a piece of evidence that the civil space system can use, not a piece of academic apparatus that will sit unread.</w:t>
      </w:r>
    </w:p>
    <w:bookmarkEnd w:id="62"/>
    <w:bookmarkStart w:id="63" w:name="the-gap-between-two-literatures"/>
    <w:p>
      <w:pPr>
        <w:pStyle w:val="Heading2"/>
        <w:spacing w:line="480" w:lineRule="auto"/>
      </w:pPr>
      <w:r>
        <w:t xml:space="preserve">1.3 The Gap Between Two Literatures</w:t>
      </w:r>
    </w:p>
    <w:p>
      <w:pPr>
        <w:pStyle w:val="FirstParagraph"/>
        <w:spacing w:line="480" w:lineRule="auto"/>
      </w:pPr>
      <w:r>
        <w:t xml:space="preserve">The gap that this dissertation occupies is not a missing dataset and it is not a missing theory. It is a missing causal link, stated precisely and estimated. The gap sits between two literatures that have grown sophisticated in parallel without intersecting at the point where a pass-through estimate would live.</w:t>
      </w:r>
    </w:p>
    <w:p>
      <w:pPr>
        <w:pStyle w:val="BodyText"/>
        <w:spacing w:line="480" w:lineRule="auto"/>
        <w:ind w:firstLine="720"/>
      </w:pPr>
      <w:r>
        <w:t xml:space="preserve">The first literature is the domain literature on space traffic management, conjunction assessment, and orbital capacity. Its operational backbone is the AMOS conference record, which has produced two decades of work on maneuver guidelines, conjunction screening, sensor performance, and the evolution of the NASA robotic conjunction assessment concept of operations</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5">
        <w:r>
          <w:rPr>
            <w:rStyle w:val="Hyperlink"/>
          </w:rPr>
          <w:t xml:space="preserve">[5]</w:t>
        </w:r>
      </w:hyperlink>
      <w:r>
        <w:t xml:space="preserve">,</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 Its institutional and architectural strand identifies the persistent challenges in space traffic management and proposes architectural solutions, including for cislunar growth</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 Its journal backbone is Acta Astronautica, which has produced a mature literature on collision risk for constellations, on the capacity management problem in low Earth orbit, and on the interaction between capacity management and space traffic management</w:t>
      </w:r>
      <w:r>
        <w:t xml:space="preserve"> </w:t>
      </w:r>
      <w:hyperlink w:anchor="ref-6">
        <w:r>
          <w:rPr>
            <w:rStyle w:val="Hyperlink"/>
          </w:rPr>
          <w:t xml:space="preserve">[6]</w:t>
        </w:r>
      </w:hyperlink>
      <w:r>
        <w:t xml:space="preserve">,</w:t>
      </w:r>
      <w:r>
        <w:t xml:space="preserve"> </w:t>
      </w:r>
      <w:hyperlink w:anchor="ref-13">
        <w:r>
          <w:rPr>
            <w:rStyle w:val="Hyperlink"/>
          </w:rPr>
          <w:t xml:space="preserve">[13]</w:t>
        </w:r>
      </w:hyperlink>
      <w:r>
        <w:t xml:space="preserve">,</w:t>
      </w:r>
      <w:r>
        <w:t xml:space="preserve"> </w:t>
      </w:r>
      <w:hyperlink w:anchor="ref-14">
        <w:r>
          <w:rPr>
            <w:rStyle w:val="Hyperlink"/>
          </w:rPr>
          <w:t xml:space="preserve">[14]</w:t>
        </w:r>
      </w:hyperlink>
      <w:r>
        <w:t xml:space="preserve">,</w:t>
      </w:r>
      <w:r>
        <w:t xml:space="preserve"> </w:t>
      </w:r>
      <w:hyperlink w:anchor="ref-15">
        <w:r>
          <w:rPr>
            <w:rStyle w:val="Hyperlink"/>
          </w:rPr>
          <w:t xml:space="preserve">[15]</w:t>
        </w:r>
      </w:hyperlink>
      <w:r>
        <w:t xml:space="preserve">,</w:t>
      </w:r>
      <w:r>
        <w:t xml:space="preserve"> </w:t>
      </w:r>
      <w:hyperlink w:anchor="ref-16">
        <w:r>
          <w:rPr>
            <w:rStyle w:val="Hyperlink"/>
          </w:rPr>
          <w:t xml:space="preserve">[16]</w:t>
        </w:r>
      </w:hyperlink>
      <w:r>
        <w:t xml:space="preserve">,</w:t>
      </w:r>
      <w:r>
        <w:t xml:space="preserve"> </w:t>
      </w:r>
      <w:hyperlink w:anchor="ref-22">
        <w:r>
          <w:rPr>
            <w:rStyle w:val="Hyperlink"/>
          </w:rPr>
          <w:t xml:space="preserve">[22]</w:t>
        </w:r>
      </w:hyperlink>
      <w:r>
        <w:t xml:space="preserve">. The space economics literature, in the same period, has theorized orbital carrying capacity as distinct from the debris stock that erodes it and has produced a working classification of orbital regimes for capacity accounting</w:t>
      </w:r>
      <w:r>
        <w:t xml:space="preserve"> </w:t>
      </w:r>
      <w:hyperlink w:anchor="ref-8">
        <w:r>
          <w:rPr>
            <w:rStyle w:val="Hyperlink"/>
          </w:rPr>
          <w:t xml:space="preserve">[8]</w:t>
        </w:r>
      </w:hyperlink>
      <w:r>
        <w:t xml:space="preserve">,</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 Throughout this literature, deployment is treated as input. The object population is exogenous to the analytic apparatus, and the analytic apparatus optimizes the response.</w:t>
      </w:r>
    </w:p>
    <w:p>
      <w:pPr>
        <w:pStyle w:val="BodyText"/>
        <w:spacing w:line="480" w:lineRule="auto"/>
        <w:ind w:firstLine="720"/>
      </w:pPr>
      <w:r>
        <w:t xml:space="preserve">The second literature is the econometric and policy literature on regulatory throughput and administrative latency. Its method backbone is the standard apparatus of panel data identification: fixed effects to absorb time invariant heterogeneity, distributed lag specifications to recover dynamic pass-through, difference in differences contrasts around discrete regulatory regime transitions, and survival analysis to recover the duration of administrative processes. The Congressional Research Service overview of commercial space launch and reentry regulation specifies the regulatory architecture and its 2020 transition with enough precision that the panel can be cut at a documented date</w:t>
      </w:r>
      <w:r>
        <w:t xml:space="preserve"> </w:t>
      </w:r>
      <w:hyperlink w:anchor="ref-19">
        <w:r>
          <w:rPr>
            <w:rStyle w:val="Hyperlink"/>
          </w:rPr>
          <w:t xml:space="preserve">[19]</w:t>
        </w:r>
      </w:hyperlink>
      <w:r>
        <w:t xml:space="preserve">. The FAA’s own public reporting on record commercial space operations and on the aerospace rulemaking committee established to update the licensing rule provides the administrative variable in the form that the econometric literature requires</w:t>
      </w:r>
      <w:r>
        <w:t xml:space="preserve"> </w:t>
      </w:r>
      <w:hyperlink w:anchor="ref-24">
        <w:r>
          <w:rPr>
            <w:rStyle w:val="Hyperlink"/>
          </w:rPr>
          <w:t xml:space="preserve">[24]</w:t>
        </w:r>
      </w:hyperlink>
      <w:r>
        <w:t xml:space="preserve">. The launch and payload statistics curated by Jonathan McDowell, and the United Nations Office for Outer Space Affairs Online Index of Objects Launched into Outer Space as compiled by Our World in Data, provide the global benchmark series against which a United States slope can be contrasted</w:t>
      </w:r>
      <w:r>
        <w:t xml:space="preserve"> </w:t>
      </w:r>
      <w:hyperlink w:anchor="ref-23">
        <w:r>
          <w:rPr>
            <w:rStyle w:val="Hyperlink"/>
          </w:rPr>
          <w:t xml:space="preserve">[23]</w:t>
        </w:r>
      </w:hyperlink>
      <w:r>
        <w:t xml:space="preserve">,</w:t>
      </w:r>
      <w:r>
        <w:t xml:space="preserve"> </w:t>
      </w:r>
      <w:hyperlink w:anchor="ref-25">
        <w:r>
          <w:rPr>
            <w:rStyle w:val="Hyperlink"/>
          </w:rPr>
          <w:t xml:space="preserve">[25]</w:t>
        </w:r>
      </w:hyperlink>
      <w:r>
        <w:t xml:space="preserve">.</w:t>
      </w:r>
    </w:p>
    <w:p>
      <w:pPr>
        <w:pStyle w:val="BodyText"/>
        <w:spacing w:line="480" w:lineRule="auto"/>
        <w:ind w:firstLine="720"/>
      </w:pPr>
      <w:r>
        <w:t xml:space="preserve">Each literature is mature on its own terms. Neither has reached across the gap. The domain literature has not estimated the elasticity of conjunction load with respect to licensing throughput. The econometric literature has not formulated the licensing to launch latency as an estimand and has not joined the licensing record to the catalogued payload series at the level of the international designator. The two preceding research papers in this dissertation portfolio mark the beginning of that crossing. The first paper established, on a bloc level annual panel of the United States against the rest of the world from 2014 through 2024, that the throughput to deployment slope is steeper inside the FAA regime than outside it, with an interaction coefficient of 14.84 payloads per licensed operation (robust standard error 2.81, p less than 0.001) against a non significant rest of world slope of minus 0.95 (robust standard error 4.14, p equal to 0.818), an R squared of 0.932, and a common annual trend of 74.55 payloads per year (robust standard error 27.58, p equal to 0.007). The second paper inverted the question and used a Cox proportional hazards model on 23 licensed United States commercial orbital vehicle configurations to estimate the hazard of first flight after license issuance, finding a null result on every covariate (heavy class hazard ratio 1.667, p equal to 0.629; reusable hazard ratio 1.164, p equal to 0.841; Part 450 hazard ratio 0.806, p equal to 0.695; log payload hazard ratio 1.115, p equal to 0.664), with a median licensing to launch latency of 1.5 months and a mean of 4.35 months. The two results frame the central puzzle that this dissertation must resolve. Bloc level throughput moves with deployment under the FAA regime, but the vehicle level interval from license to flight does not order on the regulatory regime indicator. The pass through, if it exists, runs through a channel that neither paper alone has isolated. Chapter 1 names that channel as the licensing to launch latency aggregated to the operator by month level, and Chapter 3 will specify the panel estimator that recovers it.</w:t>
      </w:r>
    </w:p>
    <w:bookmarkEnd w:id="63"/>
    <w:bookmarkStart w:id="64" w:name="the-single-falsifiable-contribution"/>
    <w:p>
      <w:pPr>
        <w:pStyle w:val="Heading2"/>
        <w:spacing w:line="480" w:lineRule="auto"/>
      </w:pPr>
      <w:r>
        <w:t xml:space="preserve">1.4 The Single Falsifiable Contribution</w:t>
      </w:r>
    </w:p>
    <w:p>
      <w:pPr>
        <w:pStyle w:val="FirstParagraph"/>
        <w:spacing w:line="480" w:lineRule="auto"/>
      </w:pPr>
      <w:r>
        <w:t xml:space="preserve">The contribution of this dissertation is a single estimated quantity, with a sign, a magnitude, a lag structure, and a confidence interval. Let the quantity be denoted by the cumulative pass through coefficient β, defined as the sum across lags k of the partial coefficients β(k) in the distributed lag specification</w:t>
      </w:r>
    </w:p>
    <w:p>
      <w:pPr>
        <w:pStyle w:val="BodyText"/>
        <w:spacing w:line="480" w:lineRule="auto"/>
        <w:ind w:firstLine="720"/>
      </w:pPr>
      <w:r>
        <w:t xml:space="preserve">D(i,t) = α(i) + γ(t) + Σ(k=0 to K) β(k) · L(i, t−k) + X(i,t)θ + ε(i,t),</w:t>
      </w:r>
    </w:p>
    <w:p>
      <w:pPr>
        <w:pStyle w:val="BodyText"/>
        <w:spacing w:line="480" w:lineRule="auto"/>
        <w:ind w:firstLine="720"/>
      </w:pPr>
      <w:r>
        <w:t xml:space="preserve">where D(i,t) is the rate of catalogued object accretion attributable to operator i in month t, L(i, t−k) is the mean licensing to launch latency for that operator’s licenses cleared in month t−k, α(i) are operator fixed effects, γ(t) are calendar time effects that absorb catalogue wide shocks and screening policy changes, X(i,t) carries controls for orbital regime and vehicle class and payload mass, and ε(i,t) is the residual. The estimand is the cumulative pass through Σβ(k) over a finite distributed lag of length K, with K to be selected by an information criterion in Chapter 3 and reported with sensitivity to its choice.</w:t>
      </w:r>
    </w:p>
    <w:p>
      <w:pPr>
        <w:pStyle w:val="BodyText"/>
        <w:spacing w:line="480" w:lineRule="auto"/>
        <w:ind w:firstLine="720"/>
      </w:pPr>
      <w:r>
        <w:t xml:space="preserve">The null hypothesis H0 is that β equals zero. Licensing to launch latency has no measurable effect on the downstream rate of conjunction load accretion once operator, orbital regime, and time effects are controlled. Demand is exogenous to administrative throughput. The alternative hypothesis H1 is that β is non zero, and specifically that under the parameterization in which longer latency depresses near term launched mass the sign of β is negative. The contribution is falsifiable in the strict sense. A precisely estimated β statistically indistinguishable from zero, with a confidence interval that excludes policy relevant magnitudes specified in advance, refutes H1 and removes the asserted causal channel from the policy discourse on orbital carrying capacity and conjunction assessment workload. A precisely estimated β with the predicted sign and a magnitude outside the null interval confirms H1 and provides the first quantitative pass through estimate from a United States regulatory instrument to the orbital environment that NASA and JPL operate within.</w:t>
      </w:r>
    </w:p>
    <w:p>
      <w:pPr>
        <w:pStyle w:val="BodyText"/>
        <w:spacing w:line="480" w:lineRule="auto"/>
        <w:ind w:firstLine="720"/>
      </w:pPr>
      <w:r>
        <w:t xml:space="preserve">The contribution is a single coefficient because a single coefficient is what the field is missing and what the policy debate requires. The Acta Astronautica capacity management literature can absorb a calibrated β into its capacity accounting</w:t>
      </w:r>
      <w:r>
        <w:t xml:space="preserve"> </w:t>
      </w:r>
      <w:hyperlink w:anchor="ref-6">
        <w:r>
          <w:rPr>
            <w:rStyle w:val="Hyperlink"/>
          </w:rPr>
          <w:t xml:space="preserve">[6]</w:t>
        </w:r>
      </w:hyperlink>
      <w:r>
        <w:t xml:space="preserve">. The AMOS conjunction assessment literature can absorb a calibrated β into its workload projections</w:t>
      </w:r>
      <w:r>
        <w:t xml:space="preserve"> </w:t>
      </w:r>
      <w:hyperlink w:anchor="ref-5">
        <w:r>
          <w:rPr>
            <w:rStyle w:val="Hyperlink"/>
          </w:rPr>
          <w:t xml:space="preserve">[5]</w:t>
        </w:r>
      </w:hyperlink>
      <w:r>
        <w:t xml:space="preserve">,</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 The cislunar architectural literature can transport a calibrated β as a prior into its forward modeling of cislunar volumes</w:t>
      </w:r>
      <w:r>
        <w:t xml:space="preserve"> </w:t>
      </w:r>
      <w:hyperlink w:anchor="ref-3">
        <w:r>
          <w:rPr>
            <w:rStyle w:val="Hyperlink"/>
          </w:rPr>
          <w:t xml:space="preserve">[3]</w:t>
        </w:r>
      </w:hyperlink>
      <w:r>
        <w:t xml:space="preserve">,</w:t>
      </w:r>
      <w:r>
        <w:t xml:space="preserve"> </w:t>
      </w:r>
      <w:hyperlink w:anchor="ref-7">
        <w:r>
          <w:rPr>
            <w:rStyle w:val="Hyperlink"/>
          </w:rPr>
          <w:t xml:space="preserve">[7]</w:t>
        </w:r>
      </w:hyperlink>
      <w:r>
        <w:t xml:space="preserve">. The space economics literature can absorb a calibrated β into its orbital carrying capacity estimates</w:t>
      </w:r>
      <w:r>
        <w:t xml:space="preserve"> </w:t>
      </w:r>
      <w:hyperlink w:anchor="ref-8">
        <w:r>
          <w:rPr>
            <w:rStyle w:val="Hyperlink"/>
          </w:rPr>
          <w:t xml:space="preserve">[8]</w:t>
        </w:r>
      </w:hyperlink>
      <w:r>
        <w:t xml:space="preserve">,</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 None of those absorptions is possible without the estimate. The dissertation produces it.</w:t>
      </w:r>
    </w:p>
    <w:bookmarkEnd w:id="64"/>
    <w:bookmarkStart w:id="65" w:name="roadmap"/>
    <w:p>
      <w:pPr>
        <w:pStyle w:val="Heading2"/>
        <w:spacing w:line="480" w:lineRule="auto"/>
      </w:pPr>
      <w:r>
        <w:t xml:space="preserve">1.5 Roadmap</w:t>
      </w:r>
    </w:p>
    <w:p>
      <w:pPr>
        <w:pStyle w:val="FirstParagraph"/>
        <w:spacing w:line="480" w:lineRule="auto"/>
      </w:pPr>
      <w:r>
        <w:t xml:space="preserve">The remainder of the dissertation proceeds in six chapters. Chapter 2 reviews the two literatures bracketed in section 1.3 in detail. It works through the AMOS operational record on conjunction assessment and maneuver guidelines</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5">
        <w:r>
          <w:rPr>
            <w:rStyle w:val="Hyperlink"/>
          </w:rPr>
          <w:t xml:space="preserve">[5]</w:t>
        </w:r>
      </w:hyperlink>
      <w:r>
        <w:t xml:space="preserve">,</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 the Acta Astronautica strand on capacity management, constellation risk, and the interaction between capacity management and space traffic management</w:t>
      </w:r>
      <w:r>
        <w:t xml:space="preserve"> </w:t>
      </w:r>
      <w:hyperlink w:anchor="ref-6">
        <w:r>
          <w:rPr>
            <w:rStyle w:val="Hyperlink"/>
          </w:rPr>
          <w:t xml:space="preserve">[6]</w:t>
        </w:r>
      </w:hyperlink>
      <w:r>
        <w:t xml:space="preserve">,</w:t>
      </w:r>
      <w:r>
        <w:t xml:space="preserve"> </w:t>
      </w:r>
      <w:hyperlink w:anchor="ref-13">
        <w:r>
          <w:rPr>
            <w:rStyle w:val="Hyperlink"/>
          </w:rPr>
          <w:t xml:space="preserve">[13]</w:t>
        </w:r>
      </w:hyperlink>
      <w:r>
        <w:t xml:space="preserve">,</w:t>
      </w:r>
      <w:r>
        <w:t xml:space="preserve"> </w:t>
      </w:r>
      <w:hyperlink w:anchor="ref-14">
        <w:r>
          <w:rPr>
            <w:rStyle w:val="Hyperlink"/>
          </w:rPr>
          <w:t xml:space="preserve">[14]</w:t>
        </w:r>
      </w:hyperlink>
      <w:r>
        <w:t xml:space="preserve">,</w:t>
      </w:r>
      <w:r>
        <w:t xml:space="preserve"> </w:t>
      </w:r>
      <w:hyperlink w:anchor="ref-15">
        <w:r>
          <w:rPr>
            <w:rStyle w:val="Hyperlink"/>
          </w:rPr>
          <w:t xml:space="preserve">[15]</w:t>
        </w:r>
      </w:hyperlink>
      <w:r>
        <w:t xml:space="preserve">,</w:t>
      </w:r>
      <w:r>
        <w:t xml:space="preserve"> </w:t>
      </w:r>
      <w:hyperlink w:anchor="ref-16">
        <w:r>
          <w:rPr>
            <w:rStyle w:val="Hyperlink"/>
          </w:rPr>
          <w:t xml:space="preserve">[16]</w:t>
        </w:r>
      </w:hyperlink>
      <w:r>
        <w:t xml:space="preserve">,</w:t>
      </w:r>
      <w:r>
        <w:t xml:space="preserve"> </w:t>
      </w:r>
      <w:hyperlink w:anchor="ref-22">
        <w:r>
          <w:rPr>
            <w:rStyle w:val="Hyperlink"/>
          </w:rPr>
          <w:t xml:space="preserve">[22]</w:t>
        </w:r>
      </w:hyperlink>
      <w:r>
        <w:t xml:space="preserve">, the institutional and architectural strand on space traffic management challenges and cislunar architectural solutions</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7">
        <w:r>
          <w:rPr>
            <w:rStyle w:val="Hyperlink"/>
          </w:rPr>
          <w:t xml:space="preserve">[7]</w:t>
        </w:r>
      </w:hyperlink>
      <w:r>
        <w:t xml:space="preserve">, and the space economics strand on orbital carrying capacity and orbital classification</w:t>
      </w:r>
      <w:r>
        <w:t xml:space="preserve"> </w:t>
      </w:r>
      <w:hyperlink w:anchor="ref-8">
        <w:r>
          <w:rPr>
            <w:rStyle w:val="Hyperlink"/>
          </w:rPr>
          <w:t xml:space="preserve">[8]</w:t>
        </w:r>
      </w:hyperlink>
      <w:r>
        <w:t xml:space="preserve">,</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 It then works through the econometric and policy literature on commercial space launch and reentry regulation</w:t>
      </w:r>
      <w:r>
        <w:t xml:space="preserve"> </w:t>
      </w:r>
      <w:hyperlink w:anchor="ref-19">
        <w:r>
          <w:rPr>
            <w:rStyle w:val="Hyperlink"/>
          </w:rPr>
          <w:t xml:space="preserve">[19]</w:t>
        </w:r>
      </w:hyperlink>
      <w:r>
        <w:t xml:space="preserve">, on FAA administrative throughput</w:t>
      </w:r>
      <w:r>
        <w:t xml:space="preserve"> </w:t>
      </w:r>
      <w:hyperlink w:anchor="ref-24">
        <w:r>
          <w:rPr>
            <w:rStyle w:val="Hyperlink"/>
          </w:rPr>
          <w:t xml:space="preserve">[24]</w:t>
        </w:r>
      </w:hyperlink>
      <w:r>
        <w:t xml:space="preserve">, and on the global benchmark series</w:t>
      </w:r>
      <w:r>
        <w:t xml:space="preserve"> </w:t>
      </w:r>
      <w:hyperlink w:anchor="ref-23">
        <w:r>
          <w:rPr>
            <w:rStyle w:val="Hyperlink"/>
          </w:rPr>
          <w:t xml:space="preserve">[23]</w:t>
        </w:r>
      </w:hyperlink>
      <w:r>
        <w:t xml:space="preserve">,</w:t>
      </w:r>
      <w:r>
        <w:t xml:space="preserve"> </w:t>
      </w:r>
      <w:hyperlink w:anchor="ref-25">
        <w:r>
          <w:rPr>
            <w:rStyle w:val="Hyperlink"/>
          </w:rPr>
          <w:t xml:space="preserve">[25]</w:t>
        </w:r>
      </w:hyperlink>
      <w:r>
        <w:t xml:space="preserve">. The chapter closes by stating, in econometric language, the precise estimand that the two literatures have not produced.</w:t>
      </w:r>
    </w:p>
    <w:p>
      <w:pPr>
        <w:pStyle w:val="BodyText"/>
        <w:spacing w:line="480" w:lineRule="auto"/>
        <w:ind w:firstLine="720"/>
      </w:pPr>
      <w:r>
        <w:t xml:space="preserve">Chapter 3 specifies the identification strategy and the estimator. It states the distributed lag specification in section 1.4 with its assumptions, develops the identification argument based on operator fixed effects, calendar time effects, discrete regulatory regime transitions documented in the Congressional Research Service overview</w:t>
      </w:r>
      <w:r>
        <w:t xml:space="preserve"> </w:t>
      </w:r>
      <w:hyperlink w:anchor="ref-19">
        <w:r>
          <w:rPr>
            <w:rStyle w:val="Hyperlink"/>
          </w:rPr>
          <w:t xml:space="preserve">[19]</w:t>
        </w:r>
      </w:hyperlink>
      <w:r>
        <w:t xml:space="preserve">, and queue congestion latency arising from FAA workload unrelated to a given operator’s own demand. It specifies the difference in differences contrast around the 14 CFR Part 450 transition, the survival analysis recast that confirms the latency measure is not an artifact of a particular functional form, and the placebo tests on post launch latency that should carry no pass through.</w:t>
      </w:r>
    </w:p>
    <w:p>
      <w:pPr>
        <w:pStyle w:val="BodyText"/>
        <w:spacing w:line="480" w:lineRule="auto"/>
        <w:ind w:firstLine="720"/>
      </w:pPr>
      <w:r>
        <w:t xml:space="preserve">Chapter 4 describes the data and the joins. The licensing record is drawn from FAA AST public reporting on licenses, permits, and approvals</w:t>
      </w:r>
      <w:r>
        <w:t xml:space="preserve"> </w:t>
      </w:r>
      <w:hyperlink w:anchor="ref-24">
        <w:r>
          <w:rPr>
            <w:rStyle w:val="Hyperlink"/>
          </w:rPr>
          <w:t xml:space="preserve">[24]</w:t>
        </w:r>
      </w:hyperlink>
      <w:r>
        <w:t xml:space="preserve">,</w:t>
      </w:r>
      <w:r>
        <w:t xml:space="preserve"> </w:t>
      </w:r>
      <w:hyperlink w:anchor="ref-27">
        <w:r>
          <w:rPr>
            <w:rStyle w:val="Hyperlink"/>
          </w:rPr>
          <w:t xml:space="preserve">[27]</w:t>
        </w:r>
      </w:hyperlink>
      <w:r>
        <w:t xml:space="preserve">. The catalogued payload series is drawn from the Eighteenth and Nineteenth Space Defense Squadron general perturbations catalogue as accessed through Space Track. The conjunction screening volume proxy is drawn from NASA conjunction assessment program documentation</w:t>
      </w:r>
      <w:r>
        <w:t xml:space="preserve"> </w:t>
      </w:r>
      <w:hyperlink w:anchor="ref-5">
        <w:r>
          <w:rPr>
            <w:rStyle w:val="Hyperlink"/>
          </w:rPr>
          <w:t xml:space="preserve">[5]</w:t>
        </w:r>
      </w:hyperlink>
      <w:r>
        <w:t xml:space="preserve">,</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 The benchmark series are drawn from the United Nations Office for Outer Space Affairs Online Index of Objects Launched into Outer Space and from Jonathan McDowell’s launch statistics</w:t>
      </w:r>
      <w:r>
        <w:t xml:space="preserve"> </w:t>
      </w:r>
      <w:hyperlink w:anchor="ref-23">
        <w:r>
          <w:rPr>
            <w:rStyle w:val="Hyperlink"/>
          </w:rPr>
          <w:t xml:space="preserve">[23]</w:t>
        </w:r>
      </w:hyperlink>
      <w:r>
        <w:t xml:space="preserve">,</w:t>
      </w:r>
      <w:r>
        <w:t xml:space="preserve"> </w:t>
      </w:r>
      <w:hyperlink w:anchor="ref-25">
        <w:r>
          <w:rPr>
            <w:rStyle w:val="Hyperlink"/>
          </w:rPr>
          <w:t xml:space="preserve">[25]</w:t>
        </w:r>
      </w:hyperlink>
      <w:r>
        <w:t xml:space="preserve">. The chapter specifies the join on international designator and launch epoch, the operator by month aggregation, and the orbital regime stratification.</w:t>
      </w:r>
    </w:p>
    <w:p>
      <w:pPr>
        <w:pStyle w:val="BodyText"/>
        <w:spacing w:line="480" w:lineRule="auto"/>
        <w:ind w:firstLine="720"/>
      </w:pPr>
      <w:r>
        <w:t xml:space="preserve">Chapter 5 reports the central estimate of β with its confidence interval, lag structure, and sign, alongside the difference in differences contrast and the survival recast. It reports the placebo tests, the sensitivity of the estimate to the choice of K, and the sensitivity to the orbital regime stratification.</w:t>
      </w:r>
    </w:p>
    <w:p>
      <w:pPr>
        <w:pStyle w:val="BodyText"/>
        <w:spacing w:line="480" w:lineRule="auto"/>
        <w:ind w:firstLine="720"/>
      </w:pPr>
      <w:r>
        <w:t xml:space="preserve">Chapter 6 discusses the threats to validity. It works through reverse causality, attribution of catalogued objects to licensed launches, catalogue and screening non stationarity, and the external validity of the terrestrial low Earth orbit estimand to the cislunar regime</w:t>
      </w:r>
      <w:r>
        <w:t xml:space="preserve"> </w:t>
      </w:r>
      <w:hyperlink w:anchor="ref-3">
        <w:r>
          <w:rPr>
            <w:rStyle w:val="Hyperlink"/>
          </w:rPr>
          <w:t xml:space="preserve">[3]</w:t>
        </w:r>
      </w:hyperlink>
      <w:r>
        <w:t xml:space="preserve">,</w:t>
      </w:r>
      <w:r>
        <w:t xml:space="preserve"> </w:t>
      </w:r>
      <w:hyperlink w:anchor="ref-7">
        <w:r>
          <w:rPr>
            <w:rStyle w:val="Hyperlink"/>
          </w:rPr>
          <w:t xml:space="preserve">[7]</w:t>
        </w:r>
      </w:hyperlink>
      <w:r>
        <w:t xml:space="preserve">,</w:t>
      </w:r>
      <w:r>
        <w:t xml:space="preserve"> </w:t>
      </w:r>
      <w:hyperlink w:anchor="ref-13">
        <w:r>
          <w:rPr>
            <w:rStyle w:val="Hyperlink"/>
          </w:rPr>
          <w:t xml:space="preserve">[13]</w:t>
        </w:r>
      </w:hyperlink>
      <w:r>
        <w:t xml:space="preserve">,</w:t>
      </w:r>
      <w:r>
        <w:t xml:space="preserve"> </w:t>
      </w:r>
      <w:hyperlink w:anchor="ref-14">
        <w:r>
          <w:rPr>
            <w:rStyle w:val="Hyperlink"/>
          </w:rPr>
          <w:t xml:space="preserve">[14]</w:t>
        </w:r>
      </w:hyperlink>
      <w:r>
        <w:t xml:space="preserve">,</w:t>
      </w:r>
      <w:r>
        <w:t xml:space="preserve"> </w:t>
      </w:r>
      <w:hyperlink w:anchor="ref-16">
        <w:r>
          <w:rPr>
            <w:rStyle w:val="Hyperlink"/>
          </w:rPr>
          <w:t xml:space="preserve">[16]</w:t>
        </w:r>
      </w:hyperlink>
      <w:r>
        <w:t xml:space="preserve">. It states what the estimate can and cannot support.</w:t>
      </w:r>
    </w:p>
    <w:p>
      <w:pPr>
        <w:pStyle w:val="BodyText"/>
        <w:spacing w:line="480" w:lineRule="auto"/>
        <w:ind w:firstLine="720"/>
      </w:pPr>
      <w:r>
        <w:t xml:space="preserve">Chapter 7 concludes by stating the operational implications for NASA conjunction assessment capacity planning, the programmatic implications for JPL flight portfolio planning, the institutional implications for the next iteration of 14 CFR Part 450, and the forward research agenda for the cislunar extension of the pass through estimator</w:t>
      </w:r>
      <w:r>
        <w:t xml:space="preserve"> </w:t>
      </w:r>
      <w:hyperlink w:anchor="ref-3">
        <w:r>
          <w:rPr>
            <w:rStyle w:val="Hyperlink"/>
          </w:rPr>
          <w:t xml:space="preserve">[3]</w:t>
        </w:r>
      </w:hyperlink>
      <w:r>
        <w:t xml:space="preserve">,</w:t>
      </w:r>
      <w:r>
        <w:t xml:space="preserve"> </w:t>
      </w:r>
      <w:hyperlink w:anchor="ref-7">
        <w:r>
          <w:rPr>
            <w:rStyle w:val="Hyperlink"/>
          </w:rPr>
          <w:t xml:space="preserve">[7]</w:t>
        </w:r>
      </w:hyperlink>
      <w:r>
        <w:t xml:space="preserve">. It returns to the falsifiability commitment in section 1.4 and reports whether H0 was rejected, sustained, or estimated with insufficient precision to adjudicate.</w:t>
      </w:r>
    </w:p>
    <w:p>
      <w:pPr>
        <w:pStyle w:val="BodyText"/>
        <w:spacing w:line="480" w:lineRule="auto"/>
        <w:ind w:firstLine="720"/>
      </w:pPr>
      <w:r>
        <w:t xml:space="preserve">The contribution is a single coefficient. The chapters that follow earn the right to state it.</w:t>
      </w:r>
    </w:p>
    <w:bookmarkEnd w:id="65"/>
    <w:bookmarkEnd w:id="66"/>
    <w:bookmarkStart w:id="73" w:name="chapter-2.-literature-review"/>
    <w:p>
      <w:pPr>
        <w:pStyle w:val="Heading1"/>
        <w:spacing w:line="480" w:lineRule="auto"/>
      </w:pPr>
      <w:r>
        <w:t xml:space="preserve">Chapter 2. Literature Review</w:t>
      </w:r>
    </w:p>
    <w:bookmarkStart w:id="67" w:name="orientation"/>
    <w:p>
      <w:pPr>
        <w:pStyle w:val="Heading2"/>
        <w:spacing w:line="480" w:lineRule="auto"/>
      </w:pPr>
      <w:r>
        <w:t xml:space="preserve">2.1 Orientation</w:t>
      </w:r>
    </w:p>
    <w:p>
      <w:pPr>
        <w:pStyle w:val="FirstParagraph"/>
        <w:spacing w:line="480" w:lineRule="auto"/>
      </w:pPr>
      <w:r>
        <w:t xml:space="preserve">The dissertation occupies an empty cell between two mature but mutually unaware literatures. The first is the technical and operational scholarship on space traffic management (STM), conjunction assessment, debris dynamics, and the engineering of large constellations; this body of work treats the orbital population, and the screening workload it imposes, as inputs that operators and analysts must accommodate. The second is the cliometric and applied-econometric methodology that estimates pass-through coefficients from administrative inputs to downstream outcomes using panel fixed-effects designs, distributed-lag specifications, instrumented difference-in-differences, and survival models. The technical literature does not estimate causal pass-through from regulation to demand; the methodological literature has not been brought to bear on launch licensing as a tap on the pipe that fills the catalogue. The purpose of this chapter is to characterize each strand on its own terms, identify the seam where they fail to meet, and motivate the panel, distributed-lag, and survival specifications developed in Chapters 3 through 5.</w:t>
      </w:r>
    </w:p>
    <w:p>
      <w:pPr>
        <w:pStyle w:val="BodyText"/>
        <w:spacing w:line="480" w:lineRule="auto"/>
        <w:ind w:firstLine="720"/>
      </w:pPr>
      <w:r>
        <w:t xml:space="preserve">The review proceeds in four movements. Section 2.2 surveys the STM operations and conjunction-assessment literature, with emphasis on how the demand side is modeled, or rather assumed. Section 2.3 surveys the constellation-risk and space-safety literature in Acta Astronautica, which moves closer to a quantitative treatment of population dynamics but stops short of the regulatory pipeline. Section 2.4 surveys the orbital carrying-capacity, capacity-management, and space-economics literature, which begins to formalize the orbit as a managed resource but does not reach upstream to the licensing instrument. Section 2.5 turns to the methodology literature: cliometrics, the duration and survival tradition, distributed-lag and difference-in-differences identification, and the regulatory-throughput literature in the broader administrative-state scholarship. Section 2.6 synthesizes the gap and states the integrative claim that organizes the empirical chapters. Throughout, references are restricted to the shared pool and cited by number only.</w:t>
      </w:r>
    </w:p>
    <w:bookmarkEnd w:id="67"/>
    <w:bookmarkStart w:id="68" w:name="X665f19dc8dc8bc464cd781281fdf1c1f0c1c0be"/>
    <w:p>
      <w:pPr>
        <w:pStyle w:val="Heading2"/>
        <w:spacing w:line="480" w:lineRule="auto"/>
      </w:pPr>
      <w:r>
        <w:t xml:space="preserve">2.2 The STM Operations and Conjunction-Assessment Literature</w:t>
      </w:r>
    </w:p>
    <w:p>
      <w:pPr>
        <w:pStyle w:val="FirstParagraph"/>
        <w:spacing w:line="480" w:lineRule="auto"/>
      </w:pPr>
      <w:r>
        <w:t xml:space="preserve">The operational STM literature, much of it published through the Advanced Maui Optical and Space Surveillance Technologies (AMOS) conference proceedings, has organized its scholarship around a defining premise: the resident space object (RSO) population is an exogenous input that must be screened, characterized, and, where necessary, maneuvered around. The foundational concept-of-operations statement for NASA’s robotic conjunction assessment program articulated this premise explicitly: the program’s mandate was to manage the screening of a growing catalogue against operator missions, not to question the upstream rate at which that catalogue grew</w:t>
      </w:r>
      <w:r>
        <w:t xml:space="preserve"> </w:t>
      </w:r>
      <w:hyperlink w:anchor="ref-5">
        <w:r>
          <w:rPr>
            <w:rStyle w:val="Hyperlink"/>
          </w:rPr>
          <w:t xml:space="preserve">[5]</w:t>
        </w:r>
      </w:hyperlink>
      <w:r>
        <w:t xml:space="preserve">. The subsequent decade of refinement, culminating in compendia for artificial-intelligence and machine-learning applications to collision avoidance, has preserved that framing while sharpening the analytical machinery</w:t>
      </w:r>
      <w:r>
        <w:t xml:space="preserve"> </w:t>
      </w:r>
      <w:hyperlink w:anchor="ref-9">
        <w:r>
          <w:rPr>
            <w:rStyle w:val="Hyperlink"/>
          </w:rPr>
          <w:t xml:space="preserve">[9]</w:t>
        </w:r>
      </w:hyperlink>
      <w:r>
        <w:t xml:space="preserve">. Stochastic and probabilistic methods for drag modeling and conjunction assessment, including the novel unscented-transform approach to probabilistic drag, have extended the precision with which screening can be performed, but they accept the catalogue as given</w:t>
      </w:r>
      <w:r>
        <w:t xml:space="preserve"> </w:t>
      </w:r>
      <w:hyperlink w:anchor="ref-10">
        <w:r>
          <w:rPr>
            <w:rStyle w:val="Hyperlink"/>
          </w:rPr>
          <w:t xml:space="preserve">[10]</w:t>
        </w:r>
      </w:hyperlink>
      <w:r>
        <w:t xml:space="preserve">. The downstream-only framing is structural; it follows from the operational responsibilities of the institutions that produce the work.</w:t>
      </w:r>
    </w:p>
    <w:p>
      <w:pPr>
        <w:pStyle w:val="BodyText"/>
        <w:spacing w:line="480" w:lineRule="auto"/>
        <w:ind w:firstLine="720"/>
      </w:pPr>
      <w:r>
        <w:t xml:space="preserve">The maneuver-guidelines literature, exemplified by the AMOS investigation into potential collision-maneuver guidelines for future STM, has similarly treated the demand for maneuvering as an emergent property of the population</w:t>
      </w:r>
      <w:r>
        <w:t xml:space="preserve"> </w:t>
      </w:r>
      <w:hyperlink w:anchor="ref-1">
        <w:r>
          <w:rPr>
            <w:rStyle w:val="Hyperlink"/>
          </w:rPr>
          <w:t xml:space="preserve">[1]</w:t>
        </w:r>
      </w:hyperlink>
      <w:r>
        <w:t xml:space="preserve">. The geometry-sensitivity studies of recently maneuvered satellites, important for inferring intent and for reducing false-positive conjunction warnings, operate downstream of the question of how many satellites there will be to monitor</w:t>
      </w:r>
      <w:r>
        <w:t xml:space="preserve"> </w:t>
      </w:r>
      <w:hyperlink w:anchor="ref-2">
        <w:r>
          <w:rPr>
            <w:rStyle w:val="Hyperlink"/>
          </w:rPr>
          <w:t xml:space="preserve">[2]</w:t>
        </w:r>
      </w:hyperlink>
      <w:r>
        <w:t xml:space="preserve">. This is not a defect of these studies; it is a feature of their question. They are concerned with what to do once the catalogue is what it is.</w:t>
      </w:r>
    </w:p>
    <w:p>
      <w:pPr>
        <w:pStyle w:val="BodyText"/>
        <w:spacing w:line="480" w:lineRule="auto"/>
        <w:ind w:firstLine="720"/>
      </w:pPr>
      <w:r>
        <w:t xml:space="preserve">A small but important subset of the operational literature has begun to articulate STM as a system-level discipline whose challenges are institutional and organizational, not merely analytical. The Booz Allen treatment of STM challenges, presented at AMOS in 2023, surveys the institutional landscape in which a civil STM function must operate, including the handoff from the Department of Defense to the Department of Commerce envisioned under Space Policy Directive-3</w:t>
      </w:r>
      <w:r>
        <w:t xml:space="preserve"> </w:t>
      </w:r>
      <w:hyperlink w:anchor="ref-4">
        <w:r>
          <w:rPr>
            <w:rStyle w:val="Hyperlink"/>
          </w:rPr>
          <w:t xml:space="preserve">[4]</w:t>
        </w:r>
      </w:hyperlink>
      <w:r>
        <w:t xml:space="preserve">[37]. The system-of-systems treatment of future STM autonomy and policy co-design pushes further, recognizing that the policy interface and the technical architecture must be designed jointly if the system is to remain tractable as traffic grows</w:t>
      </w:r>
      <w:r>
        <w:t xml:space="preserve"> </w:t>
      </w:r>
      <w:hyperlink w:anchor="ref-41">
        <w:r>
          <w:rPr>
            <w:rStyle w:val="Hyperlink"/>
          </w:rPr>
          <w:t xml:space="preserve">[41]</w:t>
        </w:r>
      </w:hyperlink>
      <w:r>
        <w:t xml:space="preserve">. The conceptual development of a civil space traffic management capability by The Aerospace Corporation provides an architectural framing for the United States civil STM function that has informed subsequent program design</w:t>
      </w:r>
      <w:r>
        <w:t xml:space="preserve"> </w:t>
      </w:r>
      <w:hyperlink w:anchor="ref-36">
        <w:r>
          <w:rPr>
            <w:rStyle w:val="Hyperlink"/>
          </w:rPr>
          <w:t xml:space="preserve">[36]</w:t>
        </w:r>
      </w:hyperlink>
      <w:r>
        <w:t xml:space="preserve">. These contributions are institutionally important and analytically careful, yet none of them estimates a causal coefficient linking an upstream regulatory variable to a downstream operational quantity. They describe and prescribe; they do not estimate.</w:t>
      </w:r>
    </w:p>
    <w:p>
      <w:pPr>
        <w:pStyle w:val="BodyText"/>
        <w:spacing w:line="480" w:lineRule="auto"/>
        <w:ind w:firstLine="720"/>
      </w:pPr>
      <w:r>
        <w:t xml:space="preserve">The literature on civil space situational awareness (SSA) provides a parallel descriptive layer. Lal and Carioscia’s evaluation of options for civil SSA assesses architectures, governance models, and data-sharing regimes, and locates the question within the broader institutional context of how the United States chooses to organize its sensor and analytic capacity</w:t>
      </w:r>
      <w:r>
        <w:t xml:space="preserve"> </w:t>
      </w:r>
      <w:hyperlink w:anchor="ref-35">
        <w:r>
          <w:rPr>
            <w:rStyle w:val="Hyperlink"/>
          </w:rPr>
          <w:t xml:space="preserve">[35]</w:t>
        </w:r>
      </w:hyperlink>
      <w:r>
        <w:t xml:space="preserve">. The downstream framing is again structural: the SSA system exists to observe the population, and the analytical question is how to organize that observation well, not how to govern the rate at which the population accretes.</w:t>
      </w:r>
    </w:p>
    <w:p>
      <w:pPr>
        <w:pStyle w:val="BodyText"/>
        <w:spacing w:line="480" w:lineRule="auto"/>
        <w:ind w:firstLine="720"/>
      </w:pPr>
      <w:r>
        <w:t xml:space="preserve">The cislunar extension of the STM literature is the most recent and least settled. The AMOS treatment of architectural solutions for lunar STM proposes governance and technical frameworks for an environment in which the catalogue does not yet exist as a populated census, and where the operational machinery built for low Earth orbit (LEO) does not transfer cleanly</w:t>
      </w:r>
      <w:r>
        <w:t xml:space="preserve"> </w:t>
      </w:r>
      <w:hyperlink w:anchor="ref-3">
        <w:r>
          <w:rPr>
            <w:rStyle w:val="Hyperlink"/>
          </w:rPr>
          <w:t xml:space="preserve">[3]</w:t>
        </w:r>
      </w:hyperlink>
      <w:r>
        <w:t xml:space="preserve">. The Acta Astronautica synthesis on Moon-to-Mars challenges and strategic frameworks for STM in cislunar and cismartian environments, with a multi-author international team, similarly emphasizes architectural and governance design under deep uncertainty</w:t>
      </w:r>
      <w:r>
        <w:t xml:space="preserve"> </w:t>
      </w:r>
      <w:hyperlink w:anchor="ref-7">
        <w:r>
          <w:rPr>
            <w:rStyle w:val="Hyperlink"/>
          </w:rPr>
          <w:t xml:space="preserve">[7]</w:t>
        </w:r>
      </w:hyperlink>
      <w:r>
        <w:t xml:space="preserve">[45]. The cislunar literature is at the stage of asking what the system should look like before it asks how it should be paced; the absence of an estimated pacing relationship for LEO is therefore reproduced, at one remove, in the cislunar discussion. The dissertation’s argument that getting the terrestrial-LEO pass-through right is the precondition for any defensible cislunar projection inherits directly from this state of the literature.</w:t>
      </w:r>
    </w:p>
    <w:p>
      <w:pPr>
        <w:pStyle w:val="BodyText"/>
        <w:spacing w:line="480" w:lineRule="auto"/>
        <w:ind w:firstLine="720"/>
      </w:pPr>
      <w:r>
        <w:t xml:space="preserve">A complementary strand examines the launch-system end of the pipeline. The conceptual framework for a rapid space-launch capability articulates the supply-side mechanisms by which launch cadence can be accelerated through architectural choices about vehicle responsiveness and pad turnaround</w:t>
      </w:r>
      <w:r>
        <w:t xml:space="preserve"> </w:t>
      </w:r>
      <w:hyperlink w:anchor="ref-38">
        <w:r>
          <w:rPr>
            <w:rStyle w:val="Hyperlink"/>
          </w:rPr>
          <w:t xml:space="preserve">[38]</w:t>
        </w:r>
      </w:hyperlink>
      <w:r>
        <w:t xml:space="preserve">. Shockley and Bettinger’s analysis of the policy and geopolitical implications of launch-on-demand capabilities makes the explicit connection between launch responsiveness and broader strategic posture</w:t>
      </w:r>
      <w:r>
        <w:t xml:space="preserve"> </w:t>
      </w:r>
      <w:hyperlink w:anchor="ref-34">
        <w:r>
          <w:rPr>
            <w:rStyle w:val="Hyperlink"/>
          </w:rPr>
          <w:t xml:space="preserve">[34]</w:t>
        </w:r>
      </w:hyperlink>
      <w:r>
        <w:t xml:space="preserve">. Goehring’s analysis of the United States commercial space regulatory structure, framed as the rule of three across FAA AST, the Federal Communications Commission, and the National Oceanic and Atmospheric Administration, identifies the licensing surfaces through which a commercial launch must pass</w:t>
      </w:r>
      <w:r>
        <w:t xml:space="preserve"> </w:t>
      </w:r>
      <w:hyperlink w:anchor="ref-39">
        <w:r>
          <w:rPr>
            <w:rStyle w:val="Hyperlink"/>
          </w:rPr>
          <w:t xml:space="preserve">[39]</w:t>
        </w:r>
      </w:hyperlink>
      <w:r>
        <w:t xml:space="preserve">. Each of these treatments confirms that the licensing instrument is in principle a control surface; none estimates the magnitude of its effect on downstream demand.</w:t>
      </w:r>
    </w:p>
    <w:p>
      <w:pPr>
        <w:pStyle w:val="BodyText"/>
        <w:spacing w:line="480" w:lineRule="auto"/>
        <w:ind w:firstLine="720"/>
      </w:pPr>
      <w:r>
        <w:t xml:space="preserve">The cumulative reading of the STM and SSA literature is therefore consistent and constraining. The literature is sophisticated, institutionally aware, and analytically careful, but its unit of analysis stops at the screening interface. The flow of catalogued objects across that interface is taken as given. The licensing instrument that legally precedes every United States commercial launch, and that empirically appears, in the descriptive panel reported in Paper 1, to co-move tightly with payload placement, is acknowledged in passing where it is acknowledged at all.</w:t>
      </w:r>
    </w:p>
    <w:bookmarkEnd w:id="68"/>
    <w:bookmarkStart w:id="69" w:name="X02d8481ad7960d8acaf1e1754c26b6cd8eaac68"/>
    <w:p>
      <w:pPr>
        <w:pStyle w:val="Heading2"/>
        <w:spacing w:line="480" w:lineRule="auto"/>
      </w:pPr>
      <w:r>
        <w:t xml:space="preserve">2.3 The Constellation-Risk and Space-Safety Literature</w:t>
      </w:r>
    </w:p>
    <w:p>
      <w:pPr>
        <w:pStyle w:val="FirstParagraph"/>
        <w:spacing w:line="480" w:lineRule="auto"/>
      </w:pPr>
      <w:r>
        <w:t xml:space="preserve">The Acta Astronautica literature on collision risk and space safety supplies a quantitative bridge from operational screening to population dynamics. Pardini and Anselmo’s reassessment of collision risk for the Iridium and COSMO-SkyMed constellations against the catalogued background population provided an early demonstration that constellation-level risk is sensitive to deployment posture, not merely to the count of catalogued objects</w:t>
      </w:r>
      <w:r>
        <w:t xml:space="preserve"> </w:t>
      </w:r>
      <w:hyperlink w:anchor="ref-15">
        <w:r>
          <w:rPr>
            <w:rStyle w:val="Hyperlink"/>
          </w:rPr>
          <w:t xml:space="preserve">[15]</w:t>
        </w:r>
      </w:hyperlink>
      <w:r>
        <w:t xml:space="preserve">. Lucken and Giolito extended this approach to the design problem itself, deriving collision-risk predictions that could inform constellation architecture before deployment</w:t>
      </w:r>
      <w:r>
        <w:t xml:space="preserve"> </w:t>
      </w:r>
      <w:hyperlink w:anchor="ref-14">
        <w:r>
          <w:rPr>
            <w:rStyle w:val="Hyperlink"/>
          </w:rPr>
          <w:t xml:space="preserve">[14]</w:t>
        </w:r>
      </w:hyperlink>
      <w:r>
        <w:t xml:space="preserve">. Rossi, Petit, and McKnight, writing as the LEO constellation wave was beginning to crest, developed short-term space-safety analyses that explicitly accommodated the cluster geometries that mega-constellations imposed</w:t>
      </w:r>
      <w:r>
        <w:t xml:space="preserve"> </w:t>
      </w:r>
      <w:hyperlink w:anchor="ref-13">
        <w:r>
          <w:rPr>
            <w:rStyle w:val="Hyperlink"/>
          </w:rPr>
          <w:t xml:space="preserve">[13]</w:t>
        </w:r>
      </w:hyperlink>
      <w:r>
        <w:t xml:space="preserve">. These contributions established the methodological vocabulary by which the safety community now reasons about constellation-induced risk.</w:t>
      </w:r>
    </w:p>
    <w:p>
      <w:pPr>
        <w:pStyle w:val="BodyText"/>
        <w:spacing w:line="480" w:lineRule="auto"/>
        <w:ind w:firstLine="720"/>
      </w:pPr>
      <w:r>
        <w:t xml:space="preserve">The literature has since matured to address future-traffic regimes. Rossi and colleagues’ treatment of future activities in near-Earth space in the face of ever-increasing traffic projects population trajectories under operational and policy scenarios and characterizes the resulting risk envelopes</w:t>
      </w:r>
      <w:r>
        <w:t xml:space="preserve"> </w:t>
      </w:r>
      <w:hyperlink w:anchor="ref-22">
        <w:r>
          <w:rPr>
            <w:rStyle w:val="Hyperlink"/>
          </w:rPr>
          <w:t xml:space="preserve">[22]</w:t>
        </w:r>
      </w:hyperlink>
      <w:r>
        <w:t xml:space="preserve">. Pardini and Anselmo’s broader evaluation of the impact of space activities in low Earth orbit consolidates the long-run perspective and ties the analysis to the carrying-capacity discussion that this review takes up in Section 2.4</w:t>
      </w:r>
      <w:r>
        <w:t xml:space="preserve"> </w:t>
      </w:r>
      <w:hyperlink w:anchor="ref-18">
        <w:r>
          <w:rPr>
            <w:rStyle w:val="Hyperlink"/>
          </w:rPr>
          <w:t xml:space="preserve">[18]</w:t>
        </w:r>
      </w:hyperlink>
      <w:r>
        <w:t xml:space="preserve">. D’Anniballe, Felicetti, and Hobbs add an instrumentation-side perspective by analyzing the preliminary design of an optical surveillance and tracking constellation for LEO coverage, showing how the sensor side of the system must scale with the population it observes</w:t>
      </w:r>
      <w:r>
        <w:t xml:space="preserve"> </w:t>
      </w:r>
      <w:hyperlink w:anchor="ref-16">
        <w:r>
          <w:rPr>
            <w:rStyle w:val="Hyperlink"/>
          </w:rPr>
          <w:t xml:space="preserve">[16]</w:t>
        </w:r>
      </w:hyperlink>
      <w:r>
        <w:t xml:space="preserve">. Di Pasquale and colleagues’ multi-disciplinary optimization of constellation deployment strategies provides the deployment-side counterpart, modeling how operators trade off cadence, capacity, and orbital allocation when planning deployment campaigns</w:t>
      </w:r>
      <w:r>
        <w:t xml:space="preserve"> </w:t>
      </w:r>
      <w:hyperlink w:anchor="ref-20">
        <w:r>
          <w:rPr>
            <w:rStyle w:val="Hyperlink"/>
          </w:rPr>
          <w:t xml:space="preserve">[20]</w:t>
        </w:r>
      </w:hyperlink>
      <w:r>
        <w:t xml:space="preserve">.</w:t>
      </w:r>
    </w:p>
    <w:p>
      <w:pPr>
        <w:pStyle w:val="BodyText"/>
        <w:spacing w:line="480" w:lineRule="auto"/>
        <w:ind w:firstLine="720"/>
      </w:pPr>
      <w:r>
        <w:t xml:space="preserve">The access-to-orbit literature is closely adjacent. Barato and colleagues’ investigation of different strategies for access to space of small satellites enumerates the supply-side vehicles and rideshare configurations by which the small-satellite population reaches orbit, and provides a key descriptive baseline for understanding the rideshare economics that dominate United States launch manifests</w:t>
      </w:r>
      <w:r>
        <w:t xml:space="preserve"> </w:t>
      </w:r>
      <w:hyperlink w:anchor="ref-21">
        <w:r>
          <w:rPr>
            <w:rStyle w:val="Hyperlink"/>
          </w:rPr>
          <w:t xml:space="preserve">[21]</w:t>
        </w:r>
      </w:hyperlink>
      <w:r>
        <w:t xml:space="preserve">. The miniaturized-spacecraft literature, including the survey by Uludağ and Aslan on femto- and atto-satellite missions, signals that the population pressure is intensifying along an additional axis as object counts can rise rapidly without proportionate mass</w:t>
      </w:r>
      <w:r>
        <w:t xml:space="preserve"> </w:t>
      </w:r>
      <w:hyperlink w:anchor="ref-42">
        <w:r>
          <w:rPr>
            <w:rStyle w:val="Hyperlink"/>
          </w:rPr>
          <w:t xml:space="preserve">[42]</w:t>
        </w:r>
      </w:hyperlink>
      <w:r>
        <w:t xml:space="preserve">. Constellation-architecture studies for messaging services and broadband, including the CubeSat constellation work by Osipova and colleagues and the LEO broadband power-profiling work by Martínez Zamacola and colleagues, fill in the demand-side picture by showing what the constellations are for and how aggressively their operators are scaling</w:t>
      </w:r>
      <w:r>
        <w:t xml:space="preserve"> </w:t>
      </w:r>
      <w:hyperlink w:anchor="ref-48">
        <w:r>
          <w:rPr>
            <w:rStyle w:val="Hyperlink"/>
          </w:rPr>
          <w:t xml:space="preserve">[48]</w:t>
        </w:r>
      </w:hyperlink>
      <w:r>
        <w:t xml:space="preserve">[49]. The CSIS analysis of the LEO broadband competition by Young and Thadani anchors this in the geostrategic frame that drives operator demand</w:t>
      </w:r>
      <w:r>
        <w:t xml:space="preserve"> </w:t>
      </w:r>
      <w:hyperlink w:anchor="ref-40">
        <w:r>
          <w:rPr>
            <w:rStyle w:val="Hyperlink"/>
          </w:rPr>
          <w:t xml:space="preserve">[40]</w:t>
        </w:r>
      </w:hyperlink>
      <w:r>
        <w:t xml:space="preserve">.</w:t>
      </w:r>
    </w:p>
    <w:p>
      <w:pPr>
        <w:pStyle w:val="BodyText"/>
        <w:spacing w:line="480" w:lineRule="auto"/>
        <w:ind w:firstLine="720"/>
      </w:pPr>
      <w:r>
        <w:t xml:space="preserve">Two additional Acta Astronautica contributions sharpen the technical context. Fusaro and colleagues’ NOx emissions methodology for air-breathing reusable access-to-space vehicles makes explicit that the launch system itself imposes externalities that policy and licensing must accommodate</w:t>
      </w:r>
      <w:r>
        <w:t xml:space="preserve"> </w:t>
      </w:r>
      <w:hyperlink w:anchor="ref-43">
        <w:r>
          <w:rPr>
            <w:rStyle w:val="Hyperlink"/>
          </w:rPr>
          <w:t xml:space="preserve">[43]</w:t>
        </w:r>
      </w:hyperlink>
      <w:r>
        <w:t xml:space="preserve">. Jehn and Dreyer’s design methodology for flat-slab lunar landing and launch pad systems brings the supply-side argument into the lunar regime, foreshadowing the cislunar pipeline that the dissertation flags as the forward agenda</w:t>
      </w:r>
      <w:r>
        <w:t xml:space="preserve"> </w:t>
      </w:r>
      <w:hyperlink w:anchor="ref-44">
        <w:r>
          <w:rPr>
            <w:rStyle w:val="Hyperlink"/>
          </w:rPr>
          <w:t xml:space="preserve">[44]</w:t>
        </w:r>
      </w:hyperlink>
      <w:r>
        <w:t xml:space="preserve">. Khoufi, Minet, and R’Mili’s treatment of beacon advertising for space launch vehicles addresses the communications layer that underlies the rapid-cadence environment</w:t>
      </w:r>
      <w:r>
        <w:t xml:space="preserve"> </w:t>
      </w:r>
      <w:hyperlink w:anchor="ref-46">
        <w:r>
          <w:rPr>
            <w:rStyle w:val="Hyperlink"/>
          </w:rPr>
          <w:t xml:space="preserve">[46]</w:t>
        </w:r>
      </w:hyperlink>
      <w:r>
        <w:t xml:space="preserve">. David and colleagues’ incentive-based mechanism for multi-stakeholder collaboration on space sustainability provides one of the few methodologically explicit attempts in the Acta literature to mobilize economic instruments toward sustainability outcomes, and is read here as a methodological cousin to the pass-through estimation the dissertation proposes</w:t>
      </w:r>
      <w:r>
        <w:t xml:space="preserve"> </w:t>
      </w:r>
      <w:hyperlink w:anchor="ref-47">
        <w:r>
          <w:rPr>
            <w:rStyle w:val="Hyperlink"/>
          </w:rPr>
          <w:t xml:space="preserve">[47]</w:t>
        </w:r>
      </w:hyperlink>
      <w:r>
        <w:t xml:space="preserve">.</w:t>
      </w:r>
    </w:p>
    <w:p>
      <w:pPr>
        <w:pStyle w:val="BodyText"/>
        <w:spacing w:line="480" w:lineRule="auto"/>
        <w:ind w:firstLine="720"/>
      </w:pPr>
      <w:r>
        <w:t xml:space="preserve">The constellation-risk and access-to-orbit literature is therefore richer and more methodologically explicit about population dynamics than the operations literature, but it preserves the same upstream silence. Deployment is modeled as an operator decision constrained by engineering, market, and orbital factors; the regulatory instrument that converts a planned deployment into a licensed one rarely appears as an explicit covariate, and never, in the retrieved corpus, as the estimand of a causal study.</w:t>
      </w:r>
    </w:p>
    <w:bookmarkEnd w:id="69"/>
    <w:bookmarkStart w:id="70" w:name="X23bb87bc5b83e19328f0778c6ec69c8fbb2f501"/>
    <w:p>
      <w:pPr>
        <w:pStyle w:val="Heading2"/>
        <w:spacing w:line="480" w:lineRule="auto"/>
      </w:pPr>
      <w:r>
        <w:t xml:space="preserve">2.4 The Orbital Carrying-Capacity and Space-Economics Literature</w:t>
      </w:r>
    </w:p>
    <w:p>
      <w:pPr>
        <w:pStyle w:val="FirstParagraph"/>
        <w:spacing w:line="480" w:lineRule="auto"/>
      </w:pPr>
      <w:r>
        <w:t xml:space="preserve">The orbital carrying-capacity literature is the strand that has come closest to articulating the orbit as a managed economic resource. Stilwell and colleagues’ orbital capacity work, drawn from the International Astronautical Congress and the ASCEND program, formalizes the orbit as a shared resource with finite capacity that can be measured, classified, and managed</w:t>
      </w:r>
      <w:r>
        <w:t xml:space="preserve"> </w:t>
      </w:r>
      <w:hyperlink w:anchor="ref-11">
        <w:r>
          <w:rPr>
            <w:rStyle w:val="Hyperlink"/>
          </w:rPr>
          <w:t xml:space="preserve">[11]</w:t>
        </w:r>
      </w:hyperlink>
      <w:r>
        <w:t xml:space="preserve">[12]. Colombo and colleagues’ treatment of space capacity management and its interaction with STM brings the capacity-management framework explicitly into dialogue with the operational STM function, showing that the two are coupled and that the policy levers on capacity have implications for the screening workload that STM must absorb</w:t>
      </w:r>
      <w:r>
        <w:t xml:space="preserve"> </w:t>
      </w:r>
      <w:hyperlink w:anchor="ref-6">
        <w:r>
          <w:rPr>
            <w:rStyle w:val="Hyperlink"/>
          </w:rPr>
          <w:t xml:space="preserve">[6]</w:t>
        </w:r>
      </w:hyperlink>
      <w:r>
        <w:t xml:space="preserve">[17]. This is the literature that, in spirit, is closest to the dissertation’s question; it identifies the orbit as a system whose loading is policy-relevant, and it understands that the loading rate is governed by something more than aggregate demand.</w:t>
      </w:r>
    </w:p>
    <w:p>
      <w:pPr>
        <w:pStyle w:val="BodyText"/>
        <w:spacing w:line="480" w:lineRule="auto"/>
        <w:ind w:firstLine="720"/>
      </w:pPr>
      <w:r>
        <w:t xml:space="preserve">The space-economy and economic-analysis strand provides the macro framing. The Office of Commercial and Economic Analysis source document on forecasting the space economy treats the launch and payload-placement series as outputs of a market system, with regulatory streamlining identified as a contributing but secondary factor relative to launch-cost reductions and commercial innovation</w:t>
      </w:r>
      <w:r>
        <w:t xml:space="preserve"> </w:t>
      </w:r>
      <w:hyperlink w:anchor="ref-26">
        <w:r>
          <w:rPr>
            <w:rStyle w:val="Hyperlink"/>
          </w:rPr>
          <w:t xml:space="preserve">[26]</w:t>
        </w:r>
      </w:hyperlink>
      <w:r>
        <w:t xml:space="preserve">. The role-of-space synthesis on sustainability, security, and development locates space activity within a broader political-economic frame and argues for an integrated treatment of the upstream determinants of activity</w:t>
      </w:r>
      <w:r>
        <w:t xml:space="preserve"> </w:t>
      </w:r>
      <w:hyperlink w:anchor="ref-8">
        <w:r>
          <w:rPr>
            <w:rStyle w:val="Hyperlink"/>
          </w:rPr>
          <w:t xml:space="preserve">[8]</w:t>
        </w:r>
      </w:hyperlink>
      <w:r>
        <w:t xml:space="preserve">. These contributions do not estimate pass-through coefficients, but they articulate, at the level of policy theory, the conceptual claim that upstream administrative variables matter for downstream orbital outcomes.</w:t>
      </w:r>
    </w:p>
    <w:p>
      <w:pPr>
        <w:pStyle w:val="BodyText"/>
        <w:spacing w:line="480" w:lineRule="auto"/>
        <w:ind w:firstLine="720"/>
      </w:pPr>
      <w:r>
        <w:t xml:space="preserve">The Congressional Research Service overview of commercial space launch and reentry regulations supplies the institutional and regulatory detail that any empirical study of FAA AST throughput must use to define its variables. The report identifies the migration toward performance-based licensing under 14 CFR Part 450 as the central rulemaking change of the recent period and characterizes the operational consequences for licensees</w:t>
      </w:r>
      <w:r>
        <w:t xml:space="preserve"> </w:t>
      </w:r>
      <w:hyperlink w:anchor="ref-19">
        <w:r>
          <w:rPr>
            <w:rStyle w:val="Hyperlink"/>
          </w:rPr>
          <w:t xml:space="preserve">[19]</w:t>
        </w:r>
      </w:hyperlink>
      <w:r>
        <w:t xml:space="preserve">. The FAA’s own reporting on the new record for licensed commercial space operations confirms the magnitude of the throughput change</w:t>
      </w:r>
      <w:r>
        <w:t xml:space="preserve"> </w:t>
      </w:r>
      <w:hyperlink w:anchor="ref-24">
        <w:r>
          <w:rPr>
            <w:rStyle w:val="Hyperlink"/>
          </w:rPr>
          <w:t xml:space="preserve">[24]</w:t>
        </w:r>
      </w:hyperlink>
      <w:r>
        <w:t xml:space="preserve">. McDowell’s launch and payload statistics provide the independent count series against which the United States record can be benchmarked internationally</w:t>
      </w:r>
      <w:r>
        <w:t xml:space="preserve"> </w:t>
      </w:r>
      <w:hyperlink w:anchor="ref-25">
        <w:r>
          <w:rPr>
            <w:rStyle w:val="Hyperlink"/>
          </w:rPr>
          <w:t xml:space="preserve">[25]</w:t>
        </w:r>
      </w:hyperlink>
      <w:r>
        <w:t xml:space="preserve">. United Nations Office for Outer Space Affairs (UNOOSA) data, as compiled by Our World in Data, supply the world payload-placement totals required to construct the rest-of-world counterfactual used in Paper 1</w:t>
      </w:r>
      <w:r>
        <w:t xml:space="preserve"> </w:t>
      </w:r>
      <w:hyperlink w:anchor="ref-23">
        <w:r>
          <w:rPr>
            <w:rStyle w:val="Hyperlink"/>
          </w:rPr>
          <w:t xml:space="preserve">[23]</w:t>
        </w:r>
      </w:hyperlink>
      <w:r>
        <w:t xml:space="preserve">. The license-level public record, including the FAA AST stakeholder-engagement pages, the SpaceX Falcon program license records, and the contemporaneous trade-press reporting on individual license issuances for Falcon Heavy, LauncherOne, Starship, Astra, New Glenn, Terran 1, and Rocket Lab’s Launch Complex 2 operations, provide the per-vehicle license-date information from which the survival analysis in Paper 2 is constructed</w:t>
      </w:r>
      <w:r>
        <w:t xml:space="preserve"> </w:t>
      </w:r>
      <w:hyperlink w:anchor="ref-27">
        <w:r>
          <w:rPr>
            <w:rStyle w:val="Hyperlink"/>
          </w:rPr>
          <w:t xml:space="preserve">[27]</w:t>
        </w:r>
      </w:hyperlink>
      <w:r>
        <w:t xml:space="preserve">[28][29][30][31][32][33]. The licensing literature, in short, is documentary rather than estimative; it tells us what the regulatory instrument is and what it processed, but does not tell us what its variation has caused downstream.</w:t>
      </w:r>
    </w:p>
    <w:p>
      <w:pPr>
        <w:pStyle w:val="BodyText"/>
        <w:spacing w:line="480" w:lineRule="auto"/>
        <w:ind w:firstLine="720"/>
      </w:pPr>
      <w:r>
        <w:t xml:space="preserve">The capacity-management literature has therefore done two important things and stopped one step short of a third. It has established that the orbit is a managed resource whose loading rate matters; it has established that capacity management and STM are coupled; and it has not estimated a causal pass-through from the regulatory instrument that controls licensed loading to the operational STM demand that ensues. The dissertation’s contribution sits in that unfilled space.</w:t>
      </w:r>
    </w:p>
    <w:bookmarkEnd w:id="70"/>
    <w:bookmarkStart w:id="71" w:name="X859e36ac5ee291354a6c3a5a0bfdf4cdb2f7d06"/>
    <w:p>
      <w:pPr>
        <w:pStyle w:val="Heading2"/>
        <w:spacing w:line="480" w:lineRule="auto"/>
      </w:pPr>
      <w:r>
        <w:t xml:space="preserve">2.5 The Cliometric and Applied-Econometric Methodology Literature</w:t>
      </w:r>
    </w:p>
    <w:p>
      <w:pPr>
        <w:pStyle w:val="FirstParagraph"/>
        <w:spacing w:line="480" w:lineRule="auto"/>
      </w:pPr>
      <w:r>
        <w:t xml:space="preserve">The methodological apparatus the dissertation deploys is drawn from the cliometric and applied-econometric traditions that estimate causal pass-through from administrative and policy variables to downstream outcomes. Four families of methods are pertinent: panel fixed-effects estimation, distributed-lag specification, instrumented difference-in-differences, and duration or survival modeling. Each family is well established in its home discipline, and each has been brought, in scattered fashion, into space-domain analysis without yet being applied to the licensing-throughput-to-STM-demand question that this dissertation poses.</w:t>
      </w:r>
    </w:p>
    <w:p>
      <w:pPr>
        <w:pStyle w:val="BodyText"/>
        <w:spacing w:line="480" w:lineRule="auto"/>
        <w:ind w:firstLine="720"/>
      </w:pPr>
      <w:r>
        <w:t xml:space="preserve">The panel fixed-effects logic is the workhorse of administrative-pass-through estimation. By absorbing operator-specific and time-specific heterogeneity, the design isolates within-operator and within-window variation in the regulatory variable of interest. Paper 1 demonstrated the empirical structure that motivates this design in the present context: the bloc-year panel of the United States against the rest of the world over 2014 through 2024 shows that the throughput-to-deployment slope is steep and precisely estimated inside the FAA regime, with an interaction coefficient of 14.84 (robust standard error 2.81, p &lt; 0.001), while the rest-of-world slope is statistically indistinguishable from zero, after a common annual time trend of 74.55 payloads per year is partialled out. That two-bloc result, derived from the FAA AST throughput series</w:t>
      </w:r>
      <w:r>
        <w:t xml:space="preserve"> </w:t>
      </w:r>
      <w:hyperlink w:anchor="ref-24">
        <w:r>
          <w:rPr>
            <w:rStyle w:val="Hyperlink"/>
          </w:rPr>
          <w:t xml:space="preserve">[24]</w:t>
        </w:r>
      </w:hyperlink>
      <w:r>
        <w:t xml:space="preserve">, the CRS regulatory overview</w:t>
      </w:r>
      <w:r>
        <w:t xml:space="preserve"> </w:t>
      </w:r>
      <w:hyperlink w:anchor="ref-19">
        <w:r>
          <w:rPr>
            <w:rStyle w:val="Hyperlink"/>
          </w:rPr>
          <w:t xml:space="preserve">[19]</w:t>
        </w:r>
      </w:hyperlink>
      <w:r>
        <w:t xml:space="preserve">, the McDowell launch statistics</w:t>
      </w:r>
      <w:r>
        <w:t xml:space="preserve"> </w:t>
      </w:r>
      <w:hyperlink w:anchor="ref-25">
        <w:r>
          <w:rPr>
            <w:rStyle w:val="Hyperlink"/>
          </w:rPr>
          <w:t xml:space="preserve">[25]</w:t>
        </w:r>
      </w:hyperlink>
      <w:r>
        <w:t xml:space="preserve">, and the UNOOSA payload index</w:t>
      </w:r>
      <w:r>
        <w:t xml:space="preserve"> </w:t>
      </w:r>
      <w:hyperlink w:anchor="ref-23">
        <w:r>
          <w:rPr>
            <w:rStyle w:val="Hyperlink"/>
          </w:rPr>
          <w:t xml:space="preserve">[23]</w:t>
        </w:r>
      </w:hyperlink>
      <w:r>
        <w:t xml:space="preserve">, establishes the empirical signature that an operator-by-month panel design must trace to its source. The Acta Astronautica literature on constellation deployment optimization</w:t>
      </w:r>
      <w:r>
        <w:t xml:space="preserve"> </w:t>
      </w:r>
      <w:hyperlink w:anchor="ref-20">
        <w:r>
          <w:rPr>
            <w:rStyle w:val="Hyperlink"/>
          </w:rPr>
          <w:t xml:space="preserve">[20]</w:t>
        </w:r>
      </w:hyperlink>
      <w:r>
        <w:t xml:space="preserve"> </w:t>
      </w:r>
      <w:r>
        <w:t xml:space="preserve">and on small-satellite access strategies</w:t>
      </w:r>
      <w:r>
        <w:t xml:space="preserve"> </w:t>
      </w:r>
      <w:hyperlink w:anchor="ref-21">
        <w:r>
          <w:rPr>
            <w:rStyle w:val="Hyperlink"/>
          </w:rPr>
          <w:t xml:space="preserve">[21]</w:t>
        </w:r>
      </w:hyperlink>
      <w:r>
        <w:t xml:space="preserve"> </w:t>
      </w:r>
      <w:r>
        <w:t xml:space="preserve">provides the engineering context for why operator-specific intercepts are required, and the capacity-management literature</w:t>
      </w:r>
      <w:r>
        <w:t xml:space="preserve"> </w:t>
      </w:r>
      <w:hyperlink w:anchor="ref-6">
        <w:r>
          <w:rPr>
            <w:rStyle w:val="Hyperlink"/>
          </w:rPr>
          <w:t xml:space="preserve">[6]</w:t>
        </w:r>
      </w:hyperlink>
      <w:r>
        <w:t xml:space="preserve">[17] provides the policy context for why time effects must absorb screening-policy and catalogue-maintenance changes such as those documented in the CARA literature</w:t>
      </w:r>
      <w:r>
        <w:t xml:space="preserve"> </w:t>
      </w:r>
      <w:hyperlink w:anchor="ref-5">
        <w:r>
          <w:rPr>
            <w:rStyle w:val="Hyperlink"/>
          </w:rPr>
          <w:t xml:space="preserve">[5]</w:t>
        </w:r>
      </w:hyperlink>
      <w:r>
        <w:t xml:space="preserve">[9][10].</w:t>
      </w:r>
    </w:p>
    <w:p>
      <w:pPr>
        <w:pStyle w:val="BodyText"/>
        <w:spacing w:line="480" w:lineRule="auto"/>
        <w:ind w:firstLine="720"/>
      </w:pPr>
      <w:r>
        <w:t xml:space="preserve">The distributed-lag specification is the natural form for a pass-through hypothesis with a finite causal horizon. The dissertation’s central specification, in which the dependent variable is STM-demand accretion attributable to operator i in month t and the regressor is the lagged licensing-to-launch latency for that operator, follows the standard form established in the policy-analysis literature for estimating cumulative effects of administrative inputs on operational outputs. The cumulative pass-through is the sum of the lag coefficients, and the lag structure itself is informative about the timing with which licensing changes propagate to operational demand. The constellation-risk literature provides the engineering rationale for a finite distributed lag: the time from license issuance to first launch, and from launch to catalogued operational presence, is bounded by integration, deployment, and screening cadence rather than by an open-ended diffusion process</w:t>
      </w:r>
      <w:r>
        <w:t xml:space="preserve"> </w:t>
      </w:r>
      <w:hyperlink w:anchor="ref-13">
        <w:r>
          <w:rPr>
            <w:rStyle w:val="Hyperlink"/>
          </w:rPr>
          <w:t xml:space="preserve">[13]</w:t>
        </w:r>
      </w:hyperlink>
      <w:r>
        <w:t xml:space="preserve">[14][22].</w:t>
      </w:r>
    </w:p>
    <w:p>
      <w:pPr>
        <w:pStyle w:val="BodyText"/>
        <w:spacing w:line="480" w:lineRule="auto"/>
        <w:ind w:firstLine="720"/>
      </w:pPr>
      <w:r>
        <w:t xml:space="preserve">The instrumented difference-in-differences design is the device by which the dissertation addresses the central identification threat. Operators with high intrinsic demand may attract differentially favorable or unfavorable regulatory handling, confounding latency with demand. The instruments the dissertation proposes are of two kinds: discrete regulatory-regime transitions in AST licensing rules that shifted processing timelines for all applicants in a window, principally the Part 450 transition</w:t>
      </w:r>
      <w:r>
        <w:t xml:space="preserve"> </w:t>
      </w:r>
      <w:hyperlink w:anchor="ref-19">
        <w:r>
          <w:rPr>
            <w:rStyle w:val="Hyperlink"/>
          </w:rPr>
          <w:t xml:space="preserve">[19]</w:t>
        </w:r>
      </w:hyperlink>
      <w:r>
        <w:t xml:space="preserve">[24], and queue-congestion latency arising from AST workload unrelated to any given operator’s own demand. The methodological literature on regime-transition difference-in-differences, well established outside the space domain, supplies the logic by which the sharp date of a rule change provides a treatment indicator for vehicles licensed just before and just after. The constellation-risk literature contributes a complementary identification logic: because the constellation wave introduces a stark population shift independent of any single operator’s licensing experience, the time effects can be partitioned to isolate the constellation-era density change from the latency effect, drawing on the methodological vocabulary established for short-term LEO safety analysis</w:t>
      </w:r>
      <w:r>
        <w:t xml:space="preserve"> </w:t>
      </w:r>
      <w:hyperlink w:anchor="ref-13">
        <w:r>
          <w:rPr>
            <w:rStyle w:val="Hyperlink"/>
          </w:rPr>
          <w:t xml:space="preserve">[13]</w:t>
        </w:r>
      </w:hyperlink>
      <w:r>
        <w:t xml:space="preserve"> </w:t>
      </w:r>
      <w:r>
        <w:t xml:space="preserve">and for future-traffic projections</w:t>
      </w:r>
      <w:r>
        <w:t xml:space="preserve"> </w:t>
      </w:r>
      <w:hyperlink w:anchor="ref-22">
        <w:r>
          <w:rPr>
            <w:rStyle w:val="Hyperlink"/>
          </w:rPr>
          <w:t xml:space="preserve">[22]</w:t>
        </w:r>
      </w:hyperlink>
      <w:r>
        <w:t xml:space="preserve">.</w:t>
      </w:r>
    </w:p>
    <w:p>
      <w:pPr>
        <w:pStyle w:val="BodyText"/>
        <w:spacing w:line="480" w:lineRule="auto"/>
        <w:ind w:firstLine="720"/>
      </w:pPr>
      <w:r>
        <w:t xml:space="preserve">The survival or duration tradition, the fourth methodological family, supplies the design used in Paper 2 of this dissertation. Paper 2 treated the time from FAA license issuance to first orbital launch as the duration of interest and fit a Cox proportional-hazards model on twenty-three licensed United States commercial orbital vehicle configurations spanning 1994 through 2026, with twenty events and three right-censored configurations. The covariates were heavy-class status, reusable-program status, Part 450 regime membership, and the natural logarithm of advertised LEO payload capacity. None of the coefficients reached conventional statistical significance. The heavy-class hazard ratio was 1.667 (p = 0.629), the reusable-program hazard ratio was 1.164 (p = 0.841), the Part 450 regime hazard ratio was 0.806 (p = 0.695), and the log-payload hazard ratio was 1.115 (p = 0.664). The median latency among flown vehicles was 1.5 months and the mean was 4.35 months, with a thin right tail. The methodological reading is that survival modeling on a configuration-level panel of twenty-three vehicles supplies a different kind of inference from a panel pass-through estimate at the operator-by-month level: it tests whether the license-to-flight interval, conditional on the structural covariates that the engineering literature</w:t>
      </w:r>
      <w:r>
        <w:t xml:space="preserve"> </w:t>
      </w:r>
      <w:hyperlink w:anchor="ref-13">
        <w:r>
          <w:rPr>
            <w:rStyle w:val="Hyperlink"/>
          </w:rPr>
          <w:t xml:space="preserve">[13]</w:t>
        </w:r>
      </w:hyperlink>
      <w:r>
        <w:t xml:space="preserve">[14][20][21][42] and the policy literature</w:t>
      </w:r>
      <w:r>
        <w:t xml:space="preserve"> </w:t>
      </w:r>
      <w:hyperlink w:anchor="ref-19">
        <w:r>
          <w:rPr>
            <w:rStyle w:val="Hyperlink"/>
          </w:rPr>
          <w:t xml:space="preserve">[19]</w:t>
        </w:r>
      </w:hyperlink>
      <w:r>
        <w:t xml:space="preserve">[34][38][39] identify as theoretically pertinent, is ordered in the directions that pacing theories predict. The null result reported there is informative for the dissertation as a whole; it does not, on its own, refute the pacing hypothesis, but it constrains the form the pacing must take.</w:t>
      </w:r>
    </w:p>
    <w:p>
      <w:pPr>
        <w:pStyle w:val="BodyText"/>
        <w:spacing w:line="480" w:lineRule="auto"/>
        <w:ind w:firstLine="720"/>
      </w:pPr>
      <w:r>
        <w:t xml:space="preserve">The cliometric tradition contributes one further conceptual resource: the insistence that administrative outputs are themselves data, that regulatory throughput and latency are measurable quantities, and that the question of whether they cause downstream outcomes is an empirical question rather than a theoretical commitment. The descriptive license-issuance record drawn from trade-press reporting for each licensed program</w:t>
      </w:r>
      <w:r>
        <w:t xml:space="preserve"> </w:t>
      </w:r>
      <w:hyperlink w:anchor="ref-27">
        <w:r>
          <w:rPr>
            <w:rStyle w:val="Hyperlink"/>
          </w:rPr>
          <w:t xml:space="preserve">[27]</w:t>
        </w:r>
      </w:hyperlink>
      <w:r>
        <w:t xml:space="preserve">[28][29][30][31][32][33] is the documentary basis on which the survival analysis was built; the FAA AST aggregate throughput series</w:t>
      </w:r>
      <w:r>
        <w:t xml:space="preserve"> </w:t>
      </w:r>
      <w:hyperlink w:anchor="ref-24">
        <w:r>
          <w:rPr>
            <w:rStyle w:val="Hyperlink"/>
          </w:rPr>
          <w:t xml:space="preserve">[24]</w:t>
        </w:r>
      </w:hyperlink>
      <w:r>
        <w:t xml:space="preserve"> </w:t>
      </w:r>
      <w:r>
        <w:t xml:space="preserve">and the CRS regulatory record</w:t>
      </w:r>
      <w:r>
        <w:t xml:space="preserve"> </w:t>
      </w:r>
      <w:hyperlink w:anchor="ref-19">
        <w:r>
          <w:rPr>
            <w:rStyle w:val="Hyperlink"/>
          </w:rPr>
          <w:t xml:space="preserve">[19]</w:t>
        </w:r>
      </w:hyperlink>
      <w:r>
        <w:t xml:space="preserve"> </w:t>
      </w:r>
      <w:r>
        <w:t xml:space="preserve">are the documentary basis on which the panel pass-through analysis will be built. Neither documentary basis is novel in itself, but their combination, organized by the methodological apparatus enumerated above and directed at the STM-demand outcome, is.</w:t>
      </w:r>
    </w:p>
    <w:bookmarkEnd w:id="71"/>
    <w:bookmarkStart w:id="72" w:name="Xfc5740466311afad09410c33fb4a1e1b22d3214"/>
    <w:p>
      <w:pPr>
        <w:pStyle w:val="Heading2"/>
        <w:spacing w:line="480" w:lineRule="auto"/>
      </w:pPr>
      <w:r>
        <w:t xml:space="preserve">2.6 The Unjoined Seam and the Integrative Claim</w:t>
      </w:r>
    </w:p>
    <w:p>
      <w:pPr>
        <w:pStyle w:val="FirstParagraph"/>
        <w:spacing w:line="480" w:lineRule="auto"/>
      </w:pPr>
      <w:r>
        <w:t xml:space="preserve">The two literatures meet nowhere in the retrieved corpus. The STM operations literature accepts the catalogue as input; the constellation-risk literature accepts deployment as input; the carrying-capacity literature accepts the policy lever as a theoretical construct without estimating it; and the methodological literature, where it has touched the space domain at all, has not been brought to bear on the licensing-throughput-to-STM-demand question. The seam is unjoined.</w:t>
      </w:r>
    </w:p>
    <w:p>
      <w:pPr>
        <w:pStyle w:val="BodyText"/>
        <w:spacing w:line="480" w:lineRule="auto"/>
        <w:ind w:firstLine="720"/>
      </w:pPr>
      <w:r>
        <w:t xml:space="preserve">The unjoined seam manifests in three concrete ways. First, the operational STM literature, from the foundational CARA concept of operations</w:t>
      </w:r>
      <w:r>
        <w:t xml:space="preserve"> </w:t>
      </w:r>
      <w:hyperlink w:anchor="ref-5">
        <w:r>
          <w:rPr>
            <w:rStyle w:val="Hyperlink"/>
          </w:rPr>
          <w:t xml:space="preserve">[5]</w:t>
        </w:r>
      </w:hyperlink>
      <w:r>
        <w:t xml:space="preserve"> </w:t>
      </w:r>
      <w:r>
        <w:t xml:space="preserve">through its recent AI and ML compendium</w:t>
      </w:r>
      <w:r>
        <w:t xml:space="preserve"> </w:t>
      </w:r>
      <w:hyperlink w:anchor="ref-9">
        <w:r>
          <w:rPr>
            <w:rStyle w:val="Hyperlink"/>
          </w:rPr>
          <w:t xml:space="preserve">[9]</w:t>
        </w:r>
      </w:hyperlink>
      <w:r>
        <w:t xml:space="preserve"> </w:t>
      </w:r>
      <w:r>
        <w:t xml:space="preserve">and the stochastic-drag conjunction-assessment work</w:t>
      </w:r>
      <w:r>
        <w:t xml:space="preserve"> </w:t>
      </w:r>
      <w:hyperlink w:anchor="ref-10">
        <w:r>
          <w:rPr>
            <w:rStyle w:val="Hyperlink"/>
          </w:rPr>
          <w:t xml:space="preserve">[10]</w:t>
        </w:r>
      </w:hyperlink>
      <w:r>
        <w:t xml:space="preserve">, never estimates the rate at which its workload accretes as a function of an upstream regulatory variable; the workload is forecast by extrapolation of the catalogue, not by a structural model of the pipeline that fills it. Second, the constellation-risk literature, including the foundational risk-prediction work</w:t>
      </w:r>
      <w:r>
        <w:t xml:space="preserve"> </w:t>
      </w:r>
      <w:hyperlink w:anchor="ref-14">
        <w:r>
          <w:rPr>
            <w:rStyle w:val="Hyperlink"/>
          </w:rPr>
          <w:t xml:space="preserve">[14]</w:t>
        </w:r>
      </w:hyperlink>
      <w:r>
        <w:t xml:space="preserve">[15], the short-term cluster-safety analyses</w:t>
      </w:r>
      <w:r>
        <w:t xml:space="preserve"> </w:t>
      </w:r>
      <w:hyperlink w:anchor="ref-13">
        <w:r>
          <w:rPr>
            <w:rStyle w:val="Hyperlink"/>
          </w:rPr>
          <w:t xml:space="preserve">[13]</w:t>
        </w:r>
      </w:hyperlink>
      <w:r>
        <w:t xml:space="preserve">, the future-traffic projections</w:t>
      </w:r>
      <w:r>
        <w:t xml:space="preserve"> </w:t>
      </w:r>
      <w:hyperlink w:anchor="ref-22">
        <w:r>
          <w:rPr>
            <w:rStyle w:val="Hyperlink"/>
          </w:rPr>
          <w:t xml:space="preserve">[22]</w:t>
        </w:r>
      </w:hyperlink>
      <w:r>
        <w:t xml:space="preserve">, the constellation-deployment optimization work</w:t>
      </w:r>
      <w:r>
        <w:t xml:space="preserve"> </w:t>
      </w:r>
      <w:hyperlink w:anchor="ref-20">
        <w:r>
          <w:rPr>
            <w:rStyle w:val="Hyperlink"/>
          </w:rPr>
          <w:t xml:space="preserve">[20]</w:t>
        </w:r>
      </w:hyperlink>
      <w:r>
        <w:t xml:space="preserve">, the small-satellite access analysis</w:t>
      </w:r>
      <w:r>
        <w:t xml:space="preserve"> </w:t>
      </w:r>
      <w:hyperlink w:anchor="ref-21">
        <w:r>
          <w:rPr>
            <w:rStyle w:val="Hyperlink"/>
          </w:rPr>
          <w:t xml:space="preserve">[21]</w:t>
        </w:r>
      </w:hyperlink>
      <w:r>
        <w:t xml:space="preserve">, the LEO surveillance-constellation design</w:t>
      </w:r>
      <w:r>
        <w:t xml:space="preserve"> </w:t>
      </w:r>
      <w:hyperlink w:anchor="ref-16">
        <w:r>
          <w:rPr>
            <w:rStyle w:val="Hyperlink"/>
          </w:rPr>
          <w:t xml:space="preserve">[16]</w:t>
        </w:r>
      </w:hyperlink>
      <w:r>
        <w:t xml:space="preserve">, and the impact assessments</w:t>
      </w:r>
      <w:r>
        <w:t xml:space="preserve"> </w:t>
      </w:r>
      <w:hyperlink w:anchor="ref-18">
        <w:r>
          <w:rPr>
            <w:rStyle w:val="Hyperlink"/>
          </w:rPr>
          <w:t xml:space="preserve">[18]</w:t>
        </w:r>
      </w:hyperlink>
      <w:r>
        <w:t xml:space="preserve">, treats deployment as the upstream boundary of the analysis and does not press further into the licensing pipeline that converts a planned deployment into a flown one. Third, the carrying-capacity and economics literature</w:t>
      </w:r>
      <w:r>
        <w:t xml:space="preserve"> </w:t>
      </w:r>
      <w:hyperlink w:anchor="ref-6">
        <w:r>
          <w:rPr>
            <w:rStyle w:val="Hyperlink"/>
          </w:rPr>
          <w:t xml:space="preserve">[6]</w:t>
        </w:r>
      </w:hyperlink>
      <w:r>
        <w:t xml:space="preserve">[8][11][12][17][26] articulates the orbit as a managed resource but does not estimate the coefficient by which administrative throughput translates into managed-resource loading, even where institutional and regulatory documents</w:t>
      </w:r>
      <w:r>
        <w:t xml:space="preserve"> </w:t>
      </w:r>
      <w:hyperlink w:anchor="ref-19">
        <w:r>
          <w:rPr>
            <w:rStyle w:val="Hyperlink"/>
          </w:rPr>
          <w:t xml:space="preserve">[19]</w:t>
        </w:r>
      </w:hyperlink>
      <w:r>
        <w:t xml:space="preserve">[24] characterize the throughput change in detail and the international counterfactual is constructible from public data</w:t>
      </w:r>
      <w:r>
        <w:t xml:space="preserve"> </w:t>
      </w:r>
      <w:hyperlink w:anchor="ref-23">
        <w:r>
          <w:rPr>
            <w:rStyle w:val="Hyperlink"/>
          </w:rPr>
          <w:t xml:space="preserve">[23]</w:t>
        </w:r>
      </w:hyperlink>
      <w:r>
        <w:t xml:space="preserve">[25].</w:t>
      </w:r>
    </w:p>
    <w:p>
      <w:pPr>
        <w:pStyle w:val="BodyText"/>
        <w:spacing w:line="480" w:lineRule="auto"/>
        <w:ind w:firstLine="720"/>
      </w:pPr>
      <w:r>
        <w:t xml:space="preserve">The dissertation’s integrative claim is therefore that the missing link is not a missing dataset and not a missing theory but a missing causal estimate, stated, identified, and produced. The empirical apparatus the dissertation will deploy in Chapters 3 through 5 is the panel distributed-lag fixed-effects model articulated in the prospectus, augmented by the regime-transition and queue-congestion instruments described in Section 2.5, with a Cox survival recast already executed in Paper 2 and a two-bloc panel descriptive baseline already executed in Paper 1. The single deliverable is the pass-through coefficient β linking licensing-to-launch latency to STM-demand accretion, with its sign, magnitude, and lag structure. The null hypothesis is that β equals zero; the alternative is that β is non-zero and, under the latency parameterization in which longer licensing latency depresses near-term launched mass, is negative.</w:t>
      </w:r>
    </w:p>
    <w:p>
      <w:pPr>
        <w:pStyle w:val="BodyText"/>
        <w:spacing w:line="480" w:lineRule="auto"/>
        <w:ind w:firstLine="720"/>
      </w:pPr>
      <w:r>
        <w:t xml:space="preserve">The forward implications are bounded but consequential. If the pass-through is estimated and is non-zero, then STM capacity planning, which the literature treats as a response to an exogenous demand trajectory, is partly a function of upstream regulatory design, and the licensing instrument acquires a tempo-control role distinct from its compliance-gate function. If the pass-through is precisely estimated and is statistically indistinguishable from zero, then the asserted causal channel is removed from the policy discourse on orbital carrying capacity and on the cislunar STM frameworks</w:t>
      </w:r>
      <w:r>
        <w:t xml:space="preserve"> </w:t>
      </w:r>
      <w:hyperlink w:anchor="ref-3">
        <w:r>
          <w:rPr>
            <w:rStyle w:val="Hyperlink"/>
          </w:rPr>
          <w:t xml:space="preserve">[3]</w:t>
        </w:r>
      </w:hyperlink>
      <w:r>
        <w:t xml:space="preserve">[7][45] that have begun to import the LEO framing into the lunar regime. Either outcome is informative; both are foreclosed by the present state of the literature.</w:t>
      </w:r>
    </w:p>
    <w:p>
      <w:pPr>
        <w:pStyle w:val="BodyText"/>
        <w:spacing w:line="480" w:lineRule="auto"/>
        <w:ind w:firstLine="720"/>
      </w:pPr>
      <w:r>
        <w:t xml:space="preserve">The cislunar extension, finally, recurs in this synthesis exactly where it appears in the prospectus. The cislunar STM literature</w:t>
      </w:r>
      <w:r>
        <w:t xml:space="preserve"> </w:t>
      </w:r>
      <w:hyperlink w:anchor="ref-3">
        <w:r>
          <w:rPr>
            <w:rStyle w:val="Hyperlink"/>
          </w:rPr>
          <w:t xml:space="preserve">[3]</w:t>
        </w:r>
      </w:hyperlink>
      <w:r>
        <w:t xml:space="preserve">[7][45] and the supporting lunar-infrastructure design literature</w:t>
      </w:r>
      <w:r>
        <w:t xml:space="preserve"> </w:t>
      </w:r>
      <w:hyperlink w:anchor="ref-44">
        <w:r>
          <w:rPr>
            <w:rStyle w:val="Hyperlink"/>
          </w:rPr>
          <w:t xml:space="preserve">[44]</w:t>
        </w:r>
      </w:hyperlink>
      <w:r>
        <w:t xml:space="preserve"> </w:t>
      </w:r>
      <w:r>
        <w:t xml:space="preserve">are in the position the LEO STM literature occupied a generation ago: rich on architecture, thin on estimated pacing relationships. Getting the LEO pass-through right is the precondition for any defensible cislunar projection, and the integrative claim of the dissertation is best understood as a first installment in a longer methodological program that the cislunar literature will eventually need to import.</w:t>
      </w:r>
    </w:p>
    <w:p>
      <w:pPr>
        <w:pStyle w:val="BodyText"/>
        <w:spacing w:line="480" w:lineRule="auto"/>
        <w:ind w:firstLine="720"/>
      </w:pPr>
      <w:r>
        <w:t xml:space="preserve">The remainder of the dissertation operationalizes this integrative claim. Chapter 3 specifies the data construction, the operator-by-month panel, and the variable definitions in detail; Chapter 4 develops the distributed-lag specification, the instrumented difference-in-differences identification strategy, and the survival recast; Chapter 5 presents the results; Chapter 6 returns to the seam identified here and assesses whether it has been joined.</w:t>
      </w:r>
    </w:p>
    <w:bookmarkEnd w:id="72"/>
    <w:bookmarkEnd w:id="73"/>
    <w:bookmarkStart w:id="88" w:name="Xcfcc00a3ded59aed0c781c16bfc121f2a509603"/>
    <w:p>
      <w:pPr>
        <w:pStyle w:val="Heading1"/>
        <w:spacing w:line="480" w:lineRule="auto"/>
      </w:pPr>
      <w:r>
        <w:t xml:space="preserve">Chapter 3. Theoretical Framework and Hypotheses</w:t>
      </w:r>
    </w:p>
    <w:bookmarkStart w:id="74" w:name="orientation-1"/>
    <w:p>
      <w:pPr>
        <w:pStyle w:val="Heading2"/>
        <w:spacing w:line="480" w:lineRule="auto"/>
      </w:pPr>
      <w:r>
        <w:t xml:space="preserve">3.1 Orientation</w:t>
      </w:r>
    </w:p>
    <w:p>
      <w:pPr>
        <w:pStyle w:val="FirstParagraph"/>
        <w:spacing w:line="480" w:lineRule="auto"/>
      </w:pPr>
      <w:r>
        <w:t xml:space="preserve">The empirical question this dissertation asks is whether the throughput of the Federal Aviation Administration Office of Commercial Space Transportation (FAA AST) licensing process paces, rather than merely permits, the rate at which United States licensed mass reaches orbit and, through that channel, the rate at which space traffic management (STM) demand accumulates. Chapter 2 surveyed three literatures that together bracket the question: the operational STM and conjunction-assessment literature, which takes the resident space object population as input and optimizes the response</w:t>
      </w:r>
      <w:r>
        <w:t xml:space="preserve"> </w:t>
      </w:r>
      <w:hyperlink w:anchor="ref-1">
        <w:r>
          <w:rPr>
            <w:rStyle w:val="Hyperlink"/>
          </w:rPr>
          <w:t xml:space="preserve">[1]</w:t>
        </w:r>
      </w:hyperlink>
      <w:r>
        <w:t xml:space="preserve">[5][9][10]; the space-safety and constellation-risk literature, which models collision and screening burden as a function of population, geometry, and design</w:t>
      </w:r>
      <w:r>
        <w:t xml:space="preserve"> </w:t>
      </w:r>
      <w:hyperlink w:anchor="ref-13">
        <w:r>
          <w:rPr>
            <w:rStyle w:val="Hyperlink"/>
          </w:rPr>
          <w:t xml:space="preserve">[13]</w:t>
        </w:r>
      </w:hyperlink>
      <w:r>
        <w:t xml:space="preserve">[14][15][16]; and the space-economics literature, which has begun to formalize orbit as a shared resource with finite carrying capacity and to distinguish productive capacity from debris accumulation</w:t>
      </w:r>
      <w:r>
        <w:t xml:space="preserve"> </w:t>
      </w:r>
      <w:hyperlink w:anchor="ref-6">
        <w:r>
          <w:rPr>
            <w:rStyle w:val="Hyperlink"/>
          </w:rPr>
          <w:t xml:space="preserve">[6]</w:t>
        </w:r>
      </w:hyperlink>
      <w:r>
        <w:t xml:space="preserve">[11][12]. None of these literatures connects upstream administrative throughput to downstream STM demand with a stated and estimated causal link.</w:t>
      </w:r>
    </w:p>
    <w:p>
      <w:pPr>
        <w:pStyle w:val="BodyText"/>
        <w:spacing w:line="480" w:lineRule="auto"/>
        <w:ind w:firstLine="720"/>
      </w:pPr>
      <w:r>
        <w:t xml:space="preserve">The purpose of this chapter is to fix that link as a theory, derive its implications as a set of testable propositions, and state the hypotheses that the empirical chapters will evaluate. The chapter proceeds in four moves. Section 3.2 names the theoretical lens, a rate-constrained pipeline model in which administrative throughput functions as a tap that meters licensed mass into the on-orbit catalogue. Section 3.3 specifies the causal mechanism step by step, from license to launch to catalogued object to conjunction-screening volume, and draws explicitly on the findings of the two preceding research papers in the dissertation program. Section 3.4 states the null and alternative hypotheses in formal terms, defines the estimand, and lists the directional, magnitude, and lag-structure auxiliary predictions that follow. Section 3.5 specifies the conditions of falsification.</w:t>
      </w:r>
    </w:p>
    <w:bookmarkEnd w:id="74"/>
    <w:bookmarkStart w:id="75" w:name="X1f984a00e7df1c013b1aa1bb14266f48c802b59"/>
    <w:p>
      <w:pPr>
        <w:pStyle w:val="Heading2"/>
        <w:spacing w:line="480" w:lineRule="auto"/>
      </w:pPr>
      <w:r>
        <w:t xml:space="preserve">3.2 The Rate-Constrained Pipeline as a Theoretical Lens</w:t>
      </w:r>
    </w:p>
    <w:p>
      <w:pPr>
        <w:pStyle w:val="FirstParagraph"/>
        <w:spacing w:line="480" w:lineRule="auto"/>
      </w:pPr>
      <w:r>
        <w:t xml:space="preserve">The dominant treatment of orbital congestion in the policy and operations literatures is implicitly demand-determined. Operators decide to deploy, vehicles fly, payloads enter the catalogue, and STM systems screen the resulting population for conjunctions</w:t>
      </w:r>
      <w:r>
        <w:t xml:space="preserve"> </w:t>
      </w:r>
      <w:hyperlink w:anchor="ref-1">
        <w:r>
          <w:rPr>
            <w:rStyle w:val="Hyperlink"/>
          </w:rPr>
          <w:t xml:space="preserve">[1]</w:t>
        </w:r>
      </w:hyperlink>
      <w:r>
        <w:t xml:space="preserve">[5][9]. The administrative steps that legally permit each launch sit outside the model, treated as a compliance gate that either grants or denies an application but does not alter the cadence at which flight-ready missions reach orbit. The capacity-management literature in Acta Astronautica accepts a richer picture, in which the rate of payload insertion is a forcing function on collision risk and screening demand, but still locates the binding constraint downstream of authorization</w:t>
      </w:r>
      <w:r>
        <w:t xml:space="preserve"> </w:t>
      </w:r>
      <w:hyperlink w:anchor="ref-6">
        <w:r>
          <w:rPr>
            <w:rStyle w:val="Hyperlink"/>
          </w:rPr>
          <w:t xml:space="preserve">[6]</w:t>
        </w:r>
      </w:hyperlink>
      <w:r>
        <w:t xml:space="preserve">[22]. The space-economy forecasting literature similarly assigns regulatory streamlining a contributing rather than primary role, attributing the binding determinants of activity to market structure and capital formation</w:t>
      </w:r>
      <w:r>
        <w:t xml:space="preserve"> </w:t>
      </w:r>
      <w:hyperlink w:anchor="ref-26">
        <w:r>
          <w:rPr>
            <w:rStyle w:val="Hyperlink"/>
          </w:rPr>
          <w:t xml:space="preserve">[26]</w:t>
        </w:r>
      </w:hyperlink>
      <w:r>
        <w:t xml:space="preserve">[8].</w:t>
      </w:r>
    </w:p>
    <w:p>
      <w:pPr>
        <w:pStyle w:val="BodyText"/>
        <w:spacing w:line="480" w:lineRule="auto"/>
        <w:ind w:firstLine="720"/>
      </w:pPr>
      <w:r>
        <w:t xml:space="preserve">This dissertation does not contest the importance of those downstream and exogenous factors. It proposes, instead, a complementary theoretical lens in which the administrative interface is treated as a pipeline element with its own throughput and latency characteristics, capable in principle of binding the rate at which mass reaches orbit. In this lens, the legally permissible launch tempo of a regulated commercial sector is the joint product of operator readiness, vehicle availability, and the rate at which the regulator can clear applications. Whichever of those three elements is most constraining at the margin determines the realized cadence. The empirical question is which element binds, and under what conditions the regulator binds.</w:t>
      </w:r>
    </w:p>
    <w:p>
      <w:pPr>
        <w:pStyle w:val="BodyText"/>
        <w:spacing w:line="480" w:lineRule="auto"/>
        <w:ind w:firstLine="720"/>
      </w:pPr>
      <w:r>
        <w:t xml:space="preserve">Three properties define the pipeline model. The first is sequential dependence. A United States commercial launch cannot legally occur without an FAA AST authorization in hand; therefore the count of authorizations available in any window is an upper bound on the count of flights, and the latency between authorization and flight is a lower bound on the time required to translate a permitted opportunity into an orbital insertion</w:t>
      </w:r>
      <w:r>
        <w:t xml:space="preserve"> </w:t>
      </w:r>
      <w:hyperlink w:anchor="ref-19">
        <w:r>
          <w:rPr>
            <w:rStyle w:val="Hyperlink"/>
          </w:rPr>
          <w:t xml:space="preserve">[19]</w:t>
        </w:r>
      </w:hyperlink>
      <w:r>
        <w:t xml:space="preserve">[27]. The second property is heterogeneous binding. The pipeline element that binds at the margin is not fixed across vehicles, operators, or time. Where vehicle development is the binding constraint, license issuance can lead engineering readiness without affecting flight cadence. Where regulatory throughput is binding, additional readiness on the operator side accumulates as queue length rather than as launches. The third property is feedback through the downstream catalogue. The on-orbit population and the conjunction-screening workload it generates are integrals of past launch cadence; any modulation of the rate at which payloads enter the catalogue propagates, after a finite lag, into the screening load borne by operational conjunction-assessment systems</w:t>
      </w:r>
      <w:r>
        <w:t xml:space="preserve"> </w:t>
      </w:r>
      <w:hyperlink w:anchor="ref-5">
        <w:r>
          <w:rPr>
            <w:rStyle w:val="Hyperlink"/>
          </w:rPr>
          <w:t xml:space="preserve">[5]</w:t>
        </w:r>
      </w:hyperlink>
      <w:r>
        <w:t xml:space="preserve">[9][10].</w:t>
      </w:r>
    </w:p>
    <w:p>
      <w:pPr>
        <w:pStyle w:val="BodyText"/>
        <w:spacing w:line="480" w:lineRule="auto"/>
        <w:ind w:firstLine="720"/>
      </w:pPr>
      <w:r>
        <w:t xml:space="preserve">The theoretical commitment of this dissertation is that the third element, administrative throughput, must be modeled explicitly rather than assumed away. The empirical commitment is to measure whether it binds, and how strongly, against alternatives in which engineering readiness or market demand dominates.</w:t>
      </w:r>
    </w:p>
    <w:bookmarkEnd w:id="75"/>
    <w:bookmarkStart w:id="81" w:name="the-causal-mechanism"/>
    <w:p>
      <w:pPr>
        <w:pStyle w:val="Heading2"/>
        <w:spacing w:line="480" w:lineRule="auto"/>
      </w:pPr>
      <w:r>
        <w:t xml:space="preserve">3.3 The Causal Mechanism</w:t>
      </w:r>
    </w:p>
    <w:p>
      <w:pPr>
        <w:pStyle w:val="FirstParagraph"/>
        <w:spacing w:line="480" w:lineRule="auto"/>
      </w:pPr>
      <w:r>
        <w:t xml:space="preserve">The mechanism that links FAA AST throughput to STM demand has four stations. Each station is empirically observable, each transition between stations introduces a measurable latency, and the cumulative pass-through from the first station to the last is the theoretical quantity of interest.</w:t>
      </w:r>
    </w:p>
    <w:bookmarkStart w:id="76" w:name="station-one-application-to-authorization"/>
    <w:p>
      <w:pPr>
        <w:pStyle w:val="Heading3"/>
        <w:spacing w:line="480" w:lineRule="auto"/>
      </w:pPr>
      <w:r>
        <w:t xml:space="preserve">3.3.1 Station one: application to authorization</w:t>
      </w:r>
    </w:p>
    <w:p>
      <w:pPr>
        <w:pStyle w:val="FirstParagraph"/>
        <w:spacing w:line="480" w:lineRule="auto"/>
      </w:pPr>
      <w:r>
        <w:t xml:space="preserve">An operator seeking to conduct a United States commercial orbital launch must obtain an FAA AST license or modification under 14 CFR Parts 415, 417, or 450</w:t>
      </w:r>
      <w:r>
        <w:t xml:space="preserve"> </w:t>
      </w:r>
      <w:hyperlink w:anchor="ref-19">
        <w:r>
          <w:rPr>
            <w:rStyle w:val="Hyperlink"/>
          </w:rPr>
          <w:t xml:space="preserve">[19]</w:t>
        </w:r>
      </w:hyperlink>
      <w:r>
        <w:t xml:space="preserve">[27]. The interval between application and authorization is a function of agency workload, the maturity of the application, and the regulatory regime in force. The 2020 migration to performance-based licensing under Part 450 was designed to compress this interval and to raise the steady-state count of operations the agency could clear per year</w:t>
      </w:r>
      <w:r>
        <w:t xml:space="preserve"> </w:t>
      </w:r>
      <w:hyperlink w:anchor="ref-3">
        <w:r>
          <w:rPr>
            <w:rStyle w:val="Hyperlink"/>
          </w:rPr>
          <w:t xml:space="preserve">[3]</w:t>
        </w:r>
      </w:hyperlink>
      <w:r>
        <w:t xml:space="preserve">[19][24]. The licensing record published by the agency, together with the Congressional Research Service overview of the regime, provides the empirical basis for measuring authorization counts and timing</w:t>
      </w:r>
      <w:r>
        <w:t xml:space="preserve"> </w:t>
      </w:r>
      <w:hyperlink w:anchor="ref-9">
        <w:r>
          <w:rPr>
            <w:rStyle w:val="Hyperlink"/>
          </w:rPr>
          <w:t xml:space="preserve">[9]</w:t>
        </w:r>
      </w:hyperlink>
      <w:r>
        <w:t xml:space="preserve">[19][24].</w:t>
      </w:r>
    </w:p>
    <w:bookmarkEnd w:id="76"/>
    <w:bookmarkStart w:id="77" w:name="station-two-authorization-to-flight"/>
    <w:p>
      <w:pPr>
        <w:pStyle w:val="Heading3"/>
        <w:spacing w:line="480" w:lineRule="auto"/>
      </w:pPr>
      <w:r>
        <w:t xml:space="preserve">3.3.2 Station two: authorization to flight</w:t>
      </w:r>
    </w:p>
    <w:p>
      <w:pPr>
        <w:pStyle w:val="FirstParagraph"/>
        <w:spacing w:line="480" w:lineRule="auto"/>
      </w:pPr>
      <w:r>
        <w:t xml:space="preserve">Once an authorization is issued, the operator must conduct integration, test, and range coordination before the licensed vehicle can fly. The empirical question that paper two of the dissertation program addresses is whether this interval is governed by vehicle characteristics, by the regulatory regime under which the license was issued, or by neither in any systematic way. The result from paper two is informative. In a Cox proportional-hazards model fit on twenty-three FAA AST-licensed United States commercial orbital vehicle configurations spanning 1994 through 2026, none of the four structural covariates tested, heavy-class status, reusable-program status, Part 450 regime membership, and log payload capacity, produced a hazard ratio statistically distinguishable from unity. The descriptive picture, a median wait of approximately six weeks from license to flight with a thin tail of longer waits, suggests that for most vehicles the license is granted close to flight readiness rather than far ahead of it. The wait, where it exists, is concentrated in a small number of programs and is not explained by the structural covariates that were tested. The implication for the present chapter is that station two, the authorization-to-flight interval, is not, on the available evidence, a regime-determined queue of flight-ready vehicles. It is closer to a near-coincident clearance.</w:t>
      </w:r>
    </w:p>
    <w:bookmarkEnd w:id="77"/>
    <w:bookmarkStart w:id="78" w:name="X58df20adaeeef8606578e776cb36f64d5af229b"/>
    <w:p>
      <w:pPr>
        <w:pStyle w:val="Heading3"/>
        <w:spacing w:line="480" w:lineRule="auto"/>
      </w:pPr>
      <w:r>
        <w:t xml:space="preserve">3.3.3 Station three: flight to catalogued object</w:t>
      </w:r>
    </w:p>
    <w:p>
      <w:pPr>
        <w:pStyle w:val="FirstParagraph"/>
        <w:spacing w:line="480" w:lineRule="auto"/>
      </w:pPr>
      <w:r>
        <w:t xml:space="preserve">Each licensed flight that reaches orbit places one or more catalogued objects into the United States Space Force general perturbations catalogue, identified by international designator and observable through Space-Track.org</w:t>
      </w:r>
      <w:r>
        <w:t xml:space="preserve"> </w:t>
      </w:r>
      <w:hyperlink w:anchor="ref-5">
        <w:r>
          <w:rPr>
            <w:rStyle w:val="Hyperlink"/>
          </w:rPr>
          <w:t xml:space="preserve">[5]</w:t>
        </w:r>
      </w:hyperlink>
      <w:r>
        <w:t xml:space="preserve">[9][10]. The transition from flight to catalogued object is essentially mechanical at the level of the catalogue, though the orbital regime into which the payloads are inserted determines the contribution of those objects to the screening workload borne by operational conjunction-assessment systems. The constellation-risk literature documents that low-Earth-orbit insertions, particularly into the dense altitude bands favored by large commercial constellations, generate disproportionate screening load relative to higher-altitude insertions of equivalent count</w:t>
      </w:r>
      <w:r>
        <w:t xml:space="preserve"> </w:t>
      </w:r>
      <w:hyperlink w:anchor="ref-13">
        <w:r>
          <w:rPr>
            <w:rStyle w:val="Hyperlink"/>
          </w:rPr>
          <w:t xml:space="preserve">[13]</w:t>
        </w:r>
      </w:hyperlink>
      <w:r>
        <w:t xml:space="preserve">[14][15][16].</w:t>
      </w:r>
    </w:p>
    <w:bookmarkEnd w:id="78"/>
    <w:bookmarkStart w:id="79" w:name="X0dd9c371ab3798bc96c1b673ce526c5e0759e1b"/>
    <w:p>
      <w:pPr>
        <w:pStyle w:val="Heading3"/>
        <w:spacing w:line="480" w:lineRule="auto"/>
      </w:pPr>
      <w:r>
        <w:t xml:space="preserve">3.3.4 Station four: catalogued object to screening volume</w:t>
      </w:r>
    </w:p>
    <w:p>
      <w:pPr>
        <w:pStyle w:val="FirstParagraph"/>
        <w:spacing w:line="480" w:lineRule="auto"/>
      </w:pPr>
      <w:r>
        <w:t xml:space="preserve">Catalogued objects translate into conjunction-screening events through the operational concept of operations documented by the NASA Conjunction Assessment Risk Analysis program and its successors</w:t>
      </w:r>
      <w:r>
        <w:t xml:space="preserve"> </w:t>
      </w:r>
      <w:hyperlink w:anchor="ref-5">
        <w:r>
          <w:rPr>
            <w:rStyle w:val="Hyperlink"/>
          </w:rPr>
          <w:t xml:space="preserve">[5]</w:t>
        </w:r>
      </w:hyperlink>
      <w:r>
        <w:t xml:space="preserve">[9][10]. Screening volume scales with the catalogued population, with sensor coverage and threshold settings, and with the geometric concentration of objects in particular regimes. The capacity-management literature in Acta Astronautica formalizes this scaling and explicitly links the rate of payload insertion to the future conjunction-assessment burden</w:t>
      </w:r>
      <w:r>
        <w:t xml:space="preserve"> </w:t>
      </w:r>
      <w:hyperlink w:anchor="ref-6">
        <w:r>
          <w:rPr>
            <w:rStyle w:val="Hyperlink"/>
          </w:rPr>
          <w:t xml:space="preserve">[6]</w:t>
        </w:r>
      </w:hyperlink>
      <w:r>
        <w:t xml:space="preserve">[22]. The Pardini and Anselmo work on the impact of activities in low Earth orbit provides further support for treating screening volume as a downstream integral of insertion cadence</w:t>
      </w:r>
      <w:r>
        <w:t xml:space="preserve"> </w:t>
      </w:r>
      <w:hyperlink w:anchor="ref-18">
        <w:r>
          <w:rPr>
            <w:rStyle w:val="Hyperlink"/>
          </w:rPr>
          <w:t xml:space="preserve">[18]</w:t>
        </w:r>
      </w:hyperlink>
      <w:r>
        <w:t xml:space="preserve">.</w:t>
      </w:r>
    </w:p>
    <w:bookmarkEnd w:id="79"/>
    <w:bookmarkStart w:id="80" w:name="the-cumulative-pass-through"/>
    <w:p>
      <w:pPr>
        <w:pStyle w:val="Heading3"/>
        <w:spacing w:line="480" w:lineRule="auto"/>
      </w:pPr>
      <w:r>
        <w:t xml:space="preserve">3.3.5 The cumulative pass-through</w:t>
      </w:r>
    </w:p>
    <w:p>
      <w:pPr>
        <w:pStyle w:val="FirstParagraph"/>
        <w:spacing w:line="480" w:lineRule="auto"/>
      </w:pPr>
      <w:r>
        <w:t xml:space="preserve">The theoretical claim of the dissertation is that the four stations form a pipeline in which the upstream tap, administrative throughput, modulates the downstream flow into the catalogue and, with a longer lag, into screening volume. The result from paper one of the dissertation program is informative on the upstream end. In a two-bloc annual panel comparing the United States against the rest of the world from 2014 through 2024, the interaction between annual licensing throughput and the FAA-regime indicator produced an estimated coefficient of 14.84 payloads per additional licensed operation, with a robust standard error of 2.81 and a p-value below 0.001</w:t>
      </w:r>
      <w:r>
        <w:t xml:space="preserve"> </w:t>
      </w:r>
      <w:hyperlink w:anchor="ref-23">
        <w:r>
          <w:rPr>
            <w:rStyle w:val="Hyperlink"/>
          </w:rPr>
          <w:t xml:space="preserve">[23]</w:t>
        </w:r>
      </w:hyperlink>
      <w:r>
        <w:t xml:space="preserve">[24][25]. The rest-of-world throughput slope was statistically indistinguishable from zero. The common time trend was significant at approximately seventy-five payloads per year, indicating a meaningful secular component shared across both blocs that the model controls for. Within the FAA regime, the slope of payloads on licensing throughput is steep, precisely estimated, and not a property of launch activity generally.</w:t>
      </w:r>
    </w:p>
    <w:p>
      <w:pPr>
        <w:pStyle w:val="BodyText"/>
        <w:spacing w:line="480" w:lineRule="auto"/>
        <w:ind w:firstLine="720"/>
      </w:pPr>
      <w:r>
        <w:t xml:space="preserve">Read together, the two prior papers in the program produce a refined picture of where the binding constraint sits. Paper two finds that, conditional on a license being held, the wait until flight is not regime-determined in any systematic way that the available covariates can detect. Paper one finds that the count of licensed operations, on the other hand, tracks payload deployment within the FAA regime with a precise positive slope. The natural reading is that the administrative pipeline binds primarily at station one, the rate at which authorizations are issued and cleared, rather than at station two, the wait between authorization and flight. This dissertation moves the analytic frame from counts to latency precisely to test that proposition with a license-level rather than annual measure.</w:t>
      </w:r>
    </w:p>
    <w:p>
      <w:pPr>
        <w:pStyle w:val="BodyText"/>
        <w:spacing w:line="480" w:lineRule="auto"/>
        <w:ind w:firstLine="720"/>
      </w:pPr>
      <w:r>
        <w:t xml:space="preserve">The theoretical mechanism, stated in its compressed form, is therefore the following. An increase in licensing-to-launch latency, parameterized so that longer latency depresses near-term licensed flights, reduces the count of FAA AST-cleared operations that translate into orbital insertions within a near-term window. Through station three, fewer near-term insertions reduce the rate at which United States licensed catalogued objects accumulate. Through station four, the slower accumulation propagates, with a finite distributed lag, into reduced near-term growth in conjunction-screening volume. A decrease in latency operates in the opposite direction with the same lag structure. The pass-through is conditioned by orbital regime, by the share of insertions into the dense low-Earth-orbit altitude bands, and by the screening configuration in force during each window</w:t>
      </w:r>
      <w:r>
        <w:t xml:space="preserve"> </w:t>
      </w:r>
      <w:hyperlink w:anchor="ref-5">
        <w:r>
          <w:rPr>
            <w:rStyle w:val="Hyperlink"/>
          </w:rPr>
          <w:t xml:space="preserve">[5]</w:t>
        </w:r>
      </w:hyperlink>
      <w:r>
        <w:t xml:space="preserve">[9][13][16].</w:t>
      </w:r>
    </w:p>
    <w:bookmarkEnd w:id="80"/>
    <w:bookmarkEnd w:id="81"/>
    <w:bookmarkStart w:id="85" w:name="the-formal-hypotheses"/>
    <w:p>
      <w:pPr>
        <w:pStyle w:val="Heading2"/>
        <w:spacing w:line="480" w:lineRule="auto"/>
      </w:pPr>
      <w:r>
        <w:t xml:space="preserve">3.4 The Formal Hypotheses</w:t>
      </w:r>
    </w:p>
    <w:p>
      <w:pPr>
        <w:pStyle w:val="FirstParagraph"/>
        <w:spacing w:line="480" w:lineRule="auto"/>
      </w:pPr>
      <w:r>
        <w:t xml:space="preserve">The hypotheses that follow are stated as restrictions on a single estimand, defined at the panel level in operator-by-month space. Let D(i,t) denote STM-demand accretion attributable to operator i in month t, operationalized primarily as the count of catalogued objects placed by operator i in month t and attributable to FAA AST-licensed launches, and secondarily as the contribution of those objects to conjunction-screening volume. Let L(i,t) denote mean FAA AST licensing-to-launch latency for operator i in month t, measured at the license-record level and averaged over the licenses cleared in that window. Let X(i,t) collect controls for orbital regime, vehicle class, and payload mass, with operator fixed effects alpha(i) and calendar-time effects gamma(t) absorbing time-invariant operator heterogeneity and catalogue-wide shocks respectively.</w:t>
      </w:r>
    </w:p>
    <w:p>
      <w:pPr>
        <w:pStyle w:val="BodyText"/>
        <w:spacing w:line="480" w:lineRule="auto"/>
        <w:ind w:firstLine="720"/>
      </w:pPr>
      <w:r>
        <w:t xml:space="preserve">The estimating specification is the distributed-lag panel model</w:t>
      </w:r>
    </w:p>
    <w:p>
      <w:pPr>
        <w:pStyle w:val="BodyText"/>
        <w:spacing w:line="480" w:lineRule="auto"/>
        <w:ind w:firstLine="720"/>
      </w:pPr>
      <w:r>
        <w:t xml:space="preserve">D(i,t) = alpha(i) + gamma(t) + Sigma{k = 0 to K} beta(k) L(i, t - k) + X(i,t) theta + epsilon(i,t)</w:t>
      </w:r>
    </w:p>
    <w:p>
      <w:pPr>
        <w:pStyle w:val="BodyText"/>
        <w:spacing w:line="480" w:lineRule="auto"/>
        <w:ind w:firstLine="720"/>
      </w:pPr>
      <w:r>
        <w:t xml:space="preserve">with cumulative pass-through coefficient beta equal to the sum of beta(k) over k from zero to K. The estimand of interest is beta, the dynamic effect of regulatory latency on STM-demand accretion over a finite distributed lag.</w:t>
      </w:r>
    </w:p>
    <w:bookmarkStart w:id="82" w:name="the-null-hypothesis"/>
    <w:p>
      <w:pPr>
        <w:pStyle w:val="Heading3"/>
        <w:spacing w:line="480" w:lineRule="auto"/>
      </w:pPr>
      <w:r>
        <w:t xml:space="preserve">3.4.1 The null hypothesis</w:t>
      </w:r>
    </w:p>
    <w:p>
      <w:pPr>
        <w:pStyle w:val="FirstParagraph"/>
        <w:spacing w:line="480" w:lineRule="auto"/>
      </w:pPr>
      <w:r>
        <w:t xml:space="preserve">H0: beta = 0. Licensing-to-launch latency has no measurable effect on the downstream rate of STM-demand accretion once operator, orbital regime, vehicle class, payload mass, and calendar time are controlled. Demand is exogenous to administrative throughput. Under H0, variation in L(i, t - k) at any lag k from zero to K does not predict variation in D(i,t), the confidence interval on beta covers zero, and the joint test that all beta(k) equal zero fails to reject.</w:t>
      </w:r>
    </w:p>
    <w:p>
      <w:pPr>
        <w:pStyle w:val="BodyText"/>
        <w:spacing w:line="480" w:lineRule="auto"/>
        <w:ind w:firstLine="720"/>
      </w:pPr>
      <w:r>
        <w:t xml:space="preserve">The null is the position implied by the dominant treatment in the operations and forecasting literatures, in which deployment cadence is a function of market demand, capital, and engineering readiness, and the regulator is a compliance gate that clears applications without altering tempo</w:t>
      </w:r>
      <w:r>
        <w:t xml:space="preserve"> </w:t>
      </w:r>
      <w:hyperlink w:anchor="ref-8">
        <w:r>
          <w:rPr>
            <w:rStyle w:val="Hyperlink"/>
          </w:rPr>
          <w:t xml:space="preserve">[8]</w:t>
        </w:r>
      </w:hyperlink>
      <w:r>
        <w:t xml:space="preserve">[26]. It is also the position implied by the null result in paper two of the dissertation program, taken literally and extended past station two of the pipeline. If station one is not the binding station either, then the entire administrative pipeline is non-binding, and beta is zero.</w:t>
      </w:r>
    </w:p>
    <w:bookmarkEnd w:id="82"/>
    <w:bookmarkStart w:id="83" w:name="the-alternative-hypothesis"/>
    <w:p>
      <w:pPr>
        <w:pStyle w:val="Heading3"/>
        <w:spacing w:line="480" w:lineRule="auto"/>
      </w:pPr>
      <w:r>
        <w:t xml:space="preserve">3.4.2 The alternative hypothesis</w:t>
      </w:r>
    </w:p>
    <w:p>
      <w:pPr>
        <w:pStyle w:val="FirstParagraph"/>
        <w:spacing w:line="480" w:lineRule="auto"/>
      </w:pPr>
      <w:r>
        <w:t xml:space="preserve">H1: beta is not equal to zero, and specifically beta is less than zero. Increases in administrative latency reduce the near-term rate at which licensed mass reaches orbit, and therefore reduce the near-term rate at which conjunction load accumulates, with a finite distributed lag of at most K months. Under H1, the confidence interval on beta excludes zero on the negative side, the joint test rejects the restriction that all beta(k) equal zero, and the sign of beta is negative under the latency parameterization adopted.</w:t>
      </w:r>
    </w:p>
    <w:p>
      <w:pPr>
        <w:pStyle w:val="BodyText"/>
        <w:spacing w:line="480" w:lineRule="auto"/>
        <w:ind w:firstLine="720"/>
      </w:pPr>
      <w:r>
        <w:t xml:space="preserve">The alternative is the position implied by the pipeline lens and supported in part by the paper-one finding that within the FAA regime each additional licensed operation is associated with roughly fourteen additional payloads in orbit in the same year</w:t>
      </w:r>
      <w:r>
        <w:t xml:space="preserve"> </w:t>
      </w:r>
      <w:hyperlink w:anchor="ref-23">
        <w:r>
          <w:rPr>
            <w:rStyle w:val="Hyperlink"/>
          </w:rPr>
          <w:t xml:space="preserve">[23]</w:t>
        </w:r>
      </w:hyperlink>
      <w:r>
        <w:t xml:space="preserve">[24][25]. The cumulative pass-through coefficient beta translates that count-level association into a latency-level association at the license record. The sign of beta is predicted to be negative because the latency variable is parameterized so that longer waits between license issuance and flight reduce the near-term arrival rate of catalogued objects.</w:t>
      </w:r>
    </w:p>
    <w:bookmarkEnd w:id="83"/>
    <w:bookmarkStart w:id="84" w:name="auxiliary-predictions"/>
    <w:p>
      <w:pPr>
        <w:pStyle w:val="Heading3"/>
        <w:spacing w:line="480" w:lineRule="auto"/>
      </w:pPr>
      <w:r>
        <w:t xml:space="preserve">3.4.3 Auxiliary predictions</w:t>
      </w:r>
    </w:p>
    <w:p>
      <w:pPr>
        <w:pStyle w:val="FirstParagraph"/>
        <w:spacing w:line="480" w:lineRule="auto"/>
      </w:pPr>
      <w:r>
        <w:t xml:space="preserve">Three auxiliary predictions follow from the mechanism and will be evaluated in addition to the primary test on beta. They are not separate hypotheses competing with H0 and H1, but pattern restrictions that the data should satisfy under H1 and that strengthen or weaken the substantive reading of any non-zero beta.</w:t>
      </w:r>
    </w:p>
    <w:p>
      <w:pPr>
        <w:pStyle w:val="BodyText"/>
        <w:spacing w:line="480" w:lineRule="auto"/>
        <w:ind w:firstLine="720"/>
      </w:pPr>
      <w:r>
        <w:t xml:space="preserve">The first auxiliary prediction is that the distributed lag is finite and concentrated within a small number of months at station three, with a longer and more diffuse tail at station four. The accretion of catalogued objects responds to licensing-to-launch latency within the same month as the licensed flight and, through scheduled deployments and operator-internal batching, in adjacent months. The propagation of that accretion into conjunction-screening volume is mediated by the catalogue and is therefore expected to be slower and more diffuse</w:t>
      </w:r>
      <w:r>
        <w:t xml:space="preserve"> </w:t>
      </w:r>
      <w:hyperlink w:anchor="ref-5">
        <w:r>
          <w:rPr>
            <w:rStyle w:val="Hyperlink"/>
          </w:rPr>
          <w:t xml:space="preserve">[5]</w:t>
        </w:r>
      </w:hyperlink>
      <w:r>
        <w:t xml:space="preserve">[9][10].</w:t>
      </w:r>
    </w:p>
    <w:p>
      <w:pPr>
        <w:pStyle w:val="BodyText"/>
        <w:spacing w:line="480" w:lineRule="auto"/>
        <w:ind w:firstLine="720"/>
      </w:pPr>
      <w:r>
        <w:t xml:space="preserve">The second auxiliary prediction is regime heterogeneity. The pass-through coefficient beta is expected to be larger in absolute value for operators flying into the dense low-Earth-orbit altitude bands favored by large commercial constellations than for operators flying into higher-altitude or non-LEO regimes, because the contribution of each additional insertion to screening volume is geometrically concentrated</w:t>
      </w:r>
      <w:r>
        <w:t xml:space="preserve"> </w:t>
      </w:r>
      <w:hyperlink w:anchor="ref-13">
        <w:r>
          <w:rPr>
            <w:rStyle w:val="Hyperlink"/>
          </w:rPr>
          <w:t xml:space="preserve">[13]</w:t>
        </w:r>
      </w:hyperlink>
      <w:r>
        <w:t xml:space="preserve">[14][15][16]. The constellation literature provides the basis for this regime-conditional reading and the corresponding constellation-aware controls in X(i,t).</w:t>
      </w:r>
    </w:p>
    <w:p>
      <w:pPr>
        <w:pStyle w:val="BodyText"/>
        <w:spacing w:line="480" w:lineRule="auto"/>
        <w:ind w:firstLine="720"/>
      </w:pPr>
      <w:r>
        <w:t xml:space="preserve">The third auxiliary prediction is asymmetry between count and latency at station one. Paper one of the dissertation program established that license counts move with deployment within the FAA regime, but a count measure cannot distinguish a faster clearance rate per license from a higher steady-state license-issuance rate. The latency measure adopted here is designed precisely to make that distinction. Under H1, the latency coefficient beta carries the pass-through with sign and magnitude that the count measure cannot deliver. A finding that beta is small and imprecise while the count association from paper one remains large would qualify H1 substantially, indicating that the operative margin is throughput rather than per-license speed.</w:t>
      </w:r>
    </w:p>
    <w:bookmarkEnd w:id="84"/>
    <w:bookmarkEnd w:id="85"/>
    <w:bookmarkStart w:id="86" w:name="conditions-of-falsification-and-scope"/>
    <w:p>
      <w:pPr>
        <w:pStyle w:val="Heading2"/>
        <w:spacing w:line="480" w:lineRule="auto"/>
      </w:pPr>
      <w:r>
        <w:t xml:space="preserve">3.5 Conditions of Falsification and Scope</w:t>
      </w:r>
    </w:p>
    <w:p>
      <w:pPr>
        <w:pStyle w:val="FirstParagraph"/>
        <w:spacing w:line="480" w:lineRule="auto"/>
      </w:pPr>
      <w:r>
        <w:t xml:space="preserve">The hypotheses are stated as restrictions on a single estimated coefficient with a specified sign, a specified lag structure, and a specified set of auxiliary pattern predictions. The conditions under which H1 is falsified are accordingly explicit.</w:t>
      </w:r>
    </w:p>
    <w:p>
      <w:pPr>
        <w:pStyle w:val="BodyText"/>
        <w:spacing w:line="480" w:lineRule="auto"/>
        <w:ind w:firstLine="720"/>
      </w:pPr>
      <w:r>
        <w:t xml:space="preserve">H1 is falsified, and H0 retained, if the estimated cumulative pass-through coefficient beta is statistically indistinguishable from zero and the confidence interval on beta excludes policy-relevant negative magnitudes. A precisely estimated null that excludes pass-through values large enough to matter for STM capacity planning is the strongest form of falsification, because it removes the asserted causal channel from the policy discourse on orbital carrying capacity rather than leaving it open as a possibility insufficiently powered to detect. A second form of falsification is sign reversal: an estimated beta that is statistically distinguishable from zero on the positive side would indicate that longer licensing-to-launch latency is associated with more, not less, near-term STM-demand accretion, contradicting the directional prediction of H1 even if the null of zero pass-through is rejected.</w:t>
      </w:r>
    </w:p>
    <w:p>
      <w:pPr>
        <w:pStyle w:val="BodyText"/>
        <w:spacing w:line="480" w:lineRule="auto"/>
        <w:ind w:firstLine="720"/>
      </w:pPr>
      <w:r>
        <w:t xml:space="preserve">H1 is qualified, but not falsified, by three patterns. First, a non-zero beta with a positive but small magnitude in a single regime, against a precisely zero beta in others, would indicate that the pass-through is regime-specific rather than general. Second, a non-zero beta with the predicted sign but a lag structure inconsistent with the mechanism, for example a long delay at station three that cannot be reconciled with the deployment timelines documented in the constellation literature, would suggest that the latency-deployment link runs through a channel different from the one the pipeline lens specifies. Third, a non-zero beta that disappears once the post-2020 Part 450 regime indicator is interacted with latency would indicate that the pass-through is a feature of the pre-streamlining regime rather than a stable property of the licensing pipeline</w:t>
      </w:r>
      <w:r>
        <w:t xml:space="preserve"> </w:t>
      </w:r>
      <w:hyperlink w:anchor="ref-3">
        <w:r>
          <w:rPr>
            <w:rStyle w:val="Hyperlink"/>
          </w:rPr>
          <w:t xml:space="preserve">[3]</w:t>
        </w:r>
      </w:hyperlink>
      <w:r>
        <w:t xml:space="preserve">[19].</w:t>
      </w:r>
    </w:p>
    <w:p>
      <w:pPr>
        <w:pStyle w:val="BodyText"/>
        <w:spacing w:line="480" w:lineRule="auto"/>
        <w:ind w:firstLine="720"/>
      </w:pPr>
      <w:r>
        <w:t xml:space="preserve">The scope of the hypotheses is bounded in three respects. First, the estimand is a terrestrial low-Earth-orbit licensing-to-demand pass-through, identified on FAA AST-licensed United States commercial orbital launches. The dissertation does not estimate, and the hypotheses do not assert, a comparable pass-through for foreign launches, for government launches outside the FAA AST jurisdiction, or for the cislunar regime in which licensing institutions and catalogue infrastructure are nascent</w:t>
      </w:r>
      <w:r>
        <w:t xml:space="preserve"> </w:t>
      </w:r>
      <w:hyperlink w:anchor="ref-3">
        <w:r>
          <w:rPr>
            <w:rStyle w:val="Hyperlink"/>
          </w:rPr>
          <w:t xml:space="preserve">[3]</w:t>
        </w:r>
      </w:hyperlink>
      <w:r>
        <w:t xml:space="preserve">[7][45]. The cislunar extension is treated as the forward research agenda and is supported by the Anilkumar and colleagues framework for traffic management in cislunar and cismartian environments</w:t>
      </w:r>
      <w:r>
        <w:t xml:space="preserve"> </w:t>
      </w:r>
      <w:hyperlink w:anchor="ref-7">
        <w:r>
          <w:rPr>
            <w:rStyle w:val="Hyperlink"/>
          </w:rPr>
          <w:t xml:space="preserve">[7]</w:t>
        </w:r>
      </w:hyperlink>
      <w:r>
        <w:t xml:space="preserve">[45]. Second, the hypotheses concern administrative throughput as parameterized by licensing-to-launch latency at the license-record level. They do not assert a pass-through from broader categories of regulatory friction, including environmental review, spectrum coordination, or interagency consultation, except insofar as those frictions are absorbed in the latency variable. Third, the hypotheses are agnostic with respect to whether a non-zero beta reflects a desirable or undesirable feature of the regulatory regime. The contribution is positive rather than normative: the estimand measures whether a channel exists and how large it is, and the policy reading of that measurement is reserved for the discussion chapter.</w:t>
      </w:r>
    </w:p>
    <w:bookmarkEnd w:id="86"/>
    <w:bookmarkStart w:id="87" w:name="summary"/>
    <w:p>
      <w:pPr>
        <w:pStyle w:val="Heading2"/>
        <w:spacing w:line="480" w:lineRule="auto"/>
      </w:pPr>
      <w:r>
        <w:t xml:space="preserve">3.6 Summary</w:t>
      </w:r>
    </w:p>
    <w:p>
      <w:pPr>
        <w:pStyle w:val="FirstParagraph"/>
        <w:spacing w:line="480" w:lineRule="auto"/>
      </w:pPr>
      <w:r>
        <w:t xml:space="preserve">This chapter has stated a rate-constrained pipeline theory in which the FAA AST licensing process is treated as a pipeline element with its own throughput and latency characteristics, capable in principle of binding the rate at which United States licensed mass reaches orbit and accumulates as STM demand. The mechanism was specified in four stations, from application to authorization, authorization to flight, flight to catalogued object, and catalogued object to screening volume, with the two preceding research papers in the dissertation program located on the upstream stations of that pipeline. Paper one established that licensing throughput and payload deployment co-move strongly within the FAA regime and are statistically indistinguishable from independence outside it</w:t>
      </w:r>
      <w:r>
        <w:t xml:space="preserve"> </w:t>
      </w:r>
      <w:hyperlink w:anchor="ref-23">
        <w:r>
          <w:rPr>
            <w:rStyle w:val="Hyperlink"/>
          </w:rPr>
          <w:t xml:space="preserve">[23]</w:t>
        </w:r>
      </w:hyperlink>
      <w:r>
        <w:t xml:space="preserve">[24][25]. Paper two established that, conditional on a license being held, the structural covariates available do not order the wait until flight in any detectable way. The remaining open question, which this dissertation addresses, is whether latency at the license-record level carries the pass-through that the count measure cannot resolve.</w:t>
      </w:r>
    </w:p>
    <w:p>
      <w:pPr>
        <w:pStyle w:val="BodyText"/>
        <w:spacing w:line="480" w:lineRule="auto"/>
        <w:ind w:firstLine="720"/>
      </w:pPr>
      <w:r>
        <w:t xml:space="preserve">The null and alternative hypotheses were stated as restrictions on a single distributed-lag pass-through coefficient beta. H0 holds that beta is zero and that STM-demand accretion is exogenous to administrative throughput. H1 holds that beta is not zero and is negative, with a finite distributed lag of at most K months, and is accompanied by three auxiliary pattern predictions concerning the shape of the lag, regime heterogeneity, and count-versus-latency asymmetry at station one. The conditions of falsification were specified in terms of a precisely estimated null excluding policy-relevant magnitudes and in terms of sign reversal. The scope was bounded to the terrestrial low-Earth-orbit pass-through estimated on FAA AST-licensed United States commercial orbital launches.</w:t>
      </w:r>
    </w:p>
    <w:p>
      <w:pPr>
        <w:pStyle w:val="BodyText"/>
        <w:spacing w:line="480" w:lineRule="auto"/>
        <w:ind w:firstLine="720"/>
      </w:pPr>
      <w:r>
        <w:t xml:space="preserve">The empirical chapters that follow take up the data construction and identification strategy required to estimate beta, the threats to validity that the panel design must address, and the results of the estimation against the hypotheses stated here.</w:t>
      </w:r>
    </w:p>
    <w:bookmarkEnd w:id="87"/>
    <w:bookmarkEnd w:id="88"/>
    <w:bookmarkStart w:id="98" w:name="chapter-4.-data-and-measurement"/>
    <w:p>
      <w:pPr>
        <w:pStyle w:val="Heading1"/>
        <w:spacing w:line="480" w:lineRule="auto"/>
      </w:pPr>
      <w:r>
        <w:t xml:space="preserve">Chapter 4. Data and Measurement</w:t>
      </w:r>
    </w:p>
    <w:bookmarkStart w:id="89" w:name="purpose-and-roadmap"/>
    <w:p>
      <w:pPr>
        <w:pStyle w:val="Heading2"/>
        <w:spacing w:line="480" w:lineRule="auto"/>
      </w:pPr>
      <w:r>
        <w:t xml:space="preserve">4.1 Purpose and Roadmap</w:t>
      </w:r>
    </w:p>
    <w:p>
      <w:pPr>
        <w:pStyle w:val="FirstParagraph"/>
        <w:spacing w:line="480" w:lineRule="auto"/>
      </w:pPr>
      <w:r>
        <w:t xml:space="preserve">This chapter documents the empirical materials on which the two analytical studies of the dissertation rest. It does so for a single reason: every causal claim that follows is only as defensible as the records from which the variables are constructed. The argument of the dissertation, that Federal Aviation Administration Office of Commercial Space Transportation (FAA AST) licensing throughput and licensing-to-launch latency are candidate pace-setters of on-orbit deployment and, indirectly, of space traffic management (STM) demand, can only be settled by data that resolve regulatory action, launch outcomes, and the resulting orbital population at the same level of granularity. The chapter therefore proceeds in five movements. Section 4.2 names the datasets, their custodians, and their primary collection instruments. Section 4.3 specifies the units of analysis for the bloc-year panel in Paper 1 and the vehicle-configuration survival sample in Paper 2. Section 4.4 walks through each variable, naming the source record, the construction rule, and the join logic. Section 4.5 documents coverage, censoring, and the operational decisions that bound the sample. Section 4.6 enumerates the data-quality and provenance controls, including the rules for handling ambiguous license dates, foreign launch attribution, and rest-of-world arithmetic.</w:t>
      </w:r>
    </w:p>
    <w:p>
      <w:pPr>
        <w:pStyle w:val="BodyText"/>
        <w:spacing w:line="480" w:lineRule="auto"/>
        <w:ind w:firstLine="720"/>
      </w:pPr>
      <w:r>
        <w:t xml:space="preserve">Two principles govern the construction throughout. First, every cell traces to a named public record published by a government agency or a recognized custodian of launch and catalogue data. Second, where derivation is required, the arithmetic is explicit and reversible: rest-of-world payload counts are documented world totals minus documented United States totals; latency is documented first-flight date minus documented license-issuance date. No imputation is performed. Where a single license-issuance day cannot be pinned to its FAA record, the row is flagged in the source column rather than smoothed away.</w:t>
      </w:r>
    </w:p>
    <w:bookmarkEnd w:id="89"/>
    <w:bookmarkStart w:id="90" w:name="datasets-and-authoritative-sources"/>
    <w:p>
      <w:pPr>
        <w:pStyle w:val="Heading2"/>
        <w:spacing w:line="480" w:lineRule="auto"/>
      </w:pPr>
      <w:r>
        <w:t xml:space="preserve">4.2 Datasets and Authoritative Sources</w:t>
      </w:r>
    </w:p>
    <w:p>
      <w:pPr>
        <w:pStyle w:val="FirstParagraph"/>
        <w:spacing w:line="480" w:lineRule="auto"/>
      </w:pPr>
      <w:r>
        <w:t xml:space="preserve">The empirical platform combines four bodies of public record. Each is independently published, each is maintained by its responsible custodian, and the join keys among them are documented in the licensing and launch literature on which both papers rely.</w:t>
      </w:r>
    </w:p>
    <w:p>
      <w:pPr>
        <w:pStyle w:val="BodyText"/>
        <w:spacing w:line="480" w:lineRule="auto"/>
        <w:ind w:firstLine="720"/>
      </w:pPr>
      <w:r>
        <w:t xml:space="preserve">The first body of record is FAA AST commercial-space licensing data. The FAA Office of Commercial Space Transportation issues and posts launch and reentry licenses, including the licensed operator, the licensed vehicle, the license issuance date, and the licensed activity window</w:t>
      </w:r>
      <w:r>
        <w:t xml:space="preserve"> </w:t>
      </w:r>
      <w:hyperlink w:anchor="ref-27">
        <w:r>
          <w:rPr>
            <w:rStyle w:val="Hyperlink"/>
          </w:rPr>
          <w:t xml:space="preserve">[27]</w:t>
        </w:r>
      </w:hyperlink>
      <w:r>
        <w:t xml:space="preserve">. These records are the primary source for the licensing-throughput count used in Paper 1 and for the license-issuance dates used to construct the licensing-to-launch latency in Paper 2. The Congressional Research Service overview of commercial launch and reentry regulation provides a contemporaneous policy account of how that licensing record is generated under 14 CFR Part 415, Part 417, and the streamlined Part 450 regime, including the migration timeline that anchors the Part 450 regime indicator</w:t>
      </w:r>
      <w:r>
        <w:t xml:space="preserve"> </w:t>
      </w:r>
      <w:hyperlink w:anchor="ref-19">
        <w:r>
          <w:rPr>
            <w:rStyle w:val="Hyperlink"/>
          </w:rPr>
          <w:t xml:space="preserve">[19]</w:t>
        </w:r>
      </w:hyperlink>
      <w:r>
        <w:t xml:space="preserve">. The FAA newsroom record of recent throughput, including the agency’s own report of the most recent record for licensed commercial space operations and the launch of an Aerospace Rulemaking Committee, supplies the year-end throughput counts on which the United States series in Paper 1 is built</w:t>
      </w:r>
      <w:r>
        <w:t xml:space="preserve"> </w:t>
      </w:r>
      <w:hyperlink w:anchor="ref-24">
        <w:r>
          <w:rPr>
            <w:rStyle w:val="Hyperlink"/>
          </w:rPr>
          <w:t xml:space="preserve">[24]</w:t>
        </w:r>
      </w:hyperlink>
      <w:r>
        <w:t xml:space="preserve">.</w:t>
      </w:r>
    </w:p>
    <w:p>
      <w:pPr>
        <w:pStyle w:val="BodyText"/>
        <w:spacing w:line="480" w:lineRule="auto"/>
        <w:ind w:firstLine="720"/>
      </w:pPr>
      <w:r>
        <w:t xml:space="preserve">The second body of record is the orbital-launch and payload-placement record. For the bloc-year panel in Paper 1, the dependent variable is the count of objects placed in orbit by bloc in a given year, drawn from the United Nations Office for Outer Space Affairs Online Index of Objects Launched into Outer Space as compiled by Our World in Data</w:t>
      </w:r>
      <w:r>
        <w:t xml:space="preserve"> </w:t>
      </w:r>
      <w:hyperlink w:anchor="ref-23">
        <w:r>
          <w:rPr>
            <w:rStyle w:val="Hyperlink"/>
          </w:rPr>
          <w:t xml:space="preserve">[23]</w:t>
        </w:r>
      </w:hyperlink>
      <w:r>
        <w:t xml:space="preserve">. For rest-of-world annual launch attempts and for cross-checks on payload counts, Paper 1 also draws on Jonathan McDowell’s launch and payload statistics, a long-running and widely cited custodial dataset on orbital launch attempts and orbital payloads</w:t>
      </w:r>
      <w:r>
        <w:t xml:space="preserve"> </w:t>
      </w:r>
      <w:hyperlink w:anchor="ref-25">
        <w:r>
          <w:rPr>
            <w:rStyle w:val="Hyperlink"/>
          </w:rPr>
          <w:t xml:space="preserve">[25]</w:t>
        </w:r>
      </w:hyperlink>
      <w:r>
        <w:t xml:space="preserve">. The McDowell series is the closest available analogue to a global launch-licensing census, given that no FAA-equivalent licensing registry is universally maintained outside the United States. For Paper 2, the first-flight dates against which licensing-to-launch latency is measured are drawn from FAA AST records of licensed operations and from public launch logs, supplemented by contemporaneous trade-press reporting of specific license issuances for Falcon Heavy</w:t>
      </w:r>
      <w:r>
        <w:t xml:space="preserve"> </w:t>
      </w:r>
      <w:hyperlink w:anchor="ref-28">
        <w:r>
          <w:rPr>
            <w:rStyle w:val="Hyperlink"/>
          </w:rPr>
          <w:t xml:space="preserve">[28]</w:t>
        </w:r>
      </w:hyperlink>
      <w:r>
        <w:t xml:space="preserve">, LauncherOne and Starship</w:t>
      </w:r>
      <w:r>
        <w:t xml:space="preserve"> </w:t>
      </w:r>
      <w:hyperlink w:anchor="ref-29">
        <w:r>
          <w:rPr>
            <w:rStyle w:val="Hyperlink"/>
          </w:rPr>
          <w:t xml:space="preserve">[29]</w:t>
        </w:r>
      </w:hyperlink>
      <w:r>
        <w:t xml:space="preserve">, Astra</w:t>
      </w:r>
      <w:r>
        <w:t xml:space="preserve"> </w:t>
      </w:r>
      <w:hyperlink w:anchor="ref-30">
        <w:r>
          <w:rPr>
            <w:rStyle w:val="Hyperlink"/>
          </w:rPr>
          <w:t xml:space="preserve">[30]</w:t>
        </w:r>
      </w:hyperlink>
      <w:r>
        <w:t xml:space="preserve">, New Glenn</w:t>
      </w:r>
      <w:r>
        <w:t xml:space="preserve"> </w:t>
      </w:r>
      <w:hyperlink w:anchor="ref-31">
        <w:r>
          <w:rPr>
            <w:rStyle w:val="Hyperlink"/>
          </w:rPr>
          <w:t xml:space="preserve">[31]</w:t>
        </w:r>
      </w:hyperlink>
      <w:r>
        <w:t xml:space="preserve">, Terran 1</w:t>
      </w:r>
      <w:r>
        <w:t xml:space="preserve"> </w:t>
      </w:r>
      <w:hyperlink w:anchor="ref-32">
        <w:r>
          <w:rPr>
            <w:rStyle w:val="Hyperlink"/>
          </w:rPr>
          <w:t xml:space="preserve">[32]</w:t>
        </w:r>
      </w:hyperlink>
      <w:r>
        <w:t xml:space="preserve">, and Rocket Lab’s Launch Complex 2</w:t>
      </w:r>
      <w:r>
        <w:t xml:space="preserve"> </w:t>
      </w:r>
      <w:hyperlink w:anchor="ref-33">
        <w:r>
          <w:rPr>
            <w:rStyle w:val="Hyperlink"/>
          </w:rPr>
          <w:t xml:space="preserve">[33]</w:t>
        </w:r>
      </w:hyperlink>
      <w:r>
        <w:t xml:space="preserve">.</w:t>
      </w:r>
    </w:p>
    <w:p>
      <w:pPr>
        <w:pStyle w:val="BodyText"/>
        <w:spacing w:line="480" w:lineRule="auto"/>
        <w:ind w:firstLine="720"/>
      </w:pPr>
      <w:r>
        <w:t xml:space="preserve">The third body of record is the catalogue of resident space objects maintained by the United States Space Force through the 18th and 19th Space Defense Squadrons. The Space-Track.org general perturbations catalogue carries international designators, launch dates, object types, and decay status. The same custodial catalogue is the operational input to the NASA Conjunction Assessment Risk Analysis program, whose published concept of operations and subsequent updates document the screening volume that the STM system processes against the catalogue</w:t>
      </w:r>
      <w:r>
        <w:t xml:space="preserve"> </w:t>
      </w:r>
      <w:hyperlink w:anchor="ref-5">
        <w:r>
          <w:rPr>
            <w:rStyle w:val="Hyperlink"/>
          </w:rPr>
          <w:t xml:space="preserve">[5]</w:t>
        </w:r>
      </w:hyperlink>
      <w:r>
        <w:t xml:space="preserve">[9]. The two papers in this dissertation use the catalogue principally through its summarized payload counts as reflected in the Our World in Data series and the McDowell statistics, while reserving the full catalogue for the dissertation-level robustness work that recovers screening-load proxies and orbital-regime controls. The CARA literature, the AMOS-conference studies on maneuver guidance</w:t>
      </w:r>
      <w:r>
        <w:t xml:space="preserve"> </w:t>
      </w:r>
      <w:hyperlink w:anchor="ref-1">
        <w:r>
          <w:rPr>
            <w:rStyle w:val="Hyperlink"/>
          </w:rPr>
          <w:t xml:space="preserve">[1]</w:t>
        </w:r>
      </w:hyperlink>
      <w:r>
        <w:t xml:space="preserve"> </w:t>
      </w:r>
      <w:r>
        <w:t xml:space="preserve">and on geometry-sensitivity assessment for recently maneuvered satellites</w:t>
      </w:r>
      <w:r>
        <w:t xml:space="preserve"> </w:t>
      </w:r>
      <w:hyperlink w:anchor="ref-2">
        <w:r>
          <w:rPr>
            <w:rStyle w:val="Hyperlink"/>
          </w:rPr>
          <w:t xml:space="preserve">[2]</w:t>
        </w:r>
      </w:hyperlink>
      <w:r>
        <w:t xml:space="preserve">, and the more recent stochastic-unscented-transform treatment of probabilistic drag in conjunction assessment</w:t>
      </w:r>
      <w:r>
        <w:t xml:space="preserve"> </w:t>
      </w:r>
      <w:hyperlink w:anchor="ref-10">
        <w:r>
          <w:rPr>
            <w:rStyle w:val="Hyperlink"/>
          </w:rPr>
          <w:t xml:space="preserve">[10]</w:t>
        </w:r>
      </w:hyperlink>
      <w:r>
        <w:t xml:space="preserve"> </w:t>
      </w:r>
      <w:r>
        <w:t xml:space="preserve">document why the catalogue is the operational substrate for downstream STM demand and how its non-stationarity must be modeled.</w:t>
      </w:r>
    </w:p>
    <w:p>
      <w:pPr>
        <w:pStyle w:val="BodyText"/>
        <w:spacing w:line="480" w:lineRule="auto"/>
        <w:ind w:firstLine="720"/>
      </w:pPr>
      <w:r>
        <w:t xml:space="preserve">The fourth body of record consists of policy and context documents that govern coding rules rather than supplying numeric cells. The Congressional Research Service overview anchors the regime-transition date used to construct the Part 450 indicator</w:t>
      </w:r>
      <w:r>
        <w:t xml:space="preserve"> </w:t>
      </w:r>
      <w:hyperlink w:anchor="ref-19">
        <w:r>
          <w:rPr>
            <w:rStyle w:val="Hyperlink"/>
          </w:rPr>
          <w:t xml:space="preserve">[19]</w:t>
        </w:r>
      </w:hyperlink>
      <w:r>
        <w:t xml:space="preserve">. The Space Economy Papers corpus contributions of Stilwell and colleagues on orbital capacity and orbital classification</w:t>
      </w:r>
      <w:r>
        <w:t xml:space="preserve"> </w:t>
      </w:r>
      <w:hyperlink w:anchor="ref-11">
        <w:r>
          <w:rPr>
            <w:rStyle w:val="Hyperlink"/>
          </w:rPr>
          <w:t xml:space="preserve">[11]</w:t>
        </w:r>
      </w:hyperlink>
      <w:r>
        <w:t xml:space="preserve">[12] supply the conceptual scheme behind the orbital-regime categories that the dissertation reserves for robustness. The Space Capacity Management treatment by Colombo and colleagues</w:t>
      </w:r>
      <w:r>
        <w:t xml:space="preserve"> </w:t>
      </w:r>
      <w:hyperlink w:anchor="ref-6">
        <w:r>
          <w:rPr>
            <w:rStyle w:val="Hyperlink"/>
          </w:rPr>
          <w:t xml:space="preserve">[6]</w:t>
        </w:r>
      </w:hyperlink>
      <w:r>
        <w:t xml:space="preserve"> </w:t>
      </w:r>
      <w:r>
        <w:t xml:space="preserve">and the LEO-impact accounting by Pardini and Anselmo</w:t>
      </w:r>
      <w:r>
        <w:t xml:space="preserve"> </w:t>
      </w:r>
      <w:hyperlink w:anchor="ref-18">
        <w:r>
          <w:rPr>
            <w:rStyle w:val="Hyperlink"/>
          </w:rPr>
          <w:t xml:space="preserve">[18]</w:t>
        </w:r>
      </w:hyperlink>
      <w:r>
        <w:t xml:space="preserve"> </w:t>
      </w:r>
      <w:r>
        <w:t xml:space="preserve">define the downstream construct, conjunction-screening load, that the dependent variables of Paper 1 are designed to forecast. These documents are not sources of data cells; they are sources of definitional discipline.</w:t>
      </w:r>
    </w:p>
    <w:bookmarkEnd w:id="90"/>
    <w:bookmarkStart w:id="91" w:name="unit-of-analysis"/>
    <w:p>
      <w:pPr>
        <w:pStyle w:val="Heading2"/>
        <w:spacing w:line="480" w:lineRule="auto"/>
      </w:pPr>
      <w:r>
        <w:t xml:space="preserve">4.3 Unit of Analysis</w:t>
      </w:r>
    </w:p>
    <w:p>
      <w:pPr>
        <w:pStyle w:val="FirstParagraph"/>
        <w:spacing w:line="480" w:lineRule="auto"/>
      </w:pPr>
      <w:r>
        <w:t xml:space="preserve">Paper 1 and Paper 2 use different units of analysis, and the difference is consequential.</w:t>
      </w:r>
    </w:p>
    <w:p>
      <w:pPr>
        <w:pStyle w:val="BodyText"/>
        <w:spacing w:line="480" w:lineRule="auto"/>
        <w:ind w:firstLine="720"/>
      </w:pPr>
      <w:r>
        <w:t xml:space="preserve">In Paper 1, the unit of observation is the bloc-year. The panel comprises two blocs, the United States and the rest of the world, across the eleven years 2014 through 2024, giving twenty-two observations. The choice of bloc-year is forced by the asymmetry of the licensing record. FAA AST publishes a licensing census; no other jurisdiction publishes a directly comparable single instrument. The bloc-year design absorbs this asymmetry by treating the rest-of-world counterfactual as a single contemporaneous benchmark rather than as a heterogeneous panel of national regulators whose enforcement intensity, recordkeeping conventions, and licensing definitions would not aggregate cleanly. The bloc-year choice also matches the granularity at which throughput and payload outcomes can be jointly observed without imputation. Annual data align the FAA newsroom counts of licensed operations</w:t>
      </w:r>
      <w:r>
        <w:t xml:space="preserve"> </w:t>
      </w:r>
      <w:hyperlink w:anchor="ref-24">
        <w:r>
          <w:rPr>
            <w:rStyle w:val="Hyperlink"/>
          </w:rPr>
          <w:t xml:space="preserve">[24]</w:t>
        </w:r>
      </w:hyperlink>
      <w:r>
        <w:t xml:space="preserve">, the United Nations Office for Outer Space Affairs payload-placement series</w:t>
      </w:r>
      <w:r>
        <w:t xml:space="preserve"> </w:t>
      </w:r>
      <w:hyperlink w:anchor="ref-23">
        <w:r>
          <w:rPr>
            <w:rStyle w:val="Hyperlink"/>
          </w:rPr>
          <w:t xml:space="preserve">[23]</w:t>
        </w:r>
      </w:hyperlink>
      <w:r>
        <w:t xml:space="preserve">, and the McDowell launch-attempt series</w:t>
      </w:r>
      <w:r>
        <w:t xml:space="preserve"> </w:t>
      </w:r>
      <w:hyperlink w:anchor="ref-25">
        <w:r>
          <w:rPr>
            <w:rStyle w:val="Hyperlink"/>
          </w:rPr>
          <w:t xml:space="preserve">[25]</w:t>
        </w:r>
      </w:hyperlink>
      <w:r>
        <w:t xml:space="preserve"> </w:t>
      </w:r>
      <w:r>
        <w:t xml:space="preserve">on a common calendar without the loss of precision that monthly disaggregation would entail given uneven regulatory reporting cadence outside the United States.</w:t>
      </w:r>
    </w:p>
    <w:p>
      <w:pPr>
        <w:pStyle w:val="BodyText"/>
        <w:spacing w:line="480" w:lineRule="auto"/>
        <w:ind w:firstLine="720"/>
      </w:pPr>
      <w:r>
        <w:t xml:space="preserve">In Paper 2, the unit of observation is the FAA AST-licensed vehicle configuration. The sample comprises twenty-three United States commercial orbital launch vehicle configurations spanning 1994 through 2026. Each configuration enters the sample once, observed from its FAA license issuance to its first orbital launch attempt or to the June 2026 censoring cutoff if first flight had not occurred. A vehicle configuration is the appropriate unit because the policy mechanism under test, whether the regulatory regime or the engineering tail dominates the gap between license in hand and wheels up, operates on the licensed vehicle rather than on the operator or on the calendar year. Operators with multiple configurations contribute multiple rows, distinguished by license docket and by the vehicle architecture to which the docket attaches. This design choice ties the analysis directly to the FAA license record rather than to operator-level aggregates.</w:t>
      </w:r>
    </w:p>
    <w:p>
      <w:pPr>
        <w:pStyle w:val="BodyText"/>
        <w:spacing w:line="480" w:lineRule="auto"/>
        <w:ind w:firstLine="720"/>
      </w:pPr>
      <w:r>
        <w:t xml:space="preserve">The two units of analysis are deliberately complementary. The bloc-year panel tests whether the regulatory rate, treated as a regime-level instrument, moves with the deployment outcome it is supposed to gate. The vehicle-configuration survival sample tests whether, conditional on a license being in hand, the time to flight is paced by the regulator or by the vehicle. Together they bracket the pacing question from above and from below.</w:t>
      </w:r>
    </w:p>
    <w:bookmarkEnd w:id="91"/>
    <w:bookmarkStart w:id="94" w:name="variable-construction"/>
    <w:p>
      <w:pPr>
        <w:pStyle w:val="Heading2"/>
        <w:spacing w:line="480" w:lineRule="auto"/>
      </w:pPr>
      <w:r>
        <w:t xml:space="preserve">4.4 Variable Construction</w:t>
      </w:r>
    </w:p>
    <w:p>
      <w:pPr>
        <w:pStyle w:val="FirstParagraph"/>
        <w:spacing w:line="480" w:lineRule="auto"/>
      </w:pPr>
      <w:r>
        <w:t xml:space="preserve">This section traces each variable to its source record and states the construction rule. Variables are grouped by paper.</w:t>
      </w:r>
    </w:p>
    <w:bookmarkStart w:id="92" w:name="paper-1-variables-bloc-year-panel"/>
    <w:p>
      <w:pPr>
        <w:pStyle w:val="Heading3"/>
        <w:spacing w:line="480" w:lineRule="auto"/>
      </w:pPr>
      <w:r>
        <w:t xml:space="preserve">4.4.1 Paper 1 variables: bloc-year panel</w:t>
      </w:r>
    </w:p>
    <w:p>
      <w:pPr>
        <w:pStyle w:val="FirstParagraph"/>
        <w:spacing w:line="480" w:lineRule="auto"/>
      </w:pPr>
      <w:r>
        <w:t xml:space="preserve">The dependent variable,</w:t>
      </w:r>
      <w:r>
        <w:t xml:space="preserve"> </w:t>
      </w:r>
      <w:r>
        <w:rPr>
          <w:i/>
          <w:iCs/>
        </w:rPr>
        <w:t xml:space="preserve">payloads</w:t>
      </w:r>
      <w:r>
        <w:t xml:space="preserve">, is the count of objects placed in orbit by the bloc in the year. For the United States, the count is taken directly from the Our World in Data compilation of the United Nations Office for Outer Space Affairs Online Index of Objects Launched into Outer Space</w:t>
      </w:r>
      <w:r>
        <w:t xml:space="preserve"> </w:t>
      </w:r>
      <w:hyperlink w:anchor="ref-23">
        <w:r>
          <w:rPr>
            <w:rStyle w:val="Hyperlink"/>
          </w:rPr>
          <w:t xml:space="preserve">[23]</w:t>
        </w:r>
      </w:hyperlink>
      <w:r>
        <w:t xml:space="preserve">. For the rest of the world, the count is computed as the documented world total in the same series minus the documented United States total for the corresponding year. This explicit subtraction is preferred to assembling a national-by-national rest-of-world series because the United Nations register is itself the authoritative count of registered objects placed in orbit and because differencing eliminates the risk of double-counting payloads attributed to more than one state of registry. The construction rule for rest-of-world payloads is, in each year, payloads_RoW = payloads_world - payloads_US, with both terms drawn from</w:t>
      </w:r>
      <w:r>
        <w:t xml:space="preserve"> </w:t>
      </w:r>
      <w:hyperlink w:anchor="ref-23">
        <w:r>
          <w:rPr>
            <w:rStyle w:val="Hyperlink"/>
          </w:rPr>
          <w:t xml:space="preserve">[23]</w:t>
        </w:r>
      </w:hyperlink>
      <w:r>
        <w:t xml:space="preserve">.</w:t>
      </w:r>
    </w:p>
    <w:p>
      <w:pPr>
        <w:pStyle w:val="BodyText"/>
        <w:spacing w:line="480" w:lineRule="auto"/>
        <w:ind w:firstLine="720"/>
      </w:pPr>
      <w:r>
        <w:t xml:space="preserve">The primary regressor,</w:t>
      </w:r>
      <w:r>
        <w:t xml:space="preserve"> </w:t>
      </w:r>
      <w:r>
        <w:rPr>
          <w:i/>
          <w:iCs/>
        </w:rPr>
        <w:t xml:space="preserve">throughput</w:t>
      </w:r>
      <w:r>
        <w:t xml:space="preserve">, is annual launch-licensing throughput. For the United States, throughput is the count of FAA AST licensed commercial space operations in the calendar year, taken from FAA AST reporting and from the FAA newsroom announcement of the record year for licensed operations</w:t>
      </w:r>
      <w:r>
        <w:t xml:space="preserve"> </w:t>
      </w:r>
      <w:hyperlink w:anchor="ref-24">
        <w:r>
          <w:rPr>
            <w:rStyle w:val="Hyperlink"/>
          </w:rPr>
          <w:t xml:space="preserve">[24]</w:t>
        </w:r>
      </w:hyperlink>
      <w:r>
        <w:t xml:space="preserve">, cross-validated against the Congressional Research Service overview of the licensing instrument</w:t>
      </w:r>
      <w:r>
        <w:t xml:space="preserve"> </w:t>
      </w:r>
      <w:hyperlink w:anchor="ref-19">
        <w:r>
          <w:rPr>
            <w:rStyle w:val="Hyperlink"/>
          </w:rPr>
          <w:t xml:space="preserve">[19]</w:t>
        </w:r>
      </w:hyperlink>
      <w:r>
        <w:t xml:space="preserve">. For the rest of the world, throughput is national orbital launch attempts in the year, taken from Jonathan McDowell’s launch statistics</w:t>
      </w:r>
      <w:r>
        <w:t xml:space="preserve"> </w:t>
      </w:r>
      <w:hyperlink w:anchor="ref-25">
        <w:r>
          <w:rPr>
            <w:rStyle w:val="Hyperlink"/>
          </w:rPr>
          <w:t xml:space="preserve">[25]</w:t>
        </w:r>
      </w:hyperlink>
      <w:r>
        <w:t xml:space="preserve">. The choice of launch attempts as the rest-of-world analogue is forced by the absence of a single, FAA-equivalent licensing instrument outside the United States. Paper 1 acknowledges this asymmetry explicitly: under the FAA regime, an authorization is a near-complete census of legal launch opportunities, while in the rest of the world the attempt itself is the closest comparably collected quantity. The slopes that the design recovers are therefore best understood as throughput elasticities under each regime rather than as identically scaled coefficients.</w:t>
      </w:r>
    </w:p>
    <w:p>
      <w:pPr>
        <w:pStyle w:val="BodyText"/>
        <w:spacing w:line="480" w:lineRule="auto"/>
        <w:ind w:firstLine="720"/>
      </w:pPr>
      <w:r>
        <w:t xml:space="preserve">The</w:t>
      </w:r>
      <w:r>
        <w:t xml:space="preserve"> </w:t>
      </w:r>
      <w:r>
        <w:rPr>
          <w:i/>
          <w:iCs/>
        </w:rPr>
        <w:t xml:space="preserve">FAA-regime indicator</w:t>
      </w:r>
      <w:r>
        <w:t xml:space="preserve"> </w:t>
      </w:r>
      <w:r>
        <w:t xml:space="preserve">equals one for the United States bloc-year observations and zero for the rest-of-world bloc-year observations. The indicator carries no temporal variation within bloc and is interacted with throughput to recover the regime-specific slope that is the centerpiece of the Paper 1 hypothesis. The</w:t>
      </w:r>
      <w:r>
        <w:t xml:space="preserve"> </w:t>
      </w:r>
      <w:r>
        <w:rPr>
          <w:i/>
          <w:iCs/>
        </w:rPr>
        <w:t xml:space="preserve">year index</w:t>
      </w:r>
      <w:r>
        <w:t xml:space="preserve">,</w:t>
      </w:r>
      <w:r>
        <w:t xml:space="preserve"> </w:t>
      </w:r>
      <w:r>
        <w:rPr>
          <w:i/>
          <w:iCs/>
        </w:rPr>
        <w:t xml:space="preserve">year_idx</w:t>
      </w:r>
      <w:r>
        <w:t xml:space="preserve">, equals the calendar year minus 2014, so that the trend coefficient absorbs the common annual growth in deployment that lifts both blocs</w:t>
      </w:r>
      <w:r>
        <w:t xml:space="preserve"> </w:t>
      </w:r>
      <w:hyperlink w:anchor="ref-4">
        <w:r>
          <w:rPr>
            <w:rStyle w:val="Hyperlink"/>
          </w:rPr>
          <w:t xml:space="preserve">[4]</w:t>
        </w:r>
      </w:hyperlink>
      <w:r>
        <w:t xml:space="preserve">[5][20][21]. The interaction</w:t>
      </w:r>
      <w:r>
        <w:t xml:space="preserve"> </w:t>
      </w:r>
      <w:r>
        <w:rPr>
          <w:i/>
          <w:iCs/>
        </w:rPr>
        <w:t xml:space="preserve">throughput times faa_regime</w:t>
      </w:r>
      <w:r>
        <w:t xml:space="preserve"> </w:t>
      </w:r>
      <w:r>
        <w:t xml:space="preserve">is constructed mechanically as the product of the two terms.</w:t>
      </w:r>
    </w:p>
    <w:p>
      <w:pPr>
        <w:pStyle w:val="BodyText"/>
        <w:spacing w:line="480" w:lineRule="auto"/>
        <w:ind w:firstLine="720"/>
      </w:pPr>
      <w:r>
        <w:t xml:space="preserve">A bloc-year auxiliary regressor,</w:t>
      </w:r>
      <w:r>
        <w:t xml:space="preserve"> </w:t>
      </w:r>
      <w:r>
        <w:rPr>
          <w:i/>
          <w:iCs/>
        </w:rPr>
        <w:t xml:space="preserve">bloc launch attempts</w:t>
      </w:r>
      <w:r>
        <w:t xml:space="preserve">, is retained for transparency and for robustness checks. For the United States, this is the count of United States orbital launch attempts in the year from the McDowell series</w:t>
      </w:r>
      <w:r>
        <w:t xml:space="preserve"> </w:t>
      </w:r>
      <w:hyperlink w:anchor="ref-25">
        <w:r>
          <w:rPr>
            <w:rStyle w:val="Hyperlink"/>
          </w:rPr>
          <w:t xml:space="preserve">[25]</w:t>
        </w:r>
      </w:hyperlink>
      <w:r>
        <w:t xml:space="preserve">; for the rest of the world, it is the same series net of United States attempts. This auxiliary serves a dual purpose: it allows readers to verify that the FAA licensing count and the attempt count co-move within the United States bloc, as the policy literature predicts under a performance-based licensing regime</w:t>
      </w:r>
      <w:r>
        <w:t xml:space="preserve"> </w:t>
      </w:r>
      <w:hyperlink w:anchor="ref-19">
        <w:r>
          <w:rPr>
            <w:rStyle w:val="Hyperlink"/>
          </w:rPr>
          <w:t xml:space="preserve">[19]</w:t>
        </w:r>
      </w:hyperlink>
      <w:r>
        <w:t xml:space="preserve">, and it permits a substitution check in which throughput is replaced by attempts on both sides of the panel.</w:t>
      </w:r>
    </w:p>
    <w:bookmarkEnd w:id="92"/>
    <w:bookmarkStart w:id="93" w:name="X43823969c5262e8852ad62656e231b30dce8264"/>
    <w:p>
      <w:pPr>
        <w:pStyle w:val="Heading3"/>
        <w:spacing w:line="480" w:lineRule="auto"/>
      </w:pPr>
      <w:r>
        <w:t xml:space="preserve">4.4.2 Paper 2 variables: vehicle-configuration survival sample</w:t>
      </w:r>
    </w:p>
    <w:p>
      <w:pPr>
        <w:pStyle w:val="FirstParagraph"/>
        <w:spacing w:line="480" w:lineRule="auto"/>
      </w:pPr>
      <w:r>
        <w:t xml:space="preserve">The duration variable,</w:t>
      </w:r>
      <w:r>
        <w:t xml:space="preserve"> </w:t>
      </w:r>
      <w:r>
        <w:rPr>
          <w:i/>
          <w:iCs/>
        </w:rPr>
        <w:t xml:space="preserve">latency_months</w:t>
      </w:r>
      <w:r>
        <w:t xml:space="preserve">, is the number of months from FAA license issuance to first orbital flight attempt for the vehicle configuration. License-issuance dates are drawn from the FAA AST licensing record</w:t>
      </w:r>
      <w:r>
        <w:t xml:space="preserve"> </w:t>
      </w:r>
      <w:hyperlink w:anchor="ref-27">
        <w:r>
          <w:rPr>
            <w:rStyle w:val="Hyperlink"/>
          </w:rPr>
          <w:t xml:space="preserve">[27]</w:t>
        </w:r>
      </w:hyperlink>
      <w:r>
        <w:t xml:space="preserve"> </w:t>
      </w:r>
      <w:r>
        <w:t xml:space="preserve">and from contemporaneous trade-press reporting that documents the specific license-issuance event for each named program</w:t>
      </w:r>
      <w:r>
        <w:t xml:space="preserve"> </w:t>
      </w:r>
      <w:hyperlink w:anchor="ref-28">
        <w:r>
          <w:rPr>
            <w:rStyle w:val="Hyperlink"/>
          </w:rPr>
          <w:t xml:space="preserve">[28]</w:t>
        </w:r>
      </w:hyperlink>
      <w:r>
        <w:t xml:space="preserve">[29][30][31][32][33]. First-orbital-flight-attempt dates are drawn from public launch logs and are cross-validated against the same trade-press reporting where the license-grant article reports the planned first flight. The construction rule is latency_months = first_flight_date - license_issuance_date, expressed in months as a continuous duration. Where a single license-issuance day cannot be confirmed against an FAA-document record, the row is flagged in the source column as illustrative and is retained in the descriptive sample but treated cautiously in inferential checks, consistent with the disclosure rule in Paper 2.</w:t>
      </w:r>
    </w:p>
    <w:p>
      <w:pPr>
        <w:pStyle w:val="BodyText"/>
        <w:spacing w:line="480" w:lineRule="auto"/>
        <w:ind w:firstLine="720"/>
      </w:pPr>
      <w:r>
        <w:t xml:space="preserve">The</w:t>
      </w:r>
      <w:r>
        <w:t xml:space="preserve"> </w:t>
      </w:r>
      <w:r>
        <w:rPr>
          <w:i/>
          <w:iCs/>
        </w:rPr>
        <w:t xml:space="preserve">event indicator</w:t>
      </w:r>
      <w:r>
        <w:t xml:space="preserve"> </w:t>
      </w:r>
      <w:r>
        <w:t xml:space="preserve">equals one when the licensed vehicle flew its first orbital attempt on or before the June 2026 censoring cutoff and zero otherwise. Three of the twenty-three configurations are right-censored at the cutoff because the operator ceased commercial orbital operations or a return-to-flight remains pending; the survival framework retains these rows without discarding them, which is the principal reason a Cox proportional-hazards estimator is chosen rather than ordinary least squares on log-latency.</w:t>
      </w:r>
    </w:p>
    <w:p>
      <w:pPr>
        <w:pStyle w:val="BodyText"/>
        <w:spacing w:line="480" w:lineRule="auto"/>
        <w:ind w:firstLine="720"/>
      </w:pPr>
      <w:r>
        <w:t xml:space="preserve">The covariates are constructed as follows.</w:t>
      </w:r>
      <w:r>
        <w:t xml:space="preserve"> </w:t>
      </w:r>
      <w:r>
        <w:rPr>
          <w:i/>
          <w:iCs/>
        </w:rPr>
        <w:t xml:space="preserve">Heavy-class status</w:t>
      </w:r>
      <w:r>
        <w:t xml:space="preserve"> </w:t>
      </w:r>
      <w:r>
        <w:t xml:space="preserve">is a binary indicator equal to one if the vehicle configuration is published in the FAA AST record or the corresponding trade-press reporting as a heavy-class system. The coding rubric defines heavy class through the standard United States launch-vehicle taxonomy that aligns with the Congressional Research Service treatment of licensed vehicle categories</w:t>
      </w:r>
      <w:r>
        <w:t xml:space="preserve"> </w:t>
      </w:r>
      <w:hyperlink w:anchor="ref-19">
        <w:r>
          <w:rPr>
            <w:rStyle w:val="Hyperlink"/>
          </w:rPr>
          <w:t xml:space="preserve">[19]</w:t>
        </w:r>
      </w:hyperlink>
      <w:r>
        <w:t xml:space="preserve">.</w:t>
      </w:r>
      <w:r>
        <w:t xml:space="preserve"> </w:t>
      </w:r>
      <w:r>
        <w:rPr>
          <w:i/>
          <w:iCs/>
        </w:rPr>
        <w:t xml:space="preserve">Reusable-program status</w:t>
      </w:r>
      <w:r>
        <w:t xml:space="preserve"> </w:t>
      </w:r>
      <w:r>
        <w:t xml:space="preserve">is a binary indicator equal to one if the licensed program is documented as employing first-stage or vehicle reuse in its baseline commercial concept of operations; the rubric draws on operator filings and on the FAA’s Falcon Program record</w:t>
      </w:r>
      <w:r>
        <w:t xml:space="preserve"> </w:t>
      </w:r>
      <w:hyperlink w:anchor="ref-27">
        <w:r>
          <w:rPr>
            <w:rStyle w:val="Hyperlink"/>
          </w:rPr>
          <w:t xml:space="preserve">[27]</w:t>
        </w:r>
      </w:hyperlink>
      <w:r>
        <w:t xml:space="preserve">, with confirmation from trade-press accounts of New Glenn</w:t>
      </w:r>
      <w:r>
        <w:t xml:space="preserve"> </w:t>
      </w:r>
      <w:hyperlink w:anchor="ref-31">
        <w:r>
          <w:rPr>
            <w:rStyle w:val="Hyperlink"/>
          </w:rPr>
          <w:t xml:space="preserve">[31]</w:t>
        </w:r>
      </w:hyperlink>
      <w:r>
        <w:t xml:space="preserve"> </w:t>
      </w:r>
      <w:r>
        <w:t xml:space="preserve">and Starship</w:t>
      </w:r>
      <w:r>
        <w:t xml:space="preserve"> </w:t>
      </w:r>
      <w:hyperlink w:anchor="ref-29">
        <w:r>
          <w:rPr>
            <w:rStyle w:val="Hyperlink"/>
          </w:rPr>
          <w:t xml:space="preserve">[29]</w:t>
        </w:r>
      </w:hyperlink>
      <w:r>
        <w:t xml:space="preserve">.</w:t>
      </w:r>
      <w:r>
        <w:t xml:space="preserve"> </w:t>
      </w:r>
      <w:r>
        <w:rPr>
          <w:i/>
          <w:iCs/>
        </w:rPr>
        <w:t xml:space="preserve">Part 450 regime membership</w:t>
      </w:r>
      <w:r>
        <w:t xml:space="preserve"> </w:t>
      </w:r>
      <w:r>
        <w:t xml:space="preserve">is a binary indicator equal to one if the FAA license under which the configuration first received authorization was issued under 14 CFR Part 450 rather than under the prior Parts 415 or 417 regime. The coding rule uses the transition timeline documented in the Congressional Research Service overview</w:t>
      </w:r>
      <w:r>
        <w:t xml:space="preserve"> </w:t>
      </w:r>
      <w:hyperlink w:anchor="ref-19">
        <w:r>
          <w:rPr>
            <w:rStyle w:val="Hyperlink"/>
          </w:rPr>
          <w:t xml:space="preserve">[19]</w:t>
        </w:r>
      </w:hyperlink>
      <w:r>
        <w:t xml:space="preserve"> </w:t>
      </w:r>
      <w:r>
        <w:t xml:space="preserve">and is verified against the FAA newsroom record for the post-transition years</w:t>
      </w:r>
      <w:r>
        <w:t xml:space="preserve"> </w:t>
      </w:r>
      <w:hyperlink w:anchor="ref-24">
        <w:r>
          <w:rPr>
            <w:rStyle w:val="Hyperlink"/>
          </w:rPr>
          <w:t xml:space="preserve">[24]</w:t>
        </w:r>
      </w:hyperlink>
      <w:r>
        <w:t xml:space="preserve">.</w:t>
      </w:r>
      <w:r>
        <w:t xml:space="preserve"> </w:t>
      </w:r>
      <w:r>
        <w:rPr>
          <w:i/>
          <w:iCs/>
        </w:rPr>
        <w:t xml:space="preserve">Log payload capacity</w:t>
      </w:r>
      <w:r>
        <w:t xml:space="preserve"> </w:t>
      </w:r>
      <w:r>
        <w:t xml:space="preserve">is the natural logarithm of the advertised low-Earth-orbit capacity in kilograms for the configuration, drawn from operator filings and FAA license records</w:t>
      </w:r>
      <w:r>
        <w:t xml:space="preserve"> </w:t>
      </w:r>
      <w:hyperlink w:anchor="ref-27">
        <w:r>
          <w:rPr>
            <w:rStyle w:val="Hyperlink"/>
          </w:rPr>
          <w:t xml:space="preserve">[27]</w:t>
        </w:r>
      </w:hyperlink>
      <w:r>
        <w:t xml:space="preserve">. The natural-log transformation accommodates the spread of capacities across two orders of magnitude from small-lift vehicles to super-heavy systems and stabilizes the influence of the largest configurations on the hazard estimate.</w:t>
      </w:r>
    </w:p>
    <w:bookmarkEnd w:id="93"/>
    <w:bookmarkEnd w:id="94"/>
    <w:bookmarkStart w:id="95" w:name="coverage-censoring-and-sample-boundaries"/>
    <w:p>
      <w:pPr>
        <w:pStyle w:val="Heading2"/>
        <w:spacing w:line="480" w:lineRule="auto"/>
      </w:pPr>
      <w:r>
        <w:t xml:space="preserve">4.5 Coverage, Censoring, and Sample Boundaries</w:t>
      </w:r>
    </w:p>
    <w:p>
      <w:pPr>
        <w:pStyle w:val="FirstParagraph"/>
        <w:spacing w:line="480" w:lineRule="auto"/>
      </w:pPr>
      <w:r>
        <w:t xml:space="preserve">The Paper 1 panel spans 2014 through 2024 because the United Nations payload series and the FAA throughput series are jointly available on consistent definitions over those years</w:t>
      </w:r>
      <w:r>
        <w:t xml:space="preserve"> </w:t>
      </w:r>
      <w:hyperlink w:anchor="ref-23">
        <w:r>
          <w:rPr>
            <w:rStyle w:val="Hyperlink"/>
          </w:rPr>
          <w:t xml:space="preserve">[23]</w:t>
        </w:r>
      </w:hyperlink>
      <w:r>
        <w:t xml:space="preserve">[24]. The pre-2014 record carries definitional shifts in the FAA AST series and an uneven United Nations register that would require backfilling decisions inconsistent with the dissertation’s no-imputation rule. The panel terminates at 2024 because the 2025 cycle is incomplete at the time of analysis; closing the panel before any single-year value requires extrapolation is preferred to ending on a partial cell.</w:t>
      </w:r>
    </w:p>
    <w:p>
      <w:pPr>
        <w:pStyle w:val="BodyText"/>
        <w:spacing w:line="480" w:lineRule="auto"/>
        <w:ind w:firstLine="720"/>
      </w:pPr>
      <w:r>
        <w:t xml:space="preserve">The Paper 2 sample spans 1994 through 2026 and is bounded by the dates at which FAA AST began licensing United States commercial orbital launch vehicles and by the June 2026 censoring cutoff. The twenty-three configurations are the universe of FAA AST-licensed commercial orbital launch vehicle configurations whose license docket and first-flight outcome can be pinned to public record at the level of detail the survival framework requires. The sample excludes suborbital configurations, government-only vehicles, and reentry-only licensed activities, because none of these address the dissertation’s pacing question for on-orbit deployment. Three configurations are right-censored at the cutoff and the remaining twenty record an event. The descriptive picture, a median latency of one and a half months and a mean of approximately four and a third months among the flown configurations, is reported in Paper 2 and is not re-derived here.</w:t>
      </w:r>
    </w:p>
    <w:p>
      <w:pPr>
        <w:pStyle w:val="BodyText"/>
        <w:spacing w:line="480" w:lineRule="auto"/>
        <w:ind w:firstLine="720"/>
      </w:pPr>
      <w:r>
        <w:t xml:space="preserve">The catalogue side of the dissertation, which Paper 1 and Paper 2 do not estimate directly but which supplies the substantive link to STM demand, is sourced from the United States Space Force catalogue and from the NASA CARA program literature</w:t>
      </w:r>
      <w:r>
        <w:t xml:space="preserve"> </w:t>
      </w:r>
      <w:hyperlink w:anchor="ref-5">
        <w:r>
          <w:rPr>
            <w:rStyle w:val="Hyperlink"/>
          </w:rPr>
          <w:t xml:space="preserve">[5]</w:t>
        </w:r>
      </w:hyperlink>
      <w:r>
        <w:t xml:space="preserve">[9]. Where the catalogue is used as a robustness construct, the join key is the international designator, which uniquely identifies a launched object and ties it to the licensed launch that placed it on orbit. Foreign launches and ambiguous rideshare manifests are excluded from any United States-licensed attribution under the sensitivity rule documented in Section 4.6.</w:t>
      </w:r>
    </w:p>
    <w:bookmarkEnd w:id="95"/>
    <w:bookmarkStart w:id="96" w:name="Xb48402ea3a177726f3ee5a47b47eea60b37b93c"/>
    <w:p>
      <w:pPr>
        <w:pStyle w:val="Heading2"/>
        <w:spacing w:line="480" w:lineRule="auto"/>
      </w:pPr>
      <w:r>
        <w:t xml:space="preserve">4.6 Provenance Controls, Quality Rules, and Handling of Ambiguity</w:t>
      </w:r>
    </w:p>
    <w:p>
      <w:pPr>
        <w:pStyle w:val="FirstParagraph"/>
        <w:spacing w:line="480" w:lineRule="auto"/>
      </w:pPr>
      <w:r>
        <w:t xml:space="preserve">Four provenance rules govern the construction of the empirical platform.</w:t>
      </w:r>
    </w:p>
    <w:p>
      <w:pPr>
        <w:pStyle w:val="BodyText"/>
        <w:spacing w:line="480" w:lineRule="auto"/>
        <w:ind w:firstLine="720"/>
      </w:pPr>
      <w:r>
        <w:t xml:space="preserve">First, every cell in the bloc-year panel and every row in the vehicle-configuration sample names its source. For the bloc-year panel, the source for</w:t>
      </w:r>
      <w:r>
        <w:t xml:space="preserve"> </w:t>
      </w:r>
      <w:r>
        <w:rPr>
          <w:i/>
          <w:iCs/>
        </w:rPr>
        <w:t xml:space="preserve">payloads</w:t>
      </w:r>
      <w:r>
        <w:t xml:space="preserve"> </w:t>
      </w:r>
      <w:r>
        <w:t xml:space="preserve">is the Our World in Data compilation of the United Nations register</w:t>
      </w:r>
      <w:r>
        <w:t xml:space="preserve"> </w:t>
      </w:r>
      <w:hyperlink w:anchor="ref-23">
        <w:r>
          <w:rPr>
            <w:rStyle w:val="Hyperlink"/>
          </w:rPr>
          <w:t xml:space="preserve">[23]</w:t>
        </w:r>
      </w:hyperlink>
      <w:r>
        <w:t xml:space="preserve">, the source for United States</w:t>
      </w:r>
      <w:r>
        <w:t xml:space="preserve"> </w:t>
      </w:r>
      <w:r>
        <w:rPr>
          <w:i/>
          <w:iCs/>
        </w:rPr>
        <w:t xml:space="preserve">throughput</w:t>
      </w:r>
      <w:r>
        <w:t xml:space="preserve"> </w:t>
      </w:r>
      <w:r>
        <w:t xml:space="preserve">is the FAA AST record and newsroom announcement</w:t>
      </w:r>
      <w:r>
        <w:t xml:space="preserve"> </w:t>
      </w:r>
      <w:hyperlink w:anchor="ref-24">
        <w:r>
          <w:rPr>
            <w:rStyle w:val="Hyperlink"/>
          </w:rPr>
          <w:t xml:space="preserve">[24]</w:t>
        </w:r>
      </w:hyperlink>
      <w:r>
        <w:t xml:space="preserve"> </w:t>
      </w:r>
      <w:r>
        <w:t xml:space="preserve">cross-checked against the Congressional Research Service overview</w:t>
      </w:r>
      <w:r>
        <w:t xml:space="preserve"> </w:t>
      </w:r>
      <w:hyperlink w:anchor="ref-19">
        <w:r>
          <w:rPr>
            <w:rStyle w:val="Hyperlink"/>
          </w:rPr>
          <w:t xml:space="preserve">[19]</w:t>
        </w:r>
      </w:hyperlink>
      <w:r>
        <w:t xml:space="preserve">, and the source for rest-of-world</w:t>
      </w:r>
      <w:r>
        <w:t xml:space="preserve"> </w:t>
      </w:r>
      <w:r>
        <w:rPr>
          <w:i/>
          <w:iCs/>
        </w:rPr>
        <w:t xml:space="preserve">throughput</w:t>
      </w:r>
      <w:r>
        <w:t xml:space="preserve"> </w:t>
      </w:r>
      <w:r>
        <w:t xml:space="preserve">is the McDowell launch statistics</w:t>
      </w:r>
      <w:r>
        <w:t xml:space="preserve"> </w:t>
      </w:r>
      <w:hyperlink w:anchor="ref-25">
        <w:r>
          <w:rPr>
            <w:rStyle w:val="Hyperlink"/>
          </w:rPr>
          <w:t xml:space="preserve">[25]</w:t>
        </w:r>
      </w:hyperlink>
      <w:r>
        <w:t xml:space="preserve">. For the vehicle-configuration sample, the source for</w:t>
      </w:r>
      <w:r>
        <w:t xml:space="preserve"> </w:t>
      </w:r>
      <w:r>
        <w:rPr>
          <w:i/>
          <w:iCs/>
        </w:rPr>
        <w:t xml:space="preserve">license issuance dates</w:t>
      </w:r>
      <w:r>
        <w:t xml:space="preserve"> </w:t>
      </w:r>
      <w:r>
        <w:t xml:space="preserve">is the FAA AST licensing record</w:t>
      </w:r>
      <w:r>
        <w:t xml:space="preserve"> </w:t>
      </w:r>
      <w:hyperlink w:anchor="ref-27">
        <w:r>
          <w:rPr>
            <w:rStyle w:val="Hyperlink"/>
          </w:rPr>
          <w:t xml:space="preserve">[27]</w:t>
        </w:r>
      </w:hyperlink>
      <w:r>
        <w:t xml:space="preserve">, supplemented by the named trade-press reports for each documented license event</w:t>
      </w:r>
      <w:r>
        <w:t xml:space="preserve"> </w:t>
      </w:r>
      <w:hyperlink w:anchor="ref-28">
        <w:r>
          <w:rPr>
            <w:rStyle w:val="Hyperlink"/>
          </w:rPr>
          <w:t xml:space="preserve">[28]</w:t>
        </w:r>
      </w:hyperlink>
      <w:r>
        <w:t xml:space="preserve">[29][30][31][32][33], and the source for</w:t>
      </w:r>
      <w:r>
        <w:t xml:space="preserve"> </w:t>
      </w:r>
      <w:r>
        <w:rPr>
          <w:i/>
          <w:iCs/>
        </w:rPr>
        <w:t xml:space="preserve">first-flight dates</w:t>
      </w:r>
      <w:r>
        <w:t xml:space="preserve"> </w:t>
      </w:r>
      <w:r>
        <w:t xml:space="preserve">is the public launch log cross-validated against the same trade-press record. No cell is constructed from a single anonymous source.</w:t>
      </w:r>
    </w:p>
    <w:p>
      <w:pPr>
        <w:pStyle w:val="BodyText"/>
        <w:spacing w:line="480" w:lineRule="auto"/>
        <w:ind w:firstLine="720"/>
      </w:pPr>
      <w:r>
        <w:t xml:space="preserve">Second, rest-of-world payload counts in Paper 1 are computed by explicit subtraction. The construction rule, payloads_RoW = payloads_world - payloads_US in the United Nations series</w:t>
      </w:r>
      <w:r>
        <w:t xml:space="preserve"> </w:t>
      </w:r>
      <w:hyperlink w:anchor="ref-23">
        <w:r>
          <w:rPr>
            <w:rStyle w:val="Hyperlink"/>
          </w:rPr>
          <w:t xml:space="preserve">[23]</w:t>
        </w:r>
      </w:hyperlink>
      <w:r>
        <w:t xml:space="preserve">, is fully reversible from the published totals. This rule prevents the silent introduction of national series that are not jointly maintained on consistent definitions.</w:t>
      </w:r>
    </w:p>
    <w:p>
      <w:pPr>
        <w:pStyle w:val="BodyText"/>
        <w:spacing w:line="480" w:lineRule="auto"/>
        <w:ind w:firstLine="720"/>
      </w:pPr>
      <w:r>
        <w:t xml:space="preserve">Third, ambiguous license-issuance dates in Paper 2 are flagged rather than imputed. Where an individual license-issuance month can be pinned to a year but not to a day in the FAA record, the row is marked illustrative in the source column. Such rows are retained in the descriptive sample because excluding them would bias the sample toward better-documented programs, but they are subjected to a sensitivity check in which the inferential results are re-estimated with the illustrative rows withheld. Paper 2 reports this disclosure directly.</w:t>
      </w:r>
    </w:p>
    <w:p>
      <w:pPr>
        <w:pStyle w:val="BodyText"/>
        <w:spacing w:line="480" w:lineRule="auto"/>
        <w:ind w:firstLine="720"/>
      </w:pPr>
      <w:r>
        <w:t xml:space="preserve">Fourth, the dissertation’s broader robustness machinery, which is staged through the catalogue and screening-volume constructs, will treat catalogue and screening non-stationarity as a known modeling challenge rather than as an artifact to be smoothed. The CARA concept of operations and its subsequent extensions document sensor upgrades and threshold changes that shift downstream screening volume independently of launch cadence</w:t>
      </w:r>
      <w:r>
        <w:t xml:space="preserve"> </w:t>
      </w:r>
      <w:hyperlink w:anchor="ref-5">
        <w:r>
          <w:rPr>
            <w:rStyle w:val="Hyperlink"/>
          </w:rPr>
          <w:t xml:space="preserve">[5]</w:t>
        </w:r>
      </w:hyperlink>
      <w:r>
        <w:t xml:space="preserve">[9]. The dissertation will absorb these shifts through calendar-time effects in any catalogue-side estimation and will inform regime-specific controls by reference to the constellation-risk literature that anchors the major regime breaks in low Earth orbit</w:t>
      </w:r>
      <w:r>
        <w:t xml:space="preserve"> </w:t>
      </w:r>
      <w:hyperlink w:anchor="ref-13">
        <w:r>
          <w:rPr>
            <w:rStyle w:val="Hyperlink"/>
          </w:rPr>
          <w:t xml:space="preserve">[13]</w:t>
        </w:r>
      </w:hyperlink>
      <w:r>
        <w:t xml:space="preserve">[14][15][16].</w:t>
      </w:r>
    </w:p>
    <w:p>
      <w:pPr>
        <w:pStyle w:val="BodyText"/>
        <w:spacing w:line="480" w:lineRule="auto"/>
        <w:ind w:firstLine="720"/>
      </w:pPr>
      <w:r>
        <w:t xml:space="preserve">Two further controls deserve explicit mention. The attribution of catalogued objects to FAA-licensed launches is governed by the international designator. Foreign launches, government-only launches, and ambiguous rideshare manifests are excluded from United States-licensed attribution in any future catalogue-side estimation, and are flagged in the bloc-year panel only to the extent that they enter the documented payload totals on which rest-of-world counts are derived by subtraction. The external validity of the terrestrial-LEO estimand to the cislunar setting is bounded explicitly. Cislunar STM frameworks are nascent</w:t>
      </w:r>
      <w:r>
        <w:t xml:space="preserve"> </w:t>
      </w:r>
      <w:hyperlink w:anchor="ref-3">
        <w:r>
          <w:rPr>
            <w:rStyle w:val="Hyperlink"/>
          </w:rPr>
          <w:t xml:space="preserve">[3]</w:t>
        </w:r>
      </w:hyperlink>
      <w:r>
        <w:t xml:space="preserve">[7], and the dissertation will treat the cislunar extension as a forward research agenda rather than as a claim of the present empirical platform.</w:t>
      </w:r>
    </w:p>
    <w:bookmarkEnd w:id="96"/>
    <w:bookmarkStart w:id="97" w:name="summary-1"/>
    <w:p>
      <w:pPr>
        <w:pStyle w:val="Heading2"/>
        <w:spacing w:line="480" w:lineRule="auto"/>
      </w:pPr>
      <w:r>
        <w:t xml:space="preserve">4.7 Summary</w:t>
      </w:r>
    </w:p>
    <w:p>
      <w:pPr>
        <w:pStyle w:val="FirstParagraph"/>
        <w:spacing w:line="480" w:lineRule="auto"/>
      </w:pPr>
      <w:r>
        <w:t xml:space="preserve">The data platform of this dissertation rests on four bodies of public record: the FAA AST commercial-space licensing record</w:t>
      </w:r>
      <w:r>
        <w:t xml:space="preserve"> </w:t>
      </w:r>
      <w:hyperlink w:anchor="ref-19">
        <w:r>
          <w:rPr>
            <w:rStyle w:val="Hyperlink"/>
          </w:rPr>
          <w:t xml:space="preserve">[19]</w:t>
        </w:r>
      </w:hyperlink>
      <w:r>
        <w:t xml:space="preserve">[24][27], the United Nations Office for Outer Space Affairs payload-placement series as compiled by Our World in Data</w:t>
      </w:r>
      <w:r>
        <w:t xml:space="preserve"> </w:t>
      </w:r>
      <w:hyperlink w:anchor="ref-23">
        <w:r>
          <w:rPr>
            <w:rStyle w:val="Hyperlink"/>
          </w:rPr>
          <w:t xml:space="preserve">[23]</w:t>
        </w:r>
      </w:hyperlink>
      <w:r>
        <w:t xml:space="preserve">, the McDowell launch and payload statistics</w:t>
      </w:r>
      <w:r>
        <w:t xml:space="preserve"> </w:t>
      </w:r>
      <w:hyperlink w:anchor="ref-25">
        <w:r>
          <w:rPr>
            <w:rStyle w:val="Hyperlink"/>
          </w:rPr>
          <w:t xml:space="preserve">[25]</w:t>
        </w:r>
      </w:hyperlink>
      <w:r>
        <w:t xml:space="preserve">, and the United States Space Force catalogue with its NASA CARA operational interface</w:t>
      </w:r>
      <w:r>
        <w:t xml:space="preserve"> </w:t>
      </w:r>
      <w:hyperlink w:anchor="ref-5">
        <w:r>
          <w:rPr>
            <w:rStyle w:val="Hyperlink"/>
          </w:rPr>
          <w:t xml:space="preserve">[5]</w:t>
        </w:r>
      </w:hyperlink>
      <w:r>
        <w:t xml:space="preserve">[9]. Paper 1 assembles a bloc-year panel of twenty-two observations from the first three of those bodies, with rest-of-world counts constructed by explicit subtraction. Paper 2 assembles a vehicle-configuration survival sample of twenty-three United States commercial orbital launch vehicles, with license-issuance dates drawn from the FAA record and from named trade-press confirmations</w:t>
      </w:r>
      <w:r>
        <w:t xml:space="preserve"> </w:t>
      </w:r>
      <w:hyperlink w:anchor="ref-28">
        <w:r>
          <w:rPr>
            <w:rStyle w:val="Hyperlink"/>
          </w:rPr>
          <w:t xml:space="preserve">[28]</w:t>
        </w:r>
      </w:hyperlink>
      <w:r>
        <w:t xml:space="preserve">[29][30][31][32][33], first-flight dates drawn from public launch logs, and three right-censored rows retained under the survival framework. The construction rules are explicit, reversible, and stated in source documents that are independently maintained. The chapters that follow estimate the pacing relationships these data are designed to identify, and the limits the data impose, including the asymmetry of throughput measures across blocs, the modest size of the vehicle-configuration sample, and the no-imputation rule for ambiguous license dates, are inherited directly into the inferential claims those chapters make.</w:t>
      </w:r>
    </w:p>
    <w:bookmarkEnd w:id="97"/>
    <w:bookmarkEnd w:id="98"/>
    <w:bookmarkStart w:id="119" w:name="chapter-5.-methods-and-identification"/>
    <w:p>
      <w:pPr>
        <w:pStyle w:val="Heading1"/>
        <w:spacing w:line="480" w:lineRule="auto"/>
      </w:pPr>
      <w:r>
        <w:t xml:space="preserve">Chapter 5. Methods and Identification</w:t>
      </w:r>
    </w:p>
    <w:bookmarkStart w:id="99" w:name="overview-and-roadmap"/>
    <w:p>
      <w:pPr>
        <w:pStyle w:val="Heading2"/>
        <w:spacing w:line="480" w:lineRule="auto"/>
      </w:pPr>
      <w:r>
        <w:t xml:space="preserve">5.1 Overview and Roadmap</w:t>
      </w:r>
    </w:p>
    <w:p>
      <w:pPr>
        <w:pStyle w:val="FirstParagraph"/>
        <w:spacing w:line="480" w:lineRule="auto"/>
      </w:pPr>
      <w:r>
        <w:t xml:space="preserve">The empirical question this dissertation poses is causal in form and modest in claim. It asks whether the throughput of the FAA AST commercial space transportation licensing process functions as a binding rate constraint on the cadence at which mass reaches orbit, and therefore as an upstream pacer of the conjunction-screening load that space traffic management (STM) systems must clear</w:t>
      </w:r>
      <w:r>
        <w:t xml:space="preserve"> </w:t>
      </w:r>
      <w:hyperlink w:anchor="ref-4">
        <w:r>
          <w:rPr>
            <w:rStyle w:val="Hyperlink"/>
          </w:rPr>
          <w:t xml:space="preserve">[4]</w:t>
        </w:r>
      </w:hyperlink>
      <w:r>
        <w:t xml:space="preserve">[5][9]. The estimand of interest is the pass-through coefficient linking licensing-to-launch latency, measured per vehicle and per operator, to the subsequent monthly accretion of catalogued resident space objects attributable to United States licensed launches, and secondarily to the screening volume that those objects impose on operational conjunction-assessment pipelines</w:t>
      </w:r>
      <w:r>
        <w:t xml:space="preserve"> </w:t>
      </w:r>
      <w:hyperlink w:anchor="ref-5">
        <w:r>
          <w:rPr>
            <w:rStyle w:val="Hyperlink"/>
          </w:rPr>
          <w:t xml:space="preserve">[5]</w:t>
        </w:r>
      </w:hyperlink>
      <w:r>
        <w:t xml:space="preserve">[9][10]. This chapter sets out the estimators by which that coefficient is recovered, the identification strategy that distinguishes pass-through from confounded co-movement, and the threats to validity that any such recovery must withstand. Each threat is paired with a specific bound on the inference, so that the chapter’s commitments can be audited by subsequent chapters and by external reviewers.</w:t>
      </w:r>
    </w:p>
    <w:p>
      <w:pPr>
        <w:pStyle w:val="BodyText"/>
        <w:spacing w:line="480" w:lineRule="auto"/>
        <w:ind w:firstLine="720"/>
      </w:pPr>
      <w:r>
        <w:t xml:space="preserve">The chapter proceeds in four substantive blocks. Section 5.2 fixes the units of analysis, the estimands, and the notation. Section 5.3 specifies the three estimators used in concert: a panel distributed-lag fixed-effects regression that is the workhorse, a difference-in-differences contrast around discrete regulatory-regime transitions, and a Cox proportional-hazards survival recast of the vehicle-level latency series. Section 5.4 sets out the identification strategy, which rests on three sources of plausibly exogenous variation in licensing latency: queue congestion at AST that is orthogonal to a given operator’s own demand, the sharp date of the 14 CFR Part 450 regulatory transition, and a two-bloc United States versus rest-of-world contemporaneous benchmark drawn from the first companion paper. Section 5.5 enumerates the threats to validity, ordered from the most consequential downward, and binds each to a sensitivity test or a stated limit on the inference. Section 5.6 closes with the pre-analysis commitments: the falsification protocol, the placebo battery, and the reporting standard.</w:t>
      </w:r>
    </w:p>
    <w:bookmarkEnd w:id="99"/>
    <w:bookmarkStart w:id="100" w:name="units-estimands-and-notation"/>
    <w:p>
      <w:pPr>
        <w:pStyle w:val="Heading2"/>
        <w:spacing w:line="480" w:lineRule="auto"/>
      </w:pPr>
      <w:r>
        <w:t xml:space="preserve">5.2 Units, Estimands, and Notation</w:t>
      </w:r>
    </w:p>
    <w:p>
      <w:pPr>
        <w:pStyle w:val="FirstParagraph"/>
        <w:spacing w:line="480" w:lineRule="auto"/>
      </w:pPr>
      <w:r>
        <w:t xml:space="preserve">The primary panel is at the operator-by-month level, indexed by operator i and calendar month t. The dependent variable D(i,t) is STM-demand accretion attributable to operator i in month t, operationalized in three layered forms: D1, the count of payloads with international designators traceable to FAA AST-licensed launches conducted by operator i and catalogued in month t; D2, the cumulative on-orbit population from operator i resident in the catalogue at the close of month t; and D3, a conjunction-screening-load proxy constructed as a weighted catalogue-density measure that follows the published CARA screening posture</w:t>
      </w:r>
      <w:r>
        <w:t xml:space="preserve"> </w:t>
      </w:r>
      <w:hyperlink w:anchor="ref-5">
        <w:r>
          <w:rPr>
            <w:rStyle w:val="Hyperlink"/>
          </w:rPr>
          <w:t xml:space="preserve">[5]</w:t>
        </w:r>
      </w:hyperlink>
      <w:r>
        <w:t xml:space="preserve">[9]. The companion vehicle-level panel, indexed by license docket j, holds the duration T(j) from FAA license issuance to first orbital flight, with right-censoring for vehicles licensed but not yet flown at the data cutoff.</w:t>
      </w:r>
    </w:p>
    <w:p>
      <w:pPr>
        <w:pStyle w:val="BodyText"/>
        <w:spacing w:line="480" w:lineRule="auto"/>
        <w:ind w:firstLine="720"/>
      </w:pPr>
      <w:r>
        <w:t xml:space="preserve">The principal regressor is L(i,t), defined as the mean licensing-to-launch latency in months across all FAA AST license dockets for operator i that resolved (either by issuance or by first flight) during month t. Where the operator placed no dockets in a given month, L is treated as missing and the cell is excluded from the within-operator estimator rather than imputed. The controls X(i,t) include orbital regime (LEO sub-bands, MEO, GEO, HEO), vehicle class (small, medium, heavy as coded in the companion vehicle file), mean licensed payload mass, and a flag for rideshare manifests. Operator fixed effects α(i) absorb all time-invariant operator heterogeneity, including business model, vehicle inventory, and contracting posture. Calendar-time fixed effects γ(t) absorb catalogue-wide shocks, including sensor upgrades, CARA screening-threshold changes, and catalogue-maintenance episodes documented in the conjunction-assessment record</w:t>
      </w:r>
      <w:r>
        <w:t xml:space="preserve"> </w:t>
      </w:r>
      <w:hyperlink w:anchor="ref-5">
        <w:r>
          <w:rPr>
            <w:rStyle w:val="Hyperlink"/>
          </w:rPr>
          <w:t xml:space="preserve">[5]</w:t>
        </w:r>
      </w:hyperlink>
      <w:r>
        <w:t xml:space="preserve">[9][10].</w:t>
      </w:r>
    </w:p>
    <w:p>
      <w:pPr>
        <w:pStyle w:val="BodyText"/>
        <w:spacing w:line="480" w:lineRule="auto"/>
        <w:ind w:firstLine="720"/>
      </w:pPr>
      <w:r>
        <w:t xml:space="preserve">The estimand of central interest is the cumulative pass-through Σβ(k) over a finite distributed lag k = 0, …, K, with K chosen as the smallest lag length beyond which the marginal β(k) is statistically indistinguishable from zero in a pre-specified validation sample. The null hypothesis is H0: Σβ(k) = 0, and the directional alternative is H1: Σβ(k) &lt; 0 under the latency parameterization in which longer licensing latency depresses near-term licensed mass on orbit. A precisely estimated cumulative coefficient whose confidence interval excludes policy-relevant magnitudes is the falsifying outcome that retires the proposed channel from the literature; this is the single quantity the dissertation is built to recover.</w:t>
      </w:r>
    </w:p>
    <w:bookmarkEnd w:id="100"/>
    <w:bookmarkStart w:id="104" w:name="estimators"/>
    <w:p>
      <w:pPr>
        <w:pStyle w:val="Heading2"/>
        <w:spacing w:line="480" w:lineRule="auto"/>
      </w:pPr>
      <w:r>
        <w:t xml:space="preserve">5.3 Estimators</w:t>
      </w:r>
    </w:p>
    <w:bookmarkStart w:id="101" w:name="X648fff908d8f8c863a06f96a0a36d2c15700127"/>
    <w:p>
      <w:pPr>
        <w:pStyle w:val="Heading3"/>
        <w:spacing w:line="480" w:lineRule="auto"/>
      </w:pPr>
      <w:r>
        <w:t xml:space="preserve">5.3.1 Panel Distributed-Lag Fixed-Effects Regression</w:t>
      </w:r>
    </w:p>
    <w:p>
      <w:pPr>
        <w:pStyle w:val="FirstParagraph"/>
        <w:spacing w:line="480" w:lineRule="auto"/>
      </w:pPr>
      <w:r>
        <w:t xml:space="preserve">The workhorse estimator is the two-way fixed-effects distributed-lag specification introduced in the prospectus:</w:t>
      </w:r>
    </w:p>
    <w:p>
      <w:pPr>
        <w:pStyle w:val="BodyText"/>
        <w:spacing w:line="480" w:lineRule="auto"/>
        <w:ind w:firstLine="720"/>
      </w:pPr>
      <w:r>
        <w:t xml:space="preserve">D(i,t) = α(i) + γ(t) + Σ(k=0 to K) β(k) · L(i, t−k) + X(i,t)θ + ε(i,t).</w:t>
      </w:r>
    </w:p>
    <w:p>
      <w:pPr>
        <w:pStyle w:val="BodyText"/>
        <w:spacing w:line="480" w:lineRule="auto"/>
        <w:ind w:firstLine="720"/>
      </w:pPr>
      <w:r>
        <w:t xml:space="preserve">The estimator is implemented as a within transformation absorbing α(i) and γ(t), with standard errors clustered at the operator level and, in a robustness layer, two-way clustered at operator and at month. Clustering at the operator level reflects the realistic unit of treatment, since an operator’s licensing latency in adjacent months is serially correlated through queue position and license-by-license dependencies, and screening load attributable to a given operator is serially correlated through orbital lifetime. The lag length K is selected by pre-registering a small grid (K ∈ {3, 6, 9, 12} months) and reporting all four cumulative pass-throughs side by side; the headline coefficient is the K that minimizes a pre-specified information criterion on the training half of the panel, with the held-out half used to validate the lag selection.</w:t>
      </w:r>
    </w:p>
    <w:p>
      <w:pPr>
        <w:pStyle w:val="BodyText"/>
        <w:spacing w:line="480" w:lineRule="auto"/>
        <w:ind w:firstLine="720"/>
      </w:pPr>
      <w:r>
        <w:t xml:space="preserve">This estimator is the workhorse because it is transparent, replicates exactly across operators and time, and absorbs the most consequential nuisance variation. It is not, however, sufficient on its own. Within-operator variation in latency can still be contaminated by anticipation effects, in which an operator times its license submissions against expected demand, and by reverse causation, in which the regulator allocates scrutiny in proportion to anticipated cadence. Sections 5.3.2 and 5.3.3 introduce the complementary estimators that bound these residual concerns.</w:t>
      </w:r>
    </w:p>
    <w:bookmarkEnd w:id="101"/>
    <w:bookmarkStart w:id="102" w:name="Xdc77f29903bad74ed2fcabd76c62a8deea86b97"/>
    <w:p>
      <w:pPr>
        <w:pStyle w:val="Heading3"/>
        <w:spacing w:line="480" w:lineRule="auto"/>
      </w:pPr>
      <w:r>
        <w:t xml:space="preserve">5.3.2 Difference-in-Differences Around Regulatory-Regime Transitions</w:t>
      </w:r>
    </w:p>
    <w:p>
      <w:pPr>
        <w:pStyle w:val="FirstParagraph"/>
        <w:spacing w:line="480" w:lineRule="auto"/>
      </w:pPr>
      <w:r>
        <w:t xml:space="preserve">A sharp discrete change in the licensing regime offers a natural experiment that the workhorse estimator alone cannot exploit. The 14 CFR Part 450 streamlining took effect in March 2021 and was designed to compress administrative friction across all applicants by replacing prescriptive requirements with performance-based ones</w:t>
      </w:r>
      <w:r>
        <w:t xml:space="preserve"> </w:t>
      </w:r>
      <w:hyperlink w:anchor="ref-19">
        <w:r>
          <w:rPr>
            <w:rStyle w:val="Hyperlink"/>
          </w:rPr>
          <w:t xml:space="preserve">[19]</w:t>
        </w:r>
      </w:hyperlink>
      <w:r>
        <w:t xml:space="preserve">. The companion duration analysis on 23 vehicle configurations found no statistically detectable Part 450 effect on the license-to-first-flight interval, with a hazard ratio of 0.806 and a 95 percent interval that comfortably spans unity. That null at the vehicle level does not, however, foreclose a regime effect at the operator-by-month level on the demand-accretion outcome, because the vehicle-level test holds only 20 events and lacks power.</w:t>
      </w:r>
    </w:p>
    <w:p>
      <w:pPr>
        <w:pStyle w:val="BodyText"/>
        <w:spacing w:line="480" w:lineRule="auto"/>
        <w:ind w:firstLine="720"/>
      </w:pPr>
      <w:r>
        <w:t xml:space="preserve">The difference-in-differences specification compares the change in D(i,t) for operator-months whose license dockets resolved under Part 450 against the contemporaneous change for operator-months whose dockets resolved under the pre-Part 450 regime. The estimand is the regime-by-time interaction coefficient, identified from variation in regime exposure that arises because not every operator transitioned simultaneously and not every application clock resets at the regulatory boundary. The parallel-trends assumption is examined by plotting D against calendar time, separately for the treatment and comparison strata, in a four-quarter pre-transition window. The DiD coefficient is reported alongside an event-study version that allows the effect to vary over lead and lag quarters, which both tests parallel trends and characterizes the timing of any pass-through.</w:t>
      </w:r>
    </w:p>
    <w:bookmarkEnd w:id="102"/>
    <w:bookmarkStart w:id="103" w:name="cox-proportional-hazards-survival-recast"/>
    <w:p>
      <w:pPr>
        <w:pStyle w:val="Heading3"/>
        <w:spacing w:line="480" w:lineRule="auto"/>
      </w:pPr>
      <w:r>
        <w:t xml:space="preserve">5.3.3 Cox Proportional-Hazards Survival Recast</w:t>
      </w:r>
    </w:p>
    <w:p>
      <w:pPr>
        <w:pStyle w:val="FirstParagraph"/>
        <w:spacing w:line="480" w:lineRule="auto"/>
      </w:pPr>
      <w:r>
        <w:t xml:space="preserve">The third estimator addresses the same primitive, the time between license and flight, at the level at which it is generated: the individual license docket. The Cox model, fit by partial likelihood and reported in hazard-ratio form, treats T(j) as the duration of interest and the first orbital launch as the event. The covariate set tracks the companion paper: heavy-class status, reusable-program status, Part 450 regime membership, and the natural logarithm of advertised LEO payload capacity. The estimator is included not because it carries the pass-through directly, since the duration is upstream of the demand-accretion outcome, but because it provides a check on the functional form of the latency variable L(i,t). If the pass-through estimated by the workhorse regression were an artifact of how monthly mean latency is constructed from individual durations, the Cox model would surface that artifact through the joint test that no covariate moves the hazard.</w:t>
      </w:r>
    </w:p>
    <w:p>
      <w:pPr>
        <w:pStyle w:val="BodyText"/>
        <w:spacing w:line="480" w:lineRule="auto"/>
        <w:ind w:firstLine="720"/>
      </w:pPr>
      <w:r>
        <w:t xml:space="preserve">The companion vehicle paper produced a null at the conventional significance level on all four covariates, with the heavy-class hazard ratio at 1.667 (p = 0.629), the reusable-program ratio at 1.164 (p = 0.841), the Part 450 ratio at 0.806 (p = 0.695), and the log-payload ratio at 1.115 (p = 0.664). For this dissertation the survival model is re-estimated on the expanded vehicle panel that admits subsequent license cohorts through the data cutoff, with the explicit purpose of testing whether the null persists at higher event counts. A persistent null sharpens the dissertation’s claim that the demand-accretion pass-through, where present, rides on the count and timing of licenses rather than on the development tail that follows issuance.</w:t>
      </w:r>
    </w:p>
    <w:bookmarkEnd w:id="103"/>
    <w:bookmarkEnd w:id="104"/>
    <w:bookmarkStart w:id="109" w:name="identification-strategy"/>
    <w:p>
      <w:pPr>
        <w:pStyle w:val="Heading2"/>
        <w:spacing w:line="480" w:lineRule="auto"/>
      </w:pPr>
      <w:r>
        <w:t xml:space="preserve">5.4 Identification Strategy</w:t>
      </w:r>
    </w:p>
    <w:p>
      <w:pPr>
        <w:pStyle w:val="FirstParagraph"/>
        <w:spacing w:line="480" w:lineRule="auto"/>
      </w:pPr>
      <w:r>
        <w:t xml:space="preserve">Identification of β rests on three sources of variation, none of which is sufficient alone but which together close off the principal confounding pathways. The exposition follows the order in which each source enters the estimation chain.</w:t>
      </w:r>
    </w:p>
    <w:bookmarkStart w:id="105" w:name="Xa2a94f7c8f9df6767a07e2470d0b7c426204a0f"/>
    <w:p>
      <w:pPr>
        <w:pStyle w:val="Heading3"/>
        <w:spacing w:line="480" w:lineRule="auto"/>
      </w:pPr>
      <w:r>
        <w:t xml:space="preserve">5.4.1 Queue Congestion Orthogonal to Operator Demand</w:t>
      </w:r>
    </w:p>
    <w:p>
      <w:pPr>
        <w:pStyle w:val="FirstParagraph"/>
        <w:spacing w:line="480" w:lineRule="auto"/>
      </w:pPr>
      <w:r>
        <w:t xml:space="preserve">The first source is congestion at AST itself. At any month the agency’s processing capacity is divided across the licensing dockets currently in queue, and a docket’s processing time depends partly on the contemporaneous queue load contributed by other operators. From the perspective of operator i, the queue load attributable to operators j ≠ i is plausibly exogenous to operator i’s own deployment schedule, provided that operators do not collude on submission timing and that the agency does not reallocate scrutiny in anticipation of i’s behavior. The instrument constructed from this principle is a leave-one-out queue index Q(i,t), defined as the sum of pending licensed-but-not-yet-resolved dockets across operators j ≠ i at the start of month t, weighted by the standardized review-burden score of each docket. The first-stage regression projects L(i,t) on Q(i,t) and the full fixed-effect and control set, and the second stage uses the projected latency to estimate β. The exclusion restriction is that Q(i,t) affects D(i,t) only through L(i,t), and is tested in a falsification specification described in section 5.5.</w:t>
      </w:r>
    </w:p>
    <w:bookmarkEnd w:id="105"/>
    <w:bookmarkStart w:id="106" w:name="the-14-cfr-part-450-discontinuity"/>
    <w:p>
      <w:pPr>
        <w:pStyle w:val="Heading3"/>
        <w:spacing w:line="480" w:lineRule="auto"/>
      </w:pPr>
      <w:r>
        <w:t xml:space="preserve">5.4.2 The 14 CFR Part 450 Discontinuity</w:t>
      </w:r>
    </w:p>
    <w:p>
      <w:pPr>
        <w:pStyle w:val="FirstParagraph"/>
        <w:spacing w:line="480" w:lineRule="auto"/>
      </w:pPr>
      <w:r>
        <w:t xml:space="preserve">The second source is the sharp regulatory date of the Part 450 transition, March 2021</w:t>
      </w:r>
      <w:r>
        <w:t xml:space="preserve"> </w:t>
      </w:r>
      <w:hyperlink w:anchor="ref-19">
        <w:r>
          <w:rPr>
            <w:rStyle w:val="Hyperlink"/>
          </w:rPr>
          <w:t xml:space="preserve">[19]</w:t>
        </w:r>
      </w:hyperlink>
      <w:r>
        <w:t xml:space="preserve">. As discussed in 5.3.2, this transition is exploited through a difference-in-differences estimator on the operator-by-month panel. The identifying assumption is that, absent the regime change, treated and comparison strata would have followed parallel trends in D. The parallel-trends assumption is tested in the pre-period and reported as an event-study figure. A second use of the discontinuity is as an instrumental variable in a regression-discontinuity-in-time specification on a narrow window around the transition date, in which the discontinuity provides exogenous variation in the assignment of license dockets to one regime or the other. The bandwidth around March 2021 is chosen by a pre-registered procedure that balances bias and variance, with results reported across a window grid as a robustness band.</w:t>
      </w:r>
    </w:p>
    <w:bookmarkEnd w:id="106"/>
    <w:bookmarkStart w:id="107" w:name="X6a229189bc55b33482a33335a78292e256148f8"/>
    <w:p>
      <w:pPr>
        <w:pStyle w:val="Heading3"/>
        <w:spacing w:line="480" w:lineRule="auto"/>
      </w:pPr>
      <w:r>
        <w:t xml:space="preserve">5.4.3 The Two-Bloc United States Versus Rest-of-World Benchmark</w:t>
      </w:r>
    </w:p>
    <w:p>
      <w:pPr>
        <w:pStyle w:val="FirstParagraph"/>
        <w:spacing w:line="480" w:lineRule="auto"/>
      </w:pPr>
      <w:r>
        <w:t xml:space="preserve">The third source is contemporaneous cross-regime variation between the United States bloc and the rest of the world, drawn directly from the first companion paper. That paper’s two-bloc annual panel showed that under the FAA AST regime each additional licensed operation was associated with roughly 14.8 more payloads placed in orbit in the same year (robust standard error 2.81), while under rest-of-world launch authorization regimes the throughput-to-deployment slope was statistically indistinguishable from zero (robust standard error 4.14). That contrast supplies a contemporaneous control that the within-United-States panel cannot supply: the rest-of-world slope is what a United States slope would look like if the apparent FAA-specific pacing were instead a property of the global launch surge or of vehicle technology common to both blocs</w:t>
      </w:r>
      <w:r>
        <w:t xml:space="preserve"> </w:t>
      </w:r>
      <w:hyperlink w:anchor="ref-20">
        <w:r>
          <w:rPr>
            <w:rStyle w:val="Hyperlink"/>
          </w:rPr>
          <w:t xml:space="preserve">[20]</w:t>
        </w:r>
      </w:hyperlink>
      <w:r>
        <w:t xml:space="preserve">[21]. The dissertation extends this design from the annual bloc-level data to a monthly operator-resolved panel within the United States by retaining the rest-of-world benchmark as a difference-in-differences control series in a single robustness specification, with the understanding that the unit of throughput is not perfectly comparable across the two blocs and that the comparison is therefore one of elasticity in spirit rather than of a common coefficient.</w:t>
      </w:r>
    </w:p>
    <w:bookmarkEnd w:id="107"/>
    <w:bookmarkStart w:id="108" w:name="what-the-three-sources-identify-jointly"/>
    <w:p>
      <w:pPr>
        <w:pStyle w:val="Heading3"/>
        <w:spacing w:line="480" w:lineRule="auto"/>
      </w:pPr>
      <w:r>
        <w:t xml:space="preserve">5.4.4 What the Three Sources Identify Jointly</w:t>
      </w:r>
    </w:p>
    <w:p>
      <w:pPr>
        <w:pStyle w:val="FirstParagraph"/>
        <w:spacing w:line="480" w:lineRule="auto"/>
      </w:pPr>
      <w:r>
        <w:t xml:space="preserve">Each source addresses a different confounder. Queue congestion handles operator-specific anticipation and reverse causation. The Part 450 discontinuity addresses the possibility that fixed effects fail to absorb time-invariant operator heterogeneity that is correlated with latency. The rest-of-world benchmark addresses the global secular trend in launch cadence, the constellation-era demand surge in particular, that lifts both blocs and that the workhorse estimator’s calendar-time effects absorb only linearly. The reported headline coefficient is the cumulative β from the workhorse estimator; the reported identification panel is the side-by-side comparison of that coefficient against the instrumental-variable, difference-in-differences, and two-bloc estimates. A pass-through that survives across all three sources is the rigorous claim the dissertation will defend; one that survives in one source but vanishes in another is reported that way, with the inference bounded to the source where it holds.</w:t>
      </w:r>
    </w:p>
    <w:bookmarkEnd w:id="108"/>
    <w:bookmarkEnd w:id="109"/>
    <w:bookmarkStart w:id="117" w:name="threats-to-validity"/>
    <w:p>
      <w:pPr>
        <w:pStyle w:val="Heading2"/>
        <w:spacing w:line="480" w:lineRule="auto"/>
      </w:pPr>
      <w:r>
        <w:t xml:space="preserve">5.5 Threats to Validity</w:t>
      </w:r>
    </w:p>
    <w:p>
      <w:pPr>
        <w:pStyle w:val="FirstParagraph"/>
        <w:spacing w:line="480" w:lineRule="auto"/>
      </w:pPr>
      <w:r>
        <w:t xml:space="preserve">This section enumerates the principal threats to validity and binds each to a specific test or to a stated limit on the inference. The order is by consequence to the pass-through estimand.</w:t>
      </w:r>
    </w:p>
    <w:bookmarkStart w:id="110" w:name="X3c82f5ec4e82b8b733b00038e89216c75d823d2"/>
    <w:p>
      <w:pPr>
        <w:pStyle w:val="Heading3"/>
        <w:spacing w:line="480" w:lineRule="auto"/>
      </w:pPr>
      <w:r>
        <w:t xml:space="preserve">5.5.1 Reverse Causality from Anticipated Demand to Licensing Latency</w:t>
      </w:r>
    </w:p>
    <w:p>
      <w:pPr>
        <w:pStyle w:val="FirstParagraph"/>
        <w:spacing w:line="480" w:lineRule="auto"/>
      </w:pPr>
      <w:r>
        <w:t xml:space="preserve">The most consequential threat is that regulatory latency is endogenous to anticipated demand. If AST allocates scrutiny in proportion to expected operator cadence, then high-demand operator-months will show longer latencies for reasons unrelated to administrative throughput. The estimator that addresses this threat is the queue-congestion instrument of section 5.4.1, which constructs latency variation from other operators’ dockets. The placebo specification that bounds residual concern is the use of post-launch latency, defined as the time elapsed between a flight and the next license resolution for the same operator, as a falsification regressor. Post-launch latency should carry no pass-through to subsequent demand accretion if the workhorse estimator is identifying a causal channel rather than an anticipatory artifact; a non-zero placebo coefficient would invalidate the headline.</w:t>
      </w:r>
    </w:p>
    <w:bookmarkEnd w:id="110"/>
    <w:bookmarkStart w:id="111" w:name="X44f9f197c379313d921541cb5012c93208e101f"/>
    <w:p>
      <w:pPr>
        <w:pStyle w:val="Heading3"/>
        <w:spacing w:line="480" w:lineRule="auto"/>
      </w:pPr>
      <w:r>
        <w:t xml:space="preserve">5.5.2 Attribution of Catalogued Objects to Licensed Launches</w:t>
      </w:r>
    </w:p>
    <w:p>
      <w:pPr>
        <w:pStyle w:val="FirstParagraph"/>
        <w:spacing w:line="480" w:lineRule="auto"/>
      </w:pPr>
      <w:r>
        <w:t xml:space="preserve">The mapping from a United States license to specific catalogued objects is complicated by foreign launches, government launches, rideshare manifests, and on-orbit transfers. The analysis restricts to FAA AST-licensed launches and uses the international designator and launch epoch as the join key to attribute objects</w:t>
      </w:r>
      <w:r>
        <w:t xml:space="preserve"> </w:t>
      </w:r>
      <w:hyperlink w:anchor="ref-5">
        <w:r>
          <w:rPr>
            <w:rStyle w:val="Hyperlink"/>
          </w:rPr>
          <w:t xml:space="preserve">[5]</w:t>
        </w:r>
      </w:hyperlink>
      <w:r>
        <w:t xml:space="preserve">[9]. A sensitivity sample excludes rideshare manifests where multiple operators contribute payloads to a single international designator. The bound on the inference is that the headline coefficient is defended only for the unambiguous-attribution sample, with the rideshare-inclusive sample reported as a robustness specification rather than as a headline.</w:t>
      </w:r>
    </w:p>
    <w:bookmarkEnd w:id="111"/>
    <w:bookmarkStart w:id="112" w:name="catalogue-and-screening-non-stationarity"/>
    <w:p>
      <w:pPr>
        <w:pStyle w:val="Heading3"/>
        <w:spacing w:line="480" w:lineRule="auto"/>
      </w:pPr>
      <w:r>
        <w:t xml:space="preserve">5.5.3 Catalogue and Screening Non-Stationarity</w:t>
      </w:r>
    </w:p>
    <w:p>
      <w:pPr>
        <w:pStyle w:val="FirstParagraph"/>
        <w:spacing w:line="480" w:lineRule="auto"/>
      </w:pPr>
      <w:r>
        <w:t xml:space="preserve">Sensor upgrades, catalogue-maintenance changes, and screening-threshold revisions shift D for reasons unrelated to licensing throughput</w:t>
      </w:r>
      <w:r>
        <w:t xml:space="preserve"> </w:t>
      </w:r>
      <w:hyperlink w:anchor="ref-5">
        <w:r>
          <w:rPr>
            <w:rStyle w:val="Hyperlink"/>
          </w:rPr>
          <w:t xml:space="preserve">[5]</w:t>
        </w:r>
      </w:hyperlink>
      <w:r>
        <w:t xml:space="preserve">[9][10]. Calendar-time effects absorb catalogue-wide shifts, and the constellation-risk literature informs regime-specific controls so that the Starlink-era density change is not misread as a latency effect</w:t>
      </w:r>
      <w:r>
        <w:t xml:space="preserve"> </w:t>
      </w:r>
      <w:hyperlink w:anchor="ref-13">
        <w:r>
          <w:rPr>
            <w:rStyle w:val="Hyperlink"/>
          </w:rPr>
          <w:t xml:space="preserve">[13]</w:t>
        </w:r>
      </w:hyperlink>
      <w:r>
        <w:t xml:space="preserve">[14][16]. The bound on the inference is that the headline coefficient is reported jointly with a constellation-era subsample restriction, in which the panel is split at the date of the first large-constellation deployment milestone and the pass-through is re-estimated within each subsample. A coefficient that holds in both subsamples is defended; one that holds only in the constellation era is reported as a constellation-conditional claim.</w:t>
      </w:r>
    </w:p>
    <w:bookmarkEnd w:id="112"/>
    <w:bookmarkStart w:id="113" w:name="Xa682a08bc2c57c9f7d08a0c582e05acd0aa3138"/>
    <w:p>
      <w:pPr>
        <w:pStyle w:val="Heading3"/>
        <w:spacing w:line="480" w:lineRule="auto"/>
      </w:pPr>
      <w:r>
        <w:t xml:space="preserve">5.5.4 Functional Form and Lag-Length Misspecification</w:t>
      </w:r>
    </w:p>
    <w:p>
      <w:pPr>
        <w:pStyle w:val="FirstParagraph"/>
        <w:spacing w:line="480" w:lineRule="auto"/>
      </w:pPr>
      <w:r>
        <w:t xml:space="preserve">The pass-through is a function of the lag length K and of the functional form by which monthly mean latency is aggregated from docket-level durations. The lag-length sensitivity is addressed by the pre-registered grid of K specifications in section 5.3.1. The functional-form sensitivity is addressed by the Cox proportional-hazards check in section 5.3.3, which estimates the docket-level hazard without recourse to monthly aggregation. The bound on the inference is that the headline coefficient is reported with its lag-length sensitivity band and is defended only where the cumulative pass-through is consistent in sign across the grid.</w:t>
      </w:r>
    </w:p>
    <w:bookmarkEnd w:id="113"/>
    <w:bookmarkStart w:id="114" w:name="power-and-the-short-panel-constraint"/>
    <w:p>
      <w:pPr>
        <w:pStyle w:val="Heading3"/>
        <w:spacing w:line="480" w:lineRule="auto"/>
      </w:pPr>
      <w:r>
        <w:t xml:space="preserve">5.5.5 Power and the Short-Panel Constraint</w:t>
      </w:r>
    </w:p>
    <w:p>
      <w:pPr>
        <w:pStyle w:val="FirstParagraph"/>
        <w:spacing w:line="480" w:lineRule="auto"/>
      </w:pPr>
      <w:r>
        <w:t xml:space="preserve">The companion vehicle paper noted that 23 observations and 20 events leave a survival model with limited power to detect even moderately sized hazard effects. The operator-by-month panel for this dissertation expands the event count substantially, since each operator contributes many docket-months rather than a single duration, but it inherits a related constraint: the number of distinct operators is bounded by the universe of FAA AST licensees, and the within-operator estimator’s identifying variation is therefore concentrated in a handful of high-cadence operators. The bound on the inference is the reporting of a leave-one-operator-out sensitivity, in which the headline coefficient is re-estimated on the panel with the largest operator excluded; a coefficient that collapses upon exclusion is reported as conditional on that operator’s behavior rather than as a population claim.</w:t>
      </w:r>
    </w:p>
    <w:bookmarkEnd w:id="114"/>
    <w:bookmarkStart w:id="115" w:name="external-validity-to-cislunar"/>
    <w:p>
      <w:pPr>
        <w:pStyle w:val="Heading3"/>
        <w:spacing w:line="480" w:lineRule="auto"/>
      </w:pPr>
      <w:r>
        <w:t xml:space="preserve">5.5.6 External Validity to Cislunar</w:t>
      </w:r>
    </w:p>
    <w:p>
      <w:pPr>
        <w:pStyle w:val="FirstParagraph"/>
        <w:spacing w:line="480" w:lineRule="auto"/>
      </w:pPr>
      <w:r>
        <w:t xml:space="preserve">The estimand is a terrestrial-LEO licensing-to-demand pass-through. The traffic-management literature has begun to propose architectures for cislunar STM in which licensing regimes and catalogue infrastructure are nascent</w:t>
      </w:r>
      <w:r>
        <w:t xml:space="preserve"> </w:t>
      </w:r>
      <w:hyperlink w:anchor="ref-3">
        <w:r>
          <w:rPr>
            <w:rStyle w:val="Hyperlink"/>
          </w:rPr>
          <w:t xml:space="preserve">[3]</w:t>
        </w:r>
      </w:hyperlink>
      <w:r>
        <w:t xml:space="preserve">[7], and the dissertation’s forward research agenda is to extend the design to those regimes. The bound on the inference within the dissertation is that any cislunar implication is presented as a bounded extrapolation rather than as a tested claim. The architecture-level cislunar work in the reference pool is cited to motivate the extrapolation, not to substitute for an estimate that has not yet been recovered</w:t>
      </w:r>
      <w:r>
        <w:t xml:space="preserve"> </w:t>
      </w:r>
      <w:hyperlink w:anchor="ref-3">
        <w:r>
          <w:rPr>
            <w:rStyle w:val="Hyperlink"/>
          </w:rPr>
          <w:t xml:space="preserve">[3]</w:t>
        </w:r>
      </w:hyperlink>
      <w:r>
        <w:t xml:space="preserve">[7].</w:t>
      </w:r>
    </w:p>
    <w:bookmarkEnd w:id="115"/>
    <w:bookmarkStart w:id="116" w:name="X07324d5e083674ede5cca497977a7aa764e540b"/>
    <w:p>
      <w:pPr>
        <w:pStyle w:val="Heading3"/>
        <w:spacing w:line="480" w:lineRule="auto"/>
      </w:pPr>
      <w:r>
        <w:t xml:space="preserve">5.5.7 Measurement Error in License Issuance Dates</w:t>
      </w:r>
    </w:p>
    <w:p>
      <w:pPr>
        <w:pStyle w:val="FirstParagraph"/>
        <w:spacing w:line="480" w:lineRule="auto"/>
      </w:pPr>
      <w:r>
        <w:t xml:space="preserve">A minority of license-issuance dates in the companion vehicle file are estimated to the month rather than documented to the day, with the rationale and provenance disclosed in the data file. The operator-by-month panel uses month-level aggregation, which renders day-level measurement error consequential only for dockets that resolve within a few days of a month boundary. The bound on the inference is the reporting of a clean-subsample specification that excludes any operator-month whose constituent dockets carry month-level imputation, with the headline coefficient defended on the full sample and the clean-subsample coefficient reported alongside.</w:t>
      </w:r>
    </w:p>
    <w:bookmarkEnd w:id="116"/>
    <w:bookmarkEnd w:id="117"/>
    <w:bookmarkStart w:id="118" w:name="pre-analysis-commitments"/>
    <w:p>
      <w:pPr>
        <w:pStyle w:val="Heading2"/>
        <w:spacing w:line="480" w:lineRule="auto"/>
      </w:pPr>
      <w:r>
        <w:t xml:space="preserve">5.6 Pre-Analysis Commitments</w:t>
      </w:r>
    </w:p>
    <w:p>
      <w:pPr>
        <w:pStyle w:val="FirstParagraph"/>
        <w:spacing w:line="480" w:lineRule="auto"/>
      </w:pPr>
      <w:r>
        <w:t xml:space="preserve">Three commitments are pre-registered with the candidate’s chair and are reproduced here so that they are auditable.</w:t>
      </w:r>
    </w:p>
    <w:p>
      <w:pPr>
        <w:pStyle w:val="BodyText"/>
        <w:spacing w:line="480" w:lineRule="auto"/>
        <w:ind w:firstLine="720"/>
      </w:pPr>
      <w:r>
        <w:t xml:space="preserve">First, the falsification protocol. The pass-through estimand will be reported regardless of sign or significance; a precisely estimated cumulative coefficient whose confidence interval excludes a pre-specified policy-relevant magnitude will be reported as a refutation of H1 and as a removal of the proposed channel from the policy literature. The single quantity, with its sign, magnitude, lag structure, and confidence interval, is the deliverable.</w:t>
      </w:r>
    </w:p>
    <w:p>
      <w:pPr>
        <w:pStyle w:val="BodyText"/>
        <w:spacing w:line="480" w:lineRule="auto"/>
        <w:ind w:firstLine="720"/>
      </w:pPr>
      <w:r>
        <w:t xml:space="preserve">Second, the placebo battery. The post-launch latency falsification of section 5.5.1, the parallel-trends event study of section 5.4.2, and the leave-one-operator-out sensitivity of section 5.5.5 are reported as a standing battery alongside the headline coefficient. A headline that survives the battery is defended; one that does not is reported as conditional on the surviving specifications.</w:t>
      </w:r>
    </w:p>
    <w:p>
      <w:pPr>
        <w:pStyle w:val="BodyText"/>
        <w:spacing w:line="480" w:lineRule="auto"/>
        <w:ind w:firstLine="720"/>
      </w:pPr>
      <w:r>
        <w:t xml:space="preserve">Third, the reporting standard. The headline specification and its identification panel will be reported with full code, with the bloc-level rest-of-world benchmark series from the first companion paper</w:t>
      </w:r>
      <w:r>
        <w:t xml:space="preserve"> </w:t>
      </w:r>
      <w:hyperlink w:anchor="ref-23">
        <w:r>
          <w:rPr>
            <w:rStyle w:val="Hyperlink"/>
          </w:rPr>
          <w:t xml:space="preserve">[23]</w:t>
        </w:r>
      </w:hyperlink>
      <w:r>
        <w:t xml:space="preserve">[24][25], and with the operator-by-month working file. The intent is that the pass-through estimate, whatever its sign, can be reproduced by an external reader with access to public data alone, consistent with the dissertation’s commitment to upstream-licensing transparency as a precondition for downstream-STM planning</w:t>
      </w:r>
      <w:r>
        <w:t xml:space="preserve"> </w:t>
      </w:r>
      <w:hyperlink w:anchor="ref-4">
        <w:r>
          <w:rPr>
            <w:rStyle w:val="Hyperlink"/>
          </w:rPr>
          <w:t xml:space="preserve">[4]</w:t>
        </w:r>
      </w:hyperlink>
      <w:r>
        <w:t xml:space="preserve">[6][11][12].</w:t>
      </w:r>
    </w:p>
    <w:p>
      <w:pPr>
        <w:pStyle w:val="BodyText"/>
        <w:spacing w:line="480" w:lineRule="auto"/>
        <w:ind w:firstLine="720"/>
      </w:pPr>
      <w:r>
        <w:t xml:space="preserve">The chapter has set out the estimators and the identification strategy by which the pass-through coefficient will be recovered, and has bound the principal threats to validity to specific tests or to specific limits on the inference. Chapter 6 turns to data construction, including the join between FAA AST licensing records and the United States catalogue, and to the descriptive statistics that motivate the lag-length grid and the regime-stratified specifications introduced here.</w:t>
      </w:r>
    </w:p>
    <w:bookmarkEnd w:id="118"/>
    <w:bookmarkEnd w:id="119"/>
    <w:bookmarkStart w:id="142" w:name="chapter-6.-results"/>
    <w:p>
      <w:pPr>
        <w:pStyle w:val="Heading1"/>
        <w:spacing w:line="480" w:lineRule="auto"/>
      </w:pPr>
      <w:r>
        <w:t xml:space="preserve">Chapter 6. Results</w:t>
      </w:r>
    </w:p>
    <w:p>
      <w:pPr>
        <w:pStyle w:val="FirstParagraph"/>
        <w:spacing w:line="480" w:lineRule="auto"/>
      </w:pPr>
      <w:r>
        <w:t xml:space="preserve">This chapter presents and interprets the empirical findings of the two studies that constitute the core quantitative apparatus of the dissertation. Paper 1, an ordinary least squares panel of bloc-year observations spanning 2014 through 2024, estimates the association between annual launch-licensing throughput and on-orbit payload deployment, with particular attention to whether the United States bloc, operating under the Federal Aviation Administration Office of Commercial Space Transportation regime, exhibits a steeper throughput-to-deployment slope than the rest of the world. Paper 2, a Cox proportional-hazards survival analysis on 23 United States commercial orbital launch vehicle configurations from 1994 through 2026, estimates whether vehicle-level structural features and the post-2020 streamlined licensing regime shorten the interval between license issuance and first flight. The two estimators interrogate the dissertation’s pacing hypothesis from complementary angles: Paper 1 at the aggregate annual margin, Paper 2 at the licensed-vehicle level. The results, taken in sequence, refine rather than confirm the prospectus account, and the interpretive task of this chapter is to make precise what each coefficient does and does not establish. Tables, figures, and the underlying data are reproduced in Appendix A; this chapter restricts itself to the substantive reading of the estimated quantities.</w:t>
      </w:r>
    </w:p>
    <w:bookmarkStart w:id="127" w:name="X09dad8f86b181f58fff0cef27baf24e116b5221"/>
    <w:p>
      <w:pPr>
        <w:pStyle w:val="Heading2"/>
        <w:spacing w:line="480" w:lineRule="auto"/>
      </w:pPr>
      <w:r>
        <w:t xml:space="preserve">6.1 Paper 1: Throughput, Regime, and Annual Payload Deployment</w:t>
      </w:r>
    </w:p>
    <w:bookmarkStart w:id="120" w:name="overall-model-fit-and-joint-significance"/>
    <w:p>
      <w:pPr>
        <w:pStyle w:val="Heading3"/>
        <w:spacing w:line="480" w:lineRule="auto"/>
      </w:pPr>
      <w:r>
        <w:t xml:space="preserve">6.1.1 Overall model fit and joint significance</w:t>
      </w:r>
    </w:p>
    <w:p>
      <w:pPr>
        <w:pStyle w:val="FirstParagraph"/>
        <w:spacing w:line="480" w:lineRule="auto"/>
      </w:pPr>
      <w:r>
        <w:t xml:space="preserve">The panel comprises 22 bloc-year observations, two blocs across eleven years. The ordinary least squares specification with heteroskedasticity-robust HC1 standard errors yields an R-squared of 0.9316 and an adjusted R-squared of 0.9155. The joint F-statistic is 36.73 with a p-value of 3.71 by 10 to the minus eighth, decisively rejecting the null that all slope coefficients are jointly zero. In a panel this short, with only twenty-two observations and four regressors plus a constant, an R-squared above ninety percent could indicate either a genuinely strong structural relationship or a model that mechanically tracks a small number of large observations driven by a common trend. The presence of a sharply identified interaction term, set against a flat baseline slope, suggests that the explanatory power is not a single time-trend artifact but is doing the substantive work the design intends.</w:t>
      </w:r>
    </w:p>
    <w:bookmarkEnd w:id="120"/>
    <w:bookmarkStart w:id="121" w:name="X59bc46c776cbacf4996517f5d416b547228581f"/>
    <w:p>
      <w:pPr>
        <w:pStyle w:val="Heading3"/>
        <w:spacing w:line="480" w:lineRule="auto"/>
      </w:pPr>
      <w:r>
        <w:t xml:space="preserve">6.1.2 The baseline rest-of-world throughput slope</w:t>
      </w:r>
    </w:p>
    <w:p>
      <w:pPr>
        <w:pStyle w:val="FirstParagraph"/>
        <w:spacing w:line="480" w:lineRule="auto"/>
      </w:pPr>
      <w:r>
        <w:t xml:space="preserve">The coefficient on throughput, which under the parameterization captures the rest-of-world slope because the FAA regime indicator is zero outside the United States bloc, is estimated at minus 0.9527 with a robust standard error of 4.142. The associated p-value is 0.8181, far above any conventional threshold for statistical significance. The point estimate is small in absolute magnitude and is statistically indistinguishable from zero. The substantive reading is unambiguous: outside the FAA regime, once the common annual trend is controlled, an additional national launch attempt is not associated with any detectable change in the bloc’s annual on-orbit payload count. The 95 percent confidence interval, anchored on plus or minus roughly two robust standard errors, spans from approximately minus 9 to plus 7 payloads per additional launch attempt, easily containing zero and excluding even modestly positive or modestly negative slopes that would be policy-relevant. This is the empirical reference point against which the United States result must be read. It is not the case that throughput moves with deployment everywhere; outside the FAA configuration the relationship, in this panel, is not detectable.</w:t>
      </w:r>
    </w:p>
    <w:bookmarkEnd w:id="121"/>
    <w:bookmarkStart w:id="122" w:name="the-faa-regime-intercept"/>
    <w:p>
      <w:pPr>
        <w:pStyle w:val="Heading3"/>
        <w:spacing w:line="480" w:lineRule="auto"/>
      </w:pPr>
      <w:r>
        <w:t xml:space="preserve">6.1.3 The FAA-regime intercept</w:t>
      </w:r>
    </w:p>
    <w:p>
      <w:pPr>
        <w:pStyle w:val="FirstParagraph"/>
        <w:spacing w:line="480" w:lineRule="auto"/>
      </w:pPr>
      <w:r>
        <w:t xml:space="preserve">Consider the regime intercept. The faa_regime indicator carries a coefficient of minus 234.09 with a robust standard error of 216.43 and a p-value of 0.2794. The estimate is negative in sign and substantively large in absolute magnitude, but it is statistically indistinguishable from zero at conventional levels. The interpretation is that, once throughput, the throughput-by-regime interaction, and the common annual trend are controlled, there is no precisely estimated fixed level shift in United States payload counts relative to the rest of the world. The regime contribution to deployment is not a constant additive premium; it is, instead, a slope effect, as the interaction term will show. This is theoretically informative because it rules out a simple</w:t>
      </w:r>
      <w:r>
        <w:t xml:space="preserve"> </w:t>
      </w:r>
      <w:r>
        <w:t xml:space="preserve">“United States adds more payloads regardless of throughput”</w:t>
      </w:r>
      <w:r>
        <w:t xml:space="preserve"> </w:t>
      </w:r>
      <w:r>
        <w:t xml:space="preserve">story. The United States bloc does not place more objects in orbit because it is the United States; it places more objects in orbit because the licensing throughput it operates against converts into payloads at a different rate than throughput operating in the rest of the world.</w:t>
      </w:r>
    </w:p>
    <w:bookmarkEnd w:id="122"/>
    <w:bookmarkStart w:id="123" w:name="X673481f42a82a6f03d6fe4686e01c7d76940a05"/>
    <w:p>
      <w:pPr>
        <w:pStyle w:val="Heading3"/>
        <w:spacing w:line="480" w:lineRule="auto"/>
      </w:pPr>
      <w:r>
        <w:t xml:space="preserve">6.1.4 The throughput-by-regime interaction: the central finding</w:t>
      </w:r>
    </w:p>
    <w:p>
      <w:pPr>
        <w:pStyle w:val="FirstParagraph"/>
        <w:spacing w:line="480" w:lineRule="auto"/>
      </w:pPr>
      <w:r>
        <w:t xml:space="preserve">The interaction term throughput_x_faa is the central estimated quantity of Paper 1. The coefficient is 14.8414 with a robust standard error of 2.8126. The implied t-statistic is approximately 5.28, and the reported p-value is 0.0000 to four decimal places, which is to say below 0.0001. The 95 percent confidence interval, taken at plus or minus 1.96 robust standard errors around the point estimate, ranges from approximately 9.33 to 20.35 additional payloads per licensed operation. This is the cleanest and most precise inference in either study. The total slope under the FAA regime is the sum of the baseline throughput coefficient and this interaction, which yields approximately 13.89 payloads per licensed operation, again estimated with precision because the interaction term itself does almost all the work. The literature on launch-licensing modernization and on the migration toward performance-based authorization frames this slope as the operational consequence of an administrative system that has been deliberately restructured to clear more operations per year</w:t>
      </w:r>
      <w:r>
        <w:t xml:space="preserve"> </w:t>
      </w:r>
      <w:hyperlink w:anchor="ref-19">
        <w:r>
          <w:rPr>
            <w:rStyle w:val="Hyperlink"/>
          </w:rPr>
          <w:t xml:space="preserve">[19]</w:t>
        </w:r>
      </w:hyperlink>
      <w:r>
        <w:t xml:space="preserve">, and the magnitude is broadly consistent with the high payload-per-operation ratios produced by rideshare-heavy and constellation-deployment manifests of the current era</w:t>
      </w:r>
      <w:r>
        <w:t xml:space="preserve"> </w:t>
      </w:r>
      <w:hyperlink w:anchor="ref-20">
        <w:r>
          <w:rPr>
            <w:rStyle w:val="Hyperlink"/>
          </w:rPr>
          <w:t xml:space="preserve">[20]</w:t>
        </w:r>
      </w:hyperlink>
      <w:r>
        <w:t xml:space="preserve">,</w:t>
      </w:r>
      <w:r>
        <w:t xml:space="preserve"> </w:t>
      </w:r>
      <w:hyperlink w:anchor="ref-21">
        <w:r>
          <w:rPr>
            <w:rStyle w:val="Hyperlink"/>
          </w:rPr>
          <w:t xml:space="preserve">[21]</w:t>
        </w:r>
      </w:hyperlink>
      <w:r>
        <w:t xml:space="preserve">. The hypothesis stated in the original prospectus, that licensing throughput pace-limits deployment under the FAA regime, finds direct empirical support in this coefficient.</w:t>
      </w:r>
    </w:p>
    <w:p>
      <w:pPr>
        <w:pStyle w:val="BodyText"/>
        <w:spacing w:line="480" w:lineRule="auto"/>
        <w:ind w:firstLine="720"/>
      </w:pPr>
      <w:r>
        <w:t xml:space="preserve">It is worth pausing on what the magnitude means in operational terms. An additional FAA AST licensed operation, controlling for the secular trend that lifts deployment in both blocs and for any fixed United States level differences, is associated with on the order of fifteen additional payloads placed in orbit in the same year. The figure is not a per-mission payload count, because it is conditional on the trend and on the interaction structure, and a number of launches in this period carry payload counts well into the dozens or hundreds. The coefficient reflects the systemic conversion rate of regulator-cleared opportunities into orbital insertions and is best read as a marginal pacing elasticity rather than a per-flight mass balance.</w:t>
      </w:r>
    </w:p>
    <w:bookmarkEnd w:id="123"/>
    <w:bookmarkStart w:id="124" w:name="the-common-annual-trend"/>
    <w:p>
      <w:pPr>
        <w:pStyle w:val="Heading3"/>
        <w:spacing w:line="480" w:lineRule="auto"/>
      </w:pPr>
      <w:r>
        <w:t xml:space="preserve">6.1.5 The common annual trend</w:t>
      </w:r>
    </w:p>
    <w:p>
      <w:pPr>
        <w:pStyle w:val="FirstParagraph"/>
        <w:spacing w:line="480" w:lineRule="auto"/>
      </w:pPr>
      <w:r>
        <w:t xml:space="preserve">Now the common trend. The year_idx coefficient, which equals the calendar year minus 2014 and is shared between blocs, is estimated at 74.55 with a robust standard error of 27.58 and a p-value of 0.0069. The 95 percent confidence interval runs from approximately 20.5 to 128.6 payloads per year. The estimate is statistically significant at the one percent level and is substantively large. The interpretation is that, holding throughput and regime constant, each successive year added on the order of seventy-five payloads to a bloc’s annual on-orbit count. This captures the global secular surge in orbital activity that is shared across launching states and is consistent with the constellation-and-cadence literature that has documented a regime-independent rise in deployment intensity</w:t>
      </w:r>
      <w:r>
        <w:t xml:space="preserve"> </w:t>
      </w:r>
      <w:hyperlink w:anchor="ref-4">
        <w:r>
          <w:rPr>
            <w:rStyle w:val="Hyperlink"/>
          </w:rPr>
          <w:t xml:space="preserve">[4]</w:t>
        </w:r>
      </w:hyperlink>
      <w:r>
        <w:t xml:space="preserve">,</w:t>
      </w:r>
      <w:r>
        <w:t xml:space="preserve"> </w:t>
      </w:r>
      <w:hyperlink w:anchor="ref-22">
        <w:r>
          <w:rPr>
            <w:rStyle w:val="Hyperlink"/>
          </w:rPr>
          <w:t xml:space="preserve">[22]</w:t>
        </w:r>
      </w:hyperlink>
      <w:r>
        <w:t xml:space="preserve">. The substantive importance of the trend coefficient for the interpretation of the interaction is that the year fixed effect absorbs the confound most often raised against any cross-regime comparison of this kind: the worry that the United States slope is simply the United States riding a global wave that lifts all blocs. The year_idx term is allowed to sweep up that common wave, and the interaction term remains large and sharply identified after it does so.</w:t>
      </w:r>
    </w:p>
    <w:bookmarkEnd w:id="124"/>
    <w:bookmarkStart w:id="125" w:name="the-constant"/>
    <w:p>
      <w:pPr>
        <w:pStyle w:val="Heading3"/>
        <w:spacing w:line="480" w:lineRule="auto"/>
      </w:pPr>
      <w:r>
        <w:t xml:space="preserve">6.1.6 The constant</w:t>
      </w:r>
    </w:p>
    <w:p>
      <w:pPr>
        <w:pStyle w:val="FirstParagraph"/>
        <w:spacing w:line="480" w:lineRule="auto"/>
      </w:pPr>
      <w:r>
        <w:t xml:space="preserve">The intercept is 41.84 with a robust standard error of 216.01 and a p-value of 0.8464. It is statistically indistinguishable from zero and is not substantively interpretable as a baseline payload count in this specification, because it is the predicted payload count for the rest of the world in 2014 at zero throughput, a counterfactual outside the support of the data. Its lack of significance is not a defect of the model; it is the expected behavior of a constant in a specification where the substantive structure is carried by the interaction and the trend.</w:t>
      </w:r>
    </w:p>
    <w:bookmarkEnd w:id="125"/>
    <w:bookmarkStart w:id="126" w:name="the-paper-1-result-taken-whole"/>
    <w:p>
      <w:pPr>
        <w:pStyle w:val="Heading3"/>
        <w:spacing w:line="480" w:lineRule="auto"/>
      </w:pPr>
      <w:r>
        <w:t xml:space="preserve">6.1.7 The Paper 1 result, taken whole</w:t>
      </w:r>
    </w:p>
    <w:p>
      <w:pPr>
        <w:pStyle w:val="FirstParagraph"/>
        <w:spacing w:line="480" w:lineRule="auto"/>
      </w:pPr>
      <w:r>
        <w:t xml:space="preserve">The Paper 1 results, taken together, support the dissertation’s primary hypothesis at the annual aggregate level. The throughput-to-deployment slope is statistically indistinguishable from zero in the rest of the world, statistically and substantively large in the United States, and the difference between the two slopes is identified by an interaction term whose precision excludes any reading that attributes the United States result to a common global trend. The total United States slope of approximately 13.89 payloads per licensed operation, set against a rest-of-world slope of approximately minus 0.95, is the cleanest empirical statement available in the dissertation that licensing throughput, in the United States, moves with deployment in a way it does not elsewhere. This is the empirical content of H1 and H2 of Paper 1 and the strongest piece of evidence in the dissertation for treating launch authorization as a tempo control on the orbital environment that space traffic management infrastructure must subsequently track</w:t>
      </w:r>
      <w:r>
        <w:t xml:space="preserve"> </w:t>
      </w:r>
      <w:hyperlink w:anchor="ref-6">
        <w:r>
          <w:rPr>
            <w:rStyle w:val="Hyperlink"/>
          </w:rPr>
          <w:t xml:space="preserve">[6]</w:t>
        </w:r>
      </w:hyperlink>
      <w:r>
        <w:t xml:space="preserve">,</w:t>
      </w:r>
      <w:r>
        <w:t xml:space="preserve"> </w:t>
      </w:r>
      <w:hyperlink w:anchor="ref-17">
        <w:r>
          <w:rPr>
            <w:rStyle w:val="Hyperlink"/>
          </w:rPr>
          <w:t xml:space="preserve">[17]</w:t>
        </w:r>
      </w:hyperlink>
      <w:r>
        <w:t xml:space="preserve">,</w:t>
      </w:r>
      <w:r>
        <w:t xml:space="preserve"> </w:t>
      </w:r>
      <w:hyperlink w:anchor="ref-18">
        <w:r>
          <w:rPr>
            <w:rStyle w:val="Hyperlink"/>
          </w:rPr>
          <w:t xml:space="preserve">[18]</w:t>
        </w:r>
      </w:hyperlink>
      <w:r>
        <w:t xml:space="preserve">. It does not, however, establish a per-license latency mechanism, and that is the gap Paper 2 is designed to interrogate.</w:t>
      </w:r>
    </w:p>
    <w:bookmarkEnd w:id="126"/>
    <w:bookmarkEnd w:id="127"/>
    <w:bookmarkStart w:id="134" w:name="X637793c57e5555d2a6660810e69d1f0aa85a954"/>
    <w:p>
      <w:pPr>
        <w:pStyle w:val="Heading2"/>
        <w:spacing w:line="480" w:lineRule="auto"/>
      </w:pPr>
      <w:r>
        <w:t xml:space="preserve">6.2 Paper 2: Licensing-to-Launch Latency at the Vehicle Level</w:t>
      </w:r>
    </w:p>
    <w:bookmarkStart w:id="128" w:name="sample-events-and-model-setup"/>
    <w:p>
      <w:pPr>
        <w:pStyle w:val="Heading3"/>
        <w:spacing w:line="480" w:lineRule="auto"/>
      </w:pPr>
      <w:r>
        <w:t xml:space="preserve">6.2.1 Sample, events, and model setup</w:t>
      </w:r>
    </w:p>
    <w:p>
      <w:pPr>
        <w:pStyle w:val="FirstParagraph"/>
        <w:spacing w:line="480" w:lineRule="auto"/>
      </w:pPr>
      <w:r>
        <w:t xml:space="preserve">The Cox proportional-hazards model is fit on 23 FAA AST-licensed United States commercial orbital launch vehicle configurations covering the years 1994 through 2026. The duration variable is the number of months from license issuance to first orbital flight attempt; twenty configurations had recorded first flights by the June 2026 cutoff and are treated as events, while three configurations are right-censored. The estimator is fit by partial likelihood. Four covariates enter the linear predictor: heavy-class status, reusable-program status, Part 450 regime membership, and the natural logarithm of advertised low-Earth-orbit payload capacity in kilograms. The estimator does not report an aggregate R-squared analogue, in keeping with its semi-parametric construction, but it does report partial-likelihood standard errors and individual p-values that allow each covariate to be evaluated against the null of no proportional-hazards effect.</w:t>
      </w:r>
    </w:p>
    <w:bookmarkEnd w:id="128"/>
    <w:bookmarkStart w:id="129" w:name="heavy-class-status"/>
    <w:p>
      <w:pPr>
        <w:pStyle w:val="Heading3"/>
        <w:spacing w:line="480" w:lineRule="auto"/>
      </w:pPr>
      <w:r>
        <w:t xml:space="preserve">6.2.2 Heavy-class status</w:t>
      </w:r>
    </w:p>
    <w:p>
      <w:pPr>
        <w:pStyle w:val="FirstParagraph"/>
        <w:spacing w:line="480" w:lineRule="auto"/>
      </w:pPr>
      <w:r>
        <w:t xml:space="preserve">The estimated coefficient on the heavy-class indicator is 0.5108 with a partial-likelihood standard error of 1.0573 and a p-value of 0.629. Exponentiating yields an estimated hazard ratio of approximately 1.667. The 95 percent confidence interval, taken on the log scale at plus or minus 1.96 standard errors and then exponentiated, ranges from approximately 0.21 to 13.27 on the hazard-ratio scale, easily encompassing one. The substantive interpretation is twofold. First, the point estimate is positive on the log-hazard scale, which by the convention of the Cox model implies that heavy-class vehicles are estimated to fly sooner after licensing, not later. This sign contradicts the prediction of H1 of Paper 2, which held that more complex vehicles would carry longer post-license integration tails and therefore a lower hazard of first flight. Second, the estimate is statistically indistinguishable from zero, and the confidence interval is wide enough to contain both the hypothesized negative effect and a substantial positive effect. The data, in this sample of twenty-three configurations, simply cannot resolve the heavy-class effect with the precision the hypothesis demands. The honest reading is that heavy-class status is not a reliable orderer of post-license latency in this sample.</w:t>
      </w:r>
    </w:p>
    <w:bookmarkEnd w:id="129"/>
    <w:bookmarkStart w:id="130" w:name="reusable-program-status"/>
    <w:p>
      <w:pPr>
        <w:pStyle w:val="Heading3"/>
        <w:spacing w:line="480" w:lineRule="auto"/>
      </w:pPr>
      <w:r>
        <w:t xml:space="preserve">6.2.3 Reusable-program status</w:t>
      </w:r>
    </w:p>
    <w:p>
      <w:pPr>
        <w:pStyle w:val="FirstParagraph"/>
        <w:spacing w:line="480" w:lineRule="auto"/>
      </w:pPr>
      <w:r>
        <w:t xml:space="preserve">The coefficient on the reusable-program indicator is 0.1522 with a partial-likelihood standard error of 0.7594 and a p-value of 0.8412. The hazard ratio is approximately 1.164, with a confidence interval on the hazard-ratio scale running from roughly 0.26 to 5.16. The estimate is essentially indistinguishable from zero. Whatever processes govern the time from license to first flight in a reusable vehicle program, those processes are not, in this sample, captured by the binary reusable indicator to any degree that materially shifts the hazard. This is consistent with the broader pattern documented in the access-to-space and launch-cadence literature, in which reusability is associated more closely with sustained post-first-flight cadence and unit-cost trajectories than with the singular post-license-to-first-flight interval that the survival design targets here</w:t>
      </w:r>
      <w:r>
        <w:t xml:space="preserve"> </w:t>
      </w:r>
      <w:hyperlink w:anchor="ref-21">
        <w:r>
          <w:rPr>
            <w:rStyle w:val="Hyperlink"/>
          </w:rPr>
          <w:t xml:space="preserve">[21]</w:t>
        </w:r>
      </w:hyperlink>
      <w:r>
        <w:t xml:space="preserve">.</w:t>
      </w:r>
    </w:p>
    <w:bookmarkEnd w:id="130"/>
    <w:bookmarkStart w:id="131" w:name="the-part-450-regime-indicator"/>
    <w:p>
      <w:pPr>
        <w:pStyle w:val="Heading3"/>
        <w:spacing w:line="480" w:lineRule="auto"/>
      </w:pPr>
      <w:r>
        <w:t xml:space="preserve">6.2.4 The Part 450 regime indicator</w:t>
      </w:r>
    </w:p>
    <w:p>
      <w:pPr>
        <w:pStyle w:val="FirstParagraph"/>
        <w:spacing w:line="480" w:lineRule="auto"/>
      </w:pPr>
      <w:r>
        <w:t xml:space="preserve">The coefficient on the Part 450 regime indicator is minus 0.2158 with a partial-likelihood standard error of 0.5496 and a p-value of 0.6946. The hazard ratio is approximately 0.806, with a confidence interval on the hazard-ratio scale running from roughly 0.27 to 2.37. The sign is negative, which under the Cox parameterization implies a lower hazard of first flight under the streamlined regime, that is, a longer wait. This is the opposite of the prediction of H2 of Paper 2, which held that the post-2020 transition to performance-based licensing should compress administrative friction and accelerate post-license flight readiness. The estimate, however, is statistically indistinguishable from zero, and the confidence interval comfortably spans one. The most defensible reading is that the Part 450 regime indicator does not move the licensing-to-launch hazard in this sample in either direction with statistical reliability. It is not the case that the streamlined regime has been shown to slow flight readiness; it is the case that this estimator, on these twenty-three vehicles, cannot detect a regime acceleration that the prospectus and the wider regulatory commentary anticipated</w:t>
      </w:r>
      <w:r>
        <w:t xml:space="preserve"> </w:t>
      </w:r>
      <w:hyperlink w:anchor="ref-19">
        <w:r>
          <w:rPr>
            <w:rStyle w:val="Hyperlink"/>
          </w:rPr>
          <w:t xml:space="preserve">[19]</w:t>
        </w:r>
      </w:hyperlink>
      <w:r>
        <w:t xml:space="preserve">. The contrast with Paper 1 is important. Paper 1 shows that, at the aggregate annual margin, more licensed operations are associated with more on-orbit payloads under the FAA regime. Paper 2 shows that, at the per-vehicle margin, the post-2020 streamlined regime has not detectably shortened the interval between license issuance and first flight for the subset of vehicles that hold licenses today. The two facts coexist because the throughput effect of Paper 1 is largely about how many distinct authorizations the agency issues per year, and the latency effect of Paper 2 is about how long each individual licensed vehicle waits before flying. The dissertation’s pacing claim therefore operates principally through the count margin rather than through the per-license latency margin.</w:t>
      </w:r>
    </w:p>
    <w:bookmarkEnd w:id="131"/>
    <w:bookmarkStart w:id="132" w:name="log-payload-capacity"/>
    <w:p>
      <w:pPr>
        <w:pStyle w:val="Heading3"/>
        <w:spacing w:line="480" w:lineRule="auto"/>
      </w:pPr>
      <w:r>
        <w:t xml:space="preserve">6.2.5 Log payload capacity</w:t>
      </w:r>
    </w:p>
    <w:p>
      <w:pPr>
        <w:pStyle w:val="FirstParagraph"/>
        <w:spacing w:line="480" w:lineRule="auto"/>
      </w:pPr>
      <w:r>
        <w:t xml:space="preserve">The coefficient on the natural logarithm of advertised low-Earth-orbit payload capacity is 0.1089 with a partial-likelihood standard error of 0.2506 and a p-value of 0.6637. The hazard ratio is approximately 1.115, with a confidence interval on the hazard-ratio scale running from roughly 0.68 to 1.82. The estimate is small in magnitude and statistically indistinguishable from zero. The sign is positive, which under the Cox parameterization implies that larger-payload vehicles carry, if anything, a higher hazard of first flight, which is again contrary to the integration-tail prediction of H1. The substantive reading is the same as for heavy-class status: log payload capacity, treated continuously, is not a reliable orderer of post-license latency in this sample. Whatever determines the wait from license to first flight, it is not captured by the smooth payload-capacity gradient that the Cox specification permits.</w:t>
      </w:r>
    </w:p>
    <w:bookmarkEnd w:id="132"/>
    <w:bookmarkStart w:id="133" w:name="the-paper-2-result-taken-whole"/>
    <w:p>
      <w:pPr>
        <w:pStyle w:val="Heading3"/>
        <w:spacing w:line="480" w:lineRule="auto"/>
      </w:pPr>
      <w:r>
        <w:t xml:space="preserve">6.2.6 The Paper 2 result, taken whole</w:t>
      </w:r>
    </w:p>
    <w:p>
      <w:pPr>
        <w:pStyle w:val="FirstParagraph"/>
        <w:spacing w:line="480" w:lineRule="auto"/>
      </w:pPr>
      <w:r>
        <w:t xml:space="preserve">The Paper 2 estimator returns no covariate that reaches conventional statistical significance, and the four covariates jointly explain very little of the variation in the licensing-to-launch interval. Every estimated hazard ratio sits close to one, and every confidence interval on the hazard-ratio scale comfortably contains unity. Both H1 and H2 of Paper 2 fail to reject in the conventional sense, and the point estimates on the hypothesized variables either point in the opposite direction from the hypothesis or are too small to be substantively meaningful. The descriptive picture provided in the data, with a median licensing-to-launch interval among flown vehicles of roughly six weeks and a thin right tail of long waits, is consistent with the interpretation that, for most vehicles, the license is issued close to flight readiness rather than well ahead of it. The wait, where it exists, is concentrated in a small number of programs whose individual trajectories are not captured by binary class, binary reuse, binary regime, or continuous payload-mass covariates.</w:t>
      </w:r>
    </w:p>
    <w:p>
      <w:pPr>
        <w:pStyle w:val="BodyText"/>
        <w:spacing w:line="480" w:lineRule="auto"/>
        <w:ind w:firstLine="720"/>
      </w:pPr>
      <w:r>
        <w:t xml:space="preserve">This is itself a substantively interesting null. The null is not equivalent to a finding that the regulator does not pace anything. It is a finding that, at the per-licensed-vehicle margin, the structural features the survival design was built to detect do not differentiate the post-license interval. The pacing operates through the count of authorizations the agency issues per year, as Paper 1 demonstrates, rather than through a sharp regime-specific compression of the per-vehicle interval, as Paper 2 fails to demonstrate. The two findings are mutually consistent under the reading that licensing throughput pace-limits deployment by setting the rate at which legal launch opportunities are made available, and that within those opportunities, vehicles fly close to engineering readiness rather than waiting on the regulator</w:t>
      </w:r>
      <w:r>
        <w:t xml:space="preserve"> </w:t>
      </w:r>
      <w:hyperlink w:anchor="ref-21">
        <w:r>
          <w:rPr>
            <w:rStyle w:val="Hyperlink"/>
          </w:rPr>
          <w:t xml:space="preserve">[21]</w:t>
        </w:r>
      </w:hyperlink>
      <w:r>
        <w:t xml:space="preserve">,</w:t>
      </w:r>
      <w:r>
        <w:t xml:space="preserve"> </w:t>
      </w:r>
      <w:hyperlink w:anchor="ref-42">
        <w:r>
          <w:rPr>
            <w:rStyle w:val="Hyperlink"/>
          </w:rPr>
          <w:t xml:space="preserve">[42]</w:t>
        </w:r>
      </w:hyperlink>
      <w:r>
        <w:t xml:space="preserve">.</w:t>
      </w:r>
    </w:p>
    <w:bookmarkEnd w:id="133"/>
    <w:bookmarkEnd w:id="134"/>
    <w:bookmarkStart w:id="140" w:name="integrated-reading-across-the-two-papers"/>
    <w:p>
      <w:pPr>
        <w:pStyle w:val="Heading2"/>
        <w:spacing w:line="480" w:lineRule="auto"/>
      </w:pPr>
      <w:r>
        <w:t xml:space="preserve">6.3 Integrated Reading Across the Two Papers</w:t>
      </w:r>
    </w:p>
    <w:bookmarkStart w:id="135" w:name="Xcbf10878c38ad242090f825ab52db2b9aea1278"/>
    <w:p>
      <w:pPr>
        <w:pStyle w:val="Heading3"/>
        <w:spacing w:line="480" w:lineRule="auto"/>
      </w:pPr>
      <w:r>
        <w:t xml:space="preserve">6.3.1 What the two estimators jointly establish</w:t>
      </w:r>
    </w:p>
    <w:p>
      <w:pPr>
        <w:pStyle w:val="FirstParagraph"/>
        <w:spacing w:line="480" w:lineRule="auto"/>
      </w:pPr>
      <w:r>
        <w:t xml:space="preserve">The dissertation’s pacing hypothesis admits two distinct empirical instantiations, and the two papers test them separately. Paper 1 tests whether the count of annual authorizations co-moves with annual on-orbit payload counts in a regime-specific way, and finds, with the precision the design supports, that it does. Paper 2 tests whether structural vehicle features and the streamlined post-2020 regime systematically compress the per-vehicle interval from license to flight, and finds, with the limited precision the small sample supports, that they do not. The combined reading is that licensing-throughput pacing is real at the bloc-year aggregate margin and is not detectable as a per-vehicle latency effect at the configuration-level margin. The mechanism, in other words, is not that any given licensed vehicle flies meaningfully sooner under the streamlined regime than it would have under the previous regime; the mechanism is that the regime issues more authorizations per year, and operators deploy against the additional cleared capacity. This recasts the pacing claim from a per-flight regulatory-acceleration story into a regime-throughput-elasticity story, with consequences for how the result should be invoked in space traffic management capacity planning</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w:t>
      </w:r>
      <w:r>
        <w:t xml:space="preserve"> </w:t>
      </w:r>
      <w:hyperlink w:anchor="ref-37">
        <w:r>
          <w:rPr>
            <w:rStyle w:val="Hyperlink"/>
          </w:rPr>
          <w:t xml:space="preserve">[37]</w:t>
        </w:r>
      </w:hyperlink>
      <w:r>
        <w:t xml:space="preserve">.</w:t>
      </w:r>
    </w:p>
    <w:bookmarkEnd w:id="135"/>
    <w:bookmarkStart w:id="136" w:name="X340268b30bf514ff562c3b4f9d1666068a7df2d"/>
    <w:p>
      <w:pPr>
        <w:pStyle w:val="Heading3"/>
        <w:spacing w:line="480" w:lineRule="auto"/>
      </w:pPr>
      <w:r>
        <w:t xml:space="preserve">6.3.2 The Paper 1 interaction as the dissertation’s central quantity</w:t>
      </w:r>
    </w:p>
    <w:p>
      <w:pPr>
        <w:pStyle w:val="FirstParagraph"/>
        <w:spacing w:line="480" w:lineRule="auto"/>
      </w:pPr>
      <w:r>
        <w:t xml:space="preserve">Of all the coefficients estimated in either study, the throughput_x_faa interaction term of Paper 1 is the dissertation’s central quantitative contribution. Its point estimate of 14.84, its robust standard error of 2.81, its p-value below 0.0001, and its 95 percent confidence interval of approximately 9.33 to 20.35 jointly satisfy the falsifiability standard set out in the prospectus: a single coefficient with sign, magnitude, and precision sufficient to either remove the asserted causal channel or to leave it in the literature. The coefficient is positive, large, sharply identified, and clearly distinguishable from the rest-of-world slope, so the null of zero pass-through is rejected under the parameterization Paper 1 adopts.</w:t>
      </w:r>
    </w:p>
    <w:bookmarkEnd w:id="136"/>
    <w:bookmarkStart w:id="137" w:name="Xaae2a46013a3b9ea0ad10607d551ddf7ce54357"/>
    <w:p>
      <w:pPr>
        <w:pStyle w:val="Heading3"/>
        <w:spacing w:line="480" w:lineRule="auto"/>
      </w:pPr>
      <w:r>
        <w:t xml:space="preserve">6.3.3 The Paper 2 nulls as a constraint on the interpretive scope</w:t>
      </w:r>
    </w:p>
    <w:p>
      <w:pPr>
        <w:pStyle w:val="FirstParagraph"/>
        <w:spacing w:line="480" w:lineRule="auto"/>
      </w:pPr>
      <w:r>
        <w:t xml:space="preserve">The Paper 2 nulls discipline the interpretive scope of that finding. The throughput slope of Paper 1 should not be read as evidence that any individual vehicle flies sooner under the streamlined regime, because Paper 2 cannot detect such an effect even where it is hypothesized to be most concentrated. Nor should it be read as evidence that operators are queueing flight-ready vehicles in anticipation of a slow regulator, because Paper 2 shows that the per-vehicle license-to-flight interval is, in the modal vehicle, short. The most defensible interpretation that survives both papers is that the FAA AST regime, as it has been operated across the panel window, has produced an annual flow of authorizations that scales with operator demand, and that the count of those authorizations is the variable that co-moves with annual deployment. The streamlining of the regulatory interface visible in the policy record</w:t>
      </w:r>
      <w:r>
        <w:t xml:space="preserve"> </w:t>
      </w:r>
      <w:hyperlink w:anchor="ref-19">
        <w:r>
          <w:rPr>
            <w:rStyle w:val="Hyperlink"/>
          </w:rPr>
          <w:t xml:space="preserve">[19]</w:t>
        </w:r>
      </w:hyperlink>
      <w:r>
        <w:t xml:space="preserve"> </w:t>
      </w:r>
      <w:r>
        <w:t xml:space="preserve">enters the result through its effect on the agency’s annual throughput capacity, not through any measurable shortening of the per-license interval.</w:t>
      </w:r>
    </w:p>
    <w:bookmarkEnd w:id="137"/>
    <w:bookmarkStart w:id="138" w:name="X685c3a18999c65ef0449dc6c2aff275731c230b"/>
    <w:p>
      <w:pPr>
        <w:pStyle w:val="Heading3"/>
        <w:spacing w:line="480" w:lineRule="auto"/>
      </w:pPr>
      <w:r>
        <w:t xml:space="preserve">6.3.4 Implications for the space traffic management workload</w:t>
      </w:r>
    </w:p>
    <w:p>
      <w:pPr>
        <w:pStyle w:val="FirstParagraph"/>
        <w:spacing w:line="480" w:lineRule="auto"/>
      </w:pPr>
      <w:r>
        <w:t xml:space="preserve">If the pacing relationship documented in Paper 1 is taken at face value, the implication for the conjunction-screening workload is direct. The catalogue of resident space objects, which underpins operational conjunction assessment</w:t>
      </w:r>
      <w:r>
        <w:t xml:space="preserve"> </w:t>
      </w:r>
      <w:hyperlink w:anchor="ref-5">
        <w:r>
          <w:rPr>
            <w:rStyle w:val="Hyperlink"/>
          </w:rPr>
          <w:t xml:space="preserve">[5]</w:t>
        </w:r>
      </w:hyperlink>
      <w:r>
        <w:t xml:space="preserve">,</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 grows with annual payload insertion, and annual payload insertion under the FAA regime moves with annual licensing throughput at a rate of approximately fifteen payloads per licensed operation. Any policy that increases annual licensing throughput in this configuration should be expected to translate, after a lag governed by orbital placement and operational status, into a proportional increase in screened-catalogue density and into a proportional increase in the conjunction-assessment workload that the United States Space Force and NASA conjunction-assessment infrastructure must absorb</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 The same logic, applied prospectively, anchors the cislunar extension proposed in the prospectus: as authorization regimes for cislunar and lunar operations are designed</w:t>
      </w:r>
      <w:r>
        <w:t xml:space="preserve"> </w:t>
      </w:r>
      <w:hyperlink w:anchor="ref-3">
        <w:r>
          <w:rPr>
            <w:rStyle w:val="Hyperlink"/>
          </w:rPr>
          <w:t xml:space="preserve">[3]</w:t>
        </w:r>
      </w:hyperlink>
      <w:r>
        <w:t xml:space="preserve">,</w:t>
      </w:r>
      <w:r>
        <w:t xml:space="preserve"> </w:t>
      </w:r>
      <w:hyperlink w:anchor="ref-7">
        <w:r>
          <w:rPr>
            <w:rStyle w:val="Hyperlink"/>
          </w:rPr>
          <w:t xml:space="preserve">[7]</w:t>
        </w:r>
      </w:hyperlink>
      <w:r>
        <w:t xml:space="preserve">,</w:t>
      </w:r>
      <w:r>
        <w:t xml:space="preserve"> </w:t>
      </w:r>
      <w:hyperlink w:anchor="ref-45">
        <w:r>
          <w:rPr>
            <w:rStyle w:val="Hyperlink"/>
          </w:rPr>
          <w:t xml:space="preserve">[45]</w:t>
        </w:r>
      </w:hyperlink>
      <w:r>
        <w:t xml:space="preserve">, the throughput elasticity documented for the terrestrial-low-Earth-orbit case is the empirical baseline against which the rate of cislunar traffic accretion under any future cislunar licensing regime should be modeled.</w:t>
      </w:r>
    </w:p>
    <w:bookmarkEnd w:id="138"/>
    <w:bookmarkStart w:id="139" w:name="Xfa2d6beb536dc3a13d33c8700c6cc3d386dbcda"/>
    <w:p>
      <w:pPr>
        <w:pStyle w:val="Heading3"/>
        <w:spacing w:line="480" w:lineRule="auto"/>
      </w:pPr>
      <w:r>
        <w:t xml:space="preserve">6.3.5 Substantive caveats internal to the estimator output</w:t>
      </w:r>
    </w:p>
    <w:p>
      <w:pPr>
        <w:pStyle w:val="FirstParagraph"/>
        <w:spacing w:line="480" w:lineRule="auto"/>
      </w:pPr>
      <w:r>
        <w:t xml:space="preserve">Three caveats are internal to the estimator output and should accompany any external use of the coefficients. First, the Paper 1 panel comprises twenty-two observations, and the precision of the interaction term, while real, is sustained by the wide variance in throughput and payload counts produced by the constellation era. The estimator should not be extrapolated outside the range of throughput values present in the panel without the support of a longer series. Second, the Paper 1 throughput measure is asymmetric across blocs, with FAA licensed operations for the United States and national orbital launch attempts for the rest of the world, so the comparison of slopes is properly read as a comparison of elasticities of deployment with respect to regime-appropriate throughput rather than as a comparison of identical units. Third, the Paper 2 sample of twenty-three configurations with twenty events is small for a Cox model with four covariates, and the failure to reject any covariate should be read as a constraint on the survival design’s power rather than as a strong positive claim of no effect. Each of these caveats is internal to the estimator output and is documented in the data sources cited in the paper proses</w:t>
      </w:r>
      <w:r>
        <w:t xml:space="preserve"> </w:t>
      </w:r>
      <w:hyperlink w:anchor="ref-3">
        <w:r>
          <w:rPr>
            <w:rStyle w:val="Hyperlink"/>
          </w:rPr>
          <w:t xml:space="preserve">[3]</w:t>
        </w:r>
      </w:hyperlink>
      <w:r>
        <w:t xml:space="preserve">,</w:t>
      </w:r>
      <w:r>
        <w:t xml:space="preserve"> </w:t>
      </w:r>
      <w:hyperlink w:anchor="ref-10">
        <w:r>
          <w:rPr>
            <w:rStyle w:val="Hyperlink"/>
          </w:rPr>
          <w:t xml:space="preserve">[10]</w:t>
        </w:r>
      </w:hyperlink>
      <w:r>
        <w:t xml:space="preserve">,</w:t>
      </w:r>
      <w:r>
        <w:t xml:space="preserve"> </w:t>
      </w:r>
      <w:hyperlink w:anchor="ref-23">
        <w:r>
          <w:rPr>
            <w:rStyle w:val="Hyperlink"/>
          </w:rPr>
          <w:t xml:space="preserve">[23]</w:t>
        </w:r>
      </w:hyperlink>
      <w:r>
        <w:t xml:space="preserve">,</w:t>
      </w:r>
      <w:r>
        <w:t xml:space="preserve"> </w:t>
      </w:r>
      <w:hyperlink w:anchor="ref-25">
        <w:r>
          <w:rPr>
            <w:rStyle w:val="Hyperlink"/>
          </w:rPr>
          <w:t xml:space="preserve">[25]</w:t>
        </w:r>
      </w:hyperlink>
      <w:r>
        <w:t xml:space="preserve">,</w:t>
      </w:r>
      <w:r>
        <w:t xml:space="preserve"> </w:t>
      </w:r>
      <w:hyperlink w:anchor="ref-27">
        <w:r>
          <w:rPr>
            <w:rStyle w:val="Hyperlink"/>
          </w:rPr>
          <w:t xml:space="preserve">[27]</w:t>
        </w:r>
      </w:hyperlink>
      <w:r>
        <w:t xml:space="preserve">,</w:t>
      </w:r>
      <w:r>
        <w:t xml:space="preserve"> </w:t>
      </w:r>
      <w:hyperlink w:anchor="ref-28">
        <w:r>
          <w:rPr>
            <w:rStyle w:val="Hyperlink"/>
          </w:rPr>
          <w:t xml:space="preserve">[28]</w:t>
        </w:r>
      </w:hyperlink>
      <w:r>
        <w:t xml:space="preserve">,</w:t>
      </w:r>
      <w:r>
        <w:t xml:space="preserve"> </w:t>
      </w:r>
      <w:hyperlink w:anchor="ref-29">
        <w:r>
          <w:rPr>
            <w:rStyle w:val="Hyperlink"/>
          </w:rPr>
          <w:t xml:space="preserve">[29]</w:t>
        </w:r>
      </w:hyperlink>
      <w:r>
        <w:t xml:space="preserve">,</w:t>
      </w:r>
      <w:r>
        <w:t xml:space="preserve"> </w:t>
      </w:r>
      <w:hyperlink w:anchor="ref-30">
        <w:r>
          <w:rPr>
            <w:rStyle w:val="Hyperlink"/>
          </w:rPr>
          <w:t xml:space="preserve">[30]</w:t>
        </w:r>
      </w:hyperlink>
      <w:r>
        <w:t xml:space="preserve">,</w:t>
      </w:r>
      <w:r>
        <w:t xml:space="preserve"> </w:t>
      </w:r>
      <w:hyperlink w:anchor="ref-31">
        <w:r>
          <w:rPr>
            <w:rStyle w:val="Hyperlink"/>
          </w:rPr>
          <w:t xml:space="preserve">[31]</w:t>
        </w:r>
      </w:hyperlink>
      <w:r>
        <w:t xml:space="preserve">,</w:t>
      </w:r>
      <w:r>
        <w:t xml:space="preserve"> </w:t>
      </w:r>
      <w:hyperlink w:anchor="ref-32">
        <w:r>
          <w:rPr>
            <w:rStyle w:val="Hyperlink"/>
          </w:rPr>
          <w:t xml:space="preserve">[32]</w:t>
        </w:r>
      </w:hyperlink>
      <w:r>
        <w:t xml:space="preserve">,</w:t>
      </w:r>
      <w:r>
        <w:t xml:space="preserve"> </w:t>
      </w:r>
      <w:hyperlink w:anchor="ref-33">
        <w:r>
          <w:rPr>
            <w:rStyle w:val="Hyperlink"/>
          </w:rPr>
          <w:t xml:space="preserve">[33]</w:t>
        </w:r>
      </w:hyperlink>
      <w:r>
        <w:t xml:space="preserve">.</w:t>
      </w:r>
    </w:p>
    <w:bookmarkEnd w:id="139"/>
    <w:bookmarkEnd w:id="140"/>
    <w:bookmarkStart w:id="141" w:name="summary-of-the-results-chapter"/>
    <w:p>
      <w:pPr>
        <w:pStyle w:val="Heading2"/>
        <w:spacing w:line="480" w:lineRule="auto"/>
      </w:pPr>
      <w:r>
        <w:t xml:space="preserve">6.4 Summary of the Results Chapter</w:t>
      </w:r>
    </w:p>
    <w:p>
      <w:pPr>
        <w:pStyle w:val="FirstParagraph"/>
        <w:spacing w:line="480" w:lineRule="auto"/>
      </w:pPr>
      <w:r>
        <w:t xml:space="preserve">The two studies, read together, refine the prospectus account in a specific direction. The dissertation’s claim that FAA AST throughput paces on-orbit deployment is empirically supported at the annual aggregate margin by an interaction coefficient of 14.84 payloads per licensed operation, standard error 2.81, p below 0.0001, against a rest-of-world baseline that is statistically indistinguishable from zero. The dissertation’s secondary claim that the post-2020 streamlined regime sharply compresses the per-vehicle interval from license to first flight is not supported by the Cox survival analysis; the Part 450 coefficient is minus 0.2158, standard error 0.5496, p equal to 0.6946, and runs in the opposite direction from the hypothesized acceleration without reaching statistical significance. The same null verdict applies to heavy-class status, reusable-program status, and log payload capacity, each of which produces a hazard ratio close to unity with confidence bounds that span both the hypothesized direction and its opposite. The integrated interpretation is that the pacing relationship operates through the count of authorizations the agency clears per year, and that within those authorizations, vehicles fly close to engineering readiness rather than waiting on the regulator. Chapter 7 turns to the implications of this combined finding for the space traffic management capacity-planning literature and for the cislunar extension proposed in the prospectus, and Chapter 8 returns to the broader dissertation argument that the demand side of space traffic management cannot be treated as exogenous to upstream regulatory design</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w:t>
      </w:r>
      <w:r>
        <w:t xml:space="preserve"> </w:t>
      </w:r>
      <w:hyperlink w:anchor="ref-37">
        <w:r>
          <w:rPr>
            <w:rStyle w:val="Hyperlink"/>
          </w:rPr>
          <w:t xml:space="preserve">[37]</w:t>
        </w:r>
      </w:hyperlink>
      <w:r>
        <w:t xml:space="preserve">,</w:t>
      </w:r>
      <w:r>
        <w:t xml:space="preserve"> </w:t>
      </w:r>
      <w:hyperlink w:anchor="ref-41">
        <w:r>
          <w:rPr>
            <w:rStyle w:val="Hyperlink"/>
          </w:rPr>
          <w:t xml:space="preserve">[41]</w:t>
        </w:r>
      </w:hyperlink>
      <w:r>
        <w:t xml:space="preserve">.</w:t>
      </w:r>
    </w:p>
    <w:bookmarkEnd w:id="141"/>
    <w:bookmarkEnd w:id="142"/>
    <w:bookmarkStart w:id="151" w:name="X21322cb5e29cbf4eb576afddcad42f86ace4e0d"/>
    <w:p>
      <w:pPr>
        <w:pStyle w:val="Heading1"/>
        <w:spacing w:line="480" w:lineRule="auto"/>
      </w:pPr>
      <w:r>
        <w:t xml:space="preserve">Chapter 7. Discussion and Governance Implications</w:t>
      </w:r>
    </w:p>
    <w:bookmarkStart w:id="143" w:name="synthesis-of-the-two-paper-result"/>
    <w:p>
      <w:pPr>
        <w:pStyle w:val="Heading2"/>
        <w:spacing w:line="480" w:lineRule="auto"/>
      </w:pPr>
      <w:r>
        <w:t xml:space="preserve">7.1 Synthesis of the Two-Paper Result</w:t>
      </w:r>
    </w:p>
    <w:p>
      <w:pPr>
        <w:pStyle w:val="FirstParagraph"/>
        <w:spacing w:line="480" w:lineRule="auto"/>
      </w:pPr>
      <w:r>
        <w:t xml:space="preserve">The dissertation set out to estimate a single coefficient: the pass-through from FAA AST licensing throughput to space traffic management (STM) demand, with a null of zero. Two independent empirical exercises have now returned a coherent reading on that coefficient, and the reading is not the one the policy literature has assumed. The bloc-year panel in Paper 1 produced a sharply significant interaction between throughput and the FAA regime indicator, with each additional licensed operation associated with approximately 14.8 additional payloads placed in orbit in the same year, while the rest-of-world slope was statistically indistinguishable from zero</w:t>
      </w:r>
      <w:r>
        <w:t xml:space="preserve"> </w:t>
      </w:r>
      <w:hyperlink w:anchor="ref-19">
        <w:r>
          <w:rPr>
            <w:rStyle w:val="Hyperlink"/>
          </w:rPr>
          <w:t xml:space="preserve">[19]</w:t>
        </w:r>
      </w:hyperlink>
      <w:r>
        <w:t xml:space="preserve">,</w:t>
      </w:r>
      <w:r>
        <w:t xml:space="preserve"> </w:t>
      </w:r>
      <w:hyperlink w:anchor="ref-23">
        <w:r>
          <w:rPr>
            <w:rStyle w:val="Hyperlink"/>
          </w:rPr>
          <w:t xml:space="preserve">[23]</w:t>
        </w:r>
      </w:hyperlink>
      <w:r>
        <w:t xml:space="preserve">. The Cox proportional-hazards analysis in Paper 2, fit on twenty-three vehicle configurations spanning thirty-two years of FAA AST records, produced no covariate that reached conventional significance; the median wait from license issuance to first flight was approximately six weeks, and neither the Part 450 streamlined regime</w:t>
      </w:r>
      <w:r>
        <w:t xml:space="preserve"> </w:t>
      </w:r>
      <w:hyperlink w:anchor="ref-19">
        <w:r>
          <w:rPr>
            <w:rStyle w:val="Hyperlink"/>
          </w:rPr>
          <w:t xml:space="preserve">[19]</w:t>
        </w:r>
      </w:hyperlink>
      <w:r>
        <w:t xml:space="preserve"> </w:t>
      </w:r>
      <w:r>
        <w:t xml:space="preserve">nor heavy-class vehicle status systematically ordered the timing of first flight</w:t>
      </w:r>
      <w:r>
        <w:t xml:space="preserve"> </w:t>
      </w:r>
      <w:hyperlink w:anchor="ref-27">
        <w:r>
          <w:rPr>
            <w:rStyle w:val="Hyperlink"/>
          </w:rPr>
          <w:t xml:space="preserve">[27]</w:t>
        </w:r>
      </w:hyperlink>
      <w:r>
        <w:t xml:space="preserve">,</w:t>
      </w:r>
      <w:r>
        <w:t xml:space="preserve"> </w:t>
      </w:r>
      <w:hyperlink w:anchor="ref-28">
        <w:r>
          <w:rPr>
            <w:rStyle w:val="Hyperlink"/>
          </w:rPr>
          <w:t xml:space="preserve">[28]</w:t>
        </w:r>
      </w:hyperlink>
      <w:r>
        <w:t xml:space="preserve">,</w:t>
      </w:r>
      <w:r>
        <w:t xml:space="preserve"> </w:t>
      </w:r>
      <w:hyperlink w:anchor="ref-29">
        <w:r>
          <w:rPr>
            <w:rStyle w:val="Hyperlink"/>
          </w:rPr>
          <w:t xml:space="preserve">[29]</w:t>
        </w:r>
      </w:hyperlink>
      <w:r>
        <w:t xml:space="preserve">,</w:t>
      </w:r>
      <w:r>
        <w:t xml:space="preserve"> </w:t>
      </w:r>
      <w:hyperlink w:anchor="ref-30">
        <w:r>
          <w:rPr>
            <w:rStyle w:val="Hyperlink"/>
          </w:rPr>
          <w:t xml:space="preserve">[30]</w:t>
        </w:r>
      </w:hyperlink>
      <w:r>
        <w:t xml:space="preserve">,</w:t>
      </w:r>
      <w:r>
        <w:t xml:space="preserve"> </w:t>
      </w:r>
      <w:hyperlink w:anchor="ref-31">
        <w:r>
          <w:rPr>
            <w:rStyle w:val="Hyperlink"/>
          </w:rPr>
          <w:t xml:space="preserve">[31]</w:t>
        </w:r>
      </w:hyperlink>
      <w:r>
        <w:t xml:space="preserve">,</w:t>
      </w:r>
      <w:r>
        <w:t xml:space="preserve"> </w:t>
      </w:r>
      <w:hyperlink w:anchor="ref-32">
        <w:r>
          <w:rPr>
            <w:rStyle w:val="Hyperlink"/>
          </w:rPr>
          <w:t xml:space="preserve">[32]</w:t>
        </w:r>
      </w:hyperlink>
      <w:r>
        <w:t xml:space="preserve">,</w:t>
      </w:r>
      <w:r>
        <w:t xml:space="preserve"> </w:t>
      </w:r>
      <w:hyperlink w:anchor="ref-33">
        <w:r>
          <w:rPr>
            <w:rStyle w:val="Hyperlink"/>
          </w:rPr>
          <w:t xml:space="preserve">[33]</w:t>
        </w:r>
      </w:hyperlink>
      <w:r>
        <w:t xml:space="preserve">.</w:t>
      </w:r>
    </w:p>
    <w:p>
      <w:pPr>
        <w:pStyle w:val="BodyText"/>
        <w:spacing w:line="480" w:lineRule="auto"/>
        <w:ind w:firstLine="720"/>
      </w:pPr>
      <w:r>
        <w:t xml:space="preserve">Read together, the two estimates triangulate to a clear inference. Annual licensing throughput co-moves strongly with United States deployment, but the within-vehicle interval between license in hand and wheels up is short and is not paced by the regulatory regime that issued the license. The most defensible interpretation is that FAA AST clears licenses approximately when vehicles are ready to fly rather than holding them in queue, and that throughput therefore registers the cadence of flight readiness rather than imposing it. The pacing relationship visible at the bloc-year level is not a regulatory bottleneck in the strict sense of the term used in the operations literature</w:t>
      </w:r>
      <w:r>
        <w:t xml:space="preserve"> </w:t>
      </w:r>
      <w:hyperlink w:anchor="ref-4">
        <w:r>
          <w:rPr>
            <w:rStyle w:val="Hyperlink"/>
          </w:rPr>
          <w:t xml:space="preserve">[4]</w:t>
        </w:r>
      </w:hyperlink>
      <w:r>
        <w:t xml:space="preserve">,</w:t>
      </w:r>
      <w:r>
        <w:t xml:space="preserve"> </w:t>
      </w:r>
      <w:hyperlink w:anchor="ref-37">
        <w:r>
          <w:rPr>
            <w:rStyle w:val="Hyperlink"/>
          </w:rPr>
          <w:t xml:space="preserve">[37]</w:t>
        </w:r>
      </w:hyperlink>
      <w:r>
        <w:t xml:space="preserve">, because there is no detectable queue of flight-ready vehicles waiting on the regulator. It is, however, a regime-specific elasticity: the United States configuration of performance-based licensing, established launch infrastructure, and concentrated industrial capacity produces a yield per licensed operation that no other licensing regime in the panel approaches</w:t>
      </w:r>
      <w:r>
        <w:t xml:space="preserve"> </w:t>
      </w:r>
      <w:hyperlink w:anchor="ref-40">
        <w:r>
          <w:rPr>
            <w:rStyle w:val="Hyperlink"/>
          </w:rPr>
          <w:t xml:space="preserve">[40]</w:t>
        </w:r>
      </w:hyperlink>
      <w:r>
        <w:t xml:space="preserve">,</w:t>
      </w:r>
      <w:r>
        <w:t xml:space="preserve"> </w:t>
      </w:r>
      <w:hyperlink w:anchor="ref-19">
        <w:r>
          <w:rPr>
            <w:rStyle w:val="Hyperlink"/>
          </w:rPr>
          <w:t xml:space="preserve">[19]</w:t>
        </w:r>
      </w:hyperlink>
      <w:r>
        <w:t xml:space="preserve">.</w:t>
      </w:r>
    </w:p>
    <w:p>
      <w:pPr>
        <w:pStyle w:val="BodyText"/>
        <w:spacing w:line="480" w:lineRule="auto"/>
        <w:ind w:firstLine="720"/>
      </w:pPr>
      <w:r>
        <w:t xml:space="preserve">For the dissertation’s falsifiable contribution this matters in a particular way. The pass-through coefficient β is not zero in the population-level sense Paper 1 measures, but the within-vehicle latency channel that the prospectus identified as the operative mechanism is empirically thin. The downstream conjunction-load argument therefore cannot rest on the simple claim that shortening FAA processing time would accelerate orbital deployment in any near-term way. It must rest instead on the structural composition of the licensing portfolio, the constellation programs that dominate it, and the way the regulator’s caseload mix has shifted under the Part 450 transition</w:t>
      </w:r>
      <w:r>
        <w:t xml:space="preserve"> </w:t>
      </w:r>
      <w:hyperlink w:anchor="ref-19">
        <w:r>
          <w:rPr>
            <w:rStyle w:val="Hyperlink"/>
          </w:rPr>
          <w:t xml:space="preserve">[19]</w:t>
        </w:r>
      </w:hyperlink>
      <w:r>
        <w:t xml:space="preserve">,</w:t>
      </w:r>
      <w:r>
        <w:t xml:space="preserve"> </w:t>
      </w:r>
      <w:hyperlink w:anchor="ref-27">
        <w:r>
          <w:rPr>
            <w:rStyle w:val="Hyperlink"/>
          </w:rPr>
          <w:t xml:space="preserve">[27]</w:t>
        </w:r>
      </w:hyperlink>
      <w:r>
        <w:t xml:space="preserve">.</w:t>
      </w:r>
    </w:p>
    <w:bookmarkEnd w:id="143"/>
    <w:bookmarkStart w:id="144" w:name="implications-for-nasa-program-management"/>
    <w:p>
      <w:pPr>
        <w:pStyle w:val="Heading2"/>
        <w:spacing w:line="480" w:lineRule="auto"/>
      </w:pPr>
      <w:r>
        <w:t xml:space="preserve">7.2 Implications for NASA Program Management</w:t>
      </w:r>
    </w:p>
    <w:p>
      <w:pPr>
        <w:pStyle w:val="FirstParagraph"/>
        <w:spacing w:line="480" w:lineRule="auto"/>
      </w:pPr>
      <w:r>
        <w:t xml:space="preserve">The most immediate consumer of this finding is the program management function at NASA that depends on conjunction screening to protect operational missions. The NASA Conjunction Assessment Risk Analysis (CARA) program operates against a catalogue whose growth has scaled with the cadence of large-constellation deployment, and the screening workload has scaled with it</w:t>
      </w:r>
      <w:r>
        <w:t xml:space="preserve"> </w:t>
      </w:r>
      <w:hyperlink w:anchor="ref-5">
        <w:r>
          <w:rPr>
            <w:rStyle w:val="Hyperlink"/>
          </w:rPr>
          <w:t xml:space="preserve">[5]</w:t>
        </w:r>
      </w:hyperlink>
      <w:r>
        <w:t xml:space="preserve">,</w:t>
      </w:r>
      <w:r>
        <w:t xml:space="preserve"> </w:t>
      </w:r>
      <w:hyperlink w:anchor="ref-9">
        <w:r>
          <w:rPr>
            <w:rStyle w:val="Hyperlink"/>
          </w:rPr>
          <w:t xml:space="preserve">[9]</w:t>
        </w:r>
      </w:hyperlink>
      <w:r>
        <w:t xml:space="preserve">. CARA’s planning posture has historically treated payload accretion as exogenous, which is appropriate for an organization whose role is to respond to the conjunction load it inherits rather than to shape it. The findings here refine, rather than overturn, that posture.</w:t>
      </w:r>
    </w:p>
    <w:p>
      <w:pPr>
        <w:pStyle w:val="BodyText"/>
        <w:spacing w:line="480" w:lineRule="auto"/>
        <w:ind w:firstLine="720"/>
      </w:pPr>
      <w:r>
        <w:t xml:space="preserve">The first program-management implication is that conjunction-load forecasting at NASA should be anchored to operator deployment plans and constellation production rates rather than to assumptions about regulatory pace. Paper 1’s bloc-year elasticity, while large, is driven almost entirely by the constellation segment of the United States manifest, and the Cox null in Paper 2 indicates that variation in license-to-launch interval is not the operative degree of freedom. Workload projections that key off FAA processing time as a forward indicator will mis-forecast in both directions: they will understate the workload during a period when the regulator clears licenses quickly because vehicles are flight-ready, and they will overstate it during a period of stalled engineering even if the regulator’s processing time has shortened. The CARA program’s existing practice of indexing forward workload to catalogued accretion and to operator-disclosed deployment schedules</w:t>
      </w:r>
      <w:r>
        <w:t xml:space="preserve"> </w:t>
      </w:r>
      <w:hyperlink w:anchor="ref-5">
        <w:r>
          <w:rPr>
            <w:rStyle w:val="Hyperlink"/>
          </w:rPr>
          <w:t xml:space="preserve">[5]</w:t>
        </w:r>
      </w:hyperlink>
      <w:r>
        <w:t xml:space="preserve">,</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 </w:t>
      </w:r>
      <w:r>
        <w:t xml:space="preserve">is therefore the right primitive, and the dissertation’s contribution is to remove a tempting but unsupported regulatory shortcut from forecasting practice.</w:t>
      </w:r>
    </w:p>
    <w:p>
      <w:pPr>
        <w:pStyle w:val="BodyText"/>
        <w:spacing w:line="480" w:lineRule="auto"/>
        <w:ind w:firstLine="720"/>
      </w:pPr>
      <w:r>
        <w:t xml:space="preserve">The second implication concerns NASA’s posture as a satellite owner-operator. NASA spacecraft share the screened catalogue with the same constellation-driven traffic that the dissertation has characterized</w:t>
      </w:r>
      <w:r>
        <w:t xml:space="preserve"> </w:t>
      </w:r>
      <w:hyperlink w:anchor="ref-13">
        <w:r>
          <w:rPr>
            <w:rStyle w:val="Hyperlink"/>
          </w:rPr>
          <w:t xml:space="preserve">[13]</w:t>
        </w:r>
      </w:hyperlink>
      <w:r>
        <w:t xml:space="preserve">,</w:t>
      </w:r>
      <w:r>
        <w:t xml:space="preserve"> </w:t>
      </w:r>
      <w:hyperlink w:anchor="ref-14">
        <w:r>
          <w:rPr>
            <w:rStyle w:val="Hyperlink"/>
          </w:rPr>
          <w:t xml:space="preserve">[14]</w:t>
        </w:r>
      </w:hyperlink>
      <w:r>
        <w:t xml:space="preserve">,</w:t>
      </w:r>
      <w:r>
        <w:t xml:space="preserve"> </w:t>
      </w:r>
      <w:hyperlink w:anchor="ref-15">
        <w:r>
          <w:rPr>
            <w:rStyle w:val="Hyperlink"/>
          </w:rPr>
          <w:t xml:space="preserve">[15]</w:t>
        </w:r>
      </w:hyperlink>
      <w:r>
        <w:t xml:space="preserve">,</w:t>
      </w:r>
      <w:r>
        <w:t xml:space="preserve"> </w:t>
      </w:r>
      <w:hyperlink w:anchor="ref-16">
        <w:r>
          <w:rPr>
            <w:rStyle w:val="Hyperlink"/>
          </w:rPr>
          <w:t xml:space="preserve">[16]</w:t>
        </w:r>
      </w:hyperlink>
      <w:r>
        <w:t xml:space="preserve">. Operational maneuver guidelines have already begun to encode the asymmetry between maneuverable and non-maneuverable conjunctors and between cooperative and uncooperative operators</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 The empirical evidence in Paper 1 that deployment is concentrated in regimes where licensing throughput is the index of regime maturity should inform how NASA prioritizes coordination agreements with high-cadence commercial operators. The leverage is not in negotiating with the regulator but in negotiating with the operators whose deployment plans determine future screening volume. Program offices that integrate constellation operator coordination into their mission planning will absorb the conjunction load more efficiently than program offices that rely on the regulatory environment to dampen it.</w:t>
      </w:r>
    </w:p>
    <w:p>
      <w:pPr>
        <w:pStyle w:val="BodyText"/>
        <w:spacing w:line="480" w:lineRule="auto"/>
        <w:ind w:firstLine="720"/>
      </w:pPr>
      <w:r>
        <w:t xml:space="preserve">The third implication is methodological. The two-paper structure used here, a regime-level panel paired with a vehicle-level survival model, is the same epistemic structure that NASA program planners face when reconciling agency-wide trend forecasts with mission-specific schedule risk. Paper 1 ’s framework is the appropriate altitude for budget cycles, capacity planning at CARA, and engagement with civil STM transition discussions</w:t>
      </w:r>
      <w:r>
        <w:t xml:space="preserve"> </w:t>
      </w:r>
      <w:hyperlink w:anchor="ref-4">
        <w:r>
          <w:rPr>
            <w:rStyle w:val="Hyperlink"/>
          </w:rPr>
          <w:t xml:space="preserve">[4]</w:t>
        </w:r>
      </w:hyperlink>
      <w:r>
        <w:t xml:space="preserve">,</w:t>
      </w:r>
      <w:r>
        <w:t xml:space="preserve"> </w:t>
      </w:r>
      <w:hyperlink w:anchor="ref-35">
        <w:r>
          <w:rPr>
            <w:rStyle w:val="Hyperlink"/>
          </w:rPr>
          <w:t xml:space="preserve">[35]</w:t>
        </w:r>
      </w:hyperlink>
      <w:r>
        <w:t xml:space="preserve">,</w:t>
      </w:r>
      <w:r>
        <w:t xml:space="preserve"> </w:t>
      </w:r>
      <w:hyperlink w:anchor="ref-36">
        <w:r>
          <w:rPr>
            <w:rStyle w:val="Hyperlink"/>
          </w:rPr>
          <w:t xml:space="preserve">[36]</w:t>
        </w:r>
      </w:hyperlink>
      <w:r>
        <w:t xml:space="preserve">. Paper 2’s framework is the appropriate altitude for individual mission planning, launch manifest analysis, and rideshare risk assessment</w:t>
      </w:r>
      <w:r>
        <w:t xml:space="preserve"> </w:t>
      </w:r>
      <w:hyperlink w:anchor="ref-21">
        <w:r>
          <w:rPr>
            <w:rStyle w:val="Hyperlink"/>
          </w:rPr>
          <w:t xml:space="preserve">[21]</w:t>
        </w:r>
      </w:hyperlink>
      <w:r>
        <w:t xml:space="preserve">. The two should not be confused, and the dissertation has demonstrated that conclusions drawn at one altitude do not transfer cleanly to the other.</w:t>
      </w:r>
    </w:p>
    <w:bookmarkEnd w:id="144"/>
    <w:bookmarkStart w:id="145" w:name="implications-for-jpl-decision-making"/>
    <w:p>
      <w:pPr>
        <w:pStyle w:val="Heading2"/>
        <w:spacing w:line="480" w:lineRule="auto"/>
      </w:pPr>
      <w:r>
        <w:t xml:space="preserve">7.3 Implications for JPL Decision-Making</w:t>
      </w:r>
    </w:p>
    <w:p>
      <w:pPr>
        <w:pStyle w:val="FirstParagraph"/>
        <w:spacing w:line="480" w:lineRule="auto"/>
      </w:pPr>
      <w:r>
        <w:t xml:space="preserve">The Jet Propulsion Laboratory occupies a distinct decision space within the broader NASA enterprise. JPL designs, builds, and operates flagship robotic missions whose schedule and risk posture are coupled to launch vehicle availability, to the conjunction environment in low Earth orbit transit phases, and to the longer-term cislunar STM regime that is still in its definition phase</w:t>
      </w:r>
      <w:r>
        <w:t xml:space="preserve"> </w:t>
      </w:r>
      <w:hyperlink w:anchor="ref-3">
        <w:r>
          <w:rPr>
            <w:rStyle w:val="Hyperlink"/>
          </w:rPr>
          <w:t xml:space="preserve">[3]</w:t>
        </w:r>
      </w:hyperlink>
      <w:r>
        <w:t xml:space="preserve">,</w:t>
      </w:r>
      <w:r>
        <w:t xml:space="preserve"> </w:t>
      </w:r>
      <w:hyperlink w:anchor="ref-7">
        <w:r>
          <w:rPr>
            <w:rStyle w:val="Hyperlink"/>
          </w:rPr>
          <w:t xml:space="preserve">[7]</w:t>
        </w:r>
      </w:hyperlink>
      <w:r>
        <w:t xml:space="preserve">,</w:t>
      </w:r>
      <w:r>
        <w:t xml:space="preserve"> </w:t>
      </w:r>
      <w:hyperlink w:anchor="ref-45">
        <w:r>
          <w:rPr>
            <w:rStyle w:val="Hyperlink"/>
          </w:rPr>
          <w:t xml:space="preserve">[45]</w:t>
        </w:r>
      </w:hyperlink>
      <w:r>
        <w:t xml:space="preserve">. The dissertation findings carry three implications that are specific to JPL’s institutional position.</w:t>
      </w:r>
    </w:p>
    <w:p>
      <w:pPr>
        <w:pStyle w:val="BodyText"/>
        <w:spacing w:line="480" w:lineRule="auto"/>
        <w:ind w:firstLine="720"/>
      </w:pPr>
      <w:r>
        <w:t xml:space="preserve">First, JPL’s launch acquisition decisions should treat FAA AST licensing risk as a residual, not as a primary, schedule risk. The Cox null in Paper 2 is informative here: across thirty-two years of vehicle records, the median wait from license to first flight was approximately six weeks and the structural covariates available to a procurement analyst (vehicle class, payload capacity, reuse status, regime) carried no significant ordering of that interval. A mission program that builds a multi-month margin against licensing latency, on the assumption that a streamlined regime would have shortened it or that a heavy-class vehicle would lengthen it, is allocating margin against a risk the data do not support</w:t>
      </w:r>
      <w:r>
        <w:t xml:space="preserve"> </w:t>
      </w:r>
      <w:hyperlink w:anchor="ref-27">
        <w:r>
          <w:rPr>
            <w:rStyle w:val="Hyperlink"/>
          </w:rPr>
          <w:t xml:space="preserve">[27]</w:t>
        </w:r>
      </w:hyperlink>
      <w:r>
        <w:t xml:space="preserve">,</w:t>
      </w:r>
      <w:r>
        <w:t xml:space="preserve"> </w:t>
      </w:r>
      <w:hyperlink w:anchor="ref-28">
        <w:r>
          <w:rPr>
            <w:rStyle w:val="Hyperlink"/>
          </w:rPr>
          <w:t xml:space="preserve">[28]</w:t>
        </w:r>
      </w:hyperlink>
      <w:r>
        <w:t xml:space="preserve">,</w:t>
      </w:r>
      <w:r>
        <w:t xml:space="preserve"> </w:t>
      </w:r>
      <w:hyperlink w:anchor="ref-29">
        <w:r>
          <w:rPr>
            <w:rStyle w:val="Hyperlink"/>
          </w:rPr>
          <w:t xml:space="preserve">[29]</w:t>
        </w:r>
      </w:hyperlink>
      <w:r>
        <w:t xml:space="preserve">,</w:t>
      </w:r>
      <w:r>
        <w:t xml:space="preserve"> </w:t>
      </w:r>
      <w:hyperlink w:anchor="ref-30">
        <w:r>
          <w:rPr>
            <w:rStyle w:val="Hyperlink"/>
          </w:rPr>
          <w:t xml:space="preserve">[30]</w:t>
        </w:r>
      </w:hyperlink>
      <w:r>
        <w:t xml:space="preserve">,</w:t>
      </w:r>
      <w:r>
        <w:t xml:space="preserve"> </w:t>
      </w:r>
      <w:hyperlink w:anchor="ref-31">
        <w:r>
          <w:rPr>
            <w:rStyle w:val="Hyperlink"/>
          </w:rPr>
          <w:t xml:space="preserve">[31]</w:t>
        </w:r>
      </w:hyperlink>
      <w:r>
        <w:t xml:space="preserve">,</w:t>
      </w:r>
      <w:r>
        <w:t xml:space="preserve"> </w:t>
      </w:r>
      <w:hyperlink w:anchor="ref-32">
        <w:r>
          <w:rPr>
            <w:rStyle w:val="Hyperlink"/>
          </w:rPr>
          <w:t xml:space="preserve">[32]</w:t>
        </w:r>
      </w:hyperlink>
      <w:r>
        <w:t xml:space="preserve">,</w:t>
      </w:r>
      <w:r>
        <w:t xml:space="preserve"> </w:t>
      </w:r>
      <w:hyperlink w:anchor="ref-33">
        <w:r>
          <w:rPr>
            <w:rStyle w:val="Hyperlink"/>
          </w:rPr>
          <w:t xml:space="preserve">[33]</w:t>
        </w:r>
      </w:hyperlink>
      <w:r>
        <w:t xml:space="preserve">. The schedule risk that does carry signal is engineering maturity at the operator</w:t>
      </w:r>
      <w:r>
        <w:t xml:space="preserve"> </w:t>
      </w:r>
      <w:hyperlink w:anchor="ref-21">
        <w:r>
          <w:rPr>
            <w:rStyle w:val="Hyperlink"/>
          </w:rPr>
          <w:t xml:space="preserve">[21]</w:t>
        </w:r>
      </w:hyperlink>
      <w:r>
        <w:t xml:space="preserve">,</w:t>
      </w:r>
      <w:r>
        <w:t xml:space="preserve"> </w:t>
      </w:r>
      <w:hyperlink w:anchor="ref-38">
        <w:r>
          <w:rPr>
            <w:rStyle w:val="Hyperlink"/>
          </w:rPr>
          <w:t xml:space="preserve">[38]</w:t>
        </w:r>
      </w:hyperlink>
      <w:r>
        <w:t xml:space="preserve">, which JPL is already well positioned to assess through its technical interfaces with launch providers. Reallocating margin away from regulatory contingency and toward vehicle-development contingency is the program-management consequence of the Paper 2 result.</w:t>
      </w:r>
    </w:p>
    <w:p>
      <w:pPr>
        <w:pStyle w:val="BodyText"/>
        <w:spacing w:line="480" w:lineRule="auto"/>
        <w:ind w:firstLine="720"/>
      </w:pPr>
      <w:r>
        <w:t xml:space="preserve">Second, JPL’s role as an integrator of complex space surveillance and tracking concepts intersects with the architectural question of what civil STM should look like in the next decade</w:t>
      </w:r>
      <w:r>
        <w:t xml:space="preserve"> </w:t>
      </w:r>
      <w:hyperlink w:anchor="ref-4">
        <w:r>
          <w:rPr>
            <w:rStyle w:val="Hyperlink"/>
          </w:rPr>
          <w:t xml:space="preserve">[4]</w:t>
        </w:r>
      </w:hyperlink>
      <w:r>
        <w:t xml:space="preserve">,</w:t>
      </w:r>
      <w:r>
        <w:t xml:space="preserve"> </w:t>
      </w:r>
      <w:hyperlink w:anchor="ref-35">
        <w:r>
          <w:rPr>
            <w:rStyle w:val="Hyperlink"/>
          </w:rPr>
          <w:t xml:space="preserve">[35]</w:t>
        </w:r>
      </w:hyperlink>
      <w:r>
        <w:t xml:space="preserve">,</w:t>
      </w:r>
      <w:r>
        <w:t xml:space="preserve"> </w:t>
      </w:r>
      <w:hyperlink w:anchor="ref-36">
        <w:r>
          <w:rPr>
            <w:rStyle w:val="Hyperlink"/>
          </w:rPr>
          <w:t xml:space="preserve">[36]</w:t>
        </w:r>
      </w:hyperlink>
      <w:r>
        <w:t xml:space="preserve">,</w:t>
      </w:r>
      <w:r>
        <w:t xml:space="preserve"> </w:t>
      </w:r>
      <w:hyperlink w:anchor="ref-41">
        <w:r>
          <w:rPr>
            <w:rStyle w:val="Hyperlink"/>
          </w:rPr>
          <w:t xml:space="preserve">[41]</w:t>
        </w:r>
      </w:hyperlink>
      <w:r>
        <w:t xml:space="preserve">. The Paper 1 finding that the deployment slope is steep and regime-specific in the United States bloc indicates that the catalogue and its screening burden are being driven by a small number of high-cadence commercial programs operating under a specific national licensing arrangement. JPL’s architectural inputs to civil STM concept development, including system-of-systems framings for autonomous traffic management</w:t>
      </w:r>
      <w:r>
        <w:t xml:space="preserve"> </w:t>
      </w:r>
      <w:hyperlink w:anchor="ref-41">
        <w:r>
          <w:rPr>
            <w:rStyle w:val="Hyperlink"/>
          </w:rPr>
          <w:t xml:space="preserve">[41]</w:t>
        </w:r>
      </w:hyperlink>
      <w:r>
        <w:t xml:space="preserve">, should therefore weight the constellation-operator interface heavily, because that is where deployment cadence is set, and should weight the regulatory interface less heavily than current policy discussion implies. The implication is not that licensing arrangements are irrelevant. It is that the operational pacing of demand on STM systems flows from the operator decisions that licensing throughput merely registers.</w:t>
      </w:r>
    </w:p>
    <w:p>
      <w:pPr>
        <w:pStyle w:val="BodyText"/>
        <w:spacing w:line="480" w:lineRule="auto"/>
        <w:ind w:firstLine="720"/>
      </w:pPr>
      <w:r>
        <w:t xml:space="preserve">Third, the cislunar dimension that frames the dissertation’s forward research agenda is the dimension in which JPL has the most direct institutional interest</w:t>
      </w:r>
      <w:r>
        <w:t xml:space="preserve"> </w:t>
      </w:r>
      <w:hyperlink w:anchor="ref-3">
        <w:r>
          <w:rPr>
            <w:rStyle w:val="Hyperlink"/>
          </w:rPr>
          <w:t xml:space="preserve">[3]</w:t>
        </w:r>
      </w:hyperlink>
      <w:r>
        <w:t xml:space="preserve">,</w:t>
      </w:r>
      <w:r>
        <w:t xml:space="preserve"> </w:t>
      </w:r>
      <w:hyperlink w:anchor="ref-7">
        <w:r>
          <w:rPr>
            <w:rStyle w:val="Hyperlink"/>
          </w:rPr>
          <w:t xml:space="preserve">[7]</w:t>
        </w:r>
      </w:hyperlink>
      <w:r>
        <w:t xml:space="preserve">,</w:t>
      </w:r>
      <w:r>
        <w:t xml:space="preserve"> </w:t>
      </w:r>
      <w:hyperlink w:anchor="ref-45">
        <w:r>
          <w:rPr>
            <w:rStyle w:val="Hyperlink"/>
          </w:rPr>
          <w:t xml:space="preserve">[45]</w:t>
        </w:r>
      </w:hyperlink>
      <w:r>
        <w:t xml:space="preserve">. The terrestrial-LEO inference cannot be assumed to translate cleanly. Cislunar licensing regimes are nascent, cislunar catalogues do not yet exist at the operational maturity of the United States Space Force catalogue</w:t>
      </w:r>
      <w:r>
        <w:t xml:space="preserve"> </w:t>
      </w:r>
      <w:hyperlink w:anchor="ref-25">
        <w:r>
          <w:rPr>
            <w:rStyle w:val="Hyperlink"/>
          </w:rPr>
          <w:t xml:space="preserve">[25]</w:t>
        </w:r>
      </w:hyperlink>
      <w:r>
        <w:t xml:space="preserve">, and the small number of cislunar missions in development means that the bloc-year elasticity Paper 1 estimated has no near-term cislunar analogue. JPL’s planning for cislunar STM-relevant infrastructure, including any contribution to lunar landing and launch pad architectures</w:t>
      </w:r>
      <w:r>
        <w:t xml:space="preserve"> </w:t>
      </w:r>
      <w:hyperlink w:anchor="ref-44">
        <w:r>
          <w:rPr>
            <w:rStyle w:val="Hyperlink"/>
          </w:rPr>
          <w:t xml:space="preserve">[44]</w:t>
        </w:r>
      </w:hyperlink>
      <w:r>
        <w:t xml:space="preserve">, should therefore treat the cislunar regime as one in which administrative arrangements may genuinely pace deployment, unlike the terrestrial-LEO case, because the supply of cislunar-capable vehicles is currently far smaller than the supply of LEO-capable vehicles. The dissertation thus does not license a transfer of its main finding to cislunar; it licenses a structured forward research program in which the cislunar case is studied on its own terms.</w:t>
      </w:r>
    </w:p>
    <w:bookmarkEnd w:id="145"/>
    <w:bookmarkStart w:id="146" w:name="X5d7d10d2c52971c8611a59678698bc63894d79c"/>
    <w:p>
      <w:pPr>
        <w:pStyle w:val="Heading2"/>
        <w:spacing w:line="480" w:lineRule="auto"/>
      </w:pPr>
      <w:r>
        <w:t xml:space="preserve">7.4 Implications for the Cislunar and Lunar Regime</w:t>
      </w:r>
    </w:p>
    <w:p>
      <w:pPr>
        <w:pStyle w:val="FirstParagraph"/>
        <w:spacing w:line="480" w:lineRule="auto"/>
      </w:pPr>
      <w:r>
        <w:t xml:space="preserve">Beyond JPL specifically, the broader cislunar STM agenda inherits a particular obligation from the terrestrial-LEO result. The Bilka et al. architectural framework for guiding lunar growth</w:t>
      </w:r>
      <w:r>
        <w:t xml:space="preserve"> </w:t>
      </w:r>
      <w:hyperlink w:anchor="ref-3">
        <w:r>
          <w:rPr>
            <w:rStyle w:val="Hyperlink"/>
          </w:rPr>
          <w:t xml:space="preserve">[3]</w:t>
        </w:r>
      </w:hyperlink>
      <w:r>
        <w:t xml:space="preserve"> </w:t>
      </w:r>
      <w:r>
        <w:t xml:space="preserve">and the Anilkumar et al. characterization of cislunar and cismartian STM challenges</w:t>
      </w:r>
      <w:r>
        <w:t xml:space="preserve"> </w:t>
      </w:r>
      <w:hyperlink w:anchor="ref-7">
        <w:r>
          <w:rPr>
            <w:rStyle w:val="Hyperlink"/>
          </w:rPr>
          <w:t xml:space="preserve">[7]</w:t>
        </w:r>
      </w:hyperlink>
      <w:r>
        <w:t xml:space="preserve">,</w:t>
      </w:r>
      <w:r>
        <w:t xml:space="preserve"> </w:t>
      </w:r>
      <w:hyperlink w:anchor="ref-45">
        <w:r>
          <w:rPr>
            <w:rStyle w:val="Hyperlink"/>
          </w:rPr>
          <w:t xml:space="preserve">[45]</w:t>
        </w:r>
      </w:hyperlink>
      <w:r>
        <w:t xml:space="preserve"> </w:t>
      </w:r>
      <w:r>
        <w:t xml:space="preserve">both anticipate that the terrestrial-LEO experience will inform the cislunar regime’s design. The dissertation’s contribution is to clarify which part of the terrestrial-LEO experience is transferable and which is not.</w:t>
      </w:r>
    </w:p>
    <w:p>
      <w:pPr>
        <w:pStyle w:val="BodyText"/>
        <w:spacing w:line="480" w:lineRule="auto"/>
        <w:ind w:firstLine="720"/>
      </w:pPr>
      <w:r>
        <w:t xml:space="preserve">The transferable part is the regime-level observation that deployment cadence is shaped by the interaction between operator industrial capacity and the maturity of the regulatory interface that authorizes operations. Where that interface is well established and performance-based, throughput and deployment co-move strongly</w:t>
      </w:r>
      <w:r>
        <w:t xml:space="preserve"> </w:t>
      </w:r>
      <w:hyperlink w:anchor="ref-19">
        <w:r>
          <w:rPr>
            <w:rStyle w:val="Hyperlink"/>
          </w:rPr>
          <w:t xml:space="preserve">[19]</w:t>
        </w:r>
      </w:hyperlink>
      <w:r>
        <w:t xml:space="preserve">. Where it is not, the relationship is undetectable. The non-transferable part is the specific finding that within-vehicle licensing-to-launch latency is short and uniform, because that finding is conditioned on a mature licensing regime with extensive precedent. A cislunar licensing regime will lack that precedent for at least the first generation of operations, and the empirical posture of program planners should be that the Cox null observed in Paper 2 cannot be assumed to hold in cislunar space until cislunar evidence accumulates.</w:t>
      </w:r>
    </w:p>
    <w:p>
      <w:pPr>
        <w:pStyle w:val="BodyText"/>
        <w:spacing w:line="480" w:lineRule="auto"/>
        <w:ind w:firstLine="720"/>
      </w:pPr>
      <w:r>
        <w:t xml:space="preserve">The implication for cislunar STM concept development is that licensing arrangements may carry more weight as a pacing instrument in cislunar than they do in LEO, precisely because cislunar lacks the developed industrial base that allows the terrestrial-LEO regulator to clear licenses at flight readiness. Cislunar architectural concepts</w:t>
      </w:r>
      <w:r>
        <w:t xml:space="preserve"> </w:t>
      </w:r>
      <w:hyperlink w:anchor="ref-3">
        <w:r>
          <w:rPr>
            <w:rStyle w:val="Hyperlink"/>
          </w:rPr>
          <w:t xml:space="preserve">[3]</w:t>
        </w:r>
      </w:hyperlink>
      <w:r>
        <w:t xml:space="preserve">,</w:t>
      </w:r>
      <w:r>
        <w:t xml:space="preserve"> </w:t>
      </w:r>
      <w:hyperlink w:anchor="ref-7">
        <w:r>
          <w:rPr>
            <w:rStyle w:val="Hyperlink"/>
          </w:rPr>
          <w:t xml:space="preserve">[7]</w:t>
        </w:r>
      </w:hyperlink>
      <w:r>
        <w:t xml:space="preserve"> </w:t>
      </w:r>
      <w:r>
        <w:t xml:space="preserve">should therefore retain the licensing instrument as a meaningful planning variable, even if the dissertation has shown it to be a weak instrument in the terrestrial-LEO case.</w:t>
      </w:r>
    </w:p>
    <w:bookmarkEnd w:id="146"/>
    <w:bookmarkStart w:id="147" w:name="Xb6bb3011500a4d2446945b0f6fd00cb5d7fe9d7"/>
    <w:p>
      <w:pPr>
        <w:pStyle w:val="Heading2"/>
        <w:spacing w:line="480" w:lineRule="auto"/>
      </w:pPr>
      <w:r>
        <w:t xml:space="preserve">7.5 Implications for Commercial Operator Strategy</w:t>
      </w:r>
    </w:p>
    <w:p>
      <w:pPr>
        <w:pStyle w:val="FirstParagraph"/>
        <w:spacing w:line="480" w:lineRule="auto"/>
      </w:pPr>
      <w:r>
        <w:t xml:space="preserve">The findings also speak to commercial operators whose deployment plans determine STM demand. The Paper 1 result that each additional FAA-licensed operation is associated with roughly 14.8 additional payloads, set against a flat rest-of-world slope, indicates that the United States operating environment offers a deployment elasticity that competitor regimes have not matched</w:t>
      </w:r>
      <w:r>
        <w:t xml:space="preserve"> </w:t>
      </w:r>
      <w:hyperlink w:anchor="ref-19">
        <w:r>
          <w:rPr>
            <w:rStyle w:val="Hyperlink"/>
          </w:rPr>
          <w:t xml:space="preserve">[19]</w:t>
        </w:r>
      </w:hyperlink>
      <w:r>
        <w:t xml:space="preserve">,</w:t>
      </w:r>
      <w:r>
        <w:t xml:space="preserve"> </w:t>
      </w:r>
      <w:hyperlink w:anchor="ref-40">
        <w:r>
          <w:rPr>
            <w:rStyle w:val="Hyperlink"/>
          </w:rPr>
          <w:t xml:space="preserve">[40]</w:t>
        </w:r>
      </w:hyperlink>
      <w:r>
        <w:t xml:space="preserve">. For commercial operators this is an empirical confirmation, on rigorous data, of an advantage that has been asserted in industry commentary but not previously quantified.</w:t>
      </w:r>
    </w:p>
    <w:p>
      <w:pPr>
        <w:pStyle w:val="BodyText"/>
        <w:spacing w:line="480" w:lineRule="auto"/>
        <w:ind w:firstLine="720"/>
      </w:pPr>
      <w:r>
        <w:t xml:space="preserve">The strategic implication for operators is that the variable to manage is internal industrial cadence, not regulatory navigation. The Paper 2 null on Part 450 and on vehicle class indicates that the regulator does not differentiate strongly among configurations in its post-license processing, so investments in shortening time-to-first-flight that target regulatory friction will return less than investments that shorten engineering critical paths. This reading is consistent with the broader space-economy forecasting literature that locates the binding determinants of orbital activity in market structure and capital formation</w:t>
      </w:r>
      <w:r>
        <w:t xml:space="preserve"> </w:t>
      </w:r>
      <w:hyperlink w:anchor="ref-26">
        <w:r>
          <w:rPr>
            <w:rStyle w:val="Hyperlink"/>
          </w:rPr>
          <w:t xml:space="preserve">[26]</w:t>
        </w:r>
      </w:hyperlink>
      <w:r>
        <w:t xml:space="preserve">,</w:t>
      </w:r>
      <w:r>
        <w:t xml:space="preserve"> </w:t>
      </w:r>
      <w:hyperlink w:anchor="ref-8">
        <w:r>
          <w:rPr>
            <w:rStyle w:val="Hyperlink"/>
          </w:rPr>
          <w:t xml:space="preserve">[8]</w:t>
        </w:r>
      </w:hyperlink>
      <w:r>
        <w:t xml:space="preserve"> </w:t>
      </w:r>
      <w:r>
        <w:t xml:space="preserve">rather than in administrative streamlining alone. The dissertation provides a tighter empirical anchor for that view than the forecasting literature has previously offered.</w:t>
      </w:r>
    </w:p>
    <w:p>
      <w:pPr>
        <w:pStyle w:val="BodyText"/>
        <w:spacing w:line="480" w:lineRule="auto"/>
        <w:ind w:firstLine="720"/>
      </w:pPr>
      <w:r>
        <w:t xml:space="preserve">A secondary implication concerns small-satellite and rideshare programs</w:t>
      </w:r>
      <w:r>
        <w:t xml:space="preserve"> </w:t>
      </w:r>
      <w:hyperlink w:anchor="ref-21">
        <w:r>
          <w:rPr>
            <w:rStyle w:val="Hyperlink"/>
          </w:rPr>
          <w:t xml:space="preserve">[21]</w:t>
        </w:r>
      </w:hyperlink>
      <w:r>
        <w:t xml:space="preserve">, where the licensing-to-launch interval interacts with manifest composition. Operators of dedicated small-vehicle programs and operators of large rideshare aggregators face different decision problems, and the dissertation’s main result does not adjudicate between them. What the result does establish is that the regulatory environment in which both operate is not the binding constraint on either, and that competitive differentiation between dedicated and rideshare strategies will be set by economic and engineering variables</w:t>
      </w:r>
      <w:r>
        <w:t xml:space="preserve"> </w:t>
      </w:r>
      <w:hyperlink w:anchor="ref-21">
        <w:r>
          <w:rPr>
            <w:rStyle w:val="Hyperlink"/>
          </w:rPr>
          <w:t xml:space="preserve">[21]</w:t>
        </w:r>
      </w:hyperlink>
      <w:r>
        <w:t xml:space="preserve">,</w:t>
      </w:r>
      <w:r>
        <w:t xml:space="preserve"> </w:t>
      </w:r>
      <w:hyperlink w:anchor="ref-40">
        <w:r>
          <w:rPr>
            <w:rStyle w:val="Hyperlink"/>
          </w:rPr>
          <w:t xml:space="preserve">[40]</w:t>
        </w:r>
      </w:hyperlink>
      <w:r>
        <w:t xml:space="preserve">.</w:t>
      </w:r>
    </w:p>
    <w:bookmarkEnd w:id="147"/>
    <w:bookmarkStart w:id="148" w:name="limitations"/>
    <w:p>
      <w:pPr>
        <w:pStyle w:val="Heading2"/>
        <w:spacing w:line="480" w:lineRule="auto"/>
      </w:pPr>
      <w:r>
        <w:t xml:space="preserve">7.6 Limitations</w:t>
      </w:r>
    </w:p>
    <w:p>
      <w:pPr>
        <w:pStyle w:val="FirstParagraph"/>
        <w:spacing w:line="480" w:lineRule="auto"/>
      </w:pPr>
      <w:r>
        <w:t xml:space="preserve">The dissertation’s findings are bounded in ways the discussion has implied and which warrant explicit statement.</w:t>
      </w:r>
    </w:p>
    <w:p>
      <w:pPr>
        <w:pStyle w:val="BodyText"/>
        <w:spacing w:line="480" w:lineRule="auto"/>
        <w:ind w:firstLine="720"/>
      </w:pPr>
      <w:r>
        <w:t xml:space="preserve">The first limitation is sample scale. Paper 1’s panel contains twenty-two bloc-year observations, and Paper 2’s survival analysis contains twenty-three vehicle configurations with twenty events and three right-censored cases. These sample sizes were adequate to produce the bloc-level elasticity and the Cox null, but they are not adequate to sustain finer-grained inferences. In particular, Paper 2 lacks statistical power to distinguish a small Part 450 effect from a zero effect, and the dissertation has been careful to read the null as a failure to find a pacing effect rather than as a proof of its absence.</w:t>
      </w:r>
    </w:p>
    <w:p>
      <w:pPr>
        <w:pStyle w:val="BodyText"/>
        <w:spacing w:line="480" w:lineRule="auto"/>
        <w:ind w:firstLine="720"/>
      </w:pPr>
      <w:r>
        <w:t xml:space="preserve">The second limitation is the asymmetry of the throughput measures across blocs in Paper 1. The United States bloc uses FAA AST licensed operations, while the rest of the world uses national orbital launch attempts</w:t>
      </w:r>
      <w:r>
        <w:t xml:space="preserve"> </w:t>
      </w:r>
      <w:hyperlink w:anchor="ref-10">
        <w:r>
          <w:rPr>
            <w:rStyle w:val="Hyperlink"/>
          </w:rPr>
          <w:t xml:space="preserve">[10]</w:t>
        </w:r>
      </w:hyperlink>
      <w:r>
        <w:t xml:space="preserve">,</w:t>
      </w:r>
      <w:r>
        <w:t xml:space="preserve"> </w:t>
      </w:r>
      <w:hyperlink w:anchor="ref-25">
        <w:r>
          <w:rPr>
            <w:rStyle w:val="Hyperlink"/>
          </w:rPr>
          <w:t xml:space="preserve">[25]</w:t>
        </w:r>
      </w:hyperlink>
      <w:r>
        <w:t xml:space="preserve">. These are conceptually similar but not unit-identical, and the interaction coefficient should be read as a regime-specific elasticity rather than as a directly comparable structural slope.</w:t>
      </w:r>
    </w:p>
    <w:p>
      <w:pPr>
        <w:pStyle w:val="BodyText"/>
        <w:spacing w:line="480" w:lineRule="auto"/>
        <w:ind w:firstLine="720"/>
      </w:pPr>
      <w:r>
        <w:t xml:space="preserve">The third limitation is the concentration of the United States series in a single constellation program. Starlink-scale rideshare economics dominate the deployment series during the panel period</w:t>
      </w:r>
      <w:r>
        <w:t xml:space="preserve"> </w:t>
      </w:r>
      <w:hyperlink w:anchor="ref-40">
        <w:r>
          <w:rPr>
            <w:rStyle w:val="Hyperlink"/>
          </w:rPr>
          <w:t xml:space="preserve">[40]</w:t>
        </w:r>
      </w:hyperlink>
      <w:r>
        <w:t xml:space="preserve">, and the steep United States slope therefore partly reflects the architecture of that single program rather than a generalizable property of the licensing regime. A reweighted analysis that suppresses single-operator dominance would likely produce a smaller but still positive interaction; the dissertation has not performed that decomposition.</w:t>
      </w:r>
    </w:p>
    <w:p>
      <w:pPr>
        <w:pStyle w:val="BodyText"/>
        <w:spacing w:line="480" w:lineRule="auto"/>
        <w:ind w:firstLine="720"/>
      </w:pPr>
      <w:r>
        <w:t xml:space="preserve">The fourth limitation is data resolution in Paper 2. A small minority of license-issuance dates could be pinned only to the issuance month rather than to a documented day, and these were marked illustrative in the data file. The Cox model’s partial likelihood is robust to small amounts of date imprecision at the month level, but a panel that resolved every date to its FAA record would sharpen the test of H2 in particular.</w:t>
      </w:r>
    </w:p>
    <w:p>
      <w:pPr>
        <w:pStyle w:val="BodyText"/>
        <w:spacing w:line="480" w:lineRule="auto"/>
        <w:ind w:firstLine="720"/>
      </w:pPr>
      <w:r>
        <w:t xml:space="preserve">The fifth limitation concerns the dependent variable in the dissertation’s principal claim. STM demand is operationalized in Paper 1 as payload deployment and discussed in the prospectus as conjunction-screening volume. These are tightly coupled in practice</w:t>
      </w:r>
      <w:r>
        <w:t xml:space="preserve"> </w:t>
      </w:r>
      <w:hyperlink w:anchor="ref-5">
        <w:r>
          <w:rPr>
            <w:rStyle w:val="Hyperlink"/>
          </w:rPr>
          <w:t xml:space="preserve">[5]</w:t>
        </w:r>
      </w:hyperlink>
      <w:r>
        <w:t xml:space="preserve">,</w:t>
      </w:r>
      <w:r>
        <w:t xml:space="preserve"> </w:t>
      </w:r>
      <w:hyperlink w:anchor="ref-9">
        <w:r>
          <w:rPr>
            <w:rStyle w:val="Hyperlink"/>
          </w:rPr>
          <w:t xml:space="preserve">[9]</w:t>
        </w:r>
      </w:hyperlink>
      <w:r>
        <w:t xml:space="preserve">,</w:t>
      </w:r>
      <w:r>
        <w:t xml:space="preserve"> </w:t>
      </w:r>
      <w:hyperlink w:anchor="ref-13">
        <w:r>
          <w:rPr>
            <w:rStyle w:val="Hyperlink"/>
          </w:rPr>
          <w:t xml:space="preserve">[13]</w:t>
        </w:r>
      </w:hyperlink>
      <w:r>
        <w:t xml:space="preserve">,</w:t>
      </w:r>
      <w:r>
        <w:t xml:space="preserve"> </w:t>
      </w:r>
      <w:hyperlink w:anchor="ref-22">
        <w:r>
          <w:rPr>
            <w:rStyle w:val="Hyperlink"/>
          </w:rPr>
          <w:t xml:space="preserve">[22]</w:t>
        </w:r>
      </w:hyperlink>
      <w:r>
        <w:t xml:space="preserve">, but the coupling is not unitary. Screening volume scales with the geometric and orbital characteristics of inserted payloads, not only with their count, and constellation insertions at similar altitudes raise screening volume disproportionately</w:t>
      </w:r>
      <w:r>
        <w:t xml:space="preserve"> </w:t>
      </w:r>
      <w:hyperlink w:anchor="ref-14">
        <w:r>
          <w:rPr>
            <w:rStyle w:val="Hyperlink"/>
          </w:rPr>
          <w:t xml:space="preserve">[14]</w:t>
        </w:r>
      </w:hyperlink>
      <w:r>
        <w:t xml:space="preserve">,</w:t>
      </w:r>
      <w:r>
        <w:t xml:space="preserve"> </w:t>
      </w:r>
      <w:hyperlink w:anchor="ref-15">
        <w:r>
          <w:rPr>
            <w:rStyle w:val="Hyperlink"/>
          </w:rPr>
          <w:t xml:space="preserve">[15]</w:t>
        </w:r>
      </w:hyperlink>
      <w:r>
        <w:t xml:space="preserve">,</w:t>
      </w:r>
      <w:r>
        <w:t xml:space="preserve"> </w:t>
      </w:r>
      <w:hyperlink w:anchor="ref-16">
        <w:r>
          <w:rPr>
            <w:rStyle w:val="Hyperlink"/>
          </w:rPr>
          <w:t xml:space="preserve">[16]</w:t>
        </w:r>
      </w:hyperlink>
      <w:r>
        <w:t xml:space="preserve">,</w:t>
      </w:r>
      <w:r>
        <w:t xml:space="preserve"> </w:t>
      </w:r>
      <w:hyperlink w:anchor="ref-22">
        <w:r>
          <w:rPr>
            <w:rStyle w:val="Hyperlink"/>
          </w:rPr>
          <w:t xml:space="preserve">[22]</w:t>
        </w:r>
      </w:hyperlink>
      <w:r>
        <w:t xml:space="preserve">. A more refined operationalization of STM demand, weighted by screening intensity per object, would tighten the link to operational conjunction load.</w:t>
      </w:r>
    </w:p>
    <w:p>
      <w:pPr>
        <w:pStyle w:val="BodyText"/>
        <w:spacing w:line="480" w:lineRule="auto"/>
        <w:ind w:firstLine="720"/>
      </w:pPr>
      <w:r>
        <w:t xml:space="preserve">The sixth limitation is external validity to cislunar</w:t>
      </w:r>
      <w:r>
        <w:t xml:space="preserve"> </w:t>
      </w:r>
      <w:hyperlink w:anchor="ref-3">
        <w:r>
          <w:rPr>
            <w:rStyle w:val="Hyperlink"/>
          </w:rPr>
          <w:t xml:space="preserve">[3]</w:t>
        </w:r>
      </w:hyperlink>
      <w:r>
        <w:t xml:space="preserve">,</w:t>
      </w:r>
      <w:r>
        <w:t xml:space="preserve"> </w:t>
      </w:r>
      <w:hyperlink w:anchor="ref-7">
        <w:r>
          <w:rPr>
            <w:rStyle w:val="Hyperlink"/>
          </w:rPr>
          <w:t xml:space="preserve">[7]</w:t>
        </w:r>
      </w:hyperlink>
      <w:r>
        <w:t xml:space="preserve">,</w:t>
      </w:r>
      <w:r>
        <w:t xml:space="preserve"> </w:t>
      </w:r>
      <w:hyperlink w:anchor="ref-45">
        <w:r>
          <w:rPr>
            <w:rStyle w:val="Hyperlink"/>
          </w:rPr>
          <w:t xml:space="preserve">[45]</w:t>
        </w:r>
      </w:hyperlink>
      <w:r>
        <w:t xml:space="preserve">, which the dissertation has flagged repeatedly and which constrains the policy reach of the findings.</w:t>
      </w:r>
    </w:p>
    <w:p>
      <w:pPr>
        <w:pStyle w:val="BodyText"/>
        <w:spacing w:line="480" w:lineRule="auto"/>
        <w:ind w:firstLine="720"/>
      </w:pPr>
      <w:r>
        <w:t xml:space="preserve">The seventh limitation concerns the identification strategy. The prospectus proposed two instruments for plausibly exogenous variation in latency: discrete regulatory-regime transitions and queue-congestion latency unrelated to a given operator’s own demand. Paper 2 exploited the regime transition but found no significant effect; the queue-congestion instrument has not been operationalized because the public FAA caseload data did not, in the panel period, support a clean construction of operator-orthogonal queue load. A future panel with internal FAA workload data would close this gap.</w:t>
      </w:r>
    </w:p>
    <w:bookmarkEnd w:id="148"/>
    <w:bookmarkStart w:id="149" w:name="future-research"/>
    <w:p>
      <w:pPr>
        <w:pStyle w:val="Heading2"/>
        <w:spacing w:line="480" w:lineRule="auto"/>
      </w:pPr>
      <w:r>
        <w:t xml:space="preserve">7.7 Future Research</w:t>
      </w:r>
    </w:p>
    <w:p>
      <w:pPr>
        <w:pStyle w:val="FirstParagraph"/>
        <w:spacing w:line="480" w:lineRule="auto"/>
      </w:pPr>
      <w:r>
        <w:t xml:space="preserve">Five forward research directions follow directly from the limitations and from the empirical pattern the dissertation has surfaced.</w:t>
      </w:r>
    </w:p>
    <w:p>
      <w:pPr>
        <w:pStyle w:val="BodyText"/>
        <w:spacing w:line="480" w:lineRule="auto"/>
        <w:ind w:firstLine="720"/>
      </w:pPr>
      <w:r>
        <w:t xml:space="preserve">First, the dissertation should be extended to a license-docket-level panel that resolves every license issuance to its FAA record and that incorporates intermediate licensing milestones (application acceptance, technical review checkpoints, environmental review completion) rather than only the issuance and first-flight dates. This panel would permit a finer-grained survival analysis in which the relevant duration is not license-to-first-flight but pre-license processing time, and the dependent variable could be matched to the operator’s own application backlog. This is the design that would most cleanly test the prospectus’s queue-congestion identification strategy.</w:t>
      </w:r>
    </w:p>
    <w:p>
      <w:pPr>
        <w:pStyle w:val="BodyText"/>
        <w:spacing w:line="480" w:lineRule="auto"/>
        <w:ind w:firstLine="720"/>
      </w:pPr>
      <w:r>
        <w:t xml:space="preserve">Second, the conjunction-load proxy in Paper 1 should be replaced with the operational CARA workload series where available</w:t>
      </w:r>
      <w:r>
        <w:t xml:space="preserve"> </w:t>
      </w:r>
      <w:hyperlink w:anchor="ref-5">
        <w:r>
          <w:rPr>
            <w:rStyle w:val="Hyperlink"/>
          </w:rPr>
          <w:t xml:space="preserve">[5]</w:t>
        </w:r>
      </w:hyperlink>
      <w:r>
        <w:t xml:space="preserve">,</w:t>
      </w:r>
      <w:r>
        <w:t xml:space="preserve"> </w:t>
      </w:r>
      <w:hyperlink w:anchor="ref-9">
        <w:r>
          <w:rPr>
            <w:rStyle w:val="Hyperlink"/>
          </w:rPr>
          <w:t xml:space="preserve">[9]</w:t>
        </w:r>
      </w:hyperlink>
      <w:r>
        <w:t xml:space="preserve">. The dissertation’s payload-count operationalization was chosen for tractability, but a screening-volume operationalization would close the empirical chain from licensing throughput to the demand that NASA actually meets. The CARA Compendium documenting AI and machine-learning approaches to collision avoidance</w:t>
      </w:r>
      <w:r>
        <w:t xml:space="preserve"> </w:t>
      </w:r>
      <w:hyperlink w:anchor="ref-9">
        <w:r>
          <w:rPr>
            <w:rStyle w:val="Hyperlink"/>
          </w:rPr>
          <w:t xml:space="preserve">[9]</w:t>
        </w:r>
      </w:hyperlink>
      <w:r>
        <w:t xml:space="preserve"> </w:t>
      </w:r>
      <w:r>
        <w:t xml:space="preserve">indicates that operational workload data are increasingly structured, and a research design that obtains them under appropriate agreements would yield a coefficient closer to the policy-relevant quantity.</w:t>
      </w:r>
    </w:p>
    <w:p>
      <w:pPr>
        <w:pStyle w:val="BodyText"/>
        <w:spacing w:line="480" w:lineRule="auto"/>
        <w:ind w:firstLine="720"/>
      </w:pPr>
      <w:r>
        <w:t xml:space="preserve">Third, the analysis should be replicated for the rest-of-world bloc using a more comparable licensing measure where it exists. The European Space Agency and national authorities in Japan, India, and the European Union member states publish licensing or authorization data that, with appropriate harmonization, could be set against United States FAA AST records on a common basis. The current panel’s flat rest-of-world slope may partly reflect measurement noise from using launch attempts as a throughput proxy, and a sharper international benchmark would either confirm the United States regime as exceptional or attenuate the interaction.</w:t>
      </w:r>
    </w:p>
    <w:p>
      <w:pPr>
        <w:pStyle w:val="BodyText"/>
        <w:spacing w:line="480" w:lineRule="auto"/>
        <w:ind w:firstLine="720"/>
      </w:pPr>
      <w:r>
        <w:t xml:space="preserve">Fourth, the cislunar extension should be developed as a separate research program rather than as an extrapolation of the terrestrial-LEO findings. A cislunar research design must contend with the absence of an established licensing regime, the small number of cislunar missions in development, and the immaturity of the cislunar catalogue</w:t>
      </w:r>
      <w:r>
        <w:t xml:space="preserve"> </w:t>
      </w:r>
      <w:hyperlink w:anchor="ref-3">
        <w:r>
          <w:rPr>
            <w:rStyle w:val="Hyperlink"/>
          </w:rPr>
          <w:t xml:space="preserve">[3]</w:t>
        </w:r>
      </w:hyperlink>
      <w:r>
        <w:t xml:space="preserve">,</w:t>
      </w:r>
      <w:r>
        <w:t xml:space="preserve"> </w:t>
      </w:r>
      <w:hyperlink w:anchor="ref-7">
        <w:r>
          <w:rPr>
            <w:rStyle w:val="Hyperlink"/>
          </w:rPr>
          <w:t xml:space="preserve">[7]</w:t>
        </w:r>
      </w:hyperlink>
      <w:r>
        <w:t xml:space="preserve">,</w:t>
      </w:r>
      <w:r>
        <w:t xml:space="preserve"> </w:t>
      </w:r>
      <w:hyperlink w:anchor="ref-25">
        <w:r>
          <w:rPr>
            <w:rStyle w:val="Hyperlink"/>
          </w:rPr>
          <w:t xml:space="preserve">[25]</w:t>
        </w:r>
      </w:hyperlink>
      <w:r>
        <w:t xml:space="preserve">,</w:t>
      </w:r>
      <w:r>
        <w:t xml:space="preserve"> </w:t>
      </w:r>
      <w:hyperlink w:anchor="ref-45">
        <w:r>
          <w:rPr>
            <w:rStyle w:val="Hyperlink"/>
          </w:rPr>
          <w:t xml:space="preserve">[45]</w:t>
        </w:r>
      </w:hyperlink>
      <w:r>
        <w:t xml:space="preserve">. Appropriate methods include scenario-based simulation calibrated to the architectural frameworks now appearing in the literature</w:t>
      </w:r>
      <w:r>
        <w:t xml:space="preserve"> </w:t>
      </w:r>
      <w:hyperlink w:anchor="ref-3">
        <w:r>
          <w:rPr>
            <w:rStyle w:val="Hyperlink"/>
          </w:rPr>
          <w:t xml:space="preserve">[3]</w:t>
        </w:r>
      </w:hyperlink>
      <w:r>
        <w:t xml:space="preserve">,</w:t>
      </w:r>
      <w:r>
        <w:t xml:space="preserve"> </w:t>
      </w:r>
      <w:hyperlink w:anchor="ref-7">
        <w:r>
          <w:rPr>
            <w:rStyle w:val="Hyperlink"/>
          </w:rPr>
          <w:t xml:space="preserve">[7]</w:t>
        </w:r>
      </w:hyperlink>
      <w:r>
        <w:t xml:space="preserve">, structured expert elicitation on plausible licensing arrangements, and incentive-mechanism analyses of the kind beginning to appear in the sustainability literature</w:t>
      </w:r>
      <w:r>
        <w:t xml:space="preserve"> </w:t>
      </w:r>
      <w:hyperlink w:anchor="ref-47">
        <w:r>
          <w:rPr>
            <w:rStyle w:val="Hyperlink"/>
          </w:rPr>
          <w:t xml:space="preserve">[47]</w:t>
        </w:r>
      </w:hyperlink>
      <w:r>
        <w:t xml:space="preserve">. A cislunar Paper 1 analogue is not feasible in the next several years; a cislunar Paper 2 analogue, focused on the limited population of cislunar-licensed vehicles, may be feasible sooner.</w:t>
      </w:r>
    </w:p>
    <w:p>
      <w:pPr>
        <w:pStyle w:val="BodyText"/>
        <w:spacing w:line="480" w:lineRule="auto"/>
        <w:ind w:firstLine="720"/>
      </w:pPr>
      <w:r>
        <w:t xml:space="preserve">Fifth, the multi-stakeholder governance question implicit in the dissertation should be engaged on its own terms. The Paper 1 finding that the United States bloc generates a deployment elasticity per licensed operation that the rest-of-world bloc does not match has implications for how multilateral STM regimes should be constructed</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w:t>
      </w:r>
      <w:r>
        <w:t xml:space="preserve"> </w:t>
      </w:r>
      <w:hyperlink w:anchor="ref-17">
        <w:r>
          <w:rPr>
            <w:rStyle w:val="Hyperlink"/>
          </w:rPr>
          <w:t xml:space="preserve">[17]</w:t>
        </w:r>
      </w:hyperlink>
      <w:r>
        <w:t xml:space="preserve">,</w:t>
      </w:r>
      <w:r>
        <w:t xml:space="preserve"> </w:t>
      </w:r>
      <w:hyperlink w:anchor="ref-47">
        <w:r>
          <w:rPr>
            <w:rStyle w:val="Hyperlink"/>
          </w:rPr>
          <w:t xml:space="preserve">[47]</w:t>
        </w:r>
      </w:hyperlink>
      <w:r>
        <w:t xml:space="preserve">. If the deployment cadence that drives global conjunction load is concentrated in one regulatory regime, then global STM coordination cannot be built on the assumption of symmetric national contributions to demand. Future research at the intersection of licensing throughput and international STM governance should examine whether the asymmetric demand contribution implies an asymmetric obligation in screening capacity, information sharing, and operator coordination</w:t>
      </w:r>
      <w:r>
        <w:t xml:space="preserve"> </w:t>
      </w:r>
      <w:hyperlink w:anchor="ref-6">
        <w:r>
          <w:rPr>
            <w:rStyle w:val="Hyperlink"/>
          </w:rPr>
          <w:t xml:space="preserve">[6]</w:t>
        </w:r>
      </w:hyperlink>
      <w:r>
        <w:t xml:space="preserve">,</w:t>
      </w:r>
      <w:r>
        <w:t xml:space="preserve"> </w:t>
      </w:r>
      <w:hyperlink w:anchor="ref-17">
        <w:r>
          <w:rPr>
            <w:rStyle w:val="Hyperlink"/>
          </w:rPr>
          <w:t xml:space="preserve">[17]</w:t>
        </w:r>
      </w:hyperlink>
      <w:r>
        <w:t xml:space="preserve">,</w:t>
      </w:r>
      <w:r>
        <w:t xml:space="preserve"> </w:t>
      </w:r>
      <w:hyperlink w:anchor="ref-22">
        <w:r>
          <w:rPr>
            <w:rStyle w:val="Hyperlink"/>
          </w:rPr>
          <w:t xml:space="preserve">[22]</w:t>
        </w:r>
      </w:hyperlink>
      <w:r>
        <w:t xml:space="preserve">,</w:t>
      </w:r>
      <w:r>
        <w:t xml:space="preserve"> </w:t>
      </w:r>
      <w:hyperlink w:anchor="ref-47">
        <w:r>
          <w:rPr>
            <w:rStyle w:val="Hyperlink"/>
          </w:rPr>
          <w:t xml:space="preserve">[47]</w:t>
        </w:r>
      </w:hyperlink>
      <w:r>
        <w:t xml:space="preserve">.</w:t>
      </w:r>
    </w:p>
    <w:bookmarkEnd w:id="149"/>
    <w:bookmarkStart w:id="150" w:name="closing"/>
    <w:p>
      <w:pPr>
        <w:pStyle w:val="Heading2"/>
        <w:spacing w:line="480" w:lineRule="auto"/>
      </w:pPr>
      <w:r>
        <w:t xml:space="preserve">7.8 Closing</w:t>
      </w:r>
    </w:p>
    <w:p>
      <w:pPr>
        <w:pStyle w:val="FirstParagraph"/>
        <w:spacing w:line="480" w:lineRule="auto"/>
      </w:pPr>
      <w:r>
        <w:t xml:space="preserve">The dissertation’s single falsifiable contribution was an estimate of the pass-through coefficient from FAA AST licensing throughput to STM demand. That coefficient has been estimated at two altitudes and the resulting picture is internally consistent. At the regime level the coefficient is positive, large, and tightly estimated, and it is specific to the United States configuration. At the vehicle level the coefficient is null: vehicles fly when they are ready, not when the regulator clears them, because the regulator clears them approximately when they are ready. The policy reading is that licensing throughput indexes deployment cadence in the United States bloc, but is not the lever by which deployment cadence is set. The prevailing assumption that STM demand can be modulated by adjusting administrative processing time, taken on its own, is not supported by the data presented here.</w:t>
      </w:r>
    </w:p>
    <w:p>
      <w:pPr>
        <w:pStyle w:val="BodyText"/>
        <w:spacing w:line="480" w:lineRule="auto"/>
        <w:ind w:firstLine="720"/>
      </w:pPr>
      <w:r>
        <w:t xml:space="preserve">For NASA program management the practical consequence is that conjunction-load forecasting should be anchored to operator deployment plans and catalogued accretion, not to regulatory processing-time projections, and that coordination with high-cadence operators carries more leverage than coordination with the regulator. For JPL the practical consequence is that mission schedule margin should be reallocated from regulatory contingency to engineering contingency, that the architectural design of civil STM concepts should weight the operator interface, and that the cislunar regime requires its own empirical foundation rather than an extrapolation from terrestrial LEO. The dissertation’s contribution is small in scope, intentionally so, but it removes a widely repeated and previously untested causal link from the policy discourse on orbital congestion, and it locates the genuine drivers of STM demand where the data say they reside.</w:t>
      </w:r>
    </w:p>
    <w:bookmarkEnd w:id="150"/>
    <w:bookmarkEnd w:id="151"/>
    <w:bookmarkStart w:id="230" w:name="chapter-8.-conclusion"/>
    <w:p>
      <w:pPr>
        <w:pStyle w:val="Heading1"/>
        <w:spacing w:line="480" w:lineRule="auto"/>
      </w:pPr>
      <w:r>
        <w:t xml:space="preserve">Chapter 8. Conclusion</w:t>
      </w:r>
    </w:p>
    <w:bookmarkStart w:id="152" w:name="restatement-of-the-argument"/>
    <w:p>
      <w:pPr>
        <w:pStyle w:val="Heading2"/>
        <w:spacing w:line="480" w:lineRule="auto"/>
      </w:pPr>
      <w:r>
        <w:t xml:space="preserve">8.1 Restatement of the Argument</w:t>
      </w:r>
    </w:p>
    <w:p>
      <w:pPr>
        <w:pStyle w:val="FirstParagraph"/>
        <w:spacing w:line="480" w:lineRule="auto"/>
      </w:pPr>
      <w:r>
        <w:t xml:space="preserve">This dissertation began from an unexamined premise in the contemporary literature on space traffic management (STM). The premise is that the rate at which payloads accumulate in orbit, and with them the conjunction-screening workload that operational systems must absorb, is an exogenous quantity to which regulators, surveillance custodians, and standards bodies must react. The standing question in that literature has therefore been one of capacity: how to issue maneuver guidelines as the catalogue grows</w:t>
      </w:r>
      <w:r>
        <w:t xml:space="preserve"> </w:t>
      </w:r>
      <w:hyperlink w:anchor="ref-1">
        <w:r>
          <w:rPr>
            <w:rStyle w:val="Hyperlink"/>
          </w:rPr>
          <w:t xml:space="preserve">[1]</w:t>
        </w:r>
      </w:hyperlink>
      <w:r>
        <w:t xml:space="preserve">, how to triage screening volume against finite analytic capacity</w:t>
      </w:r>
      <w:r>
        <w:t xml:space="preserve"> </w:t>
      </w:r>
      <w:hyperlink w:anchor="ref-5">
        <w:r>
          <w:rPr>
            <w:rStyle w:val="Hyperlink"/>
          </w:rPr>
          <w:t xml:space="preserve">[5]</w:t>
        </w:r>
      </w:hyperlink>
      <w:r>
        <w:t xml:space="preserve">[9], how to model collision risk under the dense constellation geometries that now dominate low Earth orbit</w:t>
      </w:r>
      <w:r>
        <w:t xml:space="preserve"> </w:t>
      </w:r>
      <w:hyperlink w:anchor="ref-13">
        <w:r>
          <w:rPr>
            <w:rStyle w:val="Hyperlink"/>
          </w:rPr>
          <w:t xml:space="preserve">[13]</w:t>
        </w:r>
      </w:hyperlink>
      <w:r>
        <w:t xml:space="preserve">[14][15][16], and how to extend these frameworks to cislunar and lunar volumes whose traffic-management architectures remain nascent</w:t>
      </w:r>
      <w:r>
        <w:t xml:space="preserve"> </w:t>
      </w:r>
      <w:hyperlink w:anchor="ref-3">
        <w:r>
          <w:rPr>
            <w:rStyle w:val="Hyperlink"/>
          </w:rPr>
          <w:t xml:space="preserve">[3]</w:t>
        </w:r>
      </w:hyperlink>
      <w:r>
        <w:t xml:space="preserve">[7]. The premise underwriting that question is that the pipe filling the catalogue has a fixed cross-section, and that policy can act only on what flows out of the pipe rather than on what enters it.</w:t>
      </w:r>
    </w:p>
    <w:p>
      <w:pPr>
        <w:pStyle w:val="BodyText"/>
        <w:spacing w:line="480" w:lineRule="auto"/>
        <w:ind w:firstLine="720"/>
      </w:pPr>
      <w:r>
        <w:t xml:space="preserve">The argument advanced across the preceding chapters is that this premise is, at minimum, empirically untested and, in the United States case, demonstrably wrong. Every operational payload that contributes to United States screening load first passed through a launch licensed by the Federal Aviation Administration Office of Commercial Space Transportation (FAA AST). The licensing instrument is therefore not a downstream compliance gate but an upstream tap on the pipe that fills the catalogue. If the throughput of that instrument varies, and if the licensing-to-launch latency it imposes varies across operators, vehicles, and regulatory windows, then administrative throughput is itself a candidate pace-setter on STM demand. The dissertation has translated that candidacy into two falsifiable empirical claims, estimated each on public data with explicit construction rules, and reported the results without imputation.</w:t>
      </w:r>
    </w:p>
    <w:p>
      <w:pPr>
        <w:pStyle w:val="BodyText"/>
        <w:spacing w:line="480" w:lineRule="auto"/>
        <w:ind w:firstLine="720"/>
      </w:pPr>
      <w:r>
        <w:t xml:space="preserve">The first claim, tested in Paper 1, was that annual FAA AST licensing throughput is associated with the count of payloads the United States places in orbit, and that the throughput-to-deployment slope is steeper under the FAA regime than under the launch-authorization regimes of the rest of the world. The bloc-year panel returned a regime-specific interaction coefficient of 14.84 additional payloads per licensed operation under the FAA regime, estimated with precision, against a rest-of-world slope statistically indistinguishable from zero. The second claim, tested in Paper 2, was that, conditional on a license being in hand, the time to first orbital flight is paced by features of the licensed vehicle rather than absorbed entirely by the regulatory regime. The Cox proportional-hazards estimator on twenty-three United States commercial orbital launch vehicle configurations isolated heavy-class status and reusable-program architecture as the dominant correlates of latency, with the Part 450 regime indicator carrying a smaller and less precisely estimated share of the variation. Together, the two papers bracket the pacing question from above and from below. Above the license, throughput moves with deployment, a coupling that does not hold outside the FAA regime. Below the license, the engineering tail of the vehicle, not the regulatory tail of the docket, dominates the residual latency to flight.</w:t>
      </w:r>
    </w:p>
    <w:bookmarkEnd w:id="152"/>
    <w:bookmarkStart w:id="153" w:name="X1c82a7a5d5e7d9a285a7adf95a3cafa1d541371"/>
    <w:p>
      <w:pPr>
        <w:pStyle w:val="Heading2"/>
        <w:spacing w:line="480" w:lineRule="auto"/>
      </w:pPr>
      <w:r>
        <w:t xml:space="preserve">8.2 What the Two Papers Settle and What They Do Not</w:t>
      </w:r>
    </w:p>
    <w:p>
      <w:pPr>
        <w:pStyle w:val="FirstParagraph"/>
        <w:spacing w:line="480" w:lineRule="auto"/>
      </w:pPr>
      <w:r>
        <w:t xml:space="preserve">The two empirical chapters settle three points and leave one open.</w:t>
      </w:r>
    </w:p>
    <w:p>
      <w:pPr>
        <w:pStyle w:val="BodyText"/>
        <w:spacing w:line="480" w:lineRule="auto"/>
        <w:ind w:firstLine="720"/>
      </w:pPr>
      <w:r>
        <w:t xml:space="preserve">The first point they settle is that there exists, in the United States case and only in the United States case, a measurable association between the rate at which licensing authorizations issue and the rate at which payloads accumulate on orbit. The rest-of-world benchmark provides the negative control that the regulatory-pacing claim requires. A universal industrial-surge confounder, in which constellation economics and reusable launch capacity together drive a global cadence boom independent of any regulator, would propagate into the rest-of-world slope as well. It does not. The slope outside the FAA regime is flat. The implication is that whatever paces deployment in the United States is specific to the configuration of the United States licensing instrument and not a property of orbital launch activity in general. This is consistent with the policy account of the migration toward performance-based licensing under 14 CFR Part 450 documented in the Congressional Research Service overview</w:t>
      </w:r>
      <w:r>
        <w:t xml:space="preserve"> </w:t>
      </w:r>
      <w:hyperlink w:anchor="ref-19">
        <w:r>
          <w:rPr>
            <w:rStyle w:val="Hyperlink"/>
          </w:rPr>
          <w:t xml:space="preserve">[19]</w:t>
        </w:r>
      </w:hyperlink>
      <w:r>
        <w:t xml:space="preserve"> </w:t>
      </w:r>
      <w:r>
        <w:t xml:space="preserve">and with the FAA’s own reporting of recent throughput records</w:t>
      </w:r>
      <w:r>
        <w:t xml:space="preserve"> </w:t>
      </w:r>
      <w:hyperlink w:anchor="ref-24">
        <w:r>
          <w:rPr>
            <w:rStyle w:val="Hyperlink"/>
          </w:rPr>
          <w:t xml:space="preserve">[24]</w:t>
        </w:r>
      </w:hyperlink>
      <w:r>
        <w:t xml:space="preserve">.</w:t>
      </w:r>
    </w:p>
    <w:p>
      <w:pPr>
        <w:pStyle w:val="BodyText"/>
        <w:spacing w:line="480" w:lineRule="auto"/>
        <w:ind w:firstLine="720"/>
      </w:pPr>
      <w:r>
        <w:t xml:space="preserve">The second point they settle is that, conditional on a license being in hand, regulatory regime membership is not the principal driver of the time to first flight. The survival analysis on the twenty-three vehicle configurations attributes the bulk of the variation in licensing-to-launch latency to heavy-class status and to reusable-program architecture, with smaller and less precisely estimated contributions from Part 450 membership and from log payload capacity. The vehicle, not the docket, dominates the gap between license issuance and wheels up among the configurations that flew. This finding tempers any naive reading of the Paper 1 result. The throughput-to-deployment association documented in the bloc-year panel is not, on its own, evidence that faster paperwork accelerates flight once paperwork is complete. It is evidence that the rate at which paperwork is cleared moves with the rate at which payloads accumulate, which is a distinct and more modest claim.</w:t>
      </w:r>
    </w:p>
    <w:p>
      <w:pPr>
        <w:pStyle w:val="BodyText"/>
        <w:spacing w:line="480" w:lineRule="auto"/>
        <w:ind w:firstLine="720"/>
      </w:pPr>
      <w:r>
        <w:t xml:space="preserve">The third point they settle is methodological. The dissertation has demonstrated that the licensing-to-launch-to-catalogue chain can be reconstructed from public records, with reversible arithmetic and named provenance for every cell, without recourse to privileged operator data, restricted catalogue products, or imputed values. The bloc-year panel, the vehicle-configuration survival sample, and the catalogue-side robustness machinery that the data chapter staged for future estimation all rest on records published by the FAA AST</w:t>
      </w:r>
      <w:r>
        <w:t xml:space="preserve"> </w:t>
      </w:r>
      <w:hyperlink w:anchor="ref-27">
        <w:r>
          <w:rPr>
            <w:rStyle w:val="Hyperlink"/>
          </w:rPr>
          <w:t xml:space="preserve">[27]</w:t>
        </w:r>
      </w:hyperlink>
      <w:r>
        <w:t xml:space="preserve">, the United Nations Office for Outer Space Affairs as compiled by Our World in Data</w:t>
      </w:r>
      <w:r>
        <w:t xml:space="preserve"> </w:t>
      </w:r>
      <w:hyperlink w:anchor="ref-23">
        <w:r>
          <w:rPr>
            <w:rStyle w:val="Hyperlink"/>
          </w:rPr>
          <w:t xml:space="preserve">[23]</w:t>
        </w:r>
      </w:hyperlink>
      <w:r>
        <w:t xml:space="preserve">, the McDowell launch and payload statistics</w:t>
      </w:r>
      <w:r>
        <w:t xml:space="preserve"> </w:t>
      </w:r>
      <w:hyperlink w:anchor="ref-25">
        <w:r>
          <w:rPr>
            <w:rStyle w:val="Hyperlink"/>
          </w:rPr>
          <w:t xml:space="preserve">[25]</w:t>
        </w:r>
      </w:hyperlink>
      <w:r>
        <w:t xml:space="preserve">, and the United States Space Force catalogue with its NASA Conjunction Assessment Risk Analysis interface</w:t>
      </w:r>
      <w:r>
        <w:t xml:space="preserve"> </w:t>
      </w:r>
      <w:hyperlink w:anchor="ref-5">
        <w:r>
          <w:rPr>
            <w:rStyle w:val="Hyperlink"/>
          </w:rPr>
          <w:t xml:space="preserve">[5]</w:t>
        </w:r>
      </w:hyperlink>
      <w:r>
        <w:t xml:space="preserve">[9]. The provenance discipline is the precondition for any future replication of the pass-through estimate this program of work is designed to recover.</w:t>
      </w:r>
    </w:p>
    <w:p>
      <w:pPr>
        <w:pStyle w:val="BodyText"/>
        <w:spacing w:line="480" w:lineRule="auto"/>
        <w:ind w:firstLine="720"/>
      </w:pPr>
      <w:r>
        <w:t xml:space="preserve">The point that the two papers do not settle, and that the prospectus framed as the single falsifiable contribution of the broader program, is the pass-through coefficient itself, linking a change in licensing-to-launch latency to a change in catalogued-object accretion or in conjunction-screening volume. Paper 1 estimates the throughput-to-deployment slope. Paper 2 estimates the determinants of latency among licensed configurations. Neither paper, on its own, closes the chain from latency to STM demand. The closure requires the catalogue-side estimation that the data chapter staged but that lay outside the scope of the two completed papers. The conclusion of this dissertation is therefore not that β has been recovered. The conclusion is that the chain has been reconstructed in identifiable form, that two of its three links have been quantitatively characterized, and that the third is now estimable on the platform the dissertation has built.</w:t>
      </w:r>
    </w:p>
    <w:bookmarkEnd w:id="153"/>
    <w:bookmarkStart w:id="154" w:name="contribution-to-knowledge"/>
    <w:p>
      <w:pPr>
        <w:pStyle w:val="Heading2"/>
        <w:spacing w:line="480" w:lineRule="auto"/>
      </w:pPr>
      <w:r>
        <w:t xml:space="preserve">8.3 Contribution to Knowledge</w:t>
      </w:r>
    </w:p>
    <w:p>
      <w:pPr>
        <w:pStyle w:val="FirstParagraph"/>
        <w:spacing w:line="480" w:lineRule="auto"/>
      </w:pPr>
      <w:r>
        <w:t xml:space="preserve">The contribution this dissertation offers to the literature on space traffic management, to the policy literature on commercial launch and reentry regulation, and to the economics literature on orbital carrying capacity is a single reframing supported by two anchoring empirical results.</w:t>
      </w:r>
    </w:p>
    <w:p>
      <w:pPr>
        <w:pStyle w:val="BodyText"/>
        <w:spacing w:line="480" w:lineRule="auto"/>
        <w:ind w:firstLine="720"/>
      </w:pPr>
      <w:r>
        <w:t xml:space="preserve">The reframing is that STM demand has an upstream administrative determinant that the field has not measured. The operational STM literature on conjunction assessment, maneuver guidance, and probabilistic drag in catalogue-based screening</w:t>
      </w:r>
      <w:r>
        <w:t xml:space="preserve"> </w:t>
      </w:r>
      <w:hyperlink w:anchor="ref-1">
        <w:r>
          <w:rPr>
            <w:rStyle w:val="Hyperlink"/>
          </w:rPr>
          <w:t xml:space="preserve">[1]</w:t>
        </w:r>
      </w:hyperlink>
      <w:r>
        <w:t xml:space="preserve">[2][5][9][10] takes the object population as input. The Acta Astronautica strand on constellation collision risk treats deployment as exogenous to the regulatory process that authorized it</w:t>
      </w:r>
      <w:r>
        <w:t xml:space="preserve"> </w:t>
      </w:r>
      <w:hyperlink w:anchor="ref-13">
        <w:r>
          <w:rPr>
            <w:rStyle w:val="Hyperlink"/>
          </w:rPr>
          <w:t xml:space="preserve">[13]</w:t>
        </w:r>
      </w:hyperlink>
      <w:r>
        <w:t xml:space="preserve">[14][15][16]. The space-capacity literature names orbital carrying capacity as a finite shared resource distinct from the debris stock that erodes it</w:t>
      </w:r>
      <w:r>
        <w:t xml:space="preserve"> </w:t>
      </w:r>
      <w:hyperlink w:anchor="ref-6">
        <w:r>
          <w:rPr>
            <w:rStyle w:val="Hyperlink"/>
          </w:rPr>
          <w:t xml:space="preserve">[6]</w:t>
        </w:r>
      </w:hyperlink>
      <w:r>
        <w:t xml:space="preserve">[11][12]. None of these literatures has reached upstream to the licensing instrument and asked whether the rate at which authorizations issue is itself a forcing function on the trajectory the downstream models take as given. This dissertation occupies that vacant cell. It does not claim to have replaced the operational and economic models that govern conjunction screening and carrying-capacity accounting. It claims, more modestly, that those models inherit an unstated assumption about the rate at which their state variables evolve, and that the unstated assumption is now testable.</w:t>
      </w:r>
    </w:p>
    <w:p>
      <w:pPr>
        <w:pStyle w:val="BodyText"/>
        <w:spacing w:line="480" w:lineRule="auto"/>
        <w:ind w:firstLine="720"/>
      </w:pPr>
      <w:r>
        <w:t xml:space="preserve">The first anchoring result is that the inheritance is empirically real, in at least the United States case. The bloc-year panel establishes that under the FAA regime each additional licensed operation is associated with roughly fifteen additional payloads in the same year, while the contemporaneous rest-of-world benchmark shows no comparable relationship. The estimate is correlational, not a clean causal identification, and the dissertation has stated that limitation directly. But the rest-of-world negative control rules out the most commonly raised confounder, a universal industrial surge, and the estimate’s precision against a precisely null benchmark is itself substantive. It is the first quantitative evidence in the published literature, on the corpora the prospectus surveyed, that an administrative throughput series and an on-orbit-deployment series co-move in a regime-specific way.</w:t>
      </w:r>
    </w:p>
    <w:p>
      <w:pPr>
        <w:pStyle w:val="BodyText"/>
        <w:spacing w:line="480" w:lineRule="auto"/>
        <w:ind w:firstLine="720"/>
      </w:pPr>
      <w:r>
        <w:t xml:space="preserve">The second anchoring result is that the engineering tail dominates the post-license latency. This sharpens, rather than dissolves, the policy implication. If reductions in licensing-to-launch latency were uniformly translated into faster flight, then administrative reform would carry an unambiguous welfare reading. The Paper 2 finding that heavy-class and reusable-program status absorb most of the latency variation means that licensing reform acts on flight tempo only where the vehicle is ready to fly. The policy implication is that the regulatory instrument is a necessary but not sufficient pace-setter. It can pace deployment when the engineering pipeline behind a docket is ready, and it cannot when the pipeline is not. The contribution to knowledge is therefore conditional and disciplined: licensing throughput paces deployment, but the conditional pacing is mediated by vehicle architecture, a dependency any future welfare calculation must respect.</w:t>
      </w:r>
    </w:p>
    <w:p>
      <w:pPr>
        <w:pStyle w:val="BodyText"/>
        <w:spacing w:line="480" w:lineRule="auto"/>
        <w:ind w:firstLine="720"/>
      </w:pPr>
      <w:r>
        <w:t xml:space="preserve">A third, less obvious contribution lies in the data platform itself. The dissertation has shown that the chain from FAA license to on-orbit catalogue entry can be reconstructed at three levels of granularity, the bloc-year, the vehicle-configuration, and the international-designator object record, using public sources with documented join keys. The reconstruction is reproducible. The construction rule for rest-of-world payloads is an explicit subtraction on the United Nations register</w:t>
      </w:r>
      <w:r>
        <w:t xml:space="preserve"> </w:t>
      </w:r>
      <w:hyperlink w:anchor="ref-23">
        <w:r>
          <w:rPr>
            <w:rStyle w:val="Hyperlink"/>
          </w:rPr>
          <w:t xml:space="preserve">[23]</w:t>
        </w:r>
      </w:hyperlink>
      <w:r>
        <w:t xml:space="preserve">. The construction rule for licensing-to-launch latency is a difference of two named dates, with ambiguous rows flagged rather than imputed</w:t>
      </w:r>
      <w:r>
        <w:t xml:space="preserve"> </w:t>
      </w:r>
      <w:hyperlink w:anchor="ref-27">
        <w:r>
          <w:rPr>
            <w:rStyle w:val="Hyperlink"/>
          </w:rPr>
          <w:t xml:space="preserve">[27]</w:t>
        </w:r>
      </w:hyperlink>
      <w:r>
        <w:t xml:space="preserve">[28][29][30][31][32][33]. The catalogue-side robustness machinery is staged on the United States Space Force catalogue and the NASA CARA program literature</w:t>
      </w:r>
      <w:r>
        <w:t xml:space="preserve"> </w:t>
      </w:r>
      <w:hyperlink w:anchor="ref-5">
        <w:r>
          <w:rPr>
            <w:rStyle w:val="Hyperlink"/>
          </w:rPr>
          <w:t xml:space="preserve">[5]</w:t>
        </w:r>
      </w:hyperlink>
      <w:r>
        <w:t xml:space="preserve">[9] with calendar-time effects to absorb sensor and threshold non-stationarity. Any future investigator can recover the same series and contest, refine, or extend the estimates this dissertation has produced. In a field where operational data are often closely held and where carrying-capacity claims have outrun their empirical warrants, the provenance discipline is itself a deliverable.</w:t>
      </w:r>
    </w:p>
    <w:bookmarkEnd w:id="154"/>
    <w:bookmarkStart w:id="155" w:name="X031a5454b4a6fd07d685079ff80e191c84625c8"/>
    <w:p>
      <w:pPr>
        <w:pStyle w:val="Heading2"/>
        <w:spacing w:line="480" w:lineRule="auto"/>
      </w:pPr>
      <w:r>
        <w:t xml:space="preserve">8.4 Implications for Policy and for the Cislunar Forward Agenda</w:t>
      </w:r>
    </w:p>
    <w:p>
      <w:pPr>
        <w:pStyle w:val="FirstParagraph"/>
        <w:spacing w:line="480" w:lineRule="auto"/>
      </w:pPr>
      <w:r>
        <w:t xml:space="preserve">The policy implication for the United States STM and licensing community is that capacity planning for collision-screening systems should be coupled to the FAA AST licensing pipeline rather than treated as a downstream response to an exogenous catalogue trajectory. The Paper 1 estimate of roughly fifteen additional payloads per licensed operation, taken together with the published NASA CARA characterization of screening volume as a function of catalogue density</w:t>
      </w:r>
      <w:r>
        <w:t xml:space="preserve"> </w:t>
      </w:r>
      <w:hyperlink w:anchor="ref-5">
        <w:r>
          <w:rPr>
            <w:rStyle w:val="Hyperlink"/>
          </w:rPr>
          <w:t xml:space="preserve">[5]</w:t>
        </w:r>
      </w:hyperlink>
      <w:r>
        <w:t xml:space="preserve">[9], implies that a marginal change in licensing throughput propagates through to a marginal change in screening workload. The propagation is not deterministic, and the dissertation has not estimated its coefficient. It is, however, sufficiently regular in the data to argue against the planning convention that licensing and screening sit in separate institutional accounts. The Federal Aviation Administration and the United States Space Force, as the custodians of the upstream and downstream records respectively, hold complementary halves of a single system, and the planning posture should reflect that.</w:t>
      </w:r>
    </w:p>
    <w:p>
      <w:pPr>
        <w:pStyle w:val="BodyText"/>
        <w:spacing w:line="480" w:lineRule="auto"/>
        <w:ind w:firstLine="720"/>
      </w:pPr>
      <w:r>
        <w:t xml:space="preserve">The implication for the operator and constellation literature</w:t>
      </w:r>
      <w:r>
        <w:t xml:space="preserve"> </w:t>
      </w:r>
      <w:hyperlink w:anchor="ref-6">
        <w:r>
          <w:rPr>
            <w:rStyle w:val="Hyperlink"/>
          </w:rPr>
          <w:t xml:space="preserve">[6]</w:t>
        </w:r>
      </w:hyperlink>
      <w:r>
        <w:t xml:space="preserve">[13][14][16] is that the regulatory-throughput series belongs in the controls for any model that projects future conjunction risk in the United States licensing regime. Without it, the analyst cannot distinguish a constellation-driven surge from a licensing-driven one, and the two have different policy levers. This dissertation has demonstrated that the two are at least partly separable on public data.</w:t>
      </w:r>
    </w:p>
    <w:p>
      <w:pPr>
        <w:pStyle w:val="BodyText"/>
        <w:spacing w:line="480" w:lineRule="auto"/>
        <w:ind w:firstLine="720"/>
      </w:pPr>
      <w:r>
        <w:t xml:space="preserve">The implication for the cislunar forward agenda, which the prospectus identified as the sharpening case for the dissertation’s claim, is that the upstream-to-downstream architecture this dissertation has built for the terrestrial-LEO regime is the prerequisite for an analogous architecture in cislunar space. The cislunar STM frameworks under construction</w:t>
      </w:r>
      <w:r>
        <w:t xml:space="preserve"> </w:t>
      </w:r>
      <w:hyperlink w:anchor="ref-3">
        <w:r>
          <w:rPr>
            <w:rStyle w:val="Hyperlink"/>
          </w:rPr>
          <w:t xml:space="preserve">[3]</w:t>
        </w:r>
      </w:hyperlink>
      <w:r>
        <w:t xml:space="preserve">[7] face the same upstream question: what authorization instrument will gate cislunar deployment, and at what cadence will it issue. The dissertation has not resolved that question. It has, however, shown what a quantitative pace-setting analysis looks like when the licensing record, the deployment record, and the catalogue can be joined on public keys. The cislunar extension is therefore staged, not as an extrapolation of the terrestrial-LEO coefficient, but as a methodological inheritance: the bloc-year and vehicle-configuration designs, the no-imputation rule, the negative-control logic of the rest-of-world benchmark, and the calendar-time absorption of catalogue non-stationarity all carry forward. The substantive coefficients do not. They must be re-estimated on cislunar records as they become available, against whichever authorization instrument the policy community settles on as the cislunar analogue of FAA AST.</w:t>
      </w:r>
    </w:p>
    <w:bookmarkEnd w:id="155"/>
    <w:bookmarkStart w:id="156" w:name="closing-statement"/>
    <w:p>
      <w:pPr>
        <w:pStyle w:val="Heading2"/>
        <w:spacing w:line="480" w:lineRule="auto"/>
      </w:pPr>
      <w:r>
        <w:t xml:space="preserve">8.5 Closing Statement</w:t>
      </w:r>
    </w:p>
    <w:p>
      <w:pPr>
        <w:pStyle w:val="FirstParagraph"/>
        <w:spacing w:line="480" w:lineRule="auto"/>
      </w:pPr>
      <w:r>
        <w:t xml:space="preserve">The dissertation has argued that space traffic management cannot be understood, and capacity for it cannot be planned, without reference to the administrative instruments that govern the rate at which space traffic is created. The standing literature has treated the orbital population as a forcing function on the STM system and the STM system as a response. This dissertation has shown that, in the United States case, the forcing function itself has an administrative determinant that moves with the deployment outcome it is supposed to gate, and that the determinant can be measured on public data with documented provenance. The single most important sentence of the program is therefore the one the bloc-year panel writes against the rest-of-world benchmark: in the United States, an additional licensed operation is associated with roughly fifteen additional payloads on orbit in the same year; outside the United States, an additional launch attempt is not associated with a detectable change in payloads once the trend is controlled. That sentence does not settle the carrying-capacity debate. It does not estimate the pass-through to screening volume. It does not extend, by itself, to the cislunar regime. It does, however, locate a measurable channel where the literature had assumed an absent one, and it does so on records that any subsequent investigator can recover.</w:t>
      </w:r>
    </w:p>
    <w:p>
      <w:pPr>
        <w:pStyle w:val="BodyText"/>
        <w:spacing w:line="480" w:lineRule="auto"/>
        <w:ind w:firstLine="720"/>
      </w:pPr>
      <w:r>
        <w:t xml:space="preserve">The remainder of the program is straightforward in posture if demanding in execution. The catalogue-side estimation of the pass-through coefficient β, from latency to catalogued-object accretion and to conjunction-screening volume, is the natural next step on the platform this dissertation has built. The cislunar extension is the natural next step on the methodology this dissertation has staged. Both await records that are either now in hand or in plausible reach. Neither rests on assumptions the present work has not stated. If the field accepts the more modest reframing this dissertation offers, that STM demand has an upstream administrative determinant worth measuring, then the program of work that the prospectus opened is closed in principle and open in practice. The conclusion that authorization is tempo, and that tempo is in turn a substrate of orbital congestion, is now an empirical proposition rather than a rhetorical one. That, in the end, is the contribution: to have moved a widely asserted causal channel from the discursive register to the estimable one, and to have done so in a form that the next investigator can either confirm, refine, or refute.</w:t>
      </w:r>
    </w:p>
    <w:bookmarkEnd w:id="156"/>
    <w:bookmarkStart w:id="229" w:name="references"/>
    <w:p>
      <w:pPr>
        <w:pStyle w:val="Heading2"/>
        <w:spacing w:line="480" w:lineRule="auto"/>
      </w:pPr>
      <w:r>
        <w:t xml:space="preserve">References</w:t>
      </w:r>
    </w:p>
    <w:p>
      <w:pPr>
        <w:pStyle w:val="FirstParagraph"/>
        <w:spacing w:line="480" w:lineRule="auto"/>
      </w:pPr>
      <w:bookmarkStart w:id="157" w:name="ref-1"/>
      <w:bookmarkEnd w:id="157"/>
      <w:r>
        <w:t xml:space="preserve">1. M. Borowitz, B. Gunter, M. Birch, and R. Macke,</w:t>
      </w:r>
      <w:r>
        <w:t xml:space="preserve"> </w:t>
      </w:r>
      <w:r>
        <w:t xml:space="preserve">“An Investigation into Potential Collision Maneuver Guidelines for Future Space Traffic Management,”</w:t>
      </w:r>
      <w:r>
        <w:t xml:space="preserve"> </w:t>
      </w:r>
      <w:r>
        <w:t xml:space="preserve">Proc. Advanced Maui Optical and Space Surveillance Technologies (AMOS) Conference, 2021. https://amostech.space/year/2021/an-investigation-into-potential-collision-maneuver-guidelines-for-future-space-traffic-management/</w:t>
      </w:r>
    </w:p>
    <w:p>
      <w:pPr>
        <w:pStyle w:val="BodyText"/>
        <w:spacing w:line="480" w:lineRule="auto"/>
        <w:ind w:firstLine="720"/>
      </w:pPr>
      <w:bookmarkStart w:id="158" w:name="ref-2"/>
      <w:bookmarkEnd w:id="158"/>
      <w:r>
        <w:t xml:space="preserve">2. D. R. Penn, C. Harris, K. Schroeder, and J. Black,</w:t>
      </w:r>
      <w:r>
        <w:t xml:space="preserve"> </w:t>
      </w:r>
      <w:r>
        <w:t xml:space="preserve">“Geometry Sensitivity Study of a Recently-Maneuvered Satellite,”</w:t>
      </w:r>
      <w:r>
        <w:t xml:space="preserve"> </w:t>
      </w:r>
      <w:r>
        <w:t xml:space="preserve">Proc. Advanced Maui Optical and Space Surveillance Technologies (AMOS) Conference, 2022. https://amostech.space/year/2022/geometry-sensitivity-study-of-a-recently-maneuvered-satellite/</w:t>
      </w:r>
    </w:p>
    <w:p>
      <w:pPr>
        <w:pStyle w:val="BodyText"/>
        <w:spacing w:line="480" w:lineRule="auto"/>
        <w:ind w:firstLine="720"/>
      </w:pPr>
      <w:bookmarkStart w:id="159" w:name="ref-3"/>
      <w:bookmarkEnd w:id="159"/>
      <w:r>
        <w:t xml:space="preserve">3. M. Bilka, R. Wright, and J. Wysack,</w:t>
      </w:r>
      <w:r>
        <w:t xml:space="preserve"> </w:t>
      </w:r>
      <w:r>
        <w:t xml:space="preserve">“Guiding Lunar Growth: Architectural Solutions for Space Traffic Management,”</w:t>
      </w:r>
      <w:r>
        <w:t xml:space="preserve"> </w:t>
      </w:r>
      <w:r>
        <w:t xml:space="preserve">Proc. Advanced Maui Optical and Space Surveillance Technologies (AMOS) Conference, 2024. doi:</w:t>
      </w:r>
      <w:r>
        <w:t xml:space="preserve"> </w:t>
      </w:r>
      <w:hyperlink r:id="rId160">
        <w:r>
          <w:rPr>
            <w:rStyle w:val="Hyperlink"/>
          </w:rPr>
          <w:t xml:space="preserve">10.64861/RBTM5104</w:t>
        </w:r>
      </w:hyperlink>
    </w:p>
    <w:p>
      <w:pPr>
        <w:pStyle w:val="BodyText"/>
        <w:spacing w:line="480" w:lineRule="auto"/>
        <w:ind w:firstLine="720"/>
      </w:pPr>
      <w:bookmarkStart w:id="161" w:name="ref-4"/>
      <w:bookmarkEnd w:id="161"/>
      <w:r>
        <w:t xml:space="preserve">4. J. Reilly, M. Blackford, and J. Mueller,</w:t>
      </w:r>
      <w:r>
        <w:t xml:space="preserve"> </w:t>
      </w:r>
      <w:r>
        <w:t xml:space="preserve">“Challenges in Space Traffic Management,”</w:t>
      </w:r>
      <w:r>
        <w:t xml:space="preserve"> </w:t>
      </w:r>
      <w:r>
        <w:t xml:space="preserve">Proc. Advanced Maui Optical and Space Surveillance Technologies (AMOS) Conference, 2023. doi:</w:t>
      </w:r>
      <w:r>
        <w:t xml:space="preserve"> </w:t>
      </w:r>
      <w:hyperlink r:id="rId162">
        <w:r>
          <w:rPr>
            <w:rStyle w:val="Hyperlink"/>
          </w:rPr>
          <w:t xml:space="preserve">10.64861/UCTN1793</w:t>
        </w:r>
      </w:hyperlink>
    </w:p>
    <w:p>
      <w:pPr>
        <w:pStyle w:val="BodyText"/>
        <w:spacing w:line="480" w:lineRule="auto"/>
        <w:ind w:firstLine="720"/>
      </w:pPr>
      <w:bookmarkStart w:id="163" w:name="ref-5"/>
      <w:bookmarkEnd w:id="163"/>
      <w:r>
        <w:t xml:space="preserve">5. L. Newman, M. Hejduk, R. Frigm, and M. Duncan,</w:t>
      </w:r>
      <w:r>
        <w:t xml:space="preserve"> </w:t>
      </w:r>
      <w:r>
        <w:t xml:space="preserve">“Evolution and Implementation of the NASA Robotic Conjunction Assessment Risk Analysis Concept of Operations,”</w:t>
      </w:r>
      <w:r>
        <w:t xml:space="preserve"> </w:t>
      </w:r>
      <w:r>
        <w:t xml:space="preserve">Proc. Advanced Maui Optical and Space Surveillance Technologies (AMOS) Conference, 2014. https://amostech.space/year/2014/evolution-and-implementation-of-the-nasa-robotic-conjunction-assessment-risk-analysis-concept-of-operations/</w:t>
      </w:r>
    </w:p>
    <w:p>
      <w:pPr>
        <w:pStyle w:val="BodyText"/>
        <w:spacing w:line="480" w:lineRule="auto"/>
        <w:ind w:firstLine="720"/>
      </w:pPr>
      <w:bookmarkStart w:id="164" w:name="ref-6"/>
      <w:bookmarkEnd w:id="164"/>
      <w:r>
        <w:t xml:space="preserve">6. C. Colombo, P. Martinez, F. Letizia, B. M. Cattani, E. David, D. A. Escobar, S. Kawamoto, R. J. Rovetto, and I. Sumelzo,</w:t>
      </w:r>
      <w:r>
        <w:t xml:space="preserve"> </w:t>
      </w:r>
      <w:r>
        <w:t xml:space="preserve">“Space capacity management and its interaction with space traffic management,”</w:t>
      </w:r>
      <w:r>
        <w:t xml:space="preserve"> </w:t>
      </w:r>
      <w:r>
        <w:t xml:space="preserve">Acta Astronautica, vol. 233, 2025. doi:</w:t>
      </w:r>
      <w:r>
        <w:t xml:space="preserve"> </w:t>
      </w:r>
      <w:hyperlink r:id="rId165">
        <w:r>
          <w:rPr>
            <w:rStyle w:val="Hyperlink"/>
          </w:rPr>
          <w:t xml:space="preserve">10.1016/j.actaastro.2025.01.069</w:t>
        </w:r>
      </w:hyperlink>
    </w:p>
    <w:p>
      <w:pPr>
        <w:pStyle w:val="BodyText"/>
        <w:spacing w:line="480" w:lineRule="auto"/>
        <w:ind w:firstLine="720"/>
      </w:pPr>
      <w:bookmarkStart w:id="166" w:name="ref-7"/>
      <w:bookmarkEnd w:id="166"/>
      <w:r>
        <w:t xml:space="preserve">7. K. Anilkumar, B. Mukherjee, N. Bérend, S. K. Biswas, L. Buinhas, N. Dailey, B. H. Foing, N. Franco Rodriguez, G. Hedrick, F. Kebe, Y. Li, A. Ott, A. Pastor, Z. Rana, J. Rodríguez, M. E. Sorge, C. J. Unfried, and I. Urdampilleta,</w:t>
      </w:r>
      <w:r>
        <w:t xml:space="preserve"> </w:t>
      </w:r>
      <w:r>
        <w:t xml:space="preserve">“Moon to mars: Challenges and strategic frameworks for space traffic management in cislunar and cismartian environments,”</w:t>
      </w:r>
      <w:r>
        <w:t xml:space="preserve"> </w:t>
      </w:r>
      <w:r>
        <w:t xml:space="preserve">Acta Astronautica, vol. 229, 2025. doi:</w:t>
      </w:r>
      <w:r>
        <w:t xml:space="preserve"> </w:t>
      </w:r>
      <w:hyperlink r:id="rId167">
        <w:r>
          <w:rPr>
            <w:rStyle w:val="Hyperlink"/>
          </w:rPr>
          <w:t xml:space="preserve">10.1016/j.actaastro.2024.12.056</w:t>
        </w:r>
      </w:hyperlink>
    </w:p>
    <w:p>
      <w:pPr>
        <w:pStyle w:val="BodyText"/>
        <w:spacing w:line="480" w:lineRule="auto"/>
        <w:ind w:firstLine="720"/>
      </w:pPr>
      <w:bookmarkStart w:id="168" w:name="ref-8"/>
      <w:bookmarkEnd w:id="168"/>
      <w:r>
        <w:t xml:space="preserve">8.</w:t>
      </w:r>
      <w:r>
        <w:t xml:space="preserve"> </w:t>
      </w:r>
      <w:r>
        <w:t xml:space="preserve">“The Role of Space in Driving Sustainability, Security, and Development,”</w:t>
      </w:r>
      <w:r>
        <w:t xml:space="preserve"> </w:t>
      </w:r>
      <w:r>
        <w:t xml:space="preserve">Space Economy Papers corpus (source SD13).</w:t>
      </w:r>
    </w:p>
    <w:p>
      <w:pPr>
        <w:pStyle w:val="BodyText"/>
        <w:spacing w:line="480" w:lineRule="auto"/>
        <w:ind w:firstLine="720"/>
      </w:pPr>
      <w:bookmarkStart w:id="169" w:name="ref-9"/>
      <w:bookmarkEnd w:id="169"/>
      <w:r>
        <w:t xml:space="preserve">9. A. Mashiku, L. Newman, and D. Highsmith,</w:t>
      </w:r>
      <w:r>
        <w:t xml:space="preserve"> </w:t>
      </w:r>
      <w:r>
        <w:t xml:space="preserve">“NASA Conjunction Assessment Risk Analysis (CARA) Compendium for Artificial Intelligence and Machine Learning for Satellite Collision Avoidance,”</w:t>
      </w:r>
      <w:r>
        <w:t xml:space="preserve"> </w:t>
      </w:r>
      <w:r>
        <w:t xml:space="preserve">Proc. Advanced Maui Optical and Space Surveillance Technologies (AMOS) Conference, 2025. doi:</w:t>
      </w:r>
      <w:r>
        <w:t xml:space="preserve"> </w:t>
      </w:r>
      <w:hyperlink r:id="rId170">
        <w:r>
          <w:rPr>
            <w:rStyle w:val="Hyperlink"/>
          </w:rPr>
          <w:t xml:space="preserve">10.64861/HKAM1019</w:t>
        </w:r>
      </w:hyperlink>
    </w:p>
    <w:p>
      <w:pPr>
        <w:pStyle w:val="BodyText"/>
        <w:spacing w:line="480" w:lineRule="auto"/>
        <w:ind w:firstLine="720"/>
      </w:pPr>
      <w:bookmarkStart w:id="171" w:name="ref-10"/>
      <w:bookmarkEnd w:id="171"/>
      <w:r>
        <w:t xml:space="preserve">10. R. Bhatia, G. Rivera, J. Griesbach, and P. Mehta,</w:t>
      </w:r>
      <w:r>
        <w:t xml:space="preserve"> </w:t>
      </w:r>
      <w:r>
        <w:t xml:space="preserve">“A Novel Stochastic Unscented Transform for Probabilistic Drag Modeling and Conjunction Assessment,”</w:t>
      </w:r>
      <w:r>
        <w:t xml:space="preserve"> </w:t>
      </w:r>
      <w:r>
        <w:t xml:space="preserve">Proc. Advanced Maui Optical and Space Surveillance Technologies (AMOS) Conference, 2024. doi:</w:t>
      </w:r>
      <w:r>
        <w:t xml:space="preserve"> </w:t>
      </w:r>
      <w:hyperlink r:id="rId172">
        <w:r>
          <w:rPr>
            <w:rStyle w:val="Hyperlink"/>
          </w:rPr>
          <w:t xml:space="preserve">10.64861/LZVJ5533</w:t>
        </w:r>
      </w:hyperlink>
    </w:p>
    <w:p>
      <w:pPr>
        <w:pStyle w:val="BodyText"/>
        <w:spacing w:line="480" w:lineRule="auto"/>
        <w:ind w:firstLine="720"/>
      </w:pPr>
      <w:bookmarkStart w:id="173" w:name="ref-11"/>
      <w:bookmarkEnd w:id="173"/>
      <w:r>
        <w:t xml:space="preserve">11. V. Stilwell et al.,</w:t>
      </w:r>
      <w:r>
        <w:t xml:space="preserve"> </w:t>
      </w:r>
      <w:r>
        <w:t xml:space="preserve">“Orbital Capacity,”</w:t>
      </w:r>
      <w:r>
        <w:t xml:space="preserve"> </w:t>
      </w:r>
      <w:r>
        <w:t xml:space="preserve">Proc. International Astronautical Congress (IAC), 2024. Space Economy Papers corpus (source SD01).</w:t>
      </w:r>
    </w:p>
    <w:p>
      <w:pPr>
        <w:pStyle w:val="BodyText"/>
        <w:spacing w:line="480" w:lineRule="auto"/>
        <w:ind w:firstLine="720"/>
      </w:pPr>
      <w:bookmarkStart w:id="174" w:name="ref-12"/>
      <w:bookmarkEnd w:id="174"/>
      <w:r>
        <w:t xml:space="preserve">12. V. Stilwell et al.,</w:t>
      </w:r>
      <w:r>
        <w:t xml:space="preserve"> </w:t>
      </w:r>
      <w:r>
        <w:t xml:space="preserve">“Orbital Classification,”</w:t>
      </w:r>
      <w:r>
        <w:t xml:space="preserve"> </w:t>
      </w:r>
      <w:r>
        <w:t xml:space="preserve">Proc. ASCEND, 2025. Space Economy Papers corpus (source SD02).</w:t>
      </w:r>
    </w:p>
    <w:p>
      <w:pPr>
        <w:pStyle w:val="BodyText"/>
        <w:spacing w:line="480" w:lineRule="auto"/>
        <w:ind w:firstLine="720"/>
      </w:pPr>
      <w:bookmarkStart w:id="175" w:name="ref-13"/>
      <w:bookmarkEnd w:id="175"/>
      <w:r>
        <w:t xml:space="preserve">13. A. Rossi, A. Petit, and D. McKnight,</w:t>
      </w:r>
      <w:r>
        <w:t xml:space="preserve"> </w:t>
      </w:r>
      <w:r>
        <w:t xml:space="preserve">“Short-term space safety analysis of LEO constellations and clusters,”</w:t>
      </w:r>
      <w:r>
        <w:t xml:space="preserve"> </w:t>
      </w:r>
      <w:r>
        <w:t xml:space="preserve">Acta Astronautica, vol. 175, 2020. doi:</w:t>
      </w:r>
      <w:r>
        <w:t xml:space="preserve"> </w:t>
      </w:r>
      <w:hyperlink r:id="rId176">
        <w:r>
          <w:rPr>
            <w:rStyle w:val="Hyperlink"/>
          </w:rPr>
          <w:t xml:space="preserve">10.1016/j.actaastro.2020.06.016</w:t>
        </w:r>
      </w:hyperlink>
    </w:p>
    <w:p>
      <w:pPr>
        <w:pStyle w:val="BodyText"/>
        <w:spacing w:line="480" w:lineRule="auto"/>
        <w:ind w:firstLine="720"/>
      </w:pPr>
      <w:bookmarkStart w:id="177" w:name="ref-14"/>
      <w:bookmarkEnd w:id="177"/>
      <w:r>
        <w:t xml:space="preserve">14. R. Lucken and D. Giolito,</w:t>
      </w:r>
      <w:r>
        <w:t xml:space="preserve"> </w:t>
      </w:r>
      <w:r>
        <w:t xml:space="preserve">“Collision risk prediction for constellation design,”</w:t>
      </w:r>
      <w:r>
        <w:t xml:space="preserve"> </w:t>
      </w:r>
      <w:r>
        <w:t xml:space="preserve">Acta Astronautica, vol. 161, 2019. doi:</w:t>
      </w:r>
      <w:r>
        <w:t xml:space="preserve"> </w:t>
      </w:r>
      <w:hyperlink r:id="rId178">
        <w:r>
          <w:rPr>
            <w:rStyle w:val="Hyperlink"/>
          </w:rPr>
          <w:t xml:space="preserve">10.1016/j.actaastro.2019.04.003</w:t>
        </w:r>
      </w:hyperlink>
    </w:p>
    <w:p>
      <w:pPr>
        <w:pStyle w:val="BodyText"/>
        <w:spacing w:line="480" w:lineRule="auto"/>
        <w:ind w:firstLine="720"/>
      </w:pPr>
      <w:bookmarkStart w:id="179" w:name="ref-15"/>
      <w:bookmarkEnd w:id="179"/>
      <w:r>
        <w:t xml:space="preserve">15. C. Pardini and L. Anselmo,</w:t>
      </w:r>
      <w:r>
        <w:t xml:space="preserve"> </w:t>
      </w:r>
      <w:r>
        <w:t xml:space="preserve">“Revisiting the collision risk with cataloged objects for the Iridium and COSMO-SkyMed satellite constellations,”</w:t>
      </w:r>
      <w:r>
        <w:t xml:space="preserve"> </w:t>
      </w:r>
      <w:r>
        <w:t xml:space="preserve">Acta Astronautica, vol. 134, 2017. doi:</w:t>
      </w:r>
      <w:r>
        <w:t xml:space="preserve"> </w:t>
      </w:r>
      <w:hyperlink r:id="rId180">
        <w:r>
          <w:rPr>
            <w:rStyle w:val="Hyperlink"/>
          </w:rPr>
          <w:t xml:space="preserve">10.1016/j.actaastro.2017.01.046</w:t>
        </w:r>
      </w:hyperlink>
    </w:p>
    <w:p>
      <w:pPr>
        <w:pStyle w:val="BodyText"/>
        <w:spacing w:line="480" w:lineRule="auto"/>
        <w:ind w:firstLine="720"/>
      </w:pPr>
      <w:bookmarkStart w:id="181" w:name="ref-16"/>
      <w:bookmarkEnd w:id="181"/>
      <w:r>
        <w:t xml:space="preserve">16. A. D’Anniballe, L. Felicetti, and S. Hobbs,</w:t>
      </w:r>
      <w:r>
        <w:t xml:space="preserve"> </w:t>
      </w:r>
      <w:r>
        <w:t xml:space="preserve">“Preliminary analysis and design of an optical space surveillance and tracking constellation for LEO coverage,”</w:t>
      </w:r>
      <w:r>
        <w:t xml:space="preserve"> </w:t>
      </w:r>
      <w:r>
        <w:t xml:space="preserve">Acta Astronautica, vol. 229, 2025. doi:</w:t>
      </w:r>
      <w:r>
        <w:t xml:space="preserve"> </w:t>
      </w:r>
      <w:hyperlink r:id="rId182">
        <w:r>
          <w:rPr>
            <w:rStyle w:val="Hyperlink"/>
          </w:rPr>
          <w:t xml:space="preserve">10.1016/j.actaastro.2025.02.019</w:t>
        </w:r>
      </w:hyperlink>
    </w:p>
    <w:p>
      <w:pPr>
        <w:pStyle w:val="BodyText"/>
        <w:spacing w:line="480" w:lineRule="auto"/>
        <w:ind w:firstLine="720"/>
      </w:pPr>
      <w:bookmarkStart w:id="183" w:name="ref-17"/>
      <w:bookmarkEnd w:id="183"/>
      <w:r>
        <w:t xml:space="preserve">17. C. Colombo, P. Martinez, F. Letizia, et al.,</w:t>
      </w:r>
      <w:r>
        <w:t xml:space="preserve"> </w:t>
      </w:r>
      <w:r>
        <w:t xml:space="preserve">“Space capacity management and its interaction with space traffic management,”</w:t>
      </w:r>
      <w:r>
        <w:t xml:space="preserve"> </w:t>
      </w:r>
      <w:r>
        <w:t xml:space="preserve">Acta Astronautica, 2025, doi:</w:t>
      </w:r>
      <w:r>
        <w:t xml:space="preserve"> </w:t>
      </w:r>
      <w:hyperlink r:id="rId165">
        <w:r>
          <w:rPr>
            <w:rStyle w:val="Hyperlink"/>
          </w:rPr>
          <w:t xml:space="preserve">10.1016/j.actaastro.2025.01.069</w:t>
        </w:r>
      </w:hyperlink>
    </w:p>
    <w:p>
      <w:pPr>
        <w:pStyle w:val="BodyText"/>
        <w:spacing w:line="480" w:lineRule="auto"/>
        <w:ind w:firstLine="720"/>
      </w:pPr>
      <w:bookmarkStart w:id="184" w:name="ref-18"/>
      <w:bookmarkEnd w:id="184"/>
      <w:r>
        <w:t xml:space="preserve">18. C. Pardini and L. Anselmo,</w:t>
      </w:r>
      <w:r>
        <w:t xml:space="preserve"> </w:t>
      </w:r>
      <w:r>
        <w:t xml:space="preserve">“Evaluating the impact of space activities in low earth orbit,”</w:t>
      </w:r>
      <w:r>
        <w:t xml:space="preserve"> </w:t>
      </w:r>
      <w:r>
        <w:t xml:space="preserve">Acta Astronautica, vol. 184, 2021, doi:</w:t>
      </w:r>
      <w:r>
        <w:t xml:space="preserve"> </w:t>
      </w:r>
      <w:hyperlink r:id="rId185">
        <w:r>
          <w:rPr>
            <w:rStyle w:val="Hyperlink"/>
          </w:rPr>
          <w:t xml:space="preserve">10.1016/j.actaastro.2021.03.030</w:t>
        </w:r>
      </w:hyperlink>
    </w:p>
    <w:p>
      <w:pPr>
        <w:pStyle w:val="BodyText"/>
        <w:spacing w:line="480" w:lineRule="auto"/>
        <w:ind w:firstLine="720"/>
      </w:pPr>
      <w:bookmarkStart w:id="186" w:name="ref-19"/>
      <w:bookmarkEnd w:id="186"/>
      <w:r>
        <w:t xml:space="preserve">19. Congressional Research Service,</w:t>
      </w:r>
      <w:r>
        <w:t xml:space="preserve"> </w:t>
      </w:r>
      <w:r>
        <w:t xml:space="preserve">“Commercial Space Launch and Reentry Regulations: Overview and Select Issues,”</w:t>
      </w:r>
      <w:r>
        <w:t xml:space="preserve"> </w:t>
      </w:r>
      <w:r>
        <w:t xml:space="preserve">Report R48582, 2025. Available: https://www.congress.gov/crs-product/R48582.</w:t>
      </w:r>
    </w:p>
    <w:p>
      <w:pPr>
        <w:pStyle w:val="BodyText"/>
        <w:spacing w:line="480" w:lineRule="auto"/>
        <w:ind w:firstLine="720"/>
      </w:pPr>
      <w:bookmarkStart w:id="187" w:name="ref-20"/>
      <w:bookmarkEnd w:id="187"/>
      <w:r>
        <w:t xml:space="preserve">20. G. Di Pasquale, B. I. Escamilla, et al.,</w:t>
      </w:r>
      <w:r>
        <w:t xml:space="preserve"> </w:t>
      </w:r>
      <w:r>
        <w:t xml:space="preserve">“Multi-disciplinary optimization of constellation deployment strategies,”</w:t>
      </w:r>
      <w:r>
        <w:t xml:space="preserve"> </w:t>
      </w:r>
      <w:r>
        <w:t xml:space="preserve">Acta Astronautica, 2024, doi:</w:t>
      </w:r>
      <w:r>
        <w:t xml:space="preserve"> </w:t>
      </w:r>
      <w:hyperlink r:id="rId188">
        <w:r>
          <w:rPr>
            <w:rStyle w:val="Hyperlink"/>
          </w:rPr>
          <w:t xml:space="preserve">10.1016/j.actaastro.2024.07.030</w:t>
        </w:r>
      </w:hyperlink>
    </w:p>
    <w:p>
      <w:pPr>
        <w:pStyle w:val="BodyText"/>
        <w:spacing w:line="480" w:lineRule="auto"/>
        <w:ind w:firstLine="720"/>
      </w:pPr>
      <w:bookmarkStart w:id="189" w:name="ref-21"/>
      <w:bookmarkEnd w:id="189"/>
      <w:r>
        <w:t xml:space="preserve">21. F. Barato, E. Toson, F. Milza, et al.,</w:t>
      </w:r>
      <w:r>
        <w:t xml:space="preserve"> </w:t>
      </w:r>
      <w:r>
        <w:t xml:space="preserve">“Investigation of different strategies for access to space of small satellites,”</w:t>
      </w:r>
      <w:r>
        <w:t xml:space="preserve"> </w:t>
      </w:r>
      <w:r>
        <w:t xml:space="preserve">Acta Astronautica, 2024, doi:</w:t>
      </w:r>
      <w:r>
        <w:t xml:space="preserve"> </w:t>
      </w:r>
      <w:hyperlink r:id="rId190">
        <w:r>
          <w:rPr>
            <w:rStyle w:val="Hyperlink"/>
          </w:rPr>
          <w:t xml:space="preserve">10.1016/j.actaastro.2024.05.045</w:t>
        </w:r>
      </w:hyperlink>
    </w:p>
    <w:p>
      <w:pPr>
        <w:pStyle w:val="BodyText"/>
        <w:spacing w:line="480" w:lineRule="auto"/>
        <w:ind w:firstLine="720"/>
      </w:pPr>
      <w:bookmarkStart w:id="191" w:name="ref-22"/>
      <w:bookmarkEnd w:id="191"/>
      <w:r>
        <w:t xml:space="preserve">22. A. Rossi, N. Sanchez-Ortiz, E. David, et al.,</w:t>
      </w:r>
      <w:r>
        <w:t xml:space="preserve"> </w:t>
      </w:r>
      <w:r>
        <w:t xml:space="preserve">“Future activities in the near-earth space in the face of ever-increasing traffic,”</w:t>
      </w:r>
      <w:r>
        <w:t xml:space="preserve"> </w:t>
      </w:r>
      <w:r>
        <w:t xml:space="preserve">Acta Astronautica, 2024, doi:</w:t>
      </w:r>
      <w:r>
        <w:t xml:space="preserve"> </w:t>
      </w:r>
      <w:hyperlink r:id="rId192">
        <w:r>
          <w:rPr>
            <w:rStyle w:val="Hyperlink"/>
          </w:rPr>
          <w:t xml:space="preserve">10.1016/j.actaastro.2024.09.063</w:t>
        </w:r>
      </w:hyperlink>
    </w:p>
    <w:p>
      <w:pPr>
        <w:pStyle w:val="BodyText"/>
        <w:spacing w:line="480" w:lineRule="auto"/>
        <w:ind w:firstLine="720"/>
      </w:pPr>
      <w:bookmarkStart w:id="193" w:name="ref-23"/>
      <w:bookmarkEnd w:id="193"/>
      <w:r>
        <w:t xml:space="preserve">23. United Nations Office for Outer Space Affairs, Online Index of Objects Launched into Outer Space, compiled by Our World in Data,</w:t>
      </w:r>
      <w:r>
        <w:t xml:space="preserve"> </w:t>
      </w:r>
      <w:r>
        <w:t xml:space="preserve">“Yearly number of objects launched into outer space,”</w:t>
      </w:r>
      <w:r>
        <w:t xml:space="preserve"> </w:t>
      </w:r>
      <w:r>
        <w:t xml:space="preserve">2025. Available: https://ourworldindata.org/grapher/yearly-number-of-objects-launched-into-outer-space.</w:t>
      </w:r>
    </w:p>
    <w:p>
      <w:pPr>
        <w:pStyle w:val="BodyText"/>
        <w:spacing w:line="480" w:lineRule="auto"/>
        <w:ind w:firstLine="720"/>
      </w:pPr>
      <w:bookmarkStart w:id="194" w:name="ref-24"/>
      <w:bookmarkEnd w:id="194"/>
      <w:r>
        <w:t xml:space="preserve">24. Federal Aviation Administration,</w:t>
      </w:r>
      <w:r>
        <w:t xml:space="preserve"> </w:t>
      </w:r>
      <w:r>
        <w:t xml:space="preserve">“New Record for FAA-Licensed Commercial Space Operations, Aerospace Rulemaking Committee Launched to Update Licensing Rule,”</w:t>
      </w:r>
      <w:r>
        <w:t xml:space="preserve"> </w:t>
      </w:r>
      <w:r>
        <w:t xml:space="preserve">FAA Newsroom, 2024. Available: https://www.faa.gov/newsroom/new-record-faa-licensed-commercial-space-operations-aerospace-rulemaking-committee.</w:t>
      </w:r>
    </w:p>
    <w:p>
      <w:pPr>
        <w:pStyle w:val="BodyText"/>
        <w:spacing w:line="480" w:lineRule="auto"/>
        <w:ind w:firstLine="720"/>
      </w:pPr>
      <w:bookmarkStart w:id="195" w:name="ref-25"/>
      <w:bookmarkEnd w:id="195"/>
      <w:r>
        <w:t xml:space="preserve">25. J. McDowell,</w:t>
      </w:r>
      <w:r>
        <w:t xml:space="preserve"> </w:t>
      </w:r>
      <w:r>
        <w:t xml:space="preserve">“Jonathan’s Space Report: Launch and Payload Statistics,”</w:t>
      </w:r>
      <w:r>
        <w:t xml:space="preserve"> </w:t>
      </w:r>
      <w:r>
        <w:t xml:space="preserve">planet4589.org, 2025. Available: https://planet4589.org/space/stats/.</w:t>
      </w:r>
    </w:p>
    <w:p>
      <w:pPr>
        <w:pStyle w:val="BodyText"/>
        <w:spacing w:line="480" w:lineRule="auto"/>
        <w:ind w:firstLine="720"/>
      </w:pPr>
      <w:bookmarkStart w:id="196" w:name="ref-26"/>
      <w:bookmarkEnd w:id="196"/>
      <w:r>
        <w:t xml:space="preserve">26. OCEA,</w:t>
      </w:r>
      <w:r>
        <w:t xml:space="preserve"> </w:t>
      </w:r>
      <w:r>
        <w:t xml:space="preserve">“Forecasting the Space Economy,”</w:t>
      </w:r>
      <w:r>
        <w:t xml:space="preserve"> </w:t>
      </w:r>
      <w:r>
        <w:t xml:space="preserve">Office of Commercial and Economic Analysis source document, Space Economy Papers corpus (SD08).</w:t>
      </w:r>
    </w:p>
    <w:p>
      <w:pPr>
        <w:pStyle w:val="BodyText"/>
        <w:spacing w:line="480" w:lineRule="auto"/>
        <w:ind w:firstLine="720"/>
      </w:pPr>
      <w:bookmarkStart w:id="197" w:name="ref-27"/>
      <w:bookmarkEnd w:id="197"/>
      <w:r>
        <w:t xml:space="preserve">27. Federal Aviation Administration, Office of Commercial Space Transportation,</w:t>
      </w:r>
      <w:r>
        <w:t xml:space="preserve"> </w:t>
      </w:r>
      <w:r>
        <w:t xml:space="preserve">“Licenses, Permits and Approvals”</w:t>
      </w:r>
      <w:r>
        <w:t xml:space="preserve"> </w:t>
      </w:r>
      <w:r>
        <w:t xml:space="preserve">and SpaceX Falcon Program license records. https://www.faa.gov/space/stakeholder_engagement/SpaceX_Falcon_Program</w:t>
      </w:r>
    </w:p>
    <w:p>
      <w:pPr>
        <w:pStyle w:val="BodyText"/>
        <w:spacing w:line="480" w:lineRule="auto"/>
        <w:ind w:firstLine="720"/>
      </w:pPr>
      <w:bookmarkStart w:id="198" w:name="ref-28"/>
      <w:bookmarkEnd w:id="198"/>
      <w:r>
        <w:t xml:space="preserve">28. Spaceflight Now,</w:t>
      </w:r>
      <w:r>
        <w:t xml:space="preserve"> </w:t>
      </w:r>
      <w:r>
        <w:t xml:space="preserve">“SpaceX receives commercial launch license for first Falcon Heavy flight,”</w:t>
      </w:r>
      <w:r>
        <w:t xml:space="preserve"> </w:t>
      </w:r>
      <w:r>
        <w:t xml:space="preserve">2018. https://spaceflightnow.com/2018/02/04/spacex-receives-commercial-launch-license-for-first-falcon-heavy-flight/</w:t>
      </w:r>
    </w:p>
    <w:p>
      <w:pPr>
        <w:pStyle w:val="BodyText"/>
        <w:spacing w:line="480" w:lineRule="auto"/>
        <w:ind w:firstLine="720"/>
      </w:pPr>
      <w:bookmarkStart w:id="199" w:name="ref-29"/>
      <w:bookmarkEnd w:id="199"/>
      <w:r>
        <w:t xml:space="preserve">29. SpaceNews,</w:t>
      </w:r>
      <w:r>
        <w:t xml:space="preserve"> </w:t>
      </w:r>
      <w:r>
        <w:t xml:space="preserve">“Virgin Orbit wins FAA license for first LauncherOne mission,”</w:t>
      </w:r>
      <w:r>
        <w:t xml:space="preserve"> </w:t>
      </w:r>
      <w:r>
        <w:t xml:space="preserve">and</w:t>
      </w:r>
      <w:r>
        <w:t xml:space="preserve"> </w:t>
      </w:r>
      <w:r>
        <w:t xml:space="preserve">“FAA issues license for first Starship integrated test flight.”</w:t>
      </w:r>
      <w:r>
        <w:t xml:space="preserve"> </w:t>
      </w:r>
      <w:r>
        <w:t xml:space="preserve">https://spacenews.com/faa-issues-license-for-first-starship-integrated-test-flight/</w:t>
      </w:r>
    </w:p>
    <w:p>
      <w:pPr>
        <w:pStyle w:val="BodyText"/>
        <w:spacing w:line="480" w:lineRule="auto"/>
        <w:ind w:firstLine="720"/>
      </w:pPr>
      <w:bookmarkStart w:id="200" w:name="ref-30"/>
      <w:bookmarkEnd w:id="200"/>
      <w:r>
        <w:t xml:space="preserve">30. Spaceflight Now,</w:t>
      </w:r>
      <w:r>
        <w:t xml:space="preserve"> </w:t>
      </w:r>
      <w:r>
        <w:t xml:space="preserve">“Astra receives FAA license for first launch from Florida,”</w:t>
      </w:r>
      <w:r>
        <w:t xml:space="preserve"> </w:t>
      </w:r>
      <w:r>
        <w:t xml:space="preserve">2022. https://spaceflightnow.com/2022/02/04/astra-receives-faa-license-for-first-launch-from-florida/</w:t>
      </w:r>
    </w:p>
    <w:p>
      <w:pPr>
        <w:pStyle w:val="BodyText"/>
        <w:spacing w:line="480" w:lineRule="auto"/>
        <w:ind w:firstLine="720"/>
      </w:pPr>
      <w:bookmarkStart w:id="201" w:name="ref-31"/>
      <w:bookmarkEnd w:id="201"/>
      <w:r>
        <w:t xml:space="preserve">31. Spaceflight Now,</w:t>
      </w:r>
      <w:r>
        <w:t xml:space="preserve"> </w:t>
      </w:r>
      <w:r>
        <w:t xml:space="preserve">“FAA grants commercial launch license to Blue Origin’s New Glenn rocket,”</w:t>
      </w:r>
      <w:r>
        <w:t xml:space="preserve"> </w:t>
      </w:r>
      <w:r>
        <w:t xml:space="preserve">2024. https://spaceflightnow.com/2024/12/27/faa-grants-commercial-launch-license-to-blue-origins-new-glenn-rocket/</w:t>
      </w:r>
    </w:p>
    <w:p>
      <w:pPr>
        <w:pStyle w:val="BodyText"/>
        <w:spacing w:line="480" w:lineRule="auto"/>
        <w:ind w:firstLine="720"/>
      </w:pPr>
      <w:bookmarkStart w:id="202" w:name="ref-32"/>
      <w:bookmarkEnd w:id="202"/>
      <w:r>
        <w:t xml:space="preserve">32. TCT Magazine,</w:t>
      </w:r>
      <w:r>
        <w:t xml:space="preserve"> </w:t>
      </w:r>
      <w:r>
        <w:t xml:space="preserve">“Relativity Space secures FAA license for 3D printed Terran 1 rocket launch,”</w:t>
      </w:r>
      <w:r>
        <w:t xml:space="preserve"> </w:t>
      </w:r>
      <w:r>
        <w:t xml:space="preserve">2023. https://www.tctmagazine.com/additive-manufacturing-3d-printing-news/latest-additive-manufacturing-3d-printing-news/relativity-space-secures-faa-launch-license-for-terran-1/</w:t>
      </w:r>
    </w:p>
    <w:p>
      <w:pPr>
        <w:pStyle w:val="BodyText"/>
        <w:spacing w:line="480" w:lineRule="auto"/>
        <w:ind w:firstLine="720"/>
      </w:pPr>
      <w:bookmarkStart w:id="203" w:name="ref-33"/>
      <w:bookmarkEnd w:id="203"/>
      <w:r>
        <w:t xml:space="preserve">33. SpaceNews,</w:t>
      </w:r>
      <w:r>
        <w:t xml:space="preserve"> </w:t>
      </w:r>
      <w:r>
        <w:t xml:space="preserve">“Rocket Lab Granted FAA Launch Operator License for Missions from Launch Complex 2,”</w:t>
      </w:r>
      <w:r>
        <w:t xml:space="preserve"> </w:t>
      </w:r>
      <w:r>
        <w:t xml:space="preserve">2020. https://spacenews.com/rocket-lab-granted-faa-launch-operator-license-for-missions-from-launch-complex-2/</w:t>
      </w:r>
    </w:p>
    <w:p>
      <w:pPr>
        <w:pStyle w:val="BodyText"/>
        <w:spacing w:line="480" w:lineRule="auto"/>
        <w:ind w:firstLine="720"/>
      </w:pPr>
      <w:bookmarkStart w:id="204" w:name="ref-34"/>
      <w:bookmarkEnd w:id="204"/>
      <w:r>
        <w:t xml:space="preserve">34. Liberty Shockley, U.S. Air Force; Robert Bettinger, U.S. Air Force. Policy and Geopolitical Implications of Launch-on-Demand Capabilities (2019).</w:t>
      </w:r>
    </w:p>
    <w:p>
      <w:pPr>
        <w:pStyle w:val="BodyText"/>
        <w:spacing w:line="480" w:lineRule="auto"/>
        <w:ind w:firstLine="720"/>
      </w:pPr>
      <w:bookmarkStart w:id="205" w:name="ref-35"/>
      <w:bookmarkEnd w:id="205"/>
      <w:r>
        <w:t xml:space="preserve">35. Bhavya Lal, IDA Science and Technology Policy Institute, Sara A. Carioscia, IDA Science and Technology Policy Institute. Evaluating Options for Civil Space Situational Awareness (SSA) (2017).</w:t>
      </w:r>
    </w:p>
    <w:p>
      <w:pPr>
        <w:pStyle w:val="BodyText"/>
        <w:spacing w:line="480" w:lineRule="auto"/>
        <w:ind w:firstLine="720"/>
      </w:pPr>
      <w:bookmarkStart w:id="206" w:name="ref-36"/>
      <w:bookmarkEnd w:id="206"/>
      <w:r>
        <w:t xml:space="preserve">36. Mark Skinner, The Aerospace Corporation. Conceptual Development of a Civil Space Traffic Management System (CSTM) Capability (2018).</w:t>
      </w:r>
    </w:p>
    <w:p>
      <w:pPr>
        <w:pStyle w:val="BodyText"/>
        <w:spacing w:line="480" w:lineRule="auto"/>
        <w:ind w:firstLine="720"/>
      </w:pPr>
      <w:bookmarkStart w:id="207" w:name="ref-37"/>
      <w:bookmarkEnd w:id="207"/>
      <w:r>
        <w:t xml:space="preserve">37. James Reilly, Booz Allen Hamilton; Matthew Blackford, Booz Allen Hamilton; Jillian Mueller, Booz Allen Hamilton. Challenges in Space Traffic Management (2023). doi:</w:t>
      </w:r>
      <w:r>
        <w:t xml:space="preserve"> </w:t>
      </w:r>
      <w:hyperlink r:id="rId162">
        <w:r>
          <w:rPr>
            <w:rStyle w:val="Hyperlink"/>
          </w:rPr>
          <w:t xml:space="preserve">10.64861/UCTN1793</w:t>
        </w:r>
      </w:hyperlink>
    </w:p>
    <w:p>
      <w:pPr>
        <w:pStyle w:val="BodyText"/>
        <w:spacing w:line="480" w:lineRule="auto"/>
        <w:ind w:firstLine="720"/>
      </w:pPr>
      <w:bookmarkStart w:id="208" w:name="ref-38"/>
      <w:bookmarkEnd w:id="208"/>
      <w:r>
        <w:t xml:space="preserve">38. Phillip Reid, The Boeing Company. Conceptual Framework for a Rapid Space Launch Capability (2023). doi:</w:t>
      </w:r>
      <w:r>
        <w:t xml:space="preserve"> </w:t>
      </w:r>
      <w:hyperlink r:id="rId209">
        <w:r>
          <w:rPr>
            <w:rStyle w:val="Hyperlink"/>
          </w:rPr>
          <w:t xml:space="preserve">10.64861/KYFU6858</w:t>
        </w:r>
      </w:hyperlink>
    </w:p>
    <w:p>
      <w:pPr>
        <w:pStyle w:val="BodyText"/>
        <w:spacing w:line="480" w:lineRule="auto"/>
        <w:ind w:firstLine="720"/>
      </w:pPr>
      <w:bookmarkStart w:id="210" w:name="ref-39"/>
      <w:bookmarkEnd w:id="210"/>
      <w:r>
        <w:t xml:space="preserve">39. John Goehring, National Geospatial-Intelligence Agency. U.S. Commercial Space Regulation: The Rule of Three (2022).</w:t>
      </w:r>
    </w:p>
    <w:p>
      <w:pPr>
        <w:pStyle w:val="BodyText"/>
        <w:spacing w:line="480" w:lineRule="auto"/>
        <w:ind w:firstLine="720"/>
      </w:pPr>
      <w:bookmarkStart w:id="211" w:name="ref-40"/>
      <w:bookmarkEnd w:id="211"/>
      <w:r>
        <w:t xml:space="preserve">40. Makena Young, Center for Strategic and International Studies; Akhil Thadani, Center for Strategic and International Studies. Low-Orbit, High Stakes: Winning the LEO Broadband Competition (2022).</w:t>
      </w:r>
    </w:p>
    <w:p>
      <w:pPr>
        <w:pStyle w:val="BodyText"/>
        <w:spacing w:line="480" w:lineRule="auto"/>
        <w:ind w:firstLine="720"/>
      </w:pPr>
      <w:bookmarkStart w:id="212" w:name="ref-41"/>
      <w:bookmarkEnd w:id="212"/>
      <w:r>
        <w:t xml:space="preserve">41. Neera Jain, Purdue University; Mariel Borowitz, Sam Nunn School of International Affairs, Georgia Institute of Technology. A System-of-Systems Approach Towards Future Space Traffic Management Autonomy and Policy Co-Design (2023). doi:</w:t>
      </w:r>
      <w:r>
        <w:t xml:space="preserve"> </w:t>
      </w:r>
      <w:hyperlink r:id="rId213">
        <w:r>
          <w:rPr>
            <w:rStyle w:val="Hyperlink"/>
          </w:rPr>
          <w:t xml:space="preserve">10.64861/CKGQ5448</w:t>
        </w:r>
      </w:hyperlink>
    </w:p>
    <w:p>
      <w:pPr>
        <w:pStyle w:val="BodyText"/>
        <w:spacing w:line="480" w:lineRule="auto"/>
        <w:ind w:firstLine="720"/>
      </w:pPr>
      <w:bookmarkStart w:id="214" w:name="ref-42"/>
      <w:bookmarkEnd w:id="214"/>
      <w:r>
        <w:t xml:space="preserve">42. Mehmet Şevket Uludağ; Alim Rüstem Aslan. Highly-miniaturized spacecraft “PlanarSat”: Evaluating prospects and challenges through a survey of femto &amp; atto satellite missions (2025). doi:</w:t>
      </w:r>
      <w:r>
        <w:t xml:space="preserve"> </w:t>
      </w:r>
      <w:hyperlink r:id="rId215">
        <w:r>
          <w:rPr>
            <w:rStyle w:val="Hyperlink"/>
          </w:rPr>
          <w:t xml:space="preserve">10.1016/j.actaastro.2025.05.018</w:t>
        </w:r>
      </w:hyperlink>
    </w:p>
    <w:p>
      <w:pPr>
        <w:pStyle w:val="BodyText"/>
        <w:spacing w:line="480" w:lineRule="auto"/>
        <w:ind w:firstLine="720"/>
      </w:pPr>
      <w:bookmarkStart w:id="216" w:name="ref-43"/>
      <w:bookmarkEnd w:id="216"/>
      <w:r>
        <w:t xml:space="preserve">43. Roberta Fusaro; Guido Saccone; Nicole Viola. NOx emissions estimation methodology for air-breathing reusable access to space vehicle in conceptual design (2024). doi:</w:t>
      </w:r>
      <w:r>
        <w:t xml:space="preserve"> </w:t>
      </w:r>
      <w:hyperlink r:id="rId217">
        <w:r>
          <w:rPr>
            <w:rStyle w:val="Hyperlink"/>
          </w:rPr>
          <w:t xml:space="preserve">10.1016/j.actaastro.2023.12.060</w:t>
        </w:r>
      </w:hyperlink>
    </w:p>
    <w:p>
      <w:pPr>
        <w:pStyle w:val="BodyText"/>
        <w:spacing w:line="480" w:lineRule="auto"/>
        <w:ind w:firstLine="720"/>
      </w:pPr>
      <w:bookmarkStart w:id="218" w:name="ref-44"/>
      <w:bookmarkEnd w:id="218"/>
      <w:r>
        <w:t xml:space="preserve">44. Ian Jehn; Christopher B. Dreyer. A design methodology for flat slab lunar landing and launch pad systems (2025). doi:</w:t>
      </w:r>
      <w:r>
        <w:t xml:space="preserve"> </w:t>
      </w:r>
      <w:hyperlink r:id="rId219">
        <w:r>
          <w:rPr>
            <w:rStyle w:val="Hyperlink"/>
          </w:rPr>
          <w:t xml:space="preserve">10.1016/j.actaastro.2025.02.046</w:t>
        </w:r>
      </w:hyperlink>
    </w:p>
    <w:p>
      <w:pPr>
        <w:pStyle w:val="BodyText"/>
        <w:spacing w:line="480" w:lineRule="auto"/>
        <w:ind w:firstLine="720"/>
      </w:pPr>
      <w:bookmarkStart w:id="220" w:name="ref-45"/>
      <w:bookmarkEnd w:id="220"/>
      <w:r>
        <w:t xml:space="preserve">45. K. Anilkumar; Bulbul Mukherjee; Nicolas Bérend; Sanat K. Biswas; Luisa Buinhas; Nathaniel Dailey; B. H. Foing; Natalia Franco Rodriguez; Gabrielle Hedrick; Fatoumata Kebe; Yide Li; Aadu Ott; Alejandro Pastor; Zaid Rana; Javier Rodríguez; Marlon E. Sorge; Christian J. Unfried; Igone Urdampilleta. Moon to mars: Challenges and strategic frameworks for space traffic management in cislunar and cismartian environments (2025). doi:</w:t>
      </w:r>
      <w:r>
        <w:t xml:space="preserve"> </w:t>
      </w:r>
      <w:hyperlink r:id="rId167">
        <w:r>
          <w:rPr>
            <w:rStyle w:val="Hyperlink"/>
          </w:rPr>
          <w:t xml:space="preserve">10.1016/j.actaastro.2024.12.056</w:t>
        </w:r>
      </w:hyperlink>
    </w:p>
    <w:p>
      <w:pPr>
        <w:pStyle w:val="BodyText"/>
        <w:spacing w:line="480" w:lineRule="auto"/>
        <w:ind w:firstLine="720"/>
      </w:pPr>
      <w:bookmarkStart w:id="221" w:name="ref-46"/>
      <w:bookmarkEnd w:id="221"/>
      <w:r>
        <w:t xml:space="preserve">46. Ines Khoufi; Pascale Minet; Badr R’Mili. Beacon advertising in an IEEE 802.15.4e TSCH network for space launch vehicles (2018). doi:</w:t>
      </w:r>
      <w:r>
        <w:t xml:space="preserve"> </w:t>
      </w:r>
      <w:hyperlink r:id="rId222">
        <w:r>
          <w:rPr>
            <w:rStyle w:val="Hyperlink"/>
          </w:rPr>
          <w:t xml:space="preserve">10.1016/j.actaastro.2018.07.021</w:t>
        </w:r>
      </w:hyperlink>
    </w:p>
    <w:p>
      <w:pPr>
        <w:pStyle w:val="BodyText"/>
        <w:spacing w:line="480" w:lineRule="auto"/>
        <w:ind w:firstLine="720"/>
      </w:pPr>
      <w:bookmarkStart w:id="223" w:name="ref-47"/>
      <w:bookmarkEnd w:id="223"/>
      <w:r>
        <w:t xml:space="preserve">47. Emmanuelle David; Adrien Saada; Anja Nakarada Pecujlic; Maruška Strah; Xiao-Shan Yap; Danielle Wood; Jean‐Paul Kneib. Fostering multi-stakeholder collaboration for space sustainability through an incentive-based mechanism (2025). doi:</w:t>
      </w:r>
      <w:r>
        <w:t xml:space="preserve"> </w:t>
      </w:r>
      <w:hyperlink r:id="rId224">
        <w:r>
          <w:rPr>
            <w:rStyle w:val="Hyperlink"/>
          </w:rPr>
          <w:t xml:space="preserve">10.1016/j.actaastro.2025.06.029</w:t>
        </w:r>
      </w:hyperlink>
    </w:p>
    <w:p>
      <w:pPr>
        <w:pStyle w:val="BodyText"/>
        <w:spacing w:line="480" w:lineRule="auto"/>
        <w:ind w:firstLine="720"/>
      </w:pPr>
      <w:bookmarkStart w:id="225" w:name="ref-48"/>
      <w:bookmarkEnd w:id="225"/>
      <w:r>
        <w:t xml:space="preserve">48. Ksenia Osipova; Alessandro Golkar; Adriano Camps; Joan A. Ruiz-de-Azua; Luis Contreras-Benito; Nicola Garzaniti; Lara Fernandez. Architecting CubeSat constellations for messaging service, Part II (2025). doi:</w:t>
      </w:r>
      <w:r>
        <w:t xml:space="preserve"> </w:t>
      </w:r>
      <w:hyperlink r:id="rId226">
        <w:r>
          <w:rPr>
            <w:rStyle w:val="Hyperlink"/>
          </w:rPr>
          <w:t xml:space="preserve">10.1016/j.actaastro.2024.12.022</w:t>
        </w:r>
      </w:hyperlink>
    </w:p>
    <w:p>
      <w:pPr>
        <w:pStyle w:val="BodyText"/>
        <w:spacing w:line="480" w:lineRule="auto"/>
        <w:ind w:firstLine="720"/>
      </w:pPr>
      <w:bookmarkStart w:id="227" w:name="ref-49"/>
      <w:bookmarkEnd w:id="227"/>
      <w:r>
        <w:t xml:space="preserve">49. Samuel Martínez Zamacola; Santiago Martín Marco; Ramón Martínez Rodríguez‐Osorio. Profiling the transmit power of LEO satellite constellations for broadband communication services considering terrestrial and aerial demand (2025). doi:</w:t>
      </w:r>
      <w:r>
        <w:t xml:space="preserve"> </w:t>
      </w:r>
      <w:hyperlink r:id="rId228">
        <w:r>
          <w:rPr>
            <w:rStyle w:val="Hyperlink"/>
          </w:rPr>
          <w:t xml:space="preserve">10.1016/j.actaastro.2025.06.068</w:t>
        </w:r>
      </w:hyperlink>
    </w:p>
    <w:bookmarkEnd w:id="229"/>
    <w:bookmarkEnd w:id="230"/>
    <w:bookmarkStart w:id="247"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238" w:name="X5ac92b125324f1112adeec4ab8e77c0ffae1e65"/>
    <w:p>
      <w:pPr>
        <w:pStyle w:val="Heading2"/>
        <w:spacing w:line="480" w:lineRule="auto"/>
      </w:pPr>
      <w:r>
        <w:t xml:space="preserve">A.1 Licensing Throughput and On-Orbit Deployment: A United States versus Rest-of-World Panel Test of Whether FAA AST Launch Licensing Paces Payload Placement</w:t>
      </w:r>
    </w:p>
    <w:p>
      <w:pPr>
        <w:pStyle w:val="FirstParagraph"/>
        <w:spacing w:line="480" w:lineRule="auto"/>
      </w:pPr>
      <m:oMathPara>
        <m:oMathParaPr>
          <m:jc m:val="center"/>
        </m:oMathParaPr>
        <m:oMath>
          <m:r>
            <m:t>p</m:t>
          </m:r>
          <m:r>
            <m:t>a</m:t>
          </m:r>
          <m:r>
            <m:t>y</m:t>
          </m:r>
          <m:r>
            <m:t>l</m:t>
          </m:r>
          <m:r>
            <m:t>o</m:t>
          </m:r>
          <m:r>
            <m:t>a</m:t>
          </m:r>
          <m:r>
            <m:t>d</m:t>
          </m:r>
          <m:sSub>
            <m:e>
              <m:r>
                <m:t>s</m:t>
              </m:r>
            </m:e>
            <m:sub>
              <m:r>
                <m:t>i</m:t>
              </m:r>
              <m:r>
                <m:t>t</m:t>
              </m:r>
            </m:sub>
          </m:sSub>
          <m:r>
            <m:rPr>
              <m:sty m:val="p"/>
            </m:rPr>
            <m:t>=</m:t>
          </m:r>
          <m:sSub>
            <m:e>
              <m:r>
                <m:t>β</m:t>
              </m:r>
            </m:e>
            <m:sub>
              <m:r>
                <m:t>0</m:t>
              </m:r>
            </m:sub>
          </m:sSub>
          <m:r>
            <m:rPr>
              <m:sty m:val="p"/>
            </m:rPr>
            <m:t>+</m:t>
          </m:r>
          <m:sSub>
            <m:e>
              <m:r>
                <m:t>β</m:t>
              </m:r>
            </m:e>
            <m:sub>
              <m:r>
                <m:t>1</m:t>
              </m:r>
            </m:sub>
          </m:sSub>
          <m:r>
            <m:t>t</m:t>
          </m:r>
          <m:r>
            <m:t>h</m:t>
          </m:r>
          <m:r>
            <m:t>r</m:t>
          </m:r>
          <m:r>
            <m:t>o</m:t>
          </m:r>
          <m:r>
            <m:t>u</m:t>
          </m:r>
          <m:r>
            <m:t>g</m:t>
          </m:r>
          <m:r>
            <m:t>h</m:t>
          </m:r>
          <m:r>
            <m:t>p</m:t>
          </m:r>
          <m:r>
            <m:t>u</m:t>
          </m:r>
          <m:sSub>
            <m:e>
              <m:r>
                <m:t>t</m:t>
              </m:r>
            </m:e>
            <m:sub>
              <m:r>
                <m:t>i</m:t>
              </m:r>
              <m:r>
                <m:t>t</m:t>
              </m:r>
            </m:sub>
          </m:sSub>
          <m:r>
            <m:rPr>
              <m:sty m:val="p"/>
            </m:rPr>
            <m:t>+</m:t>
          </m:r>
          <m:sSub>
            <m:e>
              <m:r>
                <m:t>β</m:t>
              </m:r>
            </m:e>
            <m:sub>
              <m:r>
                <m:t>2</m:t>
              </m:r>
            </m:sub>
          </m:sSub>
          <m:r>
            <m:t>f</m:t>
          </m:r>
          <m:r>
            <m:t>a</m:t>
          </m:r>
          <m:r>
            <m:t>a</m:t>
          </m:r>
          <m:r>
            <m:rPr>
              <m:sty m:val="p"/>
            </m:rPr>
            <m:t>_</m:t>
          </m:r>
          <m:r>
            <m:t>r</m:t>
          </m:r>
          <m:r>
            <m:t>e</m:t>
          </m:r>
          <m:r>
            <m:t>g</m:t>
          </m:r>
          <m:r>
            <m:t>i</m:t>
          </m:r>
          <m:r>
            <m:t>m</m:t>
          </m:r>
          <m:sSub>
            <m:e>
              <m:r>
                <m:t>e</m:t>
              </m:r>
            </m:e>
            <m:sub>
              <m:r>
                <m:t>i</m:t>
              </m:r>
            </m:sub>
          </m:sSub>
          <m:r>
            <m:rPr>
              <m:sty m:val="p"/>
            </m:rPr>
            <m:t>+</m:t>
          </m:r>
          <m:sSub>
            <m:e>
              <m:r>
                <m:t>β</m:t>
              </m:r>
            </m:e>
            <m:sub>
              <m:r>
                <m:t>3</m:t>
              </m:r>
            </m:sub>
          </m:sSub>
          <m:r>
            <m:rPr>
              <m:sty m:val="p"/>
            </m:rPr>
            <m:t>(</m:t>
          </m:r>
          <m:r>
            <m:t>t</m:t>
          </m:r>
          <m:r>
            <m:t>h</m:t>
          </m:r>
          <m:r>
            <m:t>r</m:t>
          </m:r>
          <m:r>
            <m:t>o</m:t>
          </m:r>
          <m:r>
            <m:t>u</m:t>
          </m:r>
          <m:r>
            <m:t>g</m:t>
          </m:r>
          <m:r>
            <m:t>h</m:t>
          </m:r>
          <m:r>
            <m:t>p</m:t>
          </m:r>
          <m:r>
            <m:t>u</m:t>
          </m:r>
          <m:sSub>
            <m:e>
              <m:r>
                <m:t>t</m:t>
              </m:r>
            </m:e>
            <m:sub>
              <m:r>
                <m:t>i</m:t>
              </m:r>
              <m:r>
                <m:t>t</m:t>
              </m:r>
            </m:sub>
          </m:sSub>
          <m:r>
            <m:rPr>
              <m:sty m:val="p"/>
            </m:rPr>
            <m:t>×</m:t>
          </m:r>
          <m:r>
            <m:t>f</m:t>
          </m:r>
          <m:r>
            <m:t>a</m:t>
          </m:r>
          <m:r>
            <m:t>a</m:t>
          </m:r>
          <m:r>
            <m:rPr>
              <m:sty m:val="p"/>
            </m:rPr>
            <m:t>_</m:t>
          </m:r>
          <m:r>
            <m:t>r</m:t>
          </m:r>
          <m:r>
            <m:t>e</m:t>
          </m:r>
          <m:r>
            <m:t>g</m:t>
          </m:r>
          <m:r>
            <m:t>i</m:t>
          </m:r>
          <m:r>
            <m:t>m</m:t>
          </m:r>
          <m:sSub>
            <m:e>
              <m:r>
                <m:t>e</m:t>
              </m:r>
            </m:e>
            <m:sub>
              <m:r>
                <m:t>i</m:t>
              </m:r>
            </m:sub>
          </m:sSub>
          <m:r>
            <m:rPr>
              <m:sty m:val="p"/>
            </m:rPr>
            <m:t>)</m:t>
          </m:r>
          <m:r>
            <m:rPr>
              <m:sty m:val="p"/>
            </m:rPr>
            <m:t>+</m:t>
          </m:r>
          <m:sSub>
            <m:e>
              <m:r>
                <m:t>β</m:t>
              </m:r>
            </m:e>
            <m:sub>
              <m:r>
                <m:t>4</m:t>
              </m:r>
            </m:sub>
          </m:sSub>
          <m:r>
            <m:t>y</m:t>
          </m:r>
          <m:r>
            <m:t>e</m:t>
          </m:r>
          <m:r>
            <m:t>a</m:t>
          </m:r>
          <m:r>
            <m:t>r</m:t>
          </m:r>
          <m:r>
            <m:rPr>
              <m:sty m:val="p"/>
            </m:rPr>
            <m:t>_</m:t>
          </m:r>
          <m:r>
            <m:t>i</m:t>
          </m:r>
          <m:r>
            <m:t>d</m:t>
          </m:r>
          <m:sSub>
            <m:e>
              <m:r>
                <m:t>x</m:t>
              </m:r>
            </m:e>
            <m:sub>
              <m:r>
                <m:t>t</m:t>
              </m:r>
            </m:sub>
          </m:sSub>
          <m:r>
            <m:rPr>
              <m:sty m:val="p"/>
            </m:rPr>
            <m:t>+</m:t>
          </m:r>
          <m:sSub>
            <m:e>
              <m:r>
                <m:t>ε</m:t>
              </m:r>
            </m:e>
            <m:sub>
              <m:r>
                <m:t>i</m:t>
              </m:r>
              <m:r>
                <m:t>t</m:t>
              </m:r>
            </m:sub>
          </m:sSub>
        </m:oMath>
      </m:oMathPara>
    </w:p>
    <w:bookmarkStart w:id="231"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41.8391</w:t>
            </w:r>
          </w:p>
        </w:tc>
        <w:tc>
          <w:tcPr>
            <w:tcW w:w="0" w:type="auto"/>
          </w:tcPr>
          <w:p>
            <w:pPr>
              <w:spacing w:line="240" w:lineRule="auto" w:before="0" w:after="0"/>
              <w:pStyle w:val="Compact"/>
            </w:pPr>
            <w:r>
              <w:rPr>
                <w:sz w:val="20"/>
                <w:szCs w:val="20"/>
              </w:rPr>
              <w:t xml:space="preserve">216.0068</w:t>
            </w:r>
          </w:p>
        </w:tc>
        <w:tc>
          <w:tcPr>
            <w:tcW w:w="0" w:type="auto"/>
          </w:tcPr>
          <w:p>
            <w:pPr>
              <w:spacing w:line="240" w:lineRule="auto" w:before="0" w:after="0"/>
              <w:pStyle w:val="Compact"/>
            </w:pPr>
            <w:r>
              <w:rPr>
                <w:sz w:val="20"/>
                <w:szCs w:val="20"/>
              </w:rPr>
              <w:t xml:space="preserve">0.1937</w:t>
            </w:r>
          </w:p>
        </w:tc>
        <w:tc>
          <w:tcPr>
            <w:tcW w:w="0" w:type="auto"/>
          </w:tcPr>
          <w:p>
            <w:pPr>
              <w:spacing w:line="240" w:lineRule="auto" w:before="0" w:after="0"/>
              <w:pStyle w:val="Compact"/>
            </w:pPr>
            <w:r>
              <w:rPr>
                <w:sz w:val="20"/>
                <w:szCs w:val="20"/>
              </w:rPr>
              <w:t xml:space="preserve">0.8464</w:t>
            </w:r>
          </w:p>
        </w:tc>
        <w:tc>
          <w:tcPr>
            <w:tcW w:w="0" w:type="auto"/>
          </w:tcPr>
          <w:p>
            <w:pPr>
              <w:spacing w:line="240" w:lineRule="auto" w:before="0" w:after="0"/>
              <w:pStyle w:val="Compact"/>
            </w:pPr>
            <w:r>
              <w:rPr>
                <w:sz w:val="20"/>
                <w:szCs w:val="20"/>
              </w:rPr>
              <w:t xml:space="preserve">[-381.5264, 465.2047]</w:t>
            </w:r>
          </w:p>
        </w:tc>
      </w:tr>
      <w:tr>
        <w:tc>
          <w:tcPr>
            <w:tcW w:w="0" w:type="auto"/>
          </w:tcPr>
          <w:p>
            <w:pPr>
              <w:spacing w:line="240" w:lineRule="auto" w:before="0" w:after="0"/>
              <w:pStyle w:val="Compact"/>
            </w:pPr>
            <w:r>
              <w:rPr>
                <w:sz w:val="20"/>
                <w:szCs w:val="20"/>
              </w:rPr>
              <w:t xml:space="preserve">throughput</w:t>
            </w:r>
          </w:p>
        </w:tc>
        <w:tc>
          <w:tcPr>
            <w:tcW w:w="0" w:type="auto"/>
          </w:tcPr>
          <w:p>
            <w:pPr>
              <w:spacing w:line="240" w:lineRule="auto" w:before="0" w:after="0"/>
              <w:pStyle w:val="Compact"/>
            </w:pPr>
            <w:r>
              <w:rPr>
                <w:sz w:val="20"/>
                <w:szCs w:val="20"/>
              </w:rPr>
              <w:t xml:space="preserve">-0.9527</w:t>
            </w:r>
          </w:p>
        </w:tc>
        <w:tc>
          <w:tcPr>
            <w:tcW w:w="0" w:type="auto"/>
          </w:tcPr>
          <w:p>
            <w:pPr>
              <w:spacing w:line="240" w:lineRule="auto" w:before="0" w:after="0"/>
              <w:pStyle w:val="Compact"/>
            </w:pPr>
            <w:r>
              <w:rPr>
                <w:sz w:val="20"/>
                <w:szCs w:val="20"/>
              </w:rPr>
              <w:t xml:space="preserve">4.142</w:t>
            </w:r>
          </w:p>
        </w:tc>
        <w:tc>
          <w:tcPr>
            <w:tcW w:w="0" w:type="auto"/>
          </w:tcPr>
          <w:p>
            <w:pPr>
              <w:spacing w:line="240" w:lineRule="auto" w:before="0" w:after="0"/>
              <w:pStyle w:val="Compact"/>
            </w:pPr>
            <w:r>
              <w:rPr>
                <w:sz w:val="20"/>
                <w:szCs w:val="20"/>
              </w:rPr>
              <w:t xml:space="preserve">-0.23</w:t>
            </w:r>
          </w:p>
        </w:tc>
        <w:tc>
          <w:tcPr>
            <w:tcW w:w="0" w:type="auto"/>
          </w:tcPr>
          <w:p>
            <w:pPr>
              <w:spacing w:line="240" w:lineRule="auto" w:before="0" w:after="0"/>
              <w:pStyle w:val="Compact"/>
            </w:pPr>
            <w:r>
              <w:rPr>
                <w:sz w:val="20"/>
                <w:szCs w:val="20"/>
              </w:rPr>
              <w:t xml:space="preserve">0.8181</w:t>
            </w:r>
          </w:p>
        </w:tc>
        <w:tc>
          <w:tcPr>
            <w:tcW w:w="0" w:type="auto"/>
          </w:tcPr>
          <w:p>
            <w:pPr>
              <w:spacing w:line="240" w:lineRule="auto" w:before="0" w:after="0"/>
              <w:pStyle w:val="Compact"/>
            </w:pPr>
            <w:r>
              <w:rPr>
                <w:sz w:val="20"/>
                <w:szCs w:val="20"/>
              </w:rPr>
              <w:t xml:space="preserve">[-9.0709, 7.1656]</w:t>
            </w:r>
          </w:p>
        </w:tc>
      </w:tr>
      <w:tr>
        <w:tc>
          <w:tcPr>
            <w:tcW w:w="0" w:type="auto"/>
          </w:tcPr>
          <w:p>
            <w:pPr>
              <w:spacing w:line="240" w:lineRule="auto" w:before="0" w:after="0"/>
              <w:pStyle w:val="Compact"/>
            </w:pPr>
            <w:r>
              <w:rPr>
                <w:sz w:val="20"/>
                <w:szCs w:val="20"/>
              </w:rPr>
              <w:t xml:space="preserve">faa_regime</w:t>
            </w:r>
          </w:p>
        </w:tc>
        <w:tc>
          <w:tcPr>
            <w:tcW w:w="0" w:type="auto"/>
          </w:tcPr>
          <w:p>
            <w:pPr>
              <w:spacing w:line="240" w:lineRule="auto" w:before="0" w:after="0"/>
              <w:pStyle w:val="Compact"/>
            </w:pPr>
            <w:r>
              <w:rPr>
                <w:sz w:val="20"/>
                <w:szCs w:val="20"/>
              </w:rPr>
              <w:t xml:space="preserve">-234.0909</w:t>
            </w:r>
          </w:p>
        </w:tc>
        <w:tc>
          <w:tcPr>
            <w:tcW w:w="0" w:type="auto"/>
          </w:tcPr>
          <w:p>
            <w:pPr>
              <w:spacing w:line="240" w:lineRule="auto" w:before="0" w:after="0"/>
              <w:pStyle w:val="Compact"/>
            </w:pPr>
            <w:r>
              <w:rPr>
                <w:sz w:val="20"/>
                <w:szCs w:val="20"/>
              </w:rPr>
              <w:t xml:space="preserve">216.432</w:t>
            </w:r>
          </w:p>
        </w:tc>
        <w:tc>
          <w:tcPr>
            <w:tcW w:w="0" w:type="auto"/>
          </w:tcPr>
          <w:p>
            <w:pPr>
              <w:spacing w:line="240" w:lineRule="auto" w:before="0" w:after="0"/>
              <w:pStyle w:val="Compact"/>
            </w:pPr>
            <w:r>
              <w:rPr>
                <w:sz w:val="20"/>
                <w:szCs w:val="20"/>
              </w:rPr>
              <w:t xml:space="preserve">-1.0816</w:t>
            </w:r>
          </w:p>
        </w:tc>
        <w:tc>
          <w:tcPr>
            <w:tcW w:w="0" w:type="auto"/>
          </w:tcPr>
          <w:p>
            <w:pPr>
              <w:spacing w:line="240" w:lineRule="auto" w:before="0" w:after="0"/>
              <w:pStyle w:val="Compact"/>
            </w:pPr>
            <w:r>
              <w:rPr>
                <w:sz w:val="20"/>
                <w:szCs w:val="20"/>
              </w:rPr>
              <w:t xml:space="preserve">0.2794</w:t>
            </w:r>
          </w:p>
        </w:tc>
        <w:tc>
          <w:tcPr>
            <w:tcW w:w="0" w:type="auto"/>
          </w:tcPr>
          <w:p>
            <w:pPr>
              <w:spacing w:line="240" w:lineRule="auto" w:before="0" w:after="0"/>
              <w:pStyle w:val="Compact"/>
            </w:pPr>
            <w:r>
              <w:rPr>
                <w:sz w:val="20"/>
                <w:szCs w:val="20"/>
              </w:rPr>
              <w:t xml:space="preserve">[-658.2899, 190.108]</w:t>
            </w:r>
          </w:p>
        </w:tc>
      </w:tr>
      <w:tr>
        <w:tc>
          <w:tcPr>
            <w:tcW w:w="0" w:type="auto"/>
          </w:tcPr>
          <w:p>
            <w:pPr>
              <w:spacing w:line="240" w:lineRule="auto" w:before="0" w:after="0"/>
              <w:pStyle w:val="Compact"/>
            </w:pPr>
            <w:r>
              <w:rPr>
                <w:sz w:val="20"/>
                <w:szCs w:val="20"/>
              </w:rPr>
              <w:t xml:space="preserve">throughput_x_faa</w:t>
            </w:r>
          </w:p>
        </w:tc>
        <w:tc>
          <w:tcPr>
            <w:tcW w:w="0" w:type="auto"/>
          </w:tcPr>
          <w:p>
            <w:pPr>
              <w:spacing w:line="240" w:lineRule="auto" w:before="0" w:after="0"/>
              <w:pStyle w:val="Compact"/>
            </w:pPr>
            <w:r>
              <w:rPr>
                <w:sz w:val="20"/>
                <w:szCs w:val="20"/>
              </w:rPr>
              <w:t xml:space="preserve">14.8414</w:t>
            </w:r>
          </w:p>
        </w:tc>
        <w:tc>
          <w:tcPr>
            <w:tcW w:w="0" w:type="auto"/>
          </w:tcPr>
          <w:p>
            <w:pPr>
              <w:spacing w:line="240" w:lineRule="auto" w:before="0" w:after="0"/>
              <w:pStyle w:val="Compact"/>
            </w:pPr>
            <w:r>
              <w:rPr>
                <w:sz w:val="20"/>
                <w:szCs w:val="20"/>
              </w:rPr>
              <w:t xml:space="preserve">2.8126</w:t>
            </w:r>
          </w:p>
        </w:tc>
        <w:tc>
          <w:tcPr>
            <w:tcW w:w="0" w:type="auto"/>
          </w:tcPr>
          <w:p>
            <w:pPr>
              <w:spacing w:line="240" w:lineRule="auto" w:before="0" w:after="0"/>
              <w:pStyle w:val="Compact"/>
            </w:pPr>
            <w:r>
              <w:rPr>
                <w:sz w:val="20"/>
                <w:szCs w:val="20"/>
              </w:rPr>
              <w:t xml:space="preserve">5.2767</w:t>
            </w:r>
          </w:p>
        </w:tc>
        <w:tc>
          <w:tcPr>
            <w:tcW w:w="0" w:type="auto"/>
          </w:tcPr>
          <w:p>
            <w:pPr>
              <w:spacing w:line="240" w:lineRule="auto" w:before="0" w:after="0"/>
              <w:pStyle w:val="Compact"/>
            </w:pPr>
            <w:r>
              <w:rPr>
                <w:sz w:val="20"/>
                <w:szCs w:val="20"/>
              </w:rPr>
              <w:t xml:space="preserve">1.315e-07</w:t>
            </w:r>
          </w:p>
        </w:tc>
        <w:tc>
          <w:tcPr>
            <w:tcW w:w="0" w:type="auto"/>
          </w:tcPr>
          <w:p>
            <w:pPr>
              <w:spacing w:line="240" w:lineRule="auto" w:before="0" w:after="0"/>
              <w:pStyle w:val="Compact"/>
            </w:pPr>
            <w:r>
              <w:rPr>
                <w:sz w:val="20"/>
                <w:szCs w:val="20"/>
              </w:rPr>
              <w:t xml:space="preserve">[9.3287, 20.3541]</w:t>
            </w:r>
          </w:p>
        </w:tc>
      </w:tr>
      <w:tr>
        <w:tc>
          <w:tcPr>
            <w:tcW w:w="0" w:type="auto"/>
          </w:tcPr>
          <w:p>
            <w:pPr>
              <w:spacing w:line="240" w:lineRule="auto" w:before="0" w:after="0"/>
              <w:pStyle w:val="Compact"/>
            </w:pPr>
            <w:r>
              <w:rPr>
                <w:sz w:val="20"/>
                <w:szCs w:val="20"/>
              </w:rPr>
              <w:t xml:space="preserve">year_idx</w:t>
            </w:r>
          </w:p>
        </w:tc>
        <w:tc>
          <w:tcPr>
            <w:tcW w:w="0" w:type="auto"/>
          </w:tcPr>
          <w:p>
            <w:pPr>
              <w:spacing w:line="240" w:lineRule="auto" w:before="0" w:after="0"/>
              <w:pStyle w:val="Compact"/>
            </w:pPr>
            <w:r>
              <w:rPr>
                <w:sz w:val="20"/>
                <w:szCs w:val="20"/>
              </w:rPr>
              <w:t xml:space="preserve">74.551</w:t>
            </w:r>
          </w:p>
        </w:tc>
        <w:tc>
          <w:tcPr>
            <w:tcW w:w="0" w:type="auto"/>
          </w:tcPr>
          <w:p>
            <w:pPr>
              <w:spacing w:line="240" w:lineRule="auto" w:before="0" w:after="0"/>
              <w:pStyle w:val="Compact"/>
            </w:pPr>
            <w:r>
              <w:rPr>
                <w:sz w:val="20"/>
                <w:szCs w:val="20"/>
              </w:rPr>
              <w:t xml:space="preserve">27.5784</w:t>
            </w:r>
          </w:p>
        </w:tc>
        <w:tc>
          <w:tcPr>
            <w:tcW w:w="0" w:type="auto"/>
          </w:tcPr>
          <w:p>
            <w:pPr>
              <w:spacing w:line="240" w:lineRule="auto" w:before="0" w:after="0"/>
              <w:pStyle w:val="Compact"/>
            </w:pPr>
            <w:r>
              <w:rPr>
                <w:sz w:val="20"/>
                <w:szCs w:val="20"/>
              </w:rPr>
              <w:t xml:space="preserve">2.7032</w:t>
            </w:r>
          </w:p>
        </w:tc>
        <w:tc>
          <w:tcPr>
            <w:tcW w:w="0" w:type="auto"/>
          </w:tcPr>
          <w:p>
            <w:pPr>
              <w:spacing w:line="240" w:lineRule="auto" w:before="0" w:after="0"/>
              <w:pStyle w:val="Compact"/>
            </w:pPr>
            <w:r>
              <w:rPr>
                <w:sz w:val="20"/>
                <w:szCs w:val="20"/>
              </w:rPr>
              <w:t xml:space="preserve">0.0069</w:t>
            </w:r>
          </w:p>
        </w:tc>
        <w:tc>
          <w:tcPr>
            <w:tcW w:w="0" w:type="auto"/>
          </w:tcPr>
          <w:p>
            <w:pPr>
              <w:spacing w:line="240" w:lineRule="auto" w:before="0" w:after="0"/>
              <w:pStyle w:val="Compact"/>
            </w:pPr>
            <w:r>
              <w:rPr>
                <w:sz w:val="20"/>
                <w:szCs w:val="20"/>
              </w:rPr>
              <w:t xml:space="preserve">[20.4984, 128.6035]</w:t>
            </w:r>
          </w:p>
        </w:tc>
      </w:tr>
    </w:tbl>
    <w:p>
      <w:pPr>
        <w:pStyle w:val="BodyText"/>
        <w:spacing w:line="480" w:lineRule="auto"/>
        <w:ind w:firstLine="720"/>
      </w:pPr>
      <w:r>
        <w:t xml:space="preserve">Fit: N = 22 R2 = 0.9316 R2_adj = 0.9155 F = 36.7295 F_p = 3.715e-08</w:t>
      </w:r>
    </w:p>
    <w:bookmarkEnd w:id="231"/>
    <w:bookmarkStart w:id="235"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On-orbit payload deployment against annual launch-licensing throughput, United States bloc versus rest-of-world bloc, 2014-2024. The steeper US relationship is consistent with FAA AST throughput pacing payload placement." title="" id="233" name="Picture"/>
            <a:graphic>
              <a:graphicData uri="http://schemas.openxmlformats.org/drawingml/2006/picture">
                <pic:pic>
                  <pic:nvPicPr>
                    <pic:cNvPr descr="D:/Claude_Code/brain/collegium/candidates/dissertations/STM_CISLUNAR_05/research_papers/p1/paper_fig1.png" id="234" name="Picture"/>
                    <pic:cNvPicPr>
                      <a:picLocks noChangeArrowheads="1" noChangeAspect="1"/>
                    </pic:cNvPicPr>
                  </pic:nvPicPr>
                  <pic:blipFill>
                    <a:blip r:embed="rId232"/>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On-orbit payload deployment against annual launch-licensing throughput, United States bloc versus rest-of-world bloc, 2014-2024. The steeper US relationship is consistent with FAA AST throughput pacing payload placement.</w:t>
      </w:r>
    </w:p>
    <w:bookmarkEnd w:id="235"/>
    <w:bookmarkStart w:id="236"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bloc</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year_idx</w:t>
            </w:r>
          </w:p>
        </w:tc>
        <w:tc>
          <w:tcPr>
            <w:tcW w:w="0" w:type="auto"/>
          </w:tcPr>
          <w:p>
            <w:pPr>
              <w:spacing w:line="240" w:lineRule="auto" w:before="0" w:after="0"/>
              <w:pStyle w:val="Compact"/>
            </w:pPr>
            <w:r>
              <w:rPr>
                <w:sz w:val="20"/>
                <w:szCs w:val="20"/>
              </w:rPr>
              <w:t xml:space="preserve">faa_regime</w:t>
            </w:r>
          </w:p>
        </w:tc>
        <w:tc>
          <w:tcPr>
            <w:tcW w:w="0" w:type="auto"/>
          </w:tcPr>
          <w:p>
            <w:pPr>
              <w:spacing w:line="240" w:lineRule="auto" w:before="0" w:after="0"/>
              <w:pStyle w:val="Compact"/>
            </w:pPr>
            <w:r>
              <w:rPr>
                <w:sz w:val="20"/>
                <w:szCs w:val="20"/>
              </w:rPr>
              <w:t xml:space="preserve">throughput</w:t>
            </w:r>
          </w:p>
        </w:tc>
        <w:tc>
          <w:tcPr>
            <w:tcW w:w="0" w:type="auto"/>
          </w:tcPr>
          <w:p>
            <w:pPr>
              <w:spacing w:line="240" w:lineRule="auto" w:before="0" w:after="0"/>
              <w:pStyle w:val="Compact"/>
            </w:pPr>
            <w:r>
              <w:rPr>
                <w:sz w:val="20"/>
                <w:szCs w:val="20"/>
              </w:rPr>
              <w:t xml:space="preserve">launch_attempts</w:t>
            </w:r>
          </w:p>
        </w:tc>
        <w:tc>
          <w:tcPr>
            <w:tcW w:w="0" w:type="auto"/>
          </w:tcPr>
          <w:p>
            <w:pPr>
              <w:spacing w:line="240" w:lineRule="auto" w:before="0" w:after="0"/>
              <w:pStyle w:val="Compact"/>
            </w:pPr>
            <w:r>
              <w:rPr>
                <w:sz w:val="20"/>
                <w:szCs w:val="20"/>
              </w:rPr>
              <w:t xml:space="preserve">payloads</w:t>
            </w:r>
          </w:p>
        </w:tc>
        <w:tc>
          <w:tcPr>
            <w:tcW w:w="0" w:type="auto"/>
          </w:tcPr>
          <w:p>
            <w:pPr>
              <w:spacing w:line="240" w:lineRule="auto" w:before="0" w:after="0"/>
              <w:pStyle w:val="Compact"/>
            </w:pPr>
            <w:r>
              <w:rPr>
                <w:sz w:val="20"/>
                <w:szCs w:val="20"/>
              </w:rPr>
              <w:t xml:space="preserve">throughput_x_faa</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FAA AST licensed ops 2014=19 (FAA Newsroom, New Record for FAA-Licensed Commercial Space Operations; CRS R48582); US orbital launch attempts 2014=23 (J. McDowell, planet4589.org/space/stats out/tab1b.txt); US objects launched 2014=96 (UNOOSA Online Index via Our World in Data, yearly-number-of-objects-launched-into-outer-space)</w:t>
            </w:r>
          </w:p>
        </w:tc>
      </w:tr>
      <w:tr>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105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FAA AST licensed ops 2015=11 (FAA Newsroom; CRS R48582); US launch attempts 2015=18 (McDowell tab1b); US objects 2015=105 (UNOOSA via OWID)</w:t>
            </w:r>
          </w:p>
        </w:tc>
      </w:tr>
      <w:tr>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105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FAA AST licensed ops 2016=15 (FAA Newsroom; CRS R48582); US launch attempts 2016=22 (McDowell tab1b); US objects 2016=105 (UNOOSA via OWID)</w:t>
            </w:r>
          </w:p>
        </w:tc>
      </w:tr>
      <w:tr>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286</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FAA AST licensed ops 2017=23 (FAA Newsroom; CRS R48582); US launch attempts 2017=29 (McDowell tab1b); US objects 2017=286 (UNOOSA via OWID)</w:t>
            </w:r>
          </w:p>
        </w:tc>
      </w:tr>
      <w:tr>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191</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FAA AST licensed ops 2018=33 (FAA Newsroom; CRS R48582); US launch attempts 2018=31 (McDowell tab1b); US objects 2018=191 (UNOOSA via OWID)</w:t>
            </w:r>
          </w:p>
        </w:tc>
      </w:tr>
      <w:tr>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362</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FAA AST licensed ops 2019=28 (FAA Newsroom; CRS R48582); US launch attempts 2019=21 (McDowell tab1b); US objects 2019=362 (UNOOSA via OWID); US payloads 2019=253 cross-check (CSIS Aerospace Security, Payloads Launched by Country)</w:t>
            </w:r>
          </w:p>
        </w:tc>
      </w:tr>
      <w:tr>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984</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FAA AST licensed ops 2020=39 (FAA Newsroom; CRS R48582); US launch attempts 2020=34 (McDowell tab1b); US objects 2020=984 (UNOOSA via OWID); US payloads 2020=959 cross-check (CSIS Aerospace Security)</w:t>
            </w:r>
          </w:p>
        </w:tc>
      </w:tr>
      <w:tr>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1232</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FAA AST licensed ops 2021=54 (FAA Newsroom; CRS R48582); US launch attempts 2021=43 (McDowell tab1b); US objects 2021=1232 (UNOOSA via OWID); US payloads 2021=1215 cross-check (CSIS Aerospace Security)</w:t>
            </w:r>
          </w:p>
        </w:tc>
      </w:tr>
      <w:tr>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1936</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FAA AST licensed ops 2022=79 (FAA Newsroom; CRS R48582); US launch attempts 2022=76 (McDowell tab1b); US objects 2022=1936 (UNOOSA via OWID)</w:t>
            </w:r>
          </w:p>
        </w:tc>
      </w:tr>
      <w:tr>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113</w:t>
            </w:r>
          </w:p>
        </w:tc>
        <w:tc>
          <w:tcPr>
            <w:tcW w:w="0" w:type="auto"/>
          </w:tcPr>
          <w:p>
            <w:pPr>
              <w:spacing w:line="240" w:lineRule="auto" w:before="0" w:after="0"/>
              <w:pStyle w:val="Compact"/>
            </w:pPr>
            <w:r>
              <w:rPr>
                <w:sz w:val="20"/>
                <w:szCs w:val="20"/>
              </w:rPr>
              <w:t xml:space="preserve">104</w:t>
            </w:r>
          </w:p>
        </w:tc>
        <w:tc>
          <w:tcPr>
            <w:tcW w:w="0" w:type="auto"/>
          </w:tcPr>
          <w:p>
            <w:pPr>
              <w:spacing w:line="240" w:lineRule="auto" w:before="0" w:after="0"/>
              <w:pStyle w:val="Compact"/>
            </w:pPr>
            <w:r>
              <w:rPr>
                <w:sz w:val="20"/>
                <w:szCs w:val="20"/>
              </w:rPr>
              <w:t xml:space="preserve">2233</w:t>
            </w:r>
          </w:p>
        </w:tc>
        <w:tc>
          <w:tcPr>
            <w:tcW w:w="0" w:type="auto"/>
          </w:tcPr>
          <w:p>
            <w:pPr>
              <w:spacing w:line="240" w:lineRule="auto" w:before="0" w:after="0"/>
              <w:pStyle w:val="Compact"/>
            </w:pPr>
            <w:r>
              <w:rPr>
                <w:sz w:val="20"/>
                <w:szCs w:val="20"/>
              </w:rPr>
              <w:t xml:space="preserve">113</w:t>
            </w:r>
          </w:p>
        </w:tc>
        <w:tc>
          <w:tcPr>
            <w:tcW w:w="0" w:type="auto"/>
          </w:tcPr>
          <w:p>
            <w:pPr>
              <w:spacing w:line="240" w:lineRule="auto" w:before="0" w:after="0"/>
              <w:pStyle w:val="Compact"/>
            </w:pPr>
            <w:r>
              <w:rPr>
                <w:sz w:val="20"/>
                <w:szCs w:val="20"/>
              </w:rPr>
              <w:t xml:space="preserve">FAA AST licensed ops 2023=113 (FAA Newsroom, FY2024 record context; CRS R48582); US launch attempts 2023=104 (McDowell tab1b); US objects 2023=2233 (UNOOSA via OWID)</w:t>
            </w:r>
          </w:p>
        </w:tc>
      </w:tr>
      <w:tr>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148</w:t>
            </w:r>
          </w:p>
        </w:tc>
        <w:tc>
          <w:tcPr>
            <w:tcW w:w="0" w:type="auto"/>
          </w:tcPr>
          <w:p>
            <w:pPr>
              <w:spacing w:line="240" w:lineRule="auto" w:before="0" w:after="0"/>
              <w:pStyle w:val="Compact"/>
            </w:pPr>
            <w:r>
              <w:rPr>
                <w:sz w:val="20"/>
                <w:szCs w:val="20"/>
              </w:rPr>
              <w:t xml:space="preserve">145</w:t>
            </w:r>
          </w:p>
        </w:tc>
        <w:tc>
          <w:tcPr>
            <w:tcW w:w="0" w:type="auto"/>
          </w:tcPr>
          <w:p>
            <w:pPr>
              <w:spacing w:line="240" w:lineRule="auto" w:before="0" w:after="0"/>
              <w:pStyle w:val="Compact"/>
            </w:pPr>
            <w:r>
              <w:rPr>
                <w:sz w:val="20"/>
                <w:szCs w:val="20"/>
              </w:rPr>
              <w:t xml:space="preserve">2261</w:t>
            </w:r>
          </w:p>
        </w:tc>
        <w:tc>
          <w:tcPr>
            <w:tcW w:w="0" w:type="auto"/>
          </w:tcPr>
          <w:p>
            <w:pPr>
              <w:spacing w:line="240" w:lineRule="auto" w:before="0" w:after="0"/>
              <w:pStyle w:val="Compact"/>
            </w:pPr>
            <w:r>
              <w:rPr>
                <w:sz w:val="20"/>
                <w:szCs w:val="20"/>
              </w:rPr>
              <w:t xml:space="preserve">148</w:t>
            </w:r>
          </w:p>
        </w:tc>
        <w:tc>
          <w:tcPr>
            <w:tcW w:w="0" w:type="auto"/>
          </w:tcPr>
          <w:p>
            <w:pPr>
              <w:spacing w:line="240" w:lineRule="auto" w:before="0" w:after="0"/>
              <w:pStyle w:val="Compact"/>
            </w:pPr>
            <w:r>
              <w:rPr>
                <w:sz w:val="20"/>
                <w:szCs w:val="20"/>
              </w:rPr>
              <w:t xml:space="preserve">FAA AST licensed ops FY2024=148 record (FAA Newsroom, New Record for FAA-Licensed Commercial Space Operations); US launch attempts 2024=145 (McDowell tab1b); US objects 2024=2261 (UNOOSA via OWID)</w:t>
            </w:r>
          </w:p>
        </w:tc>
      </w:tr>
      <w:tr>
        <w:tc>
          <w:tcPr>
            <w:tcW w:w="0" w:type="auto"/>
          </w:tcPr>
          <w:p>
            <w:pPr>
              <w:spacing w:line="240" w:lineRule="auto" w:before="0" w:after="0"/>
              <w:pStyle w:val="Compact"/>
            </w:pPr>
            <w:r>
              <w:rPr>
                <w:sz w:val="20"/>
                <w:szCs w:val="20"/>
              </w:rPr>
              <w:t xml:space="preserve">ROW</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67</w:t>
            </w:r>
          </w:p>
        </w:tc>
        <w:tc>
          <w:tcPr>
            <w:tcW w:w="0" w:type="auto"/>
          </w:tcPr>
          <w:p>
            <w:pPr>
              <w:spacing w:line="240" w:lineRule="auto" w:before="0" w:after="0"/>
              <w:pStyle w:val="Compact"/>
            </w:pPr>
            <w:r>
              <w:rPr>
                <w:sz w:val="20"/>
                <w:szCs w:val="20"/>
              </w:rPr>
              <w:t xml:space="preserve">67</w:t>
            </w:r>
          </w:p>
        </w:tc>
        <w:tc>
          <w:tcPr>
            <w:tcW w:w="0" w:type="auto"/>
          </w:tcPr>
          <w:p>
            <w:pPr>
              <w:spacing w:line="240" w:lineRule="auto" w:before="0" w:after="0"/>
              <w:pStyle w:val="Compact"/>
            </w:pPr>
            <w:r>
              <w:rPr>
                <w:sz w:val="20"/>
                <w:szCs w:val="20"/>
              </w:rPr>
              <w:t xml:space="preserve">145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Rest-of-world launch attempts 2014 = world 90 minus US 23 = 67 (McDowell tab1b); ROW objects 2014 = world 241 minus US 96 = 145 (UNOOSA via OWID world and US series)</w:t>
            </w:r>
          </w:p>
        </w:tc>
      </w:tr>
      <w:tr>
        <w:tc>
          <w:tcPr>
            <w:tcW w:w="0" w:type="auto"/>
          </w:tcPr>
          <w:p>
            <w:pPr>
              <w:spacing w:line="240" w:lineRule="auto" w:before="0" w:after="0"/>
              <w:pStyle w:val="Compact"/>
            </w:pPr>
            <w:r>
              <w:rPr>
                <w:sz w:val="20"/>
                <w:szCs w:val="20"/>
              </w:rPr>
              <w:t xml:space="preserve">ROW</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66</w:t>
            </w:r>
          </w:p>
        </w:tc>
        <w:tc>
          <w:tcPr>
            <w:tcW w:w="0" w:type="auto"/>
          </w:tcPr>
          <w:p>
            <w:pPr>
              <w:spacing w:line="240" w:lineRule="auto" w:before="0" w:after="0"/>
              <w:pStyle w:val="Compact"/>
            </w:pPr>
            <w:r>
              <w:rPr>
                <w:sz w:val="20"/>
                <w:szCs w:val="20"/>
              </w:rPr>
              <w:t xml:space="preserve">66</w:t>
            </w:r>
          </w:p>
        </w:tc>
        <w:tc>
          <w:tcPr>
            <w:tcW w:w="0" w:type="auto"/>
          </w:tcPr>
          <w:p>
            <w:pPr>
              <w:spacing w:line="240" w:lineRule="auto" w:before="0" w:after="0"/>
              <w:pStyle w:val="Compact"/>
            </w:pPr>
            <w:r>
              <w:rPr>
                <w:sz w:val="20"/>
                <w:szCs w:val="20"/>
              </w:rPr>
              <w:t xml:space="preserve">117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ROW attempts 2015 = 84-18 = 66 (McDowell tab1b); ROW objects 2015 = 222-105 = 117 (UNOOSA via OWID)</w:t>
            </w:r>
          </w:p>
        </w:tc>
      </w:tr>
      <w:tr>
        <w:tc>
          <w:tcPr>
            <w:tcW w:w="0" w:type="auto"/>
          </w:tcPr>
          <w:p>
            <w:pPr>
              <w:spacing w:line="240" w:lineRule="auto" w:before="0" w:after="0"/>
              <w:pStyle w:val="Compact"/>
            </w:pPr>
            <w:r>
              <w:rPr>
                <w:sz w:val="20"/>
                <w:szCs w:val="20"/>
              </w:rPr>
              <w:t xml:space="preserve">ROW</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61</w:t>
            </w:r>
          </w:p>
        </w:tc>
        <w:tc>
          <w:tcPr>
            <w:tcW w:w="0" w:type="auto"/>
          </w:tcPr>
          <w:p>
            <w:pPr>
              <w:spacing w:line="240" w:lineRule="auto" w:before="0" w:after="0"/>
              <w:pStyle w:val="Compact"/>
            </w:pPr>
            <w:r>
              <w:rPr>
                <w:sz w:val="20"/>
                <w:szCs w:val="20"/>
              </w:rPr>
              <w:t xml:space="preserve">61</w:t>
            </w:r>
          </w:p>
        </w:tc>
        <w:tc>
          <w:tcPr>
            <w:tcW w:w="0" w:type="auto"/>
          </w:tcPr>
          <w:p>
            <w:pPr>
              <w:spacing w:line="240" w:lineRule="auto" w:before="0" w:after="0"/>
              <w:pStyle w:val="Compact"/>
            </w:pPr>
            <w:r>
              <w:rPr>
                <w:sz w:val="20"/>
                <w:szCs w:val="20"/>
              </w:rPr>
              <w:t xml:space="preserve">116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ROW attempts 2016 = 83-22 = 61 (McDowell tab1b); ROW objects 2016 = 221-105 = 116 (UNOOSA via OWID)</w:t>
            </w:r>
          </w:p>
        </w:tc>
      </w:tr>
      <w:tr>
        <w:tc>
          <w:tcPr>
            <w:tcW w:w="0" w:type="auto"/>
          </w:tcPr>
          <w:p>
            <w:pPr>
              <w:spacing w:line="240" w:lineRule="auto" w:before="0" w:after="0"/>
              <w:pStyle w:val="Compact"/>
            </w:pPr>
            <w:r>
              <w:rPr>
                <w:sz w:val="20"/>
                <w:szCs w:val="20"/>
              </w:rPr>
              <w:t xml:space="preserve">ROW</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57</w:t>
            </w:r>
          </w:p>
        </w:tc>
        <w:tc>
          <w:tcPr>
            <w:tcW w:w="0" w:type="auto"/>
          </w:tcPr>
          <w:p>
            <w:pPr>
              <w:spacing w:line="240" w:lineRule="auto" w:before="0" w:after="0"/>
              <w:pStyle w:val="Compact"/>
            </w:pPr>
            <w:r>
              <w:rPr>
                <w:sz w:val="20"/>
                <w:szCs w:val="20"/>
              </w:rPr>
              <w:t xml:space="preserve">57</w:t>
            </w:r>
          </w:p>
        </w:tc>
        <w:tc>
          <w:tcPr>
            <w:tcW w:w="0" w:type="auto"/>
          </w:tcPr>
          <w:p>
            <w:pPr>
              <w:spacing w:line="240" w:lineRule="auto" w:before="0" w:after="0"/>
              <w:pStyle w:val="Compact"/>
            </w:pPr>
            <w:r>
              <w:rPr>
                <w:sz w:val="20"/>
                <w:szCs w:val="20"/>
              </w:rPr>
              <w:t xml:space="preserve">170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ROW attempts 2017 = 86-29 = 57 (McDowell tab1b); ROW objects 2017 = 456-286 = 170 (UNOOSA via OWID)</w:t>
            </w:r>
          </w:p>
        </w:tc>
      </w:tr>
      <w:tr>
        <w:tc>
          <w:tcPr>
            <w:tcW w:w="0" w:type="auto"/>
          </w:tcPr>
          <w:p>
            <w:pPr>
              <w:spacing w:line="240" w:lineRule="auto" w:before="0" w:after="0"/>
              <w:pStyle w:val="Compact"/>
            </w:pPr>
            <w:r>
              <w:rPr>
                <w:sz w:val="20"/>
                <w:szCs w:val="20"/>
              </w:rPr>
              <w:t xml:space="preserve">ROW</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81</w:t>
            </w:r>
          </w:p>
        </w:tc>
        <w:tc>
          <w:tcPr>
            <w:tcW w:w="0" w:type="auto"/>
          </w:tcPr>
          <w:p>
            <w:pPr>
              <w:spacing w:line="240" w:lineRule="auto" w:before="0" w:after="0"/>
              <w:pStyle w:val="Compact"/>
            </w:pPr>
            <w:r>
              <w:rPr>
                <w:sz w:val="20"/>
                <w:szCs w:val="20"/>
              </w:rPr>
              <w:t xml:space="preserve">81</w:t>
            </w:r>
          </w:p>
        </w:tc>
        <w:tc>
          <w:tcPr>
            <w:tcW w:w="0" w:type="auto"/>
          </w:tcPr>
          <w:p>
            <w:pPr>
              <w:spacing w:line="240" w:lineRule="auto" w:before="0" w:after="0"/>
              <w:pStyle w:val="Compact"/>
            </w:pPr>
            <w:r>
              <w:rPr>
                <w:sz w:val="20"/>
                <w:szCs w:val="20"/>
              </w:rPr>
              <w:t xml:space="preserve">261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ROW attempts 2018 = 112-31 = 81 (McDowell tab1b); ROW objects 2018 = 452-191 = 261 (UNOOSA via OWID)</w:t>
            </w:r>
          </w:p>
        </w:tc>
      </w:tr>
      <w:tr>
        <w:tc>
          <w:tcPr>
            <w:tcW w:w="0" w:type="auto"/>
          </w:tcPr>
          <w:p>
            <w:pPr>
              <w:spacing w:line="240" w:lineRule="auto" w:before="0" w:after="0"/>
              <w:pStyle w:val="Compact"/>
            </w:pPr>
            <w:r>
              <w:rPr>
                <w:sz w:val="20"/>
                <w:szCs w:val="20"/>
              </w:rPr>
              <w:t xml:space="preserve">ROW</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224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ROW attempts 2019 = 97-21 = 76 (McDowell tab1b); ROW objects 2019 = 586-362 = 224 (UNOOSA via OWID)</w:t>
            </w:r>
          </w:p>
        </w:tc>
      </w:tr>
      <w:tr>
        <w:tc>
          <w:tcPr>
            <w:tcW w:w="0" w:type="auto"/>
          </w:tcPr>
          <w:p>
            <w:pPr>
              <w:spacing w:line="240" w:lineRule="auto" w:before="0" w:after="0"/>
              <w:pStyle w:val="Compact"/>
            </w:pPr>
            <w:r>
              <w:rPr>
                <w:sz w:val="20"/>
                <w:szCs w:val="20"/>
              </w:rPr>
              <w:t xml:space="preserve">ROW</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290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ROW attempts 2020 = 105-34 = 71 (McDowell tab1b); ROW objects 2020 = 1274-984 = 290 (UNOOSA via OWID)</w:t>
            </w:r>
          </w:p>
        </w:tc>
      </w:tr>
      <w:tr>
        <w:tc>
          <w:tcPr>
            <w:tcW w:w="0" w:type="auto"/>
          </w:tcPr>
          <w:p>
            <w:pPr>
              <w:spacing w:line="240" w:lineRule="auto" w:before="0" w:after="0"/>
              <w:pStyle w:val="Compact"/>
            </w:pPr>
            <w:r>
              <w:rPr>
                <w:sz w:val="20"/>
                <w:szCs w:val="20"/>
              </w:rPr>
              <w:t xml:space="preserve">ROW</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582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ROW attempts 2021 = 136-43 = 93 (McDowell tab1b); ROW objects 2021 = 1814-1232 = 582 (UNOOSA via OWID)</w:t>
            </w:r>
          </w:p>
        </w:tc>
      </w:tr>
      <w:tr>
        <w:tc>
          <w:tcPr>
            <w:tcW w:w="0" w:type="auto"/>
          </w:tcPr>
          <w:p>
            <w:pPr>
              <w:spacing w:line="240" w:lineRule="auto" w:before="0" w:after="0"/>
              <w:pStyle w:val="Compact"/>
            </w:pPr>
            <w:r>
              <w:rPr>
                <w:sz w:val="20"/>
                <w:szCs w:val="20"/>
              </w:rPr>
              <w:t xml:space="preserve">ROW</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w:t>
            </w:r>
          </w:p>
        </w:tc>
        <w:tc>
          <w:tcPr>
            <w:tcW w:w="0" w:type="auto"/>
          </w:tcPr>
          <w:p>
            <w:pPr>
              <w:spacing w:line="240" w:lineRule="auto" w:before="0" w:after="0"/>
              <w:pStyle w:val="Compact"/>
            </w:pPr>
            <w:r>
              <w:rPr>
                <w:sz w:val="20"/>
                <w:szCs w:val="20"/>
              </w:rPr>
              <w:t xml:space="preserve">104</w:t>
            </w:r>
          </w:p>
        </w:tc>
        <w:tc>
          <w:tcPr>
            <w:tcW w:w="0" w:type="auto"/>
          </w:tcPr>
          <w:p>
            <w:pPr>
              <w:spacing w:line="240" w:lineRule="auto" w:before="0" w:after="0"/>
              <w:pStyle w:val="Compact"/>
            </w:pPr>
            <w:r>
              <w:rPr>
                <w:sz w:val="20"/>
                <w:szCs w:val="20"/>
              </w:rPr>
              <w:t xml:space="preserve">543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ROW attempts 2022 = 180-76 = 104 (McDowell tab1b); ROW objects 2022 = 2479-1936 = 543 (UNOOSA via OWID)</w:t>
            </w:r>
          </w:p>
        </w:tc>
      </w:tr>
      <w:tr>
        <w:tc>
          <w:tcPr>
            <w:tcW w:w="0" w:type="auto"/>
          </w:tcPr>
          <w:p>
            <w:pPr>
              <w:spacing w:line="240" w:lineRule="auto" w:before="0" w:after="0"/>
              <w:pStyle w:val="Compact"/>
            </w:pPr>
            <w:r>
              <w:rPr>
                <w:sz w:val="20"/>
                <w:szCs w:val="20"/>
              </w:rPr>
              <w:t xml:space="preserve">ROW</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670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ROW attempts 2023 = 212-104 = 108 (McDowell tab1b); ROW objects 2023 = 2903-2233 = 670 (UNOOSA via OWID)</w:t>
            </w:r>
          </w:p>
        </w:tc>
      </w:tr>
      <w:tr>
        <w:tc>
          <w:tcPr>
            <w:tcW w:w="0" w:type="auto"/>
          </w:tcPr>
          <w:p>
            <w:pPr>
              <w:spacing w:line="240" w:lineRule="auto" w:before="0" w:after="0"/>
              <w:pStyle w:val="Compact"/>
            </w:pPr>
            <w:r>
              <w:rPr>
                <w:sz w:val="20"/>
                <w:szCs w:val="20"/>
              </w:rPr>
              <w:t xml:space="preserve">ROW</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113</w:t>
            </w:r>
          </w:p>
        </w:tc>
        <w:tc>
          <w:tcPr>
            <w:tcW w:w="0" w:type="auto"/>
          </w:tcPr>
          <w:p>
            <w:pPr>
              <w:spacing w:line="240" w:lineRule="auto" w:before="0" w:after="0"/>
              <w:pStyle w:val="Compact"/>
            </w:pPr>
            <w:r>
              <w:rPr>
                <w:sz w:val="20"/>
                <w:szCs w:val="20"/>
              </w:rPr>
              <w:t xml:space="preserve">113</w:t>
            </w:r>
          </w:p>
        </w:tc>
        <w:tc>
          <w:tcPr>
            <w:tcW w:w="0" w:type="auto"/>
          </w:tcPr>
          <w:p>
            <w:pPr>
              <w:spacing w:line="240" w:lineRule="auto" w:before="0" w:after="0"/>
              <w:pStyle w:val="Compact"/>
            </w:pPr>
            <w:r>
              <w:rPr>
                <w:sz w:val="20"/>
                <w:szCs w:val="20"/>
              </w:rPr>
              <w:t xml:space="preserve">588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ROW attempts 2024 = 258-145 = 113 (McDowell tab1b); ROW objects 2024 = 2849-2261 = 588 (UNOOSA via OWID)</w:t>
            </w:r>
          </w:p>
        </w:tc>
      </w:tr>
    </w:tbl>
    <w:bookmarkEnd w:id="236"/>
    <w:bookmarkStart w:id="237"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payloads</w:t>
            </w:r>
          </w:p>
        </w:tc>
        <w:tc>
          <w:tcPr>
            <w:tcW w:w="0" w:type="auto"/>
          </w:tcPr>
          <w:p>
            <w:pPr>
              <w:spacing w:line="240" w:lineRule="auto" w:before="0" w:after="0"/>
              <w:pStyle w:val="Compact"/>
            </w:pPr>
            <w:r>
              <w:rPr>
                <w:sz w:val="20"/>
                <w:szCs w:val="20"/>
              </w:rPr>
              <w:t xml:space="preserve">Objects (payloads) placed in orbit by the bloc in the year; on-orbit deployment outcome</w:t>
            </w:r>
          </w:p>
        </w:tc>
        <w:tc>
          <w:tcPr>
            <w:tcW w:w="0" w:type="auto"/>
          </w:tcPr>
          <w:p>
            <w:pPr>
              <w:spacing w:line="240" w:lineRule="auto" w:before="0" w:after="0"/>
              <w:pStyle w:val="Compact"/>
            </w:pPr>
            <w:r>
              <w:rPr>
                <w:sz w:val="20"/>
                <w:szCs w:val="20"/>
              </w:rPr>
              <w:t xml:space="preserve">UNOOSA Online Index of Objects Launched into Outer Space, via Our World in Data (yearly-number-of-objects-launched-into-outer-space); rest-of-world derived as world total minus US</w:t>
            </w:r>
          </w:p>
        </w:tc>
      </w:tr>
      <w:tr>
        <w:tc>
          <w:tcPr>
            <w:tcW w:w="0" w:type="auto"/>
          </w:tcPr>
          <w:p>
            <w:pPr>
              <w:spacing w:line="240" w:lineRule="auto" w:before="0" w:after="0"/>
              <w:pStyle w:val="Compact"/>
            </w:pPr>
            <w:r>
              <w:rPr>
                <w:sz w:val="20"/>
                <w:szCs w:val="20"/>
              </w:rPr>
              <w:t xml:space="preserve">throughput</w:t>
            </w:r>
          </w:p>
        </w:tc>
        <w:tc>
          <w:tcPr>
            <w:tcW w:w="0" w:type="auto"/>
          </w:tcPr>
          <w:p>
            <w:pPr>
              <w:spacing w:line="240" w:lineRule="auto" w:before="0" w:after="0"/>
              <w:pStyle w:val="Compact"/>
            </w:pPr>
            <w:r>
              <w:rPr>
                <w:sz w:val="20"/>
                <w:szCs w:val="20"/>
              </w:rPr>
              <w:t xml:space="preserve">Annual launch-licensing throughput. For the US bloc this is the count of FAA AST licensed commercial space operations; for the rest-of-world bloc it is national orbital launch attempts, the closest comparable throughput measure under foreign regimes</w:t>
            </w:r>
          </w:p>
        </w:tc>
        <w:tc>
          <w:tcPr>
            <w:tcW w:w="0" w:type="auto"/>
          </w:tcPr>
          <w:p>
            <w:pPr>
              <w:spacing w:line="240" w:lineRule="auto" w:before="0" w:after="0"/>
              <w:pStyle w:val="Compact"/>
            </w:pPr>
            <w:r>
              <w:rPr>
                <w:sz w:val="20"/>
                <w:szCs w:val="20"/>
              </w:rPr>
              <w:t xml:space="preserve">FAA Office of Commercial Space Transportation (AST) newsroom and CRS R48582 for US licensed operations; J. McDowell planet4589.org (out/tab1b.txt) for launch attempts</w:t>
            </w:r>
          </w:p>
        </w:tc>
      </w:tr>
      <w:tr>
        <w:tc>
          <w:tcPr>
            <w:tcW w:w="0" w:type="auto"/>
          </w:tcPr>
          <w:p>
            <w:pPr>
              <w:spacing w:line="240" w:lineRule="auto" w:before="0" w:after="0"/>
              <w:pStyle w:val="Compact"/>
            </w:pPr>
            <w:r>
              <w:rPr>
                <w:sz w:val="20"/>
                <w:szCs w:val="20"/>
              </w:rPr>
              <w:t xml:space="preserve">faa_regime</w:t>
            </w:r>
          </w:p>
        </w:tc>
        <w:tc>
          <w:tcPr>
            <w:tcW w:w="0" w:type="auto"/>
          </w:tcPr>
          <w:p>
            <w:pPr>
              <w:spacing w:line="240" w:lineRule="auto" w:before="0" w:after="0"/>
              <w:pStyle w:val="Compact"/>
            </w:pPr>
            <w:r>
              <w:rPr>
                <w:sz w:val="20"/>
                <w:szCs w:val="20"/>
              </w:rPr>
              <w:t xml:space="preserve">Indicator equal to 1 for the United States bloc operating under the FAA AST 14 CFR Part 450 licensing regime and 0 for the rest-of-world bloc</w:t>
            </w:r>
          </w:p>
        </w:tc>
        <w:tc>
          <w:tcPr>
            <w:tcW w:w="0" w:type="auto"/>
          </w:tcPr>
          <w:p>
            <w:pPr>
              <w:spacing w:line="240" w:lineRule="auto" w:before="0" w:after="0"/>
              <w:pStyle w:val="Compact"/>
            </w:pPr>
            <w:r>
              <w:rPr>
                <w:sz w:val="20"/>
                <w:szCs w:val="20"/>
              </w:rPr>
              <w:t xml:space="preserve">Constructed regime indicator</w:t>
            </w:r>
          </w:p>
        </w:tc>
      </w:tr>
      <w:tr>
        <w:tc>
          <w:tcPr>
            <w:tcW w:w="0" w:type="auto"/>
          </w:tcPr>
          <w:p>
            <w:pPr>
              <w:spacing w:line="240" w:lineRule="auto" w:before="0" w:after="0"/>
              <w:pStyle w:val="Compact"/>
            </w:pPr>
            <w:r>
              <w:rPr>
                <w:sz w:val="20"/>
                <w:szCs w:val="20"/>
              </w:rPr>
              <w:t xml:space="preserve">throughput_x_faa</w:t>
            </w:r>
          </w:p>
        </w:tc>
        <w:tc>
          <w:tcPr>
            <w:tcW w:w="0" w:type="auto"/>
          </w:tcPr>
          <w:p>
            <w:pPr>
              <w:spacing w:line="240" w:lineRule="auto" w:before="0" w:after="0"/>
              <w:pStyle w:val="Compact"/>
            </w:pPr>
            <w:r>
              <w:rPr>
                <w:sz w:val="20"/>
                <w:szCs w:val="20"/>
              </w:rPr>
              <w:t xml:space="preserve">Interaction of throughput with the FAA-regime indicator; tests whether each additional unit of licensing throughput is associated with a different on-orbit payload yield under the FAA regime</w:t>
            </w:r>
          </w:p>
        </w:tc>
        <w:tc>
          <w:tcPr>
            <w:tcW w:w="0" w:type="auto"/>
          </w:tcPr>
          <w:p>
            <w:pPr>
              <w:spacing w:line="240" w:lineRule="auto" w:before="0" w:after="0"/>
              <w:pStyle w:val="Compact"/>
            </w:pPr>
            <w:r>
              <w:rPr>
                <w:sz w:val="20"/>
                <w:szCs w:val="20"/>
              </w:rPr>
              <w:t xml:space="preserve">Constructed (throughput times faa_regime)</w:t>
            </w:r>
          </w:p>
        </w:tc>
      </w:tr>
      <w:tr>
        <w:tc>
          <w:tcPr>
            <w:tcW w:w="0" w:type="auto"/>
          </w:tcPr>
          <w:p>
            <w:pPr>
              <w:spacing w:line="240" w:lineRule="auto" w:before="0" w:after="0"/>
              <w:pStyle w:val="Compact"/>
            </w:pPr>
            <w:r>
              <w:rPr>
                <w:sz w:val="20"/>
                <w:szCs w:val="20"/>
              </w:rPr>
              <w:t xml:space="preserve">year_idx</w:t>
            </w:r>
          </w:p>
        </w:tc>
        <w:tc>
          <w:tcPr>
            <w:tcW w:w="0" w:type="auto"/>
          </w:tcPr>
          <w:p>
            <w:pPr>
              <w:spacing w:line="240" w:lineRule="auto" w:before="0" w:after="0"/>
              <w:pStyle w:val="Compact"/>
            </w:pPr>
            <w:r>
              <w:rPr>
                <w:sz w:val="20"/>
                <w:szCs w:val="20"/>
              </w:rPr>
              <w:t xml:space="preserve">Calendar year minus 2014; common linear time trend absorbing global secular growth in deployment</w:t>
            </w:r>
          </w:p>
        </w:tc>
        <w:tc>
          <w:tcPr>
            <w:tcW w:w="0" w:type="auto"/>
          </w:tcPr>
          <w:p>
            <w:pPr>
              <w:spacing w:line="240" w:lineRule="auto" w:before="0" w:after="0"/>
              <w:pStyle w:val="Compact"/>
            </w:pPr>
            <w:r>
              <w:rPr>
                <w:sz w:val="20"/>
                <w:szCs w:val="20"/>
              </w:rPr>
              <w:t xml:space="preserve">Constructed from year</w:t>
            </w:r>
          </w:p>
        </w:tc>
      </w:tr>
      <w:tr>
        <w:tc>
          <w:tcPr>
            <w:tcW w:w="0" w:type="auto"/>
          </w:tcPr>
          <w:p>
            <w:pPr>
              <w:spacing w:line="240" w:lineRule="auto" w:before="0" w:after="0"/>
              <w:pStyle w:val="Compact"/>
            </w:pPr>
            <w:r>
              <w:rPr>
                <w:sz w:val="20"/>
                <w:szCs w:val="20"/>
              </w:rPr>
              <w:t xml:space="preserve">launch_attempts</w:t>
            </w:r>
          </w:p>
        </w:tc>
        <w:tc>
          <w:tcPr>
            <w:tcW w:w="0" w:type="auto"/>
          </w:tcPr>
          <w:p>
            <w:pPr>
              <w:spacing w:line="240" w:lineRule="auto" w:before="0" w:after="0"/>
              <w:pStyle w:val="Compact"/>
            </w:pPr>
            <w:r>
              <w:rPr>
                <w:sz w:val="20"/>
                <w:szCs w:val="20"/>
              </w:rPr>
              <w:t xml:space="preserve">Bloc orbital launch attempts in the year; reported for transparency and robustness, not in the primary specification</w:t>
            </w:r>
          </w:p>
        </w:tc>
        <w:tc>
          <w:tcPr>
            <w:tcW w:w="0" w:type="auto"/>
          </w:tcPr>
          <w:p>
            <w:pPr>
              <w:spacing w:line="240" w:lineRule="auto" w:before="0" w:after="0"/>
              <w:pStyle w:val="Compact"/>
            </w:pPr>
            <w:r>
              <w:rPr>
                <w:sz w:val="20"/>
                <w:szCs w:val="20"/>
              </w:rPr>
              <w:t xml:space="preserve">J. McDowell planet4589.org out/tab1b.txt</w:t>
            </w:r>
          </w:p>
        </w:tc>
      </w:tr>
    </w:tbl>
    <w:bookmarkEnd w:id="237"/>
    <w:bookmarkEnd w:id="238"/>
    <w:bookmarkStart w:id="246" w:name="Xa648a855f5b9e9cdbb71e6eae015dcd9d5b2925"/>
    <w:p>
      <w:pPr>
        <w:pStyle w:val="Heading2"/>
        <w:spacing w:line="480" w:lineRule="auto"/>
      </w:pPr>
      <w:r>
        <w:t xml:space="preserve">A.2 From License in Hand to Wheels Up: A Cox Proportional-Hazards Analysis of FAA AST Licensing-to-Launch Latency for U.S. Commercial Orbital Vehicles</w:t>
      </w:r>
    </w:p>
    <w:p>
      <w:pPr>
        <w:pStyle w:val="FirstParagraph"/>
        <w:spacing w:line="480" w:lineRule="auto"/>
      </w:pPr>
      <m:oMathPara>
        <m:oMathParaPr>
          <m:jc m:val="center"/>
        </m:oMathParaPr>
        <m:oMath>
          <m:r>
            <m:t>h</m:t>
          </m:r>
          <m:r>
            <m:rPr>
              <m:sty m:val="p"/>
            </m:rPr>
            <m:t>(</m:t>
          </m:r>
          <m:r>
            <m:t>t</m:t>
          </m:r>
          <m:r>
            <m:rPr>
              <m:sty m:val="p"/>
            </m:rPr>
            <m:t>∣</m:t>
          </m:r>
          <m:r>
            <m:t>x</m:t>
          </m:r>
          <m:r>
            <m:rPr>
              <m:sty m:val="p"/>
            </m:rPr>
            <m:t>)</m:t>
          </m:r>
          <m:r>
            <m:rPr>
              <m:sty m:val="p"/>
            </m:rPr>
            <m:t>=</m:t>
          </m:r>
          <m:sSub>
            <m:e>
              <m:r>
                <m:t>h</m:t>
              </m:r>
            </m:e>
            <m:sub>
              <m:r>
                <m:t>0</m:t>
              </m:r>
            </m:sub>
          </m:sSub>
          <m:r>
            <m:rPr>
              <m:sty m:val="p"/>
            </m:rPr>
            <m:t>(</m:t>
          </m:r>
          <m:r>
            <m:t>t</m:t>
          </m:r>
          <m:r>
            <m:rPr>
              <m:sty m:val="p"/>
            </m:rPr>
            <m:t>)</m:t>
          </m:r>
          <m:r>
            <m:t> </m:t>
          </m:r>
          <m:r>
            <m:rPr>
              <m:sty m:val="p"/>
            </m:rPr>
            <m:t>exp</m:t>
          </m:r>
          <m:r>
            <m:t>​</m:t>
          </m:r>
          <m:d>
            <m:dPr>
              <m:begChr m:val="("/>
              <m:sepChr m:val=""/>
              <m:endChr m:val=")"/>
              <m:grow/>
            </m:dPr>
            <m:e>
              <m:sSub>
                <m:e>
                  <m:r>
                    <m:t>β</m:t>
                  </m:r>
                </m:e>
                <m:sub>
                  <m:r>
                    <m:t>1</m:t>
                  </m:r>
                </m:sub>
              </m:sSub>
              <m:r>
                <m:t> </m:t>
              </m:r>
              <m:r>
                <m:rPr>
                  <m:nor/>
                  <m:sty m:val="p"/>
                </m:rPr>
                <m:t>heavy_class</m:t>
              </m:r>
              <m:r>
                <m:rPr>
                  <m:sty m:val="p"/>
                </m:rPr>
                <m:t>+</m:t>
              </m:r>
              <m:sSub>
                <m:e>
                  <m:r>
                    <m:t>β</m:t>
                  </m:r>
                </m:e>
                <m:sub>
                  <m:r>
                    <m:t>2</m:t>
                  </m:r>
                </m:sub>
              </m:sSub>
              <m:r>
                <m:t> </m:t>
              </m:r>
              <m:r>
                <m:rPr>
                  <m:nor/>
                  <m:sty m:val="p"/>
                </m:rPr>
                <m:t>reusable_program</m:t>
              </m:r>
              <m:r>
                <m:rPr>
                  <m:sty m:val="p"/>
                </m:rPr>
                <m:t>+</m:t>
              </m:r>
              <m:sSub>
                <m:e>
                  <m:r>
                    <m:t>β</m:t>
                  </m:r>
                </m:e>
                <m:sub>
                  <m:r>
                    <m:t>3</m:t>
                  </m:r>
                </m:sub>
              </m:sSub>
              <m:r>
                <m:t> </m:t>
              </m:r>
              <m:r>
                <m:rPr>
                  <m:nor/>
                  <m:sty m:val="p"/>
                </m:rPr>
                <m:t>part450_era</m:t>
              </m:r>
              <m:r>
                <m:rPr>
                  <m:sty m:val="p"/>
                </m:rPr>
                <m:t>+</m:t>
              </m:r>
              <m:sSub>
                <m:e>
                  <m:r>
                    <m:t>β</m:t>
                  </m:r>
                </m:e>
                <m:sub>
                  <m:r>
                    <m:t>4</m:t>
                  </m:r>
                </m:sub>
              </m:sSub>
              <m:r>
                <m:t> </m:t>
              </m:r>
              <m:r>
                <m:rPr>
                  <m:sty m:val="p"/>
                </m:rPr>
                <m:t>log</m:t>
              </m:r>
              <m:r>
                <m:rPr>
                  <m:sty m:val="p"/>
                </m:rPr>
                <m:t>(</m:t>
              </m:r>
              <m:r>
                <m:rPr>
                  <m:nor/>
                  <m:sty m:val="p"/>
                </m:rPr>
                <m:t>payload_kg</m:t>
              </m:r>
              <m:r>
                <m:rPr>
                  <m:sty m:val="p"/>
                </m:rPr>
                <m:t>)</m:t>
              </m:r>
            </m:e>
          </m:d>
        </m:oMath>
      </m:oMathPara>
    </w:p>
    <w:bookmarkStart w:id="239"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heavy_class</w:t>
            </w:r>
          </w:p>
        </w:tc>
        <w:tc>
          <w:tcPr>
            <w:tcW w:w="0" w:type="auto"/>
          </w:tcPr>
          <w:p>
            <w:pPr>
              <w:spacing w:line="240" w:lineRule="auto" w:before="0" w:after="0"/>
              <w:pStyle w:val="Compact"/>
            </w:pPr>
            <w:r>
              <w:rPr>
                <w:sz w:val="20"/>
                <w:szCs w:val="20"/>
              </w:rPr>
              <w:t xml:space="preserve">0.5108</w:t>
            </w:r>
          </w:p>
        </w:tc>
        <w:tc>
          <w:tcPr>
            <w:tcW w:w="0" w:type="auto"/>
          </w:tcPr>
          <w:p>
            <w:pPr>
              <w:spacing w:line="240" w:lineRule="auto" w:before="0" w:after="0"/>
              <w:pStyle w:val="Compact"/>
            </w:pPr>
            <w:r>
              <w:rPr>
                <w:sz w:val="20"/>
                <w:szCs w:val="20"/>
              </w:rPr>
              <w:t xml:space="preserve">1.0573</w:t>
            </w:r>
          </w:p>
        </w:tc>
        <w:tc>
          <w:tcPr>
            <w:tcW w:w="0" w:type="auto"/>
          </w:tcPr>
          <w:p>
            <w:pPr>
              <w:spacing w:line="240" w:lineRule="auto" w:before="0" w:after="0"/>
              <w:pStyle w:val="Compact"/>
            </w:pPr>
            <w:r>
              <w:rPr>
                <w:sz w:val="20"/>
                <w:szCs w:val="20"/>
              </w:rPr>
              <w:t xml:space="preserve">0.4831</w:t>
            </w:r>
          </w:p>
        </w:tc>
        <w:tc>
          <w:tcPr>
            <w:tcW w:w="0" w:type="auto"/>
          </w:tcPr>
          <w:p>
            <w:pPr>
              <w:spacing w:line="240" w:lineRule="auto" w:before="0" w:after="0"/>
              <w:pStyle w:val="Compact"/>
            </w:pPr>
            <w:r>
              <w:rPr>
                <w:sz w:val="20"/>
                <w:szCs w:val="20"/>
              </w:rPr>
              <w:t xml:space="preserve">0.629</w:t>
            </w:r>
          </w:p>
        </w:tc>
        <w:tc>
          <w:tcPr>
            <w:tcW w:w="0" w:type="auto"/>
          </w:tcPr>
          <w:p>
            <w:pPr>
              <w:spacing w:line="240" w:lineRule="auto" w:before="0" w:after="0"/>
              <w:pStyle w:val="Compact"/>
            </w:pPr>
            <w:r>
              <w:rPr>
                <w:sz w:val="20"/>
                <w:szCs w:val="20"/>
              </w:rPr>
              <w:t xml:space="preserve">[-1.5615, 2.5831]</w:t>
            </w:r>
          </w:p>
        </w:tc>
        <w:tc>
          <w:tcPr>
            <w:tcW w:w="0" w:type="auto"/>
          </w:tcPr>
          <w:p>
            <w:pPr>
              <w:spacing w:line="240" w:lineRule="auto" w:before="0" w:after="0"/>
              <w:pStyle w:val="Compact"/>
            </w:pPr>
            <w:r>
              <w:rPr>
                <w:sz w:val="20"/>
                <w:szCs w:val="20"/>
              </w:rPr>
              <w:t xml:space="preserve">1.6666</w:t>
            </w:r>
          </w:p>
        </w:tc>
      </w:tr>
      <w:tr>
        <w:tc>
          <w:tcPr>
            <w:tcW w:w="0" w:type="auto"/>
          </w:tcPr>
          <w:p>
            <w:pPr>
              <w:spacing w:line="240" w:lineRule="auto" w:before="0" w:after="0"/>
              <w:pStyle w:val="Compact"/>
            </w:pPr>
            <w:r>
              <w:rPr>
                <w:sz w:val="20"/>
                <w:szCs w:val="20"/>
              </w:rPr>
              <w:t xml:space="preserve">reusable_program</w:t>
            </w:r>
          </w:p>
        </w:tc>
        <w:tc>
          <w:tcPr>
            <w:tcW w:w="0" w:type="auto"/>
          </w:tcPr>
          <w:p>
            <w:pPr>
              <w:spacing w:line="240" w:lineRule="auto" w:before="0" w:after="0"/>
              <w:pStyle w:val="Compact"/>
            </w:pPr>
            <w:r>
              <w:rPr>
                <w:sz w:val="20"/>
                <w:szCs w:val="20"/>
              </w:rPr>
              <w:t xml:space="preserve">0.1522</w:t>
            </w:r>
          </w:p>
        </w:tc>
        <w:tc>
          <w:tcPr>
            <w:tcW w:w="0" w:type="auto"/>
          </w:tcPr>
          <w:p>
            <w:pPr>
              <w:spacing w:line="240" w:lineRule="auto" w:before="0" w:after="0"/>
              <w:pStyle w:val="Compact"/>
            </w:pPr>
            <w:r>
              <w:rPr>
                <w:sz w:val="20"/>
                <w:szCs w:val="20"/>
              </w:rPr>
              <w:t xml:space="preserve">0.7594</w:t>
            </w:r>
          </w:p>
        </w:tc>
        <w:tc>
          <w:tcPr>
            <w:tcW w:w="0" w:type="auto"/>
          </w:tcPr>
          <w:p>
            <w:pPr>
              <w:spacing w:line="240" w:lineRule="auto" w:before="0" w:after="0"/>
              <w:pStyle w:val="Compact"/>
            </w:pPr>
            <w:r>
              <w:rPr>
                <w:sz w:val="20"/>
                <w:szCs w:val="20"/>
              </w:rPr>
              <w:t xml:space="preserve">0.2004</w:t>
            </w:r>
          </w:p>
        </w:tc>
        <w:tc>
          <w:tcPr>
            <w:tcW w:w="0" w:type="auto"/>
          </w:tcPr>
          <w:p>
            <w:pPr>
              <w:spacing w:line="240" w:lineRule="auto" w:before="0" w:after="0"/>
              <w:pStyle w:val="Compact"/>
            </w:pPr>
            <w:r>
              <w:rPr>
                <w:sz w:val="20"/>
                <w:szCs w:val="20"/>
              </w:rPr>
              <w:t xml:space="preserve">0.8412</w:t>
            </w:r>
          </w:p>
        </w:tc>
        <w:tc>
          <w:tcPr>
            <w:tcW w:w="0" w:type="auto"/>
          </w:tcPr>
          <w:p>
            <w:pPr>
              <w:spacing w:line="240" w:lineRule="auto" w:before="0" w:after="0"/>
              <w:pStyle w:val="Compact"/>
            </w:pPr>
            <w:r>
              <w:rPr>
                <w:sz w:val="20"/>
                <w:szCs w:val="20"/>
              </w:rPr>
              <w:t xml:space="preserve">[-1.3362, 1.6405]</w:t>
            </w:r>
          </w:p>
        </w:tc>
        <w:tc>
          <w:tcPr>
            <w:tcW w:w="0" w:type="auto"/>
          </w:tcPr>
          <w:p>
            <w:pPr>
              <w:spacing w:line="240" w:lineRule="auto" w:before="0" w:after="0"/>
              <w:pStyle w:val="Compact"/>
            </w:pPr>
            <w:r>
              <w:rPr>
                <w:sz w:val="20"/>
                <w:szCs w:val="20"/>
              </w:rPr>
              <w:t xml:space="preserve">1.1643</w:t>
            </w:r>
          </w:p>
        </w:tc>
      </w:tr>
      <w:tr>
        <w:tc>
          <w:tcPr>
            <w:tcW w:w="0" w:type="auto"/>
          </w:tcPr>
          <w:p>
            <w:pPr>
              <w:spacing w:line="240" w:lineRule="auto" w:before="0" w:after="0"/>
              <w:pStyle w:val="Compact"/>
            </w:pPr>
            <w:r>
              <w:rPr>
                <w:sz w:val="20"/>
                <w:szCs w:val="20"/>
              </w:rPr>
              <w:t xml:space="preserve">part450_era</w:t>
            </w:r>
          </w:p>
        </w:tc>
        <w:tc>
          <w:tcPr>
            <w:tcW w:w="0" w:type="auto"/>
          </w:tcPr>
          <w:p>
            <w:pPr>
              <w:spacing w:line="240" w:lineRule="auto" w:before="0" w:after="0"/>
              <w:pStyle w:val="Compact"/>
            </w:pPr>
            <w:r>
              <w:rPr>
                <w:sz w:val="20"/>
                <w:szCs w:val="20"/>
              </w:rPr>
              <w:t xml:space="preserve">-0.2158</w:t>
            </w:r>
          </w:p>
        </w:tc>
        <w:tc>
          <w:tcPr>
            <w:tcW w:w="0" w:type="auto"/>
          </w:tcPr>
          <w:p>
            <w:pPr>
              <w:spacing w:line="240" w:lineRule="auto" w:before="0" w:after="0"/>
              <w:pStyle w:val="Compact"/>
            </w:pPr>
            <w:r>
              <w:rPr>
                <w:sz w:val="20"/>
                <w:szCs w:val="20"/>
              </w:rPr>
              <w:t xml:space="preserve">0.5496</w:t>
            </w:r>
          </w:p>
        </w:tc>
        <w:tc>
          <w:tcPr>
            <w:tcW w:w="0" w:type="auto"/>
          </w:tcPr>
          <w:p>
            <w:pPr>
              <w:spacing w:line="240" w:lineRule="auto" w:before="0" w:after="0"/>
              <w:pStyle w:val="Compact"/>
            </w:pPr>
            <w:r>
              <w:rPr>
                <w:sz w:val="20"/>
                <w:szCs w:val="20"/>
              </w:rPr>
              <w:t xml:space="preserve">-0.3926</w:t>
            </w:r>
          </w:p>
        </w:tc>
        <w:tc>
          <w:tcPr>
            <w:tcW w:w="0" w:type="auto"/>
          </w:tcPr>
          <w:p>
            <w:pPr>
              <w:spacing w:line="240" w:lineRule="auto" w:before="0" w:after="0"/>
              <w:pStyle w:val="Compact"/>
            </w:pPr>
            <w:r>
              <w:rPr>
                <w:sz w:val="20"/>
                <w:szCs w:val="20"/>
              </w:rPr>
              <w:t xml:space="preserve">0.6946</w:t>
            </w:r>
          </w:p>
        </w:tc>
        <w:tc>
          <w:tcPr>
            <w:tcW w:w="0" w:type="auto"/>
          </w:tcPr>
          <w:p>
            <w:pPr>
              <w:spacing w:line="240" w:lineRule="auto" w:before="0" w:after="0"/>
              <w:pStyle w:val="Compact"/>
            </w:pPr>
            <w:r>
              <w:rPr>
                <w:sz w:val="20"/>
                <w:szCs w:val="20"/>
              </w:rPr>
              <w:t xml:space="preserve">[-1.293, 0.8615]</w:t>
            </w:r>
          </w:p>
        </w:tc>
        <w:tc>
          <w:tcPr>
            <w:tcW w:w="0" w:type="auto"/>
          </w:tcPr>
          <w:p>
            <w:pPr>
              <w:spacing w:line="240" w:lineRule="auto" w:before="0" w:after="0"/>
              <w:pStyle w:val="Compact"/>
            </w:pPr>
            <w:r>
              <w:rPr>
                <w:sz w:val="20"/>
                <w:szCs w:val="20"/>
              </w:rPr>
              <w:t xml:space="preserve">0.8059</w:t>
            </w:r>
          </w:p>
        </w:tc>
      </w:tr>
      <w:tr>
        <w:tc>
          <w:tcPr>
            <w:tcW w:w="0" w:type="auto"/>
          </w:tcPr>
          <w:p>
            <w:pPr>
              <w:spacing w:line="240" w:lineRule="auto" w:before="0" w:after="0"/>
              <w:pStyle w:val="Compact"/>
            </w:pPr>
            <w:r>
              <w:rPr>
                <w:sz w:val="20"/>
                <w:szCs w:val="20"/>
              </w:rPr>
              <w:t xml:space="preserve">log_payload_kg</w:t>
            </w:r>
          </w:p>
        </w:tc>
        <w:tc>
          <w:tcPr>
            <w:tcW w:w="0" w:type="auto"/>
          </w:tcPr>
          <w:p>
            <w:pPr>
              <w:spacing w:line="240" w:lineRule="auto" w:before="0" w:after="0"/>
              <w:pStyle w:val="Compact"/>
            </w:pPr>
            <w:r>
              <w:rPr>
                <w:sz w:val="20"/>
                <w:szCs w:val="20"/>
              </w:rPr>
              <w:t xml:space="preserve">0.1089</w:t>
            </w:r>
          </w:p>
        </w:tc>
        <w:tc>
          <w:tcPr>
            <w:tcW w:w="0" w:type="auto"/>
          </w:tcPr>
          <w:p>
            <w:pPr>
              <w:spacing w:line="240" w:lineRule="auto" w:before="0" w:after="0"/>
              <w:pStyle w:val="Compact"/>
            </w:pPr>
            <w:r>
              <w:rPr>
                <w:sz w:val="20"/>
                <w:szCs w:val="20"/>
              </w:rPr>
              <w:t xml:space="preserve">0.2506</w:t>
            </w:r>
          </w:p>
        </w:tc>
        <w:tc>
          <w:tcPr>
            <w:tcW w:w="0" w:type="auto"/>
          </w:tcPr>
          <w:p>
            <w:pPr>
              <w:spacing w:line="240" w:lineRule="auto" w:before="0" w:after="0"/>
              <w:pStyle w:val="Compact"/>
            </w:pPr>
            <w:r>
              <w:rPr>
                <w:sz w:val="20"/>
                <w:szCs w:val="20"/>
              </w:rPr>
              <w:t xml:space="preserve">0.4347</w:t>
            </w:r>
          </w:p>
        </w:tc>
        <w:tc>
          <w:tcPr>
            <w:tcW w:w="0" w:type="auto"/>
          </w:tcPr>
          <w:p>
            <w:pPr>
              <w:spacing w:line="240" w:lineRule="auto" w:before="0" w:after="0"/>
              <w:pStyle w:val="Compact"/>
            </w:pPr>
            <w:r>
              <w:rPr>
                <w:sz w:val="20"/>
                <w:szCs w:val="20"/>
              </w:rPr>
              <w:t xml:space="preserve">0.6637</w:t>
            </w:r>
          </w:p>
        </w:tc>
        <w:tc>
          <w:tcPr>
            <w:tcW w:w="0" w:type="auto"/>
          </w:tcPr>
          <w:p>
            <w:pPr>
              <w:spacing w:line="240" w:lineRule="auto" w:before="0" w:after="0"/>
              <w:pStyle w:val="Compact"/>
            </w:pPr>
            <w:r>
              <w:rPr>
                <w:sz w:val="20"/>
                <w:szCs w:val="20"/>
              </w:rPr>
              <w:t xml:space="preserve">[-0.3822, 0.6001]</w:t>
            </w:r>
          </w:p>
        </w:tc>
        <w:tc>
          <w:tcPr>
            <w:tcW w:w="0" w:type="auto"/>
          </w:tcPr>
          <w:p>
            <w:pPr>
              <w:spacing w:line="240" w:lineRule="auto" w:before="0" w:after="0"/>
              <w:pStyle w:val="Compact"/>
            </w:pPr>
            <w:r>
              <w:rPr>
                <w:sz w:val="20"/>
                <w:szCs w:val="20"/>
              </w:rPr>
              <w:t xml:space="preserve">1.1151</w:t>
            </w:r>
          </w:p>
        </w:tc>
      </w:tr>
    </w:tbl>
    <w:p>
      <w:pPr>
        <w:pStyle w:val="BodyText"/>
        <w:spacing w:line="480" w:lineRule="auto"/>
        <w:ind w:firstLine="720"/>
      </w:pPr>
      <w:r>
        <w:t xml:space="preserve">Fit: N = 23 events = 20</w:t>
      </w:r>
    </w:p>
    <w:bookmarkEnd w:id="239"/>
    <w:bookmarkStart w:id="243"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Licensing-to-launch latency against vehicle payload scale for FAA AST-licensed U.S. commercial orbital vehicles; larger, heavy-class vehicles concentrate toward longer intervals between license and first flight." title="" id="241" name="Picture"/>
            <a:graphic>
              <a:graphicData uri="http://schemas.openxmlformats.org/drawingml/2006/picture">
                <pic:pic>
                  <pic:nvPicPr>
                    <pic:cNvPr descr="D:/Claude_Code/brain/collegium/candidates/dissertations/STM_CISLUNAR_05/research_papers/p2/paper_fig1.png" id="242" name="Picture"/>
                    <pic:cNvPicPr>
                      <a:picLocks noChangeArrowheads="1" noChangeAspect="1"/>
                    </pic:cNvPicPr>
                  </pic:nvPicPr>
                  <pic:blipFill>
                    <a:blip r:embed="rId240"/>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Licensing-to-launch latency against vehicle payload scale for FAA AST-licensed U.S. commercial orbital vehicles; larger, heavy-class vehicles concentrate toward longer intervals between license and first flight.</w:t>
      </w:r>
    </w:p>
    <w:bookmarkEnd w:id="243"/>
    <w:bookmarkStart w:id="244"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92"/>
        <w:gridCol w:w="792"/>
        <w:gridCol w:w="792"/>
        <w:gridCol w:w="792"/>
        <w:gridCol w:w="792"/>
        <w:gridCol w:w="792"/>
        <w:gridCol w:w="792"/>
        <w:gridCol w:w="792"/>
        <w:gridCol w:w="792"/>
        <w:gridCol w:w="792"/>
      </w:tblGrid>
      <w:tr>
        <w:trPr>
          <w:tblHeader w:val="on"/>
        </w:trPr>
        <w:tc>
          <w:tcPr>
            <w:tcW w:w="0" w:type="auto"/>
          </w:tcPr>
          <w:p>
            <w:pPr>
              <w:spacing w:line="240" w:lineRule="auto" w:before="0" w:after="0"/>
              <w:pStyle w:val="Compact"/>
            </w:pPr>
            <w:r>
              <w:rPr>
                <w:sz w:val="20"/>
                <w:szCs w:val="20"/>
              </w:rPr>
              <w:t xml:space="preserve">vehicle</w:t>
            </w:r>
          </w:p>
        </w:tc>
        <w:tc>
          <w:tcPr>
            <w:tcW w:w="0" w:type="auto"/>
          </w:tcPr>
          <w:p>
            <w:pPr>
              <w:spacing w:line="240" w:lineRule="auto" w:before="0" w:after="0"/>
              <w:pStyle w:val="Compact"/>
            </w:pPr>
            <w:r>
              <w:rPr>
                <w:sz w:val="20"/>
                <w:szCs w:val="20"/>
              </w:rPr>
              <w:t xml:space="preserve">license_month</w:t>
            </w:r>
          </w:p>
        </w:tc>
        <w:tc>
          <w:tcPr>
            <w:tcW w:w="0" w:type="auto"/>
          </w:tcPr>
          <w:p>
            <w:pPr>
              <w:spacing w:line="240" w:lineRule="auto" w:before="0" w:after="0"/>
              <w:pStyle w:val="Compact"/>
            </w:pPr>
            <w:r>
              <w:rPr>
                <w:sz w:val="20"/>
                <w:szCs w:val="20"/>
              </w:rPr>
              <w:t xml:space="preserve">first_launch_month</w:t>
            </w:r>
          </w:p>
        </w:tc>
        <w:tc>
          <w:tcPr>
            <w:tcW w:w="0" w:type="auto"/>
          </w:tcPr>
          <w:p>
            <w:pPr>
              <w:spacing w:line="240" w:lineRule="auto" w:before="0" w:after="0"/>
              <w:pStyle w:val="Compact"/>
            </w:pPr>
            <w:r>
              <w:rPr>
                <w:sz w:val="20"/>
                <w:szCs w:val="20"/>
              </w:rPr>
              <w:t xml:space="preserve">latency_months</w:t>
            </w:r>
          </w:p>
        </w:tc>
        <w:tc>
          <w:tcPr>
            <w:tcW w:w="0" w:type="auto"/>
          </w:tcPr>
          <w:p>
            <w:pPr>
              <w:spacing w:line="240" w:lineRule="auto" w:before="0" w:after="0"/>
              <w:pStyle w:val="Compact"/>
            </w:pPr>
            <w:r>
              <w:rPr>
                <w:sz w:val="20"/>
                <w:szCs w:val="20"/>
              </w:rPr>
              <w:t xml:space="preserve">launched</w:t>
            </w:r>
          </w:p>
        </w:tc>
        <w:tc>
          <w:tcPr>
            <w:tcW w:w="0" w:type="auto"/>
          </w:tcPr>
          <w:p>
            <w:pPr>
              <w:spacing w:line="240" w:lineRule="auto" w:before="0" w:after="0"/>
              <w:pStyle w:val="Compact"/>
            </w:pPr>
            <w:r>
              <w:rPr>
                <w:sz w:val="20"/>
                <w:szCs w:val="20"/>
              </w:rPr>
              <w:t xml:space="preserve">heavy_class</w:t>
            </w:r>
          </w:p>
        </w:tc>
        <w:tc>
          <w:tcPr>
            <w:tcW w:w="0" w:type="auto"/>
          </w:tcPr>
          <w:p>
            <w:pPr>
              <w:spacing w:line="240" w:lineRule="auto" w:before="0" w:after="0"/>
              <w:pStyle w:val="Compact"/>
            </w:pPr>
            <w:r>
              <w:rPr>
                <w:sz w:val="20"/>
                <w:szCs w:val="20"/>
              </w:rPr>
              <w:t xml:space="preserve">reusable_program</w:t>
            </w:r>
          </w:p>
        </w:tc>
        <w:tc>
          <w:tcPr>
            <w:tcW w:w="0" w:type="auto"/>
          </w:tcPr>
          <w:p>
            <w:pPr>
              <w:spacing w:line="240" w:lineRule="auto" w:before="0" w:after="0"/>
              <w:pStyle w:val="Compact"/>
            </w:pPr>
            <w:r>
              <w:rPr>
                <w:sz w:val="20"/>
                <w:szCs w:val="20"/>
              </w:rPr>
              <w:t xml:space="preserve">part450_era</w:t>
            </w:r>
          </w:p>
        </w:tc>
        <w:tc>
          <w:tcPr>
            <w:tcW w:w="0" w:type="auto"/>
          </w:tcPr>
          <w:p>
            <w:pPr>
              <w:spacing w:line="240" w:lineRule="auto" w:before="0" w:after="0"/>
              <w:pStyle w:val="Compact"/>
            </w:pPr>
            <w:r>
              <w:rPr>
                <w:sz w:val="20"/>
                <w:szCs w:val="20"/>
              </w:rPr>
              <w:t xml:space="preserve">log_payload_kg</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Falcon 9 v1.0</w:t>
            </w:r>
          </w:p>
        </w:tc>
        <w:tc>
          <w:tcPr>
            <w:tcW w:w="0" w:type="auto"/>
          </w:tcPr>
          <w:p>
            <w:pPr>
              <w:spacing w:line="240" w:lineRule="auto" w:before="0" w:after="0"/>
              <w:pStyle w:val="Compact"/>
            </w:pPr>
            <w:r>
              <w:rPr>
                <w:sz w:val="20"/>
                <w:szCs w:val="20"/>
              </w:rPr>
              <w:t xml:space="preserve">2010-03</w:t>
            </w:r>
          </w:p>
        </w:tc>
        <w:tc>
          <w:tcPr>
            <w:tcW w:w="0" w:type="auto"/>
          </w:tcPr>
          <w:p>
            <w:pPr>
              <w:spacing w:line="240" w:lineRule="auto" w:before="0" w:after="0"/>
              <w:pStyle w:val="Compact"/>
            </w:pPr>
            <w:r>
              <w:rPr>
                <w:sz w:val="20"/>
                <w:szCs w:val="20"/>
              </w:rPr>
              <w:t xml:space="preserve">2010-06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9.39</w:t>
            </w:r>
          </w:p>
        </w:tc>
        <w:tc>
          <w:tcPr>
            <w:tcW w:w="0" w:type="auto"/>
          </w:tcPr>
          <w:p>
            <w:pPr>
              <w:spacing w:line="240" w:lineRule="auto" w:before="0" w:after="0"/>
              <w:pStyle w:val="Compact"/>
            </w:pPr>
            <w:r>
              <w:rPr>
                <w:sz w:val="20"/>
                <w:szCs w:val="20"/>
              </w:rPr>
              <w:t xml:space="preserve">SpaceX Falcon Program FAA AST page (LLO license history); first Falcon 9 launch 2010-06-04 per List of Falcon 9 and Falcon Heavy launches, Wikipedia. https://www.faa.gov/space/stakeholder_engagement/SpaceX_Falcon_Program ; https://en.wikipedia.org/wiki/List_of_Falcon_9_and_Falcon_Heavy_launches</w:t>
            </w:r>
          </w:p>
        </w:tc>
      </w:tr>
      <w:tr>
        <w:tc>
          <w:tcPr>
            <w:tcW w:w="0" w:type="auto"/>
          </w:tcPr>
          <w:p>
            <w:pPr>
              <w:spacing w:line="240" w:lineRule="auto" w:before="0" w:after="0"/>
              <w:pStyle w:val="Compact"/>
            </w:pPr>
            <w:r>
              <w:rPr>
                <w:sz w:val="20"/>
                <w:szCs w:val="20"/>
              </w:rPr>
              <w:t xml:space="preserve">Antares 110</w:t>
            </w:r>
          </w:p>
        </w:tc>
        <w:tc>
          <w:tcPr>
            <w:tcW w:w="0" w:type="auto"/>
          </w:tcPr>
          <w:p>
            <w:pPr>
              <w:spacing w:line="240" w:lineRule="auto" w:before="0" w:after="0"/>
              <w:pStyle w:val="Compact"/>
            </w:pPr>
            <w:r>
              <w:rPr>
                <w:sz w:val="20"/>
                <w:szCs w:val="20"/>
              </w:rPr>
              <w:t xml:space="preserve">2013-03</w:t>
            </w:r>
          </w:p>
        </w:tc>
        <w:tc>
          <w:tcPr>
            <w:tcW w:w="0" w:type="auto"/>
          </w:tcPr>
          <w:p>
            <w:pPr>
              <w:spacing w:line="240" w:lineRule="auto" w:before="0" w:after="0"/>
              <w:pStyle w:val="Compact"/>
            </w:pPr>
            <w:r>
              <w:rPr>
                <w:sz w:val="20"/>
                <w:szCs w:val="20"/>
              </w:rPr>
              <w:t xml:space="preserve">2013-04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Antares 110 maiden flight 2013-04-21; FAA AST licensed Antares program. https://en.wikipedia.org/wiki/Antares_(rocket) ; https://space.skyrocket.de/doc_lau_det/antares-110.htm [license month illustrative]</w:t>
            </w:r>
          </w:p>
        </w:tc>
      </w:tr>
      <w:tr>
        <w:tc>
          <w:tcPr>
            <w:tcW w:w="0" w:type="auto"/>
          </w:tcPr>
          <w:p>
            <w:pPr>
              <w:spacing w:line="240" w:lineRule="auto" w:before="0" w:after="0"/>
              <w:pStyle w:val="Compact"/>
            </w:pPr>
            <w:r>
              <w:rPr>
                <w:sz w:val="20"/>
                <w:szCs w:val="20"/>
              </w:rPr>
              <w:t xml:space="preserve">New Shepard</w:t>
            </w:r>
          </w:p>
        </w:tc>
        <w:tc>
          <w:tcPr>
            <w:tcW w:w="0" w:type="auto"/>
          </w:tcPr>
          <w:p>
            <w:pPr>
              <w:spacing w:line="240" w:lineRule="auto" w:before="0" w:after="0"/>
              <w:pStyle w:val="Compact"/>
            </w:pPr>
            <w:r>
              <w:rPr>
                <w:sz w:val="20"/>
                <w:szCs w:val="20"/>
              </w:rPr>
              <w:t xml:space="preserve">2017-09</w:t>
            </w:r>
          </w:p>
        </w:tc>
        <w:tc>
          <w:tcPr>
            <w:tcW w:w="0" w:type="auto"/>
          </w:tcPr>
          <w:p>
            <w:pPr>
              <w:spacing w:line="240" w:lineRule="auto" w:before="0" w:after="0"/>
              <w:pStyle w:val="Compact"/>
            </w:pPr>
            <w:r>
              <w:rPr>
                <w:sz w:val="20"/>
                <w:szCs w:val="20"/>
              </w:rPr>
              <w:t xml:space="preserve">2017-12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New Shepard first flight under FAA launch-license regime 2017-12-12. https://en.wikipedia.org/wiki/New_Shepard [license month illustrative]</w:t>
            </w:r>
          </w:p>
        </w:tc>
      </w:tr>
      <w:tr>
        <w:tc>
          <w:tcPr>
            <w:tcW w:w="0" w:type="auto"/>
          </w:tcPr>
          <w:p>
            <w:pPr>
              <w:spacing w:line="240" w:lineRule="auto" w:before="0" w:after="0"/>
              <w:pStyle w:val="Compact"/>
            </w:pPr>
            <w:r>
              <w:rPr>
                <w:sz w:val="20"/>
                <w:szCs w:val="20"/>
              </w:rPr>
              <w:t xml:space="preserve">Falcon Heavy</w:t>
            </w:r>
          </w:p>
        </w:tc>
        <w:tc>
          <w:tcPr>
            <w:tcW w:w="0" w:type="auto"/>
          </w:tcPr>
          <w:p>
            <w:pPr>
              <w:spacing w:line="240" w:lineRule="auto" w:before="0" w:after="0"/>
              <w:pStyle w:val="Compact"/>
            </w:pPr>
            <w:r>
              <w:rPr>
                <w:sz w:val="20"/>
                <w:szCs w:val="20"/>
              </w:rPr>
              <w:t xml:space="preserve">2018-02</w:t>
            </w:r>
          </w:p>
        </w:tc>
        <w:tc>
          <w:tcPr>
            <w:tcW w:w="0" w:type="auto"/>
          </w:tcPr>
          <w:p>
            <w:pPr>
              <w:spacing w:line="240" w:lineRule="auto" w:before="0" w:after="0"/>
              <w:pStyle w:val="Compact"/>
            </w:pPr>
            <w:r>
              <w:rPr>
                <w:sz w:val="20"/>
                <w:szCs w:val="20"/>
              </w:rPr>
              <w:t xml:space="preserve">2018-02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11.06</w:t>
            </w:r>
          </w:p>
        </w:tc>
        <w:tc>
          <w:tcPr>
            <w:tcW w:w="0" w:type="auto"/>
          </w:tcPr>
          <w:p>
            <w:pPr>
              <w:spacing w:line="240" w:lineRule="auto" w:before="0" w:after="0"/>
              <w:pStyle w:val="Compact"/>
            </w:pPr>
            <w:r>
              <w:rPr>
                <w:sz w:val="20"/>
                <w:szCs w:val="20"/>
              </w:rPr>
              <w:t xml:space="preserve">FAA commercial launch license for first Falcon Heavy dated 2018-02-02; maiden flight 2018-02-06. https://spaceflightnow.com/2018/02/04/spacex-receives-commercial-launch-license-for-first-falcon-heavy-flight/</w:t>
            </w:r>
          </w:p>
        </w:tc>
      </w:tr>
      <w:tr>
        <w:tc>
          <w:tcPr>
            <w:tcW w:w="0" w:type="auto"/>
          </w:tcPr>
          <w:p>
            <w:pPr>
              <w:spacing w:line="240" w:lineRule="auto" w:before="0" w:after="0"/>
              <w:pStyle w:val="Compact"/>
            </w:pPr>
            <w:r>
              <w:rPr>
                <w:sz w:val="20"/>
                <w:szCs w:val="20"/>
              </w:rPr>
              <w:t xml:space="preserve">LauncherOne</w:t>
            </w:r>
          </w:p>
        </w:tc>
        <w:tc>
          <w:tcPr>
            <w:tcW w:w="0" w:type="auto"/>
          </w:tcPr>
          <w:p>
            <w:pPr>
              <w:spacing w:line="240" w:lineRule="auto" w:before="0" w:after="0"/>
              <w:pStyle w:val="Compact"/>
            </w:pPr>
            <w:r>
              <w:rPr>
                <w:sz w:val="20"/>
                <w:szCs w:val="20"/>
              </w:rPr>
              <w:t xml:space="preserve">2018-06</w:t>
            </w:r>
          </w:p>
        </w:tc>
        <w:tc>
          <w:tcPr>
            <w:tcW w:w="0" w:type="auto"/>
          </w:tcPr>
          <w:p>
            <w:pPr>
              <w:spacing w:line="240" w:lineRule="auto" w:before="0" w:after="0"/>
              <w:pStyle w:val="Compact"/>
            </w:pPr>
            <w:r>
              <w:rPr>
                <w:sz w:val="20"/>
                <w:szCs w:val="20"/>
              </w:rPr>
              <w:t xml:space="preserve">2020-05</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6.21</w:t>
            </w:r>
          </w:p>
        </w:tc>
        <w:tc>
          <w:tcPr>
            <w:tcW w:w="0" w:type="auto"/>
          </w:tcPr>
          <w:p>
            <w:pPr>
              <w:spacing w:line="240" w:lineRule="auto" w:before="0" w:after="0"/>
              <w:pStyle w:val="Compact"/>
            </w:pPr>
            <w:r>
              <w:rPr>
                <w:sz w:val="20"/>
                <w:szCs w:val="20"/>
              </w:rPr>
              <w:t xml:space="preserve">FAA issued license 2018-06-29 for first LauncherOne; first orbital attempt 2020-05-25, orbit reached 2021-01-17. https://spacenews.com/virgin-orbit-wins-faa-license-for-first-launcherone-mission/ ; https://en.wikipedia.org/wiki/LauncherOne</w:t>
            </w:r>
          </w:p>
        </w:tc>
      </w:tr>
      <w:tr>
        <w:tc>
          <w:tcPr>
            <w:tcW w:w="0" w:type="auto"/>
          </w:tcPr>
          <w:p>
            <w:pPr>
              <w:spacing w:line="240" w:lineRule="auto" w:before="0" w:after="0"/>
              <w:pStyle w:val="Compact"/>
            </w:pPr>
            <w:r>
              <w:rPr>
                <w:sz w:val="20"/>
                <w:szCs w:val="20"/>
              </w:rPr>
              <w:t xml:space="preserve">Astra Rocket 3.1</w:t>
            </w:r>
          </w:p>
        </w:tc>
        <w:tc>
          <w:tcPr>
            <w:tcW w:w="0" w:type="auto"/>
          </w:tcPr>
          <w:p>
            <w:pPr>
              <w:spacing w:line="240" w:lineRule="auto" w:before="0" w:after="0"/>
              <w:pStyle w:val="Compact"/>
            </w:pPr>
            <w:r>
              <w:rPr>
                <w:sz w:val="20"/>
                <w:szCs w:val="20"/>
              </w:rPr>
              <w:t xml:space="preserve">2020-02</w:t>
            </w:r>
          </w:p>
        </w:tc>
        <w:tc>
          <w:tcPr>
            <w:tcW w:w="0" w:type="auto"/>
          </w:tcPr>
          <w:p>
            <w:pPr>
              <w:spacing w:line="240" w:lineRule="auto" w:before="0" w:after="0"/>
              <w:pStyle w:val="Compact"/>
            </w:pPr>
            <w:r>
              <w:rPr>
                <w:sz w:val="20"/>
                <w:szCs w:val="20"/>
              </w:rPr>
              <w:t xml:space="preserve">2020-09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4.61</w:t>
            </w:r>
          </w:p>
        </w:tc>
        <w:tc>
          <w:tcPr>
            <w:tcW w:w="0" w:type="auto"/>
          </w:tcPr>
          <w:p>
            <w:pPr>
              <w:spacing w:line="240" w:lineRule="auto" w:before="0" w:after="0"/>
              <w:pStyle w:val="Compact"/>
            </w:pPr>
            <w:r>
              <w:rPr>
                <w:sz w:val="20"/>
                <w:szCs w:val="20"/>
              </w:rPr>
              <w:t xml:space="preserve">Astra received FAA license 2020-02-04 (first Part 450 license); Rocket 3.1 orbital attempt 2020-09-12. https://spaceflightnow.com/2020/02/24/fresh-out-of-stealth-mode-astra-gearing-up-for-orbital-launch-from-alaska/ ; https://space.skyrocket.de/doc_lau/astra.htm</w:t>
            </w:r>
          </w:p>
        </w:tc>
      </w:tr>
      <w:tr>
        <w:tc>
          <w:tcPr>
            <w:tcW w:w="0" w:type="auto"/>
          </w:tcPr>
          <w:p>
            <w:pPr>
              <w:spacing w:line="240" w:lineRule="auto" w:before="0" w:after="0"/>
              <w:pStyle w:val="Compact"/>
            </w:pPr>
            <w:r>
              <w:rPr>
                <w:sz w:val="20"/>
                <w:szCs w:val="20"/>
              </w:rPr>
              <w:t xml:space="preserve">Electron LC-2</w:t>
            </w:r>
          </w:p>
        </w:tc>
        <w:tc>
          <w:tcPr>
            <w:tcW w:w="0" w:type="auto"/>
          </w:tcPr>
          <w:p>
            <w:pPr>
              <w:spacing w:line="240" w:lineRule="auto" w:before="0" w:after="0"/>
              <w:pStyle w:val="Compact"/>
            </w:pPr>
            <w:r>
              <w:rPr>
                <w:sz w:val="20"/>
                <w:szCs w:val="20"/>
              </w:rPr>
              <w:t xml:space="preserve">2020-09</w:t>
            </w:r>
          </w:p>
        </w:tc>
        <w:tc>
          <w:tcPr>
            <w:tcW w:w="0" w:type="auto"/>
          </w:tcPr>
          <w:p>
            <w:pPr>
              <w:spacing w:line="240" w:lineRule="auto" w:before="0" w:after="0"/>
              <w:pStyle w:val="Compact"/>
            </w:pPr>
            <w:r>
              <w:rPr>
                <w:sz w:val="20"/>
                <w:szCs w:val="20"/>
              </w:rPr>
              <w:t xml:space="preserve">2023-01</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5.7</w:t>
            </w:r>
          </w:p>
        </w:tc>
        <w:tc>
          <w:tcPr>
            <w:tcW w:w="0" w:type="auto"/>
          </w:tcPr>
          <w:p>
            <w:pPr>
              <w:spacing w:line="240" w:lineRule="auto" w:before="0" w:after="0"/>
              <w:pStyle w:val="Compact"/>
            </w:pPr>
            <w:r>
              <w:rPr>
                <w:sz w:val="20"/>
                <w:szCs w:val="20"/>
              </w:rPr>
              <w:t xml:space="preserve">FAA granted Rocket Lab Electron LC-2 operator license 2020-09-01; first US-soil Electron launch 2023-01-24. https://spacenews.com/rocket-lab-granted-faa-launch-operator-license-for-missions-from-launch-complex-2/ ; https://www.americaspace.com/2023/01/25/rocket-lab-successfully-launches-first-electron-mission-from-u-s-soil/</w:t>
            </w:r>
          </w:p>
        </w:tc>
      </w:tr>
      <w:tr>
        <w:tc>
          <w:tcPr>
            <w:tcW w:w="0" w:type="auto"/>
          </w:tcPr>
          <w:p>
            <w:pPr>
              <w:spacing w:line="240" w:lineRule="auto" w:before="0" w:after="0"/>
              <w:pStyle w:val="Compact"/>
            </w:pPr>
            <w:r>
              <w:rPr>
                <w:sz w:val="20"/>
                <w:szCs w:val="20"/>
              </w:rPr>
              <w:t xml:space="preserve">Firefly Alpha</w:t>
            </w:r>
          </w:p>
        </w:tc>
        <w:tc>
          <w:tcPr>
            <w:tcW w:w="0" w:type="auto"/>
          </w:tcPr>
          <w:p>
            <w:pPr>
              <w:spacing w:line="240" w:lineRule="auto" w:before="0" w:after="0"/>
              <w:pStyle w:val="Compact"/>
            </w:pPr>
            <w:r>
              <w:rPr>
                <w:sz w:val="20"/>
                <w:szCs w:val="20"/>
              </w:rPr>
              <w:t xml:space="preserve">2021-06</w:t>
            </w:r>
          </w:p>
        </w:tc>
        <w:tc>
          <w:tcPr>
            <w:tcW w:w="0" w:type="auto"/>
          </w:tcPr>
          <w:p>
            <w:pPr>
              <w:spacing w:line="240" w:lineRule="auto" w:before="0" w:after="0"/>
              <w:pStyle w:val="Compact"/>
            </w:pPr>
            <w:r>
              <w:rPr>
                <w:sz w:val="20"/>
                <w:szCs w:val="20"/>
              </w:rPr>
              <w:t xml:space="preserve">2021-09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6.85</w:t>
            </w:r>
          </w:p>
        </w:tc>
        <w:tc>
          <w:tcPr>
            <w:tcW w:w="0" w:type="auto"/>
          </w:tcPr>
          <w:p>
            <w:pPr>
              <w:spacing w:line="240" w:lineRule="auto" w:before="0" w:after="0"/>
              <w:pStyle w:val="Compact"/>
            </w:pPr>
            <w:r>
              <w:rPr>
                <w:sz w:val="20"/>
                <w:szCs w:val="20"/>
              </w:rPr>
              <w:t xml:space="preserve">Firefly Alpha FAA license; first orbital attempt 2021-09-03. https://en.wikipedia.org/wiki/Firefly_Alpha ; https://www.faa.gov/media/69446 [license month illustrative]</w:t>
            </w:r>
          </w:p>
        </w:tc>
      </w:tr>
      <w:tr>
        <w:tc>
          <w:tcPr>
            <w:tcW w:w="0" w:type="auto"/>
          </w:tcPr>
          <w:p>
            <w:pPr>
              <w:spacing w:line="240" w:lineRule="auto" w:before="0" w:after="0"/>
              <w:pStyle w:val="Compact"/>
            </w:pPr>
            <w:r>
              <w:rPr>
                <w:sz w:val="20"/>
                <w:szCs w:val="20"/>
              </w:rPr>
              <w:t xml:space="preserve">Astra Rocket 3.3 FL</w:t>
            </w:r>
          </w:p>
        </w:tc>
        <w:tc>
          <w:tcPr>
            <w:tcW w:w="0" w:type="auto"/>
          </w:tcPr>
          <w:p>
            <w:pPr>
              <w:spacing w:line="240" w:lineRule="auto" w:before="0" w:after="0"/>
              <w:pStyle w:val="Compact"/>
            </w:pPr>
            <w:r>
              <w:rPr>
                <w:sz w:val="20"/>
                <w:szCs w:val="20"/>
              </w:rPr>
              <w:t xml:space="preserve">2022-02</w:t>
            </w:r>
          </w:p>
        </w:tc>
        <w:tc>
          <w:tcPr>
            <w:tcW w:w="0" w:type="auto"/>
          </w:tcPr>
          <w:p>
            <w:pPr>
              <w:spacing w:line="240" w:lineRule="auto" w:before="0" w:after="0"/>
              <w:pStyle w:val="Compact"/>
            </w:pPr>
            <w:r>
              <w:rPr>
                <w:sz w:val="20"/>
                <w:szCs w:val="20"/>
              </w:rPr>
              <w:t xml:space="preserve">2022-02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4.61</w:t>
            </w:r>
          </w:p>
        </w:tc>
        <w:tc>
          <w:tcPr>
            <w:tcW w:w="0" w:type="auto"/>
          </w:tcPr>
          <w:p>
            <w:pPr>
              <w:spacing w:line="240" w:lineRule="auto" w:before="0" w:after="0"/>
              <w:pStyle w:val="Compact"/>
            </w:pPr>
            <w:r>
              <w:rPr>
                <w:sz w:val="20"/>
                <w:szCs w:val="20"/>
              </w:rPr>
              <w:t xml:space="preserve">Astra received FAA license 2022-02-04 for first launch from Florida (Part 450); LV0008 launch 2022-02-10. https://spaceflightnow.com/2022/02/04/astra-receives-faa-license-for-first-launch-from-florida/</w:t>
            </w:r>
          </w:p>
        </w:tc>
      </w:tr>
      <w:tr>
        <w:tc>
          <w:tcPr>
            <w:tcW w:w="0" w:type="auto"/>
          </w:tcPr>
          <w:p>
            <w:pPr>
              <w:spacing w:line="240" w:lineRule="auto" w:before="0" w:after="0"/>
              <w:pStyle w:val="Compact"/>
            </w:pPr>
            <w:r>
              <w:rPr>
                <w:sz w:val="20"/>
                <w:szCs w:val="20"/>
              </w:rPr>
              <w:t xml:space="preserve">ABL RS1</w:t>
            </w:r>
          </w:p>
        </w:tc>
        <w:tc>
          <w:tcPr>
            <w:tcW w:w="0" w:type="auto"/>
          </w:tcPr>
          <w:p>
            <w:pPr>
              <w:spacing w:line="240" w:lineRule="auto" w:before="0" w:after="0"/>
              <w:pStyle w:val="Compact"/>
            </w:pPr>
            <w:r>
              <w:rPr>
                <w:sz w:val="20"/>
                <w:szCs w:val="20"/>
              </w:rPr>
              <w:t xml:space="preserve">2022-09</w:t>
            </w:r>
          </w:p>
        </w:tc>
        <w:tc>
          <w:tcPr>
            <w:tcW w:w="0" w:type="auto"/>
          </w:tcPr>
          <w:p>
            <w:pPr>
              <w:spacing w:line="240" w:lineRule="auto" w:before="0" w:after="0"/>
              <w:pStyle w:val="Compact"/>
            </w:pPr>
            <w:r>
              <w:rPr>
                <w:sz w:val="20"/>
                <w:szCs w:val="20"/>
              </w:rPr>
              <w:t xml:space="preserve">2023-01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6.91</w:t>
            </w:r>
          </w:p>
        </w:tc>
        <w:tc>
          <w:tcPr>
            <w:tcW w:w="0" w:type="auto"/>
          </w:tcPr>
          <w:p>
            <w:pPr>
              <w:spacing w:line="240" w:lineRule="auto" w:before="0" w:after="0"/>
              <w:pStyle w:val="Compact"/>
            </w:pPr>
            <w:r>
              <w:rPr>
                <w:sz w:val="20"/>
                <w:szCs w:val="20"/>
              </w:rPr>
              <w:t xml:space="preserve">ABL Space Systems FAA license VOL 22-125 (2022); RS1 first flight 2023-01-10. https://www.faa.gov/about/office_org/headquarters_offices/ast/licenses_permits/media/License_Number_%20VOL_22-125.pdf ; https://en.wikipedia.org/wiki/ABL_Space_Systems [license month illustrative]</w:t>
            </w:r>
          </w:p>
        </w:tc>
      </w:tr>
      <w:tr>
        <w:tc>
          <w:tcPr>
            <w:tcW w:w="0" w:type="auto"/>
          </w:tcPr>
          <w:p>
            <w:pPr>
              <w:spacing w:line="240" w:lineRule="auto" w:before="0" w:after="0"/>
              <w:pStyle w:val="Compact"/>
            </w:pPr>
            <w:r>
              <w:rPr>
                <w:sz w:val="20"/>
                <w:szCs w:val="20"/>
              </w:rPr>
              <w:t xml:space="preserve">Terran 1</w:t>
            </w:r>
          </w:p>
        </w:tc>
        <w:tc>
          <w:tcPr>
            <w:tcW w:w="0" w:type="auto"/>
          </w:tcPr>
          <w:p>
            <w:pPr>
              <w:spacing w:line="240" w:lineRule="auto" w:before="0" w:after="0"/>
              <w:pStyle w:val="Compact"/>
            </w:pPr>
            <w:r>
              <w:rPr>
                <w:sz w:val="20"/>
                <w:szCs w:val="20"/>
              </w:rPr>
              <w:t xml:space="preserve">2023-02</w:t>
            </w:r>
          </w:p>
        </w:tc>
        <w:tc>
          <w:tcPr>
            <w:tcW w:w="0" w:type="auto"/>
          </w:tcPr>
          <w:p>
            <w:pPr>
              <w:spacing w:line="240" w:lineRule="auto" w:before="0" w:after="0"/>
              <w:pStyle w:val="Compact"/>
            </w:pPr>
            <w:r>
              <w:rPr>
                <w:sz w:val="20"/>
                <w:szCs w:val="20"/>
              </w:rPr>
              <w:t xml:space="preserve">2023-03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7.16</w:t>
            </w:r>
          </w:p>
        </w:tc>
        <w:tc>
          <w:tcPr>
            <w:tcW w:w="0" w:type="auto"/>
          </w:tcPr>
          <w:p>
            <w:pPr>
              <w:spacing w:line="240" w:lineRule="auto" w:before="0" w:after="0"/>
              <w:pStyle w:val="Compact"/>
            </w:pPr>
            <w:r>
              <w:rPr>
                <w:sz w:val="20"/>
                <w:szCs w:val="20"/>
              </w:rPr>
              <w:t xml:space="preserve">FAA granted Relativity Terran 1 launch license 2023-02-21; first and only flight 2023-03-23. https://www.tctmagazine.com/additive-manufacturing-3d-printing-news/latest-additive-manufacturing-3d-printing-news/relativity-space-secures-faa-launch-license-for-terran-1/ ; https://en.wikipedia.org/wiki/Terran_1</w:t>
            </w:r>
          </w:p>
        </w:tc>
      </w:tr>
      <w:tr>
        <w:tc>
          <w:tcPr>
            <w:tcW w:w="0" w:type="auto"/>
          </w:tcPr>
          <w:p>
            <w:pPr>
              <w:spacing w:line="240" w:lineRule="auto" w:before="0" w:after="0"/>
              <w:pStyle w:val="Compact"/>
            </w:pPr>
            <w:r>
              <w:rPr>
                <w:sz w:val="20"/>
                <w:szCs w:val="20"/>
              </w:rPr>
              <w:t xml:space="preserve">Starship IFT-1</w:t>
            </w:r>
          </w:p>
        </w:tc>
        <w:tc>
          <w:tcPr>
            <w:tcW w:w="0" w:type="auto"/>
          </w:tcPr>
          <w:p>
            <w:pPr>
              <w:spacing w:line="240" w:lineRule="auto" w:before="0" w:after="0"/>
              <w:pStyle w:val="Compact"/>
            </w:pPr>
            <w:r>
              <w:rPr>
                <w:sz w:val="20"/>
                <w:szCs w:val="20"/>
              </w:rPr>
              <w:t xml:space="preserve">2023-04</w:t>
            </w:r>
          </w:p>
        </w:tc>
        <w:tc>
          <w:tcPr>
            <w:tcW w:w="0" w:type="auto"/>
          </w:tcPr>
          <w:p>
            <w:pPr>
              <w:spacing w:line="240" w:lineRule="auto" w:before="0" w:after="0"/>
              <w:pStyle w:val="Compact"/>
            </w:pPr>
            <w:r>
              <w:rPr>
                <w:sz w:val="20"/>
                <w:szCs w:val="20"/>
              </w:rPr>
              <w:t xml:space="preserve">2023-04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11.7</w:t>
            </w:r>
          </w:p>
        </w:tc>
        <w:tc>
          <w:tcPr>
            <w:tcW w:w="0" w:type="auto"/>
          </w:tcPr>
          <w:p>
            <w:pPr>
              <w:spacing w:line="240" w:lineRule="auto" w:before="0" w:after="0"/>
              <w:pStyle w:val="Compact"/>
            </w:pPr>
            <w:r>
              <w:rPr>
                <w:sz w:val="20"/>
                <w:szCs w:val="20"/>
              </w:rPr>
              <w:t xml:space="preserve">FAA issued Starship-Super Heavy license VOL 23-129 on 2023-04-14; first integrated flight test 2023-04-20. https://spacenews.com/faa-issues-license-for-first-starship-integrated-test-flight/ ; https://www.faa.gov/media/69476</w:t>
            </w:r>
          </w:p>
        </w:tc>
      </w:tr>
      <w:tr>
        <w:tc>
          <w:tcPr>
            <w:tcW w:w="0" w:type="auto"/>
          </w:tcPr>
          <w:p>
            <w:pPr>
              <w:spacing w:line="240" w:lineRule="auto" w:before="0" w:after="0"/>
              <w:pStyle w:val="Compact"/>
            </w:pPr>
            <w:r>
              <w:rPr>
                <w:sz w:val="20"/>
                <w:szCs w:val="20"/>
              </w:rPr>
              <w:t xml:space="preserve">Vulcan Centaur</w:t>
            </w:r>
          </w:p>
        </w:tc>
        <w:tc>
          <w:tcPr>
            <w:tcW w:w="0" w:type="auto"/>
          </w:tcPr>
          <w:p>
            <w:pPr>
              <w:spacing w:line="240" w:lineRule="auto" w:before="0" w:after="0"/>
              <w:pStyle w:val="Compact"/>
            </w:pPr>
            <w:r>
              <w:rPr>
                <w:sz w:val="20"/>
                <w:szCs w:val="20"/>
              </w:rPr>
              <w:t xml:space="preserve">2023-11</w:t>
            </w:r>
          </w:p>
        </w:tc>
        <w:tc>
          <w:tcPr>
            <w:tcW w:w="0" w:type="auto"/>
          </w:tcPr>
          <w:p>
            <w:pPr>
              <w:spacing w:line="240" w:lineRule="auto" w:before="0" w:after="0"/>
              <w:pStyle w:val="Compact"/>
            </w:pPr>
            <w:r>
              <w:rPr>
                <w:sz w:val="20"/>
                <w:szCs w:val="20"/>
              </w:rPr>
              <w:t xml:space="preserve">2024-01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9.95</w:t>
            </w:r>
          </w:p>
        </w:tc>
        <w:tc>
          <w:tcPr>
            <w:tcW w:w="0" w:type="auto"/>
          </w:tcPr>
          <w:p>
            <w:pPr>
              <w:spacing w:line="240" w:lineRule="auto" w:before="0" w:after="0"/>
              <w:pStyle w:val="Compact"/>
            </w:pPr>
            <w:r>
              <w:rPr>
                <w:sz w:val="20"/>
                <w:szCs w:val="20"/>
              </w:rPr>
              <w:t xml:space="preserve">ULA Vulcan Cert-1; FAA-licensed first flight 2024-01-08. https://www.ulalaunch.com/missions/archived-launched/vulcan-cert-1 ; https://en.wikipedia.org/wiki/Vulcan_Centaur [license month illustrative]</w:t>
            </w:r>
          </w:p>
        </w:tc>
      </w:tr>
      <w:tr>
        <w:tc>
          <w:tcPr>
            <w:tcW w:w="0" w:type="auto"/>
          </w:tcPr>
          <w:p>
            <w:pPr>
              <w:spacing w:line="240" w:lineRule="auto" w:before="0" w:after="0"/>
              <w:pStyle w:val="Compact"/>
            </w:pPr>
            <w:r>
              <w:rPr>
                <w:sz w:val="20"/>
                <w:szCs w:val="20"/>
              </w:rPr>
              <w:t xml:space="preserve">New Glenn</w:t>
            </w:r>
          </w:p>
        </w:tc>
        <w:tc>
          <w:tcPr>
            <w:tcW w:w="0" w:type="auto"/>
          </w:tcPr>
          <w:p>
            <w:pPr>
              <w:spacing w:line="240" w:lineRule="auto" w:before="0" w:after="0"/>
              <w:pStyle w:val="Compact"/>
            </w:pPr>
            <w:r>
              <w:rPr>
                <w:sz w:val="20"/>
                <w:szCs w:val="20"/>
              </w:rPr>
              <w:t xml:space="preserve">2024-12</w:t>
            </w:r>
          </w:p>
        </w:tc>
        <w:tc>
          <w:tcPr>
            <w:tcW w:w="0" w:type="auto"/>
          </w:tcPr>
          <w:p>
            <w:pPr>
              <w:spacing w:line="240" w:lineRule="auto" w:before="0" w:after="0"/>
              <w:pStyle w:val="Compact"/>
            </w:pPr>
            <w:r>
              <w:rPr>
                <w:sz w:val="20"/>
                <w:szCs w:val="20"/>
              </w:rPr>
              <w:t xml:space="preserve">2025-01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10.7</w:t>
            </w:r>
          </w:p>
        </w:tc>
        <w:tc>
          <w:tcPr>
            <w:tcW w:w="0" w:type="auto"/>
          </w:tcPr>
          <w:p>
            <w:pPr>
              <w:spacing w:line="240" w:lineRule="auto" w:before="0" w:after="0"/>
              <w:pStyle w:val="Compact"/>
            </w:pPr>
            <w:r>
              <w:rPr>
                <w:sz w:val="20"/>
                <w:szCs w:val="20"/>
              </w:rPr>
              <w:t xml:space="preserve">FAA issued New Glenn commercial launch license 2024-12-27; first flight 2025-01-16. https://spaceflightnow.com/2024/12/27/faa-grants-commercial-launch-license-to-blue-origins-new-glenn-rocket/</w:t>
            </w:r>
          </w:p>
        </w:tc>
      </w:tr>
      <w:tr>
        <w:tc>
          <w:tcPr>
            <w:tcW w:w="0" w:type="auto"/>
          </w:tcPr>
          <w:p>
            <w:pPr>
              <w:spacing w:line="240" w:lineRule="auto" w:before="0" w:after="0"/>
              <w:pStyle w:val="Compact"/>
            </w:pPr>
            <w:r>
              <w:rPr>
                <w:sz w:val="20"/>
                <w:szCs w:val="20"/>
              </w:rPr>
              <w:t xml:space="preserve">Pegasus XL</w:t>
            </w:r>
          </w:p>
        </w:tc>
        <w:tc>
          <w:tcPr>
            <w:tcW w:w="0" w:type="auto"/>
          </w:tcPr>
          <w:p>
            <w:pPr>
              <w:spacing w:line="240" w:lineRule="auto" w:before="0" w:after="0"/>
              <w:pStyle w:val="Compact"/>
            </w:pPr>
            <w:r>
              <w:rPr>
                <w:sz w:val="20"/>
                <w:szCs w:val="20"/>
              </w:rPr>
              <w:t xml:space="preserve">1994-04</w:t>
            </w:r>
          </w:p>
        </w:tc>
        <w:tc>
          <w:tcPr>
            <w:tcW w:w="0" w:type="auto"/>
          </w:tcPr>
          <w:p>
            <w:pPr>
              <w:spacing w:line="240" w:lineRule="auto" w:before="0" w:after="0"/>
              <w:pStyle w:val="Compact"/>
            </w:pPr>
            <w:r>
              <w:rPr>
                <w:sz w:val="20"/>
                <w:szCs w:val="20"/>
              </w:rPr>
              <w:t xml:space="preserve">1994-06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6.13</w:t>
            </w:r>
          </w:p>
        </w:tc>
        <w:tc>
          <w:tcPr>
            <w:tcW w:w="0" w:type="auto"/>
          </w:tcPr>
          <w:p>
            <w:pPr>
              <w:spacing w:line="240" w:lineRule="auto" w:before="0" w:after="0"/>
              <w:pStyle w:val="Compact"/>
            </w:pPr>
            <w:r>
              <w:rPr>
                <w:sz w:val="20"/>
                <w:szCs w:val="20"/>
              </w:rPr>
              <w:t xml:space="preserve">Pegasus XL FAA AST-licensed commercial air-launch vehicle, first XL flight 1994-06. https://en.wikipedia.org/wiki/Northrop_Grumman_Pegasus ; https://space.skyrocket.de/doc_lau/pegasus.htm [license month illustrative]</w:t>
            </w:r>
          </w:p>
        </w:tc>
      </w:tr>
      <w:tr>
        <w:tc>
          <w:tcPr>
            <w:tcW w:w="0" w:type="auto"/>
          </w:tcPr>
          <w:p>
            <w:pPr>
              <w:spacing w:line="240" w:lineRule="auto" w:before="0" w:after="0"/>
              <w:pStyle w:val="Compact"/>
            </w:pPr>
            <w:r>
              <w:rPr>
                <w:sz w:val="20"/>
                <w:szCs w:val="20"/>
              </w:rPr>
              <w:t xml:space="preserve">Minotaur-C (Taurus)</w:t>
            </w:r>
          </w:p>
        </w:tc>
        <w:tc>
          <w:tcPr>
            <w:tcW w:w="0" w:type="auto"/>
          </w:tcPr>
          <w:p>
            <w:pPr>
              <w:spacing w:line="240" w:lineRule="auto" w:before="0" w:after="0"/>
              <w:pStyle w:val="Compact"/>
            </w:pPr>
            <w:r>
              <w:rPr>
                <w:sz w:val="20"/>
                <w:szCs w:val="20"/>
              </w:rPr>
              <w:t xml:space="preserve">2017-08</w:t>
            </w:r>
          </w:p>
        </w:tc>
        <w:tc>
          <w:tcPr>
            <w:tcW w:w="0" w:type="auto"/>
          </w:tcPr>
          <w:p>
            <w:pPr>
              <w:spacing w:line="240" w:lineRule="auto" w:before="0" w:after="0"/>
              <w:pStyle w:val="Compact"/>
            </w:pPr>
            <w:r>
              <w:rPr>
                <w:sz w:val="20"/>
                <w:szCs w:val="20"/>
              </w:rPr>
              <w:t xml:space="preserve">2017-10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6.26</w:t>
            </w:r>
          </w:p>
        </w:tc>
        <w:tc>
          <w:tcPr>
            <w:tcW w:w="0" w:type="auto"/>
          </w:tcPr>
          <w:p>
            <w:pPr>
              <w:spacing w:line="240" w:lineRule="auto" w:before="0" w:after="0"/>
              <w:pStyle w:val="Compact"/>
            </w:pPr>
            <w:r>
              <w:rPr>
                <w:sz w:val="20"/>
                <w:szCs w:val="20"/>
              </w:rPr>
              <w:t xml:space="preserve">Minotaur-C/Taurus FAA AST-licensed commercial launch; return-to-flight 2017-10-31. https://en.wikipedia.org/wiki/Minotaur-C [license month illustrative]</w:t>
            </w:r>
          </w:p>
        </w:tc>
      </w:tr>
      <w:tr>
        <w:tc>
          <w:tcPr>
            <w:tcW w:w="0" w:type="auto"/>
          </w:tcPr>
          <w:p>
            <w:pPr>
              <w:spacing w:line="240" w:lineRule="auto" w:before="0" w:after="0"/>
              <w:pStyle w:val="Compact"/>
            </w:pPr>
            <w:r>
              <w:rPr>
                <w:sz w:val="20"/>
                <w:szCs w:val="20"/>
              </w:rPr>
              <w:t xml:space="preserve">Falcon 9 v1.1</w:t>
            </w:r>
          </w:p>
        </w:tc>
        <w:tc>
          <w:tcPr>
            <w:tcW w:w="0" w:type="auto"/>
          </w:tcPr>
          <w:p>
            <w:pPr>
              <w:spacing w:line="240" w:lineRule="auto" w:before="0" w:after="0"/>
              <w:pStyle w:val="Compact"/>
            </w:pPr>
            <w:r>
              <w:rPr>
                <w:sz w:val="20"/>
                <w:szCs w:val="20"/>
              </w:rPr>
              <w:t xml:space="preserve">2013-08</w:t>
            </w:r>
          </w:p>
        </w:tc>
        <w:tc>
          <w:tcPr>
            <w:tcW w:w="0" w:type="auto"/>
          </w:tcPr>
          <w:p>
            <w:pPr>
              <w:spacing w:line="240" w:lineRule="auto" w:before="0" w:after="0"/>
              <w:pStyle w:val="Compact"/>
            </w:pPr>
            <w:r>
              <w:rPr>
                <w:sz w:val="20"/>
                <w:szCs w:val="20"/>
              </w:rPr>
              <w:t xml:space="preserve">2013-09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9.49</w:t>
            </w:r>
          </w:p>
        </w:tc>
        <w:tc>
          <w:tcPr>
            <w:tcW w:w="0" w:type="auto"/>
          </w:tcPr>
          <w:p>
            <w:pPr>
              <w:spacing w:line="240" w:lineRule="auto" w:before="0" w:after="0"/>
              <w:pStyle w:val="Compact"/>
            </w:pPr>
            <w:r>
              <w:rPr>
                <w:sz w:val="20"/>
                <w:szCs w:val="20"/>
              </w:rPr>
              <w:t xml:space="preserve">SpaceX Falcon program FAA license LLO history; Falcon 9 v1.1 maiden 2013-09-29. https://www.faa.gov/space/stakeholder_engagement/SpaceX_Falcon_Program ; https://en.wikipedia.org/wiki/List_of_Falcon_9_and_Falcon_Heavy_launches [license month illustrative]</w:t>
            </w:r>
          </w:p>
        </w:tc>
      </w:tr>
      <w:tr>
        <w:tc>
          <w:tcPr>
            <w:tcW w:w="0" w:type="auto"/>
          </w:tcPr>
          <w:p>
            <w:pPr>
              <w:spacing w:line="240" w:lineRule="auto" w:before="0" w:after="0"/>
              <w:pStyle w:val="Compact"/>
            </w:pPr>
            <w:r>
              <w:rPr>
                <w:sz w:val="20"/>
                <w:szCs w:val="20"/>
              </w:rPr>
              <w:t xml:space="preserve">Antares 230</w:t>
            </w:r>
          </w:p>
        </w:tc>
        <w:tc>
          <w:tcPr>
            <w:tcW w:w="0" w:type="auto"/>
          </w:tcPr>
          <w:p>
            <w:pPr>
              <w:spacing w:line="240" w:lineRule="auto" w:before="0" w:after="0"/>
              <w:pStyle w:val="Compact"/>
            </w:pPr>
            <w:r>
              <w:rPr>
                <w:sz w:val="20"/>
                <w:szCs w:val="20"/>
              </w:rPr>
              <w:t xml:space="preserve">2016-09</w:t>
            </w:r>
          </w:p>
        </w:tc>
        <w:tc>
          <w:tcPr>
            <w:tcW w:w="0" w:type="auto"/>
          </w:tcPr>
          <w:p>
            <w:pPr>
              <w:spacing w:line="240" w:lineRule="auto" w:before="0" w:after="0"/>
              <w:pStyle w:val="Compact"/>
            </w:pPr>
            <w:r>
              <w:rPr>
                <w:sz w:val="20"/>
                <w:szCs w:val="20"/>
              </w:rPr>
              <w:t xml:space="preserve">2016-10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8.92</w:t>
            </w:r>
          </w:p>
        </w:tc>
        <w:tc>
          <w:tcPr>
            <w:tcW w:w="0" w:type="auto"/>
          </w:tcPr>
          <w:p>
            <w:pPr>
              <w:spacing w:line="240" w:lineRule="auto" w:before="0" w:after="0"/>
              <w:pStyle w:val="Compact"/>
            </w:pPr>
            <w:r>
              <w:rPr>
                <w:sz w:val="20"/>
                <w:szCs w:val="20"/>
              </w:rPr>
              <w:t xml:space="preserve">Antares return-to-flight 230 config first flight 2016-10-17 under FAA AST license. https://en.wikipedia.org/wiki/Antares_(rocket) [license month illustrative]</w:t>
            </w:r>
          </w:p>
        </w:tc>
      </w:tr>
      <w:tr>
        <w:tc>
          <w:tcPr>
            <w:tcW w:w="0" w:type="auto"/>
          </w:tcPr>
          <w:p>
            <w:pPr>
              <w:spacing w:line="240" w:lineRule="auto" w:before="0" w:after="0"/>
              <w:pStyle w:val="Compact"/>
            </w:pPr>
            <w:r>
              <w:rPr>
                <w:sz w:val="20"/>
                <w:szCs w:val="20"/>
              </w:rPr>
              <w:t xml:space="preserve">Electron LC-1</w:t>
            </w:r>
          </w:p>
        </w:tc>
        <w:tc>
          <w:tcPr>
            <w:tcW w:w="0" w:type="auto"/>
          </w:tcPr>
          <w:p>
            <w:pPr>
              <w:spacing w:line="240" w:lineRule="auto" w:before="0" w:after="0"/>
              <w:pStyle w:val="Compact"/>
            </w:pPr>
            <w:r>
              <w:rPr>
                <w:sz w:val="20"/>
                <w:szCs w:val="20"/>
              </w:rPr>
              <w:t xml:space="preserve">2017-05</w:t>
            </w:r>
          </w:p>
        </w:tc>
        <w:tc>
          <w:tcPr>
            <w:tcW w:w="0" w:type="auto"/>
          </w:tcPr>
          <w:p>
            <w:pPr>
              <w:spacing w:line="240" w:lineRule="auto" w:before="0" w:after="0"/>
              <w:pStyle w:val="Compact"/>
            </w:pPr>
            <w:r>
              <w:rPr>
                <w:sz w:val="20"/>
                <w:szCs w:val="20"/>
              </w:rPr>
              <w:t xml:space="preserve">2017-05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5.7</w:t>
            </w:r>
          </w:p>
        </w:tc>
        <w:tc>
          <w:tcPr>
            <w:tcW w:w="0" w:type="auto"/>
          </w:tcPr>
          <w:p>
            <w:pPr>
              <w:spacing w:line="240" w:lineRule="auto" w:before="0" w:after="0"/>
              <w:pStyle w:val="Compact"/>
            </w:pPr>
            <w:r>
              <w:rPr>
                <w:sz w:val="20"/>
                <w:szCs w:val="20"/>
              </w:rPr>
              <w:t xml:space="preserve">Rocket Lab Electron first flight (It’s a Test) 2017-05-25, FAA-licensed New Zealand operations coordinated via FAA. https://space.skyrocket.de/doc_lau/electron.htm [license month illustrative]</w:t>
            </w:r>
          </w:p>
        </w:tc>
      </w:tr>
      <w:tr>
        <w:tc>
          <w:tcPr>
            <w:tcW w:w="0" w:type="auto"/>
          </w:tcPr>
          <w:p>
            <w:pPr>
              <w:spacing w:line="240" w:lineRule="auto" w:before="0" w:after="0"/>
              <w:pStyle w:val="Compact"/>
            </w:pPr>
            <w:r>
              <w:rPr>
                <w:sz w:val="20"/>
                <w:szCs w:val="20"/>
              </w:rPr>
              <w:t xml:space="preserve">Astra Rocket 3.2</w:t>
            </w:r>
          </w:p>
        </w:tc>
        <w:tc>
          <w:tcPr>
            <w:tcW w:w="0" w:type="auto"/>
          </w:tcPr>
          <w:p>
            <w:pPr>
              <w:spacing w:line="240" w:lineRule="auto" w:before="0" w:after="0"/>
              <w:pStyle w:val="Compact"/>
            </w:pPr>
            <w:r>
              <w:rPr>
                <w:sz w:val="20"/>
                <w:szCs w:val="20"/>
              </w:rPr>
              <w:t xml:space="preserve">2020-11</w:t>
            </w:r>
          </w:p>
        </w:tc>
        <w:tc>
          <w:tcPr>
            <w:tcW w:w="0" w:type="auto"/>
          </w:tcPr>
          <w:p>
            <w:pPr>
              <w:spacing w:line="240" w:lineRule="auto" w:before="0" w:after="0"/>
              <w:pStyle w:val="Compact"/>
            </w:pPr>
            <w:r>
              <w:rPr>
                <w:sz w:val="20"/>
                <w:szCs w:val="20"/>
              </w:rPr>
              <w:t xml:space="preserve">2020-12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4.61</w:t>
            </w:r>
          </w:p>
        </w:tc>
        <w:tc>
          <w:tcPr>
            <w:tcW w:w="0" w:type="auto"/>
          </w:tcPr>
          <w:p>
            <w:pPr>
              <w:spacing w:line="240" w:lineRule="auto" w:before="0" w:after="0"/>
              <w:pStyle w:val="Compact"/>
            </w:pPr>
            <w:r>
              <w:rPr>
                <w:sz w:val="20"/>
                <w:szCs w:val="20"/>
              </w:rPr>
              <w:t xml:space="preserve">Astra Rocket 3.2 (LV0005) launch 2020-12-15 under FAA Part 450 license. https://space.skyrocket.de/doc_lau/astra.htm [license month illustrative]</w:t>
            </w:r>
          </w:p>
        </w:tc>
      </w:tr>
      <w:tr>
        <w:tc>
          <w:tcPr>
            <w:tcW w:w="0" w:type="auto"/>
          </w:tcPr>
          <w:p>
            <w:pPr>
              <w:spacing w:line="240" w:lineRule="auto" w:before="0" w:after="0"/>
              <w:pStyle w:val="Compact"/>
            </w:pPr>
            <w:r>
              <w:rPr>
                <w:sz w:val="20"/>
                <w:szCs w:val="20"/>
              </w:rPr>
              <w:t xml:space="preserve">RS1 Flight 2</w:t>
            </w:r>
          </w:p>
        </w:tc>
        <w:tc>
          <w:tcPr>
            <w:tcW w:w="0" w:type="auto"/>
          </w:tcPr>
          <w:p>
            <w:pPr>
              <w:spacing w:line="240" w:lineRule="auto" w:before="0" w:after="0"/>
              <w:pStyle w:val="Compact"/>
            </w:pPr>
            <w:r>
              <w:rPr>
                <w:sz w:val="20"/>
                <w:szCs w:val="20"/>
              </w:rPr>
              <w:t xml:space="preserve">2023-09</w:t>
            </w:r>
          </w:p>
        </w:tc>
        <w:tc>
          <w:tcPr>
            <w:tcW w:w="0" w:type="auto"/>
          </w:tcPr>
          <w:p>
            <w:pPr>
              <w:spacing w:line="240" w:lineRule="auto" w:before="0" w:after="0"/>
              <w:pStyle w:val="Compact"/>
            </w:pPr>
            <w:r>
              <w:rPr>
                <w:sz w:val="20"/>
                <w:szCs w:val="20"/>
              </w:rPr>
              <w:t xml:space="preserve">2024-08</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6.91</w:t>
            </w:r>
          </w:p>
        </w:tc>
        <w:tc>
          <w:tcPr>
            <w:tcW w:w="0" w:type="auto"/>
          </w:tcPr>
          <w:p>
            <w:pPr>
              <w:spacing w:line="240" w:lineRule="auto" w:before="0" w:after="0"/>
              <w:pStyle w:val="Compact"/>
            </w:pPr>
            <w:r>
              <w:rPr>
                <w:sz w:val="20"/>
                <w:szCs w:val="20"/>
              </w:rPr>
              <w:t xml:space="preserve">ABL RS1 program; after 2023-01 failure, return-to-flight delayed and ABL exited commercial orbital launch in 2024 without a second orbital flight (right-censored at program exit). https://en.wikipedia.org/wiki/ABL_Space_Systems [event=0 censored; license month illustrative]</w:t>
            </w:r>
          </w:p>
        </w:tc>
      </w:tr>
      <w:tr>
        <w:tc>
          <w:tcPr>
            <w:tcW w:w="0" w:type="auto"/>
          </w:tcPr>
          <w:p>
            <w:pPr>
              <w:spacing w:line="240" w:lineRule="auto" w:before="0" w:after="0"/>
              <w:pStyle w:val="Compact"/>
            </w:pPr>
            <w:r>
              <w:rPr>
                <w:sz w:val="20"/>
                <w:szCs w:val="20"/>
              </w:rPr>
              <w:t xml:space="preserve">LauncherOne UK</w:t>
            </w:r>
          </w:p>
        </w:tc>
        <w:tc>
          <w:tcPr>
            <w:tcW w:w="0" w:type="auto"/>
          </w:tcPr>
          <w:p>
            <w:pPr>
              <w:spacing w:line="240" w:lineRule="auto" w:before="0" w:after="0"/>
              <w:pStyle w:val="Compact"/>
            </w:pPr>
            <w:r>
              <w:rPr>
                <w:sz w:val="20"/>
                <w:szCs w:val="20"/>
              </w:rPr>
              <w:t xml:space="preserve">2022-12</w:t>
            </w:r>
          </w:p>
        </w:tc>
        <w:tc>
          <w:tcPr>
            <w:tcW w:w="0" w:type="auto"/>
          </w:tcPr>
          <w:p>
            <w:pPr>
              <w:spacing w:line="240" w:lineRule="auto" w:before="0" w:after="0"/>
              <w:pStyle w:val="Compact"/>
            </w:pPr>
            <w:r>
              <w:rPr>
                <w:sz w:val="20"/>
                <w:szCs w:val="20"/>
              </w:rPr>
              <w:t xml:space="preserve">2023-01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6.21</w:t>
            </w:r>
          </w:p>
        </w:tc>
        <w:tc>
          <w:tcPr>
            <w:tcW w:w="0" w:type="auto"/>
          </w:tcPr>
          <w:p>
            <w:pPr>
              <w:spacing w:line="240" w:lineRule="auto" w:before="0" w:after="0"/>
              <w:pStyle w:val="Compact"/>
            </w:pPr>
            <w:r>
              <w:rPr>
                <w:sz w:val="20"/>
                <w:szCs w:val="20"/>
              </w:rPr>
              <w:t xml:space="preserve">Virgin Orbit LauncherOne; after Start Me Up failure 2023-01-09 the company ceased operations (no subsequent licensed orbital flight; censored). https://www.nasaspaceflight.com/2023/01/virgin-orbit-start-me-up/ ; https://en.wikipedia.org/wiki/Virgin_Orbit</w:t>
            </w:r>
          </w:p>
        </w:tc>
      </w:tr>
      <w:tr>
        <w:tc>
          <w:tcPr>
            <w:tcW w:w="0" w:type="auto"/>
          </w:tcPr>
          <w:p>
            <w:pPr>
              <w:spacing w:line="240" w:lineRule="auto" w:before="0" w:after="0"/>
              <w:pStyle w:val="Compact"/>
            </w:pPr>
            <w:r>
              <w:rPr>
                <w:sz w:val="20"/>
                <w:szCs w:val="20"/>
              </w:rPr>
              <w:t xml:space="preserve">Alpha FLTA006</w:t>
            </w:r>
          </w:p>
        </w:tc>
        <w:tc>
          <w:tcPr>
            <w:tcW w:w="0" w:type="auto"/>
          </w:tcPr>
          <w:p>
            <w:pPr>
              <w:spacing w:line="240" w:lineRule="auto" w:before="0" w:after="0"/>
              <w:pStyle w:val="Compact"/>
            </w:pPr>
            <w:r>
              <w:rPr>
                <w:sz w:val="20"/>
                <w:szCs w:val="20"/>
              </w:rPr>
              <w:t xml:space="preserve">2025-09</w:t>
            </w:r>
          </w:p>
        </w:tc>
        <w:tc>
          <w:tcPr>
            <w:tcW w:w="0" w:type="auto"/>
          </w:tcPr>
          <w:p>
            <w:pPr>
              <w:spacing w:line="240" w:lineRule="auto" w:before="0" w:after="0"/>
              <w:pStyle w:val="Compact"/>
            </w:pPr>
            <w:r>
              <w:rPr>
                <w:sz w:val="20"/>
                <w:szCs w:val="20"/>
              </w:rPr>
              <w:t xml:space="preserve">2026-04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6.85</w:t>
            </w:r>
          </w:p>
        </w:tc>
        <w:tc>
          <w:tcPr>
            <w:tcW w:w="0" w:type="auto"/>
          </w:tcPr>
          <w:p>
            <w:pPr>
              <w:spacing w:line="240" w:lineRule="auto" w:before="0" w:after="0"/>
              <w:pStyle w:val="Compact"/>
            </w:pPr>
            <w:r>
              <w:rPr>
                <w:sz w:val="20"/>
                <w:szCs w:val="20"/>
              </w:rPr>
              <w:t xml:space="preserve">Firefly Alpha cleared to resume flight by FAA 2025-09; next flight not yet conducted as of 2026-06 cutoff (right-censored). https://aiaa.org/2025/09/16/firefly-aerospaces-alpha-rocket-cleared-to-fly-again/ [event=0 censored; latency to cutoff]</w:t>
            </w:r>
          </w:p>
        </w:tc>
      </w:tr>
    </w:tbl>
    <w:bookmarkEnd w:id="244"/>
    <w:bookmarkStart w:id="245" w:name="variable-construction-2"/>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latency_months</w:t>
            </w:r>
          </w:p>
        </w:tc>
        <w:tc>
          <w:tcPr>
            <w:tcW w:w="0" w:type="auto"/>
          </w:tcPr>
          <w:p>
            <w:pPr>
              <w:spacing w:line="240" w:lineRule="auto" w:before="0" w:after="0"/>
              <w:pStyle w:val="Compact"/>
            </w:pPr>
            <w:r>
              <w:rPr>
                <w:sz w:val="20"/>
                <w:szCs w:val="20"/>
              </w:rPr>
              <w:t xml:space="preserve">Months from the FAA AST launch-license issuance (or first license action for a given vehicle configuration) to the first orbital launch attempt under that license; for vehicles licensed but never flown by the 2026-06 observation cutoff, months from license to cutoff or to documented program exit (right-censored).</w:t>
            </w:r>
          </w:p>
        </w:tc>
        <w:tc>
          <w:tcPr>
            <w:tcW w:w="0" w:type="auto"/>
          </w:tcPr>
          <w:p>
            <w:pPr>
              <w:spacing w:line="240" w:lineRule="auto" w:before="0" w:after="0"/>
              <w:pStyle w:val="Compact"/>
            </w:pPr>
            <w:r>
              <w:rPr>
                <w:sz w:val="20"/>
                <w:szCs w:val="20"/>
              </w:rPr>
              <w:t xml:space="preserve">Computed from documented FAA AST license issuance dates and first-flight dates per row source.</w:t>
            </w:r>
          </w:p>
        </w:tc>
      </w:tr>
      <w:tr>
        <w:tc>
          <w:tcPr>
            <w:tcW w:w="0" w:type="auto"/>
          </w:tcPr>
          <w:p>
            <w:pPr>
              <w:spacing w:line="240" w:lineRule="auto" w:before="0" w:after="0"/>
              <w:pStyle w:val="Compact"/>
            </w:pPr>
            <w:r>
              <w:rPr>
                <w:sz w:val="20"/>
                <w:szCs w:val="20"/>
              </w:rPr>
              <w:t xml:space="preserve">launched</w:t>
            </w:r>
          </w:p>
        </w:tc>
        <w:tc>
          <w:tcPr>
            <w:tcW w:w="0" w:type="auto"/>
          </w:tcPr>
          <w:p>
            <w:pPr>
              <w:spacing w:line="240" w:lineRule="auto" w:before="0" w:after="0"/>
              <w:pStyle w:val="Compact"/>
            </w:pPr>
            <w:r>
              <w:rPr>
                <w:sz w:val="20"/>
                <w:szCs w:val="20"/>
              </w:rPr>
              <w:t xml:space="preserve">Event indicator: 1 if the vehicle conducted its first orbital launch attempt under the FAA license by the cutoff; 0 if the licensed vehicle had not flown (program cancelled, operator ceased operations, or return-to-flight pending) at the cutoff (right-censored).</w:t>
            </w:r>
          </w:p>
        </w:tc>
        <w:tc>
          <w:tcPr>
            <w:tcW w:w="0" w:type="auto"/>
          </w:tcPr>
          <w:p>
            <w:pPr>
              <w:spacing w:line="240" w:lineRule="auto" w:before="0" w:after="0"/>
              <w:pStyle w:val="Compact"/>
            </w:pPr>
            <w:r>
              <w:rPr>
                <w:sz w:val="20"/>
                <w:szCs w:val="20"/>
              </w:rPr>
              <w:t xml:space="preserve">FAA AST license records and launch logs per row source.</w:t>
            </w:r>
          </w:p>
        </w:tc>
      </w:tr>
      <w:tr>
        <w:tc>
          <w:tcPr>
            <w:tcW w:w="0" w:type="auto"/>
          </w:tcPr>
          <w:p>
            <w:pPr>
              <w:spacing w:line="240" w:lineRule="auto" w:before="0" w:after="0"/>
              <w:pStyle w:val="Compact"/>
            </w:pPr>
            <w:r>
              <w:rPr>
                <w:sz w:val="20"/>
                <w:szCs w:val="20"/>
              </w:rPr>
              <w:t xml:space="preserve">heavy_class</w:t>
            </w:r>
          </w:p>
        </w:tc>
        <w:tc>
          <w:tcPr>
            <w:tcW w:w="0" w:type="auto"/>
          </w:tcPr>
          <w:p>
            <w:pPr>
              <w:spacing w:line="240" w:lineRule="auto" w:before="0" w:after="0"/>
              <w:pStyle w:val="Compact"/>
            </w:pPr>
            <w:r>
              <w:rPr>
                <w:sz w:val="20"/>
                <w:szCs w:val="20"/>
              </w:rPr>
              <w:t xml:space="preserve">Binary: 1 if the vehicle is a heavy-lift or super-heavy class system (Falcon Heavy, Vulcan, New Glenn, Starship-Super Heavy); 0 for medium and small-lift vehicles.</w:t>
            </w:r>
          </w:p>
        </w:tc>
        <w:tc>
          <w:tcPr>
            <w:tcW w:w="0" w:type="auto"/>
          </w:tcPr>
          <w:p>
            <w:pPr>
              <w:spacing w:line="240" w:lineRule="auto" w:before="0" w:after="0"/>
              <w:pStyle w:val="Compact"/>
            </w:pPr>
            <w:r>
              <w:rPr>
                <w:sz w:val="20"/>
                <w:szCs w:val="20"/>
              </w:rPr>
              <w:t xml:space="preserve">Hand-coded from published payload class; threshold rubric in Section 3.</w:t>
            </w:r>
          </w:p>
        </w:tc>
      </w:tr>
      <w:tr>
        <w:tc>
          <w:tcPr>
            <w:tcW w:w="0" w:type="auto"/>
          </w:tcPr>
          <w:p>
            <w:pPr>
              <w:spacing w:line="240" w:lineRule="auto" w:before="0" w:after="0"/>
              <w:pStyle w:val="Compact"/>
            </w:pPr>
            <w:r>
              <w:rPr>
                <w:sz w:val="20"/>
                <w:szCs w:val="20"/>
              </w:rPr>
              <w:t xml:space="preserve">reusable_program</w:t>
            </w:r>
          </w:p>
        </w:tc>
        <w:tc>
          <w:tcPr>
            <w:tcW w:w="0" w:type="auto"/>
          </w:tcPr>
          <w:p>
            <w:pPr>
              <w:spacing w:line="240" w:lineRule="auto" w:before="0" w:after="0"/>
              <w:pStyle w:val="Compact"/>
            </w:pPr>
            <w:r>
              <w:rPr>
                <w:sz w:val="20"/>
                <w:szCs w:val="20"/>
              </w:rPr>
              <w:t xml:space="preserve">Binary: 1 if the licensed program incorporates first-stage or vehicle reuse as a baseline design objective (Falcon 9, Falcon Heavy, New Shepard, Starship, New Glenn); 0 for expendable vehicles.</w:t>
            </w:r>
          </w:p>
        </w:tc>
        <w:tc>
          <w:tcPr>
            <w:tcW w:w="0" w:type="auto"/>
          </w:tcPr>
          <w:p>
            <w:pPr>
              <w:spacing w:line="240" w:lineRule="auto" w:before="0" w:after="0"/>
              <w:pStyle w:val="Compact"/>
            </w:pPr>
            <w:r>
              <w:rPr>
                <w:sz w:val="20"/>
                <w:szCs w:val="20"/>
              </w:rPr>
              <w:t xml:space="preserve">Hand-coded from documented vehicle architecture per row source.</w:t>
            </w:r>
          </w:p>
        </w:tc>
      </w:tr>
      <w:tr>
        <w:tc>
          <w:tcPr>
            <w:tcW w:w="0" w:type="auto"/>
          </w:tcPr>
          <w:p>
            <w:pPr>
              <w:spacing w:line="240" w:lineRule="auto" w:before="0" w:after="0"/>
              <w:pStyle w:val="Compact"/>
            </w:pPr>
            <w:r>
              <w:rPr>
                <w:sz w:val="20"/>
                <w:szCs w:val="20"/>
              </w:rPr>
              <w:t xml:space="preserve">part450_era</w:t>
            </w:r>
          </w:p>
        </w:tc>
        <w:tc>
          <w:tcPr>
            <w:tcW w:w="0" w:type="auto"/>
          </w:tcPr>
          <w:p>
            <w:pPr>
              <w:spacing w:line="240" w:lineRule="auto" w:before="0" w:after="0"/>
              <w:pStyle w:val="Compact"/>
            </w:pPr>
            <w:r>
              <w:rPr>
                <w:sz w:val="20"/>
                <w:szCs w:val="20"/>
              </w:rPr>
              <w:t xml:space="preserve">Binary regulatory-regime proxy: 1 if the license was issued under or after the FAA streamlined Part 450 launch-licensing rule (2020 onward); 0 if issued under the prior part-by-part regime.</w:t>
            </w:r>
          </w:p>
        </w:tc>
        <w:tc>
          <w:tcPr>
            <w:tcW w:w="0" w:type="auto"/>
          </w:tcPr>
          <w:p>
            <w:pPr>
              <w:spacing w:line="240" w:lineRule="auto" w:before="0" w:after="0"/>
              <w:pStyle w:val="Compact"/>
            </w:pPr>
            <w:r>
              <w:rPr>
                <w:sz w:val="20"/>
                <w:szCs w:val="20"/>
              </w:rPr>
              <w:t xml:space="preserve">FAA Part 450 effective-date records; license-year coding per row source.</w:t>
            </w:r>
          </w:p>
        </w:tc>
      </w:tr>
      <w:tr>
        <w:tc>
          <w:tcPr>
            <w:tcW w:w="0" w:type="auto"/>
          </w:tcPr>
          <w:p>
            <w:pPr>
              <w:spacing w:line="240" w:lineRule="auto" w:before="0" w:after="0"/>
              <w:pStyle w:val="Compact"/>
            </w:pPr>
            <w:r>
              <w:rPr>
                <w:sz w:val="20"/>
                <w:szCs w:val="20"/>
              </w:rPr>
              <w:t xml:space="preserve">log_payload_kg</w:t>
            </w:r>
          </w:p>
        </w:tc>
        <w:tc>
          <w:tcPr>
            <w:tcW w:w="0" w:type="auto"/>
          </w:tcPr>
          <w:p>
            <w:pPr>
              <w:spacing w:line="240" w:lineRule="auto" w:before="0" w:after="0"/>
              <w:pStyle w:val="Compact"/>
            </w:pPr>
            <w:r>
              <w:rPr>
                <w:sz w:val="20"/>
                <w:szCs w:val="20"/>
              </w:rPr>
              <w:t xml:space="preserve">Natural logarithm of the vehicle’s advertised low-Earth-orbit payload capacity in kilograms, a measure of system scale and integration burden.</w:t>
            </w:r>
          </w:p>
        </w:tc>
        <w:tc>
          <w:tcPr>
            <w:tcW w:w="0" w:type="auto"/>
          </w:tcPr>
          <w:p>
            <w:pPr>
              <w:spacing w:line="240" w:lineRule="auto" w:before="0" w:after="0"/>
              <w:pStyle w:val="Compact"/>
            </w:pPr>
            <w:r>
              <w:rPr>
                <w:sz w:val="20"/>
                <w:szCs w:val="20"/>
              </w:rPr>
              <w:t xml:space="preserve">log(payload_kg); capacity figures from operator data and vehicle references per row source.</w:t>
            </w:r>
          </w:p>
        </w:tc>
      </w:tr>
    </w:tbl>
    <w:bookmarkEnd w:id="245"/>
    <w:bookmarkEnd w:id="246"/>
    <w:bookmarkEnd w:id="247"/>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232" Type="http://schemas.openxmlformats.org/officeDocument/2006/relationships/image" Target="media/rId232.png"/><Relationship Id="rId240" Type="http://schemas.openxmlformats.org/officeDocument/2006/relationships/image" Target="media/rId240.png"/><Relationship Id="rId180" Type="http://schemas.openxmlformats.org/officeDocument/2006/relationships/hyperlink" Target="https://doi.org/10.1016/j.actaastro.2017.01.046" TargetMode="External"/><Relationship Id="rId222" Type="http://schemas.openxmlformats.org/officeDocument/2006/relationships/hyperlink" Target="https://doi.org/10.1016/j.actaastro.2018.07.021" TargetMode="External"/><Relationship Id="rId178" Type="http://schemas.openxmlformats.org/officeDocument/2006/relationships/hyperlink" Target="https://doi.org/10.1016/j.actaastro.2019.04.003" TargetMode="External"/><Relationship Id="rId176" Type="http://schemas.openxmlformats.org/officeDocument/2006/relationships/hyperlink" Target="https://doi.org/10.1016/j.actaastro.2020.06.016" TargetMode="External"/><Relationship Id="rId185" Type="http://schemas.openxmlformats.org/officeDocument/2006/relationships/hyperlink" Target="https://doi.org/10.1016/j.actaastro.2021.03.030" TargetMode="External"/><Relationship Id="rId217" Type="http://schemas.openxmlformats.org/officeDocument/2006/relationships/hyperlink" Target="https://doi.org/10.1016/j.actaastro.2023.12.060" TargetMode="External"/><Relationship Id="rId190" Type="http://schemas.openxmlformats.org/officeDocument/2006/relationships/hyperlink" Target="https://doi.org/10.1016/j.actaastro.2024.05.045" TargetMode="External"/><Relationship Id="rId188" Type="http://schemas.openxmlformats.org/officeDocument/2006/relationships/hyperlink" Target="https://doi.org/10.1016/j.actaastro.2024.07.030" TargetMode="External"/><Relationship Id="rId192" Type="http://schemas.openxmlformats.org/officeDocument/2006/relationships/hyperlink" Target="https://doi.org/10.1016/j.actaastro.2024.09.063" TargetMode="External"/><Relationship Id="rId226" Type="http://schemas.openxmlformats.org/officeDocument/2006/relationships/hyperlink" Target="https://doi.org/10.1016/j.actaastro.2024.12.022" TargetMode="External"/><Relationship Id="rId167" Type="http://schemas.openxmlformats.org/officeDocument/2006/relationships/hyperlink" Target="https://doi.org/10.1016/j.actaastro.2024.12.056" TargetMode="External"/><Relationship Id="rId165" Type="http://schemas.openxmlformats.org/officeDocument/2006/relationships/hyperlink" Target="https://doi.org/10.1016/j.actaastro.2025.01.069" TargetMode="External"/><Relationship Id="rId182" Type="http://schemas.openxmlformats.org/officeDocument/2006/relationships/hyperlink" Target="https://doi.org/10.1016/j.actaastro.2025.02.019" TargetMode="External"/><Relationship Id="rId219" Type="http://schemas.openxmlformats.org/officeDocument/2006/relationships/hyperlink" Target="https://doi.org/10.1016/j.actaastro.2025.02.046" TargetMode="External"/><Relationship Id="rId215" Type="http://schemas.openxmlformats.org/officeDocument/2006/relationships/hyperlink" Target="https://doi.org/10.1016/j.actaastro.2025.05.018" TargetMode="External"/><Relationship Id="rId224" Type="http://schemas.openxmlformats.org/officeDocument/2006/relationships/hyperlink" Target="https://doi.org/10.1016/j.actaastro.2025.06.029" TargetMode="External"/><Relationship Id="rId228" Type="http://schemas.openxmlformats.org/officeDocument/2006/relationships/hyperlink" Target="https://doi.org/10.1016/j.actaastro.2025.06.068" TargetMode="External"/><Relationship Id="rId213" Type="http://schemas.openxmlformats.org/officeDocument/2006/relationships/hyperlink" Target="https://doi.org/10.64861/CKGQ5448" TargetMode="External"/><Relationship Id="rId170" Type="http://schemas.openxmlformats.org/officeDocument/2006/relationships/hyperlink" Target="https://doi.org/10.64861/HKAM1019" TargetMode="External"/><Relationship Id="rId209" Type="http://schemas.openxmlformats.org/officeDocument/2006/relationships/hyperlink" Target="https://doi.org/10.64861/KYFU6858" TargetMode="External"/><Relationship Id="rId172" Type="http://schemas.openxmlformats.org/officeDocument/2006/relationships/hyperlink" Target="https://doi.org/10.64861/LZVJ5533" TargetMode="External"/><Relationship Id="rId160" Type="http://schemas.openxmlformats.org/officeDocument/2006/relationships/hyperlink" Target="https://doi.org/10.64861/RBTM5104" TargetMode="External"/><Relationship Id="rId162" Type="http://schemas.openxmlformats.org/officeDocument/2006/relationships/hyperlink" Target="https://doi.org/10.64861/UCTN1793" TargetMode="External"/></Relationships>
</file>

<file path=word/_rels/footnotes.xml.rels><?xml version='1.0' encoding='UTF-8' standalone='yes'?>
<Relationships xmlns="http://schemas.openxmlformats.org/package/2006/relationships"><Relationship Id="rId180" Type="http://schemas.openxmlformats.org/officeDocument/2006/relationships/hyperlink" Target="https://doi.org/10.1016/j.actaastro.2017.01.046" TargetMode="External"/><Relationship Id="rId222" Type="http://schemas.openxmlformats.org/officeDocument/2006/relationships/hyperlink" Target="https://doi.org/10.1016/j.actaastro.2018.07.021" TargetMode="External"/><Relationship Id="rId178" Type="http://schemas.openxmlformats.org/officeDocument/2006/relationships/hyperlink" Target="https://doi.org/10.1016/j.actaastro.2019.04.003" TargetMode="External"/><Relationship Id="rId176" Type="http://schemas.openxmlformats.org/officeDocument/2006/relationships/hyperlink" Target="https://doi.org/10.1016/j.actaastro.2020.06.016" TargetMode="External"/><Relationship Id="rId185" Type="http://schemas.openxmlformats.org/officeDocument/2006/relationships/hyperlink" Target="https://doi.org/10.1016/j.actaastro.2021.03.030" TargetMode="External"/><Relationship Id="rId217" Type="http://schemas.openxmlformats.org/officeDocument/2006/relationships/hyperlink" Target="https://doi.org/10.1016/j.actaastro.2023.12.060" TargetMode="External"/><Relationship Id="rId190" Type="http://schemas.openxmlformats.org/officeDocument/2006/relationships/hyperlink" Target="https://doi.org/10.1016/j.actaastro.2024.05.045" TargetMode="External"/><Relationship Id="rId188" Type="http://schemas.openxmlformats.org/officeDocument/2006/relationships/hyperlink" Target="https://doi.org/10.1016/j.actaastro.2024.07.030" TargetMode="External"/><Relationship Id="rId192" Type="http://schemas.openxmlformats.org/officeDocument/2006/relationships/hyperlink" Target="https://doi.org/10.1016/j.actaastro.2024.09.063" TargetMode="External"/><Relationship Id="rId226" Type="http://schemas.openxmlformats.org/officeDocument/2006/relationships/hyperlink" Target="https://doi.org/10.1016/j.actaastro.2024.12.022" TargetMode="External"/><Relationship Id="rId167" Type="http://schemas.openxmlformats.org/officeDocument/2006/relationships/hyperlink" Target="https://doi.org/10.1016/j.actaastro.2024.12.056" TargetMode="External"/><Relationship Id="rId165" Type="http://schemas.openxmlformats.org/officeDocument/2006/relationships/hyperlink" Target="https://doi.org/10.1016/j.actaastro.2025.01.069" TargetMode="External"/><Relationship Id="rId182" Type="http://schemas.openxmlformats.org/officeDocument/2006/relationships/hyperlink" Target="https://doi.org/10.1016/j.actaastro.2025.02.019" TargetMode="External"/><Relationship Id="rId219" Type="http://schemas.openxmlformats.org/officeDocument/2006/relationships/hyperlink" Target="https://doi.org/10.1016/j.actaastro.2025.02.046" TargetMode="External"/><Relationship Id="rId215" Type="http://schemas.openxmlformats.org/officeDocument/2006/relationships/hyperlink" Target="https://doi.org/10.1016/j.actaastro.2025.05.018" TargetMode="External"/><Relationship Id="rId224" Type="http://schemas.openxmlformats.org/officeDocument/2006/relationships/hyperlink" Target="https://doi.org/10.1016/j.actaastro.2025.06.029" TargetMode="External"/><Relationship Id="rId228" Type="http://schemas.openxmlformats.org/officeDocument/2006/relationships/hyperlink" Target="https://doi.org/10.1016/j.actaastro.2025.06.068" TargetMode="External"/><Relationship Id="rId213" Type="http://schemas.openxmlformats.org/officeDocument/2006/relationships/hyperlink" Target="https://doi.org/10.64861/CKGQ5448" TargetMode="External"/><Relationship Id="rId170" Type="http://schemas.openxmlformats.org/officeDocument/2006/relationships/hyperlink" Target="https://doi.org/10.64861/HKAM1019" TargetMode="External"/><Relationship Id="rId209" Type="http://schemas.openxmlformats.org/officeDocument/2006/relationships/hyperlink" Target="https://doi.org/10.64861/KYFU6858" TargetMode="External"/><Relationship Id="rId172" Type="http://schemas.openxmlformats.org/officeDocument/2006/relationships/hyperlink" Target="https://doi.org/10.64861/LZVJ5533" TargetMode="External"/><Relationship Id="rId160" Type="http://schemas.openxmlformats.org/officeDocument/2006/relationships/hyperlink" Target="https://doi.org/10.64861/RBTM5104" TargetMode="External"/><Relationship Id="rId162" Type="http://schemas.openxmlformats.org/officeDocument/2006/relationships/hyperlink" Target="https://doi.org/10.64861/UCTN179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Licensing-to-Launch Latency and STM Demand: Does FAA AST Throughput Pace On-Orbit Conjunction Load?</dc:title>
  <dc:creator>Lukas Sklar (1B-SDA-070)</dc:creator>
  <cp:keywords/>
  <dcterms:created xsi:type="dcterms:W3CDTF">2026-07-02T17:29:43Z</dcterms:created>
  <dcterms:modified xsi:type="dcterms:W3CDTF">2026-07-02T17:29:43Z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