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8a911ae854850cdafcb8183dbc03e740a202d6a"/>
    <w:p>
      <w:pPr>
        <w:pStyle w:val="Heading1"/>
      </w:pPr>
      <w:r>
        <w:t xml:space="preserve">Signal Intensity in The Focal-Point Problem in Cislunar Right-of-Way Do Operators Converge on Tacit: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Kofi Zhang (1B-SDA-228) and the dissertation project</w:t>
      </w:r>
      <w:r>
        <w:t xml:space="preserve"> </w:t>
      </w:r>
      <w:r>
        <w:rPr>
          <w:i/>
          <w:iCs/>
        </w:rPr>
        <w:t xml:space="preserve">The Focal-Point Problem in Cislunar Right-of-Way: Do Operators Converge on Tacit</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R2=0.5571375963777085, R2_adj=0.5060380882674441, F=22.001090703174327, F_p=2.6346643909491255e-07. The exact term summary is: const coef=6.587578845419326 p=0.0002265364432012475; recency_index coef=0.35583972995838076 p=0.03057251112915009; cites_num coef=-0.15998128191031466 p=0.00036689851504627245; venue_score coef=-2.5544501166011 p=1.3097091629932064e-09.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Aaron J. Rosengren, University of California San Diego. Cislunar Multiscale Dynamics and Implications for SSA (2021). [AMOS]</w:t>
      </w:r>
      <w:r>
        <w:t xml:space="preserve"> </w:t>
      </w:r>
      <w:bookmarkStart w:id="68" w:name="ref-2"/>
      <w:bookmarkEnd w:id="68"/>
      <w:r>
        <w:t xml:space="preserve">2.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69">
        <w:r>
          <w:rPr>
            <w:rStyle w:val="Hyperlink"/>
          </w:rPr>
          <w:t xml:space="preserve">10.64861/FBSC2978</w:t>
        </w:r>
      </w:hyperlink>
      <w:r>
        <w:t xml:space="preserve"> </w:t>
      </w:r>
      <w:bookmarkStart w:id="70" w:name="ref-3"/>
      <w:bookmarkEnd w:id="70"/>
      <w:r>
        <w:t xml:space="preserve">3. Triet Tran, Braxton Technologies LLC. Application of a COTS Resource Optimization Framework to the SSN Sensor Tasking Domain – Part I: Problem Definition (2015). [AMOS]</w:t>
      </w:r>
      <w:r>
        <w:t xml:space="preserve"> </w:t>
      </w:r>
      <w:bookmarkStart w:id="71" w:name="ref-4"/>
      <w:bookmarkEnd w:id="71"/>
      <w:r>
        <w:t xml:space="preserve">4. Sam Wishnek, University of Colorado Boulder; Marcus Holzinger, University of Colorado Boulder; Patrick Handley, Ball Aerospace. Robust Cislunar Initial Orbit Determination (2021). [AMOS]</w:t>
      </w:r>
      <w:r>
        <w:t xml:space="preserve"> </w:t>
      </w:r>
      <w:bookmarkStart w:id="72" w:name="ref-5"/>
      <w:bookmarkEnd w:id="72"/>
      <w:r>
        <w:t xml:space="preserve">5. Jonathon Hope, Pennsylvania State University; Puneet Singla, The Pennsylvania State University; Roshan Eapen, Pennsylvania State University; Peter Kent, Peraton; Michael Goodman, Peraton; Joseph Diamond, Peraton. Multi-Order Single Shooting Scheme for Initial Orbit Determination for Cislunar Objects (2025). doi:</w:t>
      </w:r>
      <w:r>
        <w:t xml:space="preserve"> </w:t>
      </w:r>
      <w:hyperlink r:id="rId73">
        <w:r>
          <w:rPr>
            <w:rStyle w:val="Hyperlink"/>
          </w:rPr>
          <w:t xml:space="preserve">10.64861/TKNV3337</w:t>
        </w:r>
      </w:hyperlink>
      <w:r>
        <w:t xml:space="preserve"> </w:t>
      </w:r>
      <w:bookmarkStart w:id="74" w:name="ref-6"/>
      <w:bookmarkEnd w:id="74"/>
      <w:r>
        <w:t xml:space="preserve">6. C. Channing Chow II, Cloudstone Innovations LLC; Charles J. Wetterer, KBR; Jason Baldwin, Complex Futures LLC; Micah Dilley, KBR; Keric Hill, KBR; Paul Billings, KBR; James Frith, AFRL/RVSW. Cislunar Orbit Determination Behavior: Processing Observations of Periodic Orbits with Gaussian Mixture Model Estimation Filters (2021). [AMOS]</w:t>
      </w:r>
      <w:r>
        <w:t xml:space="preserve"> </w:t>
      </w:r>
      <w:bookmarkStart w:id="75" w:name="ref-7"/>
      <w:bookmarkEnd w:id="75"/>
      <w:r>
        <w:t xml:space="preserve">7. Casey Heidrich, University of Colorado Boulder; Marcus Holzinger, University of Colorado Boulder. Initial Orbit Determination from Ephemeris Models: Accurate Reconstruction of Maneuvering Cislunar Orbits Using Nonlinear Programming (2025). doi:</w:t>
      </w:r>
      <w:r>
        <w:t xml:space="preserve"> </w:t>
      </w:r>
      <w:hyperlink r:id="rId76">
        <w:r>
          <w:rPr>
            <w:rStyle w:val="Hyperlink"/>
          </w:rPr>
          <w:t xml:space="preserve">10.64861/JDBC3555</w:t>
        </w:r>
      </w:hyperlink>
      <w:r>
        <w:t xml:space="preserve"> </w:t>
      </w:r>
      <w:bookmarkStart w:id="77" w:name="ref-8"/>
      <w:bookmarkEnd w:id="77"/>
      <w:r>
        <w:t xml:space="preserve">8. Reuben Settergren, BAE Systems. Resection of Long-Range Sensor Models for Mono and Stereo Exploitation of Non-Earth Imagery (2024). doi:</w:t>
      </w:r>
      <w:r>
        <w:t xml:space="preserve"> </w:t>
      </w:r>
      <w:hyperlink r:id="rId78">
        <w:r>
          <w:rPr>
            <w:rStyle w:val="Hyperlink"/>
          </w:rPr>
          <w:t xml:space="preserve">10.64861/OAYK5409</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6.5876</w:t>
            </w:r>
          </w:p>
        </w:tc>
        <w:tc>
          <w:tcPr>
            <w:tcW w:w="0" w:type="auto"/>
          </w:tcPr>
          <w:p>
            <w:pPr>
              <w:spacing w:line="240" w:lineRule="auto" w:before="0" w:after="0"/>
              <w:pStyle w:val="Compact"/>
            </w:pPr>
            <w:r>
              <w:rPr>
                <w:sz w:val="20"/>
                <w:szCs w:val="20"/>
              </w:rPr>
              <w:t xml:space="preserve">1.7865</w:t>
            </w:r>
          </w:p>
        </w:tc>
        <w:tc>
          <w:tcPr>
            <w:tcW w:w="0" w:type="auto"/>
          </w:tcPr>
          <w:p>
            <w:pPr>
              <w:spacing w:line="240" w:lineRule="auto" w:before="0" w:after="0"/>
              <w:pStyle w:val="Compact"/>
            </w:pPr>
            <w:r>
              <w:rPr>
                <w:sz w:val="20"/>
                <w:szCs w:val="20"/>
              </w:rPr>
              <w:t xml:space="preserve">3.6874</w:t>
            </w:r>
          </w:p>
        </w:tc>
        <w:tc>
          <w:tcPr>
            <w:tcW w:w="0" w:type="auto"/>
          </w:tcPr>
          <w:p>
            <w:pPr>
              <w:spacing w:line="240" w:lineRule="auto" w:before="0" w:after="0"/>
              <w:pStyle w:val="Compact"/>
            </w:pPr>
            <w:r>
              <w:rPr>
                <w:sz w:val="20"/>
                <w:szCs w:val="20"/>
              </w:rPr>
              <w:t xml:space="preserve">0.0002265</w:t>
            </w:r>
          </w:p>
        </w:tc>
        <w:tc>
          <w:tcPr>
            <w:tcW w:w="0" w:type="auto"/>
          </w:tcPr>
          <w:p>
            <w:pPr>
              <w:spacing w:line="240" w:lineRule="auto" w:before="0" w:after="0"/>
              <w:pStyle w:val="Compact"/>
            </w:pPr>
            <w:r>
              <w:rPr>
                <w:sz w:val="20"/>
                <w:szCs w:val="20"/>
              </w:rPr>
              <w:t xml:space="preserve">[3.0861, 10.0891]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0.3558</w:t>
            </w:r>
          </w:p>
        </w:tc>
        <w:tc>
          <w:tcPr>
            <w:tcW w:w="0" w:type="auto"/>
          </w:tcPr>
          <w:p>
            <w:pPr>
              <w:spacing w:line="240" w:lineRule="auto" w:before="0" w:after="0"/>
              <w:pStyle w:val="Compact"/>
            </w:pPr>
            <w:r>
              <w:rPr>
                <w:sz w:val="20"/>
                <w:szCs w:val="20"/>
              </w:rPr>
              <w:t xml:space="preserve">0.1645</w:t>
            </w:r>
          </w:p>
        </w:tc>
        <w:tc>
          <w:tcPr>
            <w:tcW w:w="0" w:type="auto"/>
          </w:tcPr>
          <w:p>
            <w:pPr>
              <w:spacing w:line="240" w:lineRule="auto" w:before="0" w:after="0"/>
              <w:pStyle w:val="Compact"/>
            </w:pPr>
            <w:r>
              <w:rPr>
                <w:sz w:val="20"/>
                <w:szCs w:val="20"/>
              </w:rPr>
              <w:t xml:space="preserve">2.1626</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[0.0333, 0.6783]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-3.5628</w:t>
            </w:r>
          </w:p>
        </w:tc>
        <w:tc>
          <w:tcPr>
            <w:tcW w:w="0" w:type="auto"/>
          </w:tcPr>
          <w:p>
            <w:pPr>
              <w:spacing w:line="240" w:lineRule="auto" w:before="0" w:after="0"/>
              <w:pStyle w:val="Compact"/>
            </w:pPr>
            <w:r>
              <w:rPr>
                <w:sz w:val="20"/>
                <w:szCs w:val="20"/>
              </w:rPr>
              <w:t xml:space="preserve">0.0003669</w:t>
            </w:r>
          </w:p>
        </w:tc>
        <w:tc>
          <w:tcPr>
            <w:tcW w:w="0" w:type="auto"/>
          </w:tcPr>
          <w:p>
            <w:pPr>
              <w:spacing w:line="240" w:lineRule="auto" w:before="0" w:after="0"/>
              <w:pStyle w:val="Compact"/>
            </w:pPr>
            <w:r>
              <w:rPr>
                <w:sz w:val="20"/>
                <w:szCs w:val="20"/>
              </w:rPr>
              <w:t xml:space="preserve">[-0.248, -0.072]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-2.5545</w:t>
            </w:r>
          </w:p>
        </w:tc>
        <w:tc>
          <w:tcPr>
            <w:tcW w:w="0" w:type="auto"/>
          </w:tcPr>
          <w:p>
            <w:pPr>
              <w:spacing w:line="240" w:lineRule="auto" w:before="0" w:after="0"/>
              <w:pStyle w:val="Compact"/>
            </w:pPr>
            <w:r>
              <w:rPr>
                <w:sz w:val="20"/>
                <w:szCs w:val="20"/>
              </w:rPr>
              <w:t xml:space="preserve">0.4211</w:t>
            </w:r>
          </w:p>
        </w:tc>
        <w:tc>
          <w:tcPr>
            <w:tcW w:w="0" w:type="auto"/>
          </w:tcPr>
          <w:p>
            <w:pPr>
              <w:spacing w:line="240" w:lineRule="auto" w:before="0" w:after="0"/>
              <w:pStyle w:val="Compact"/>
            </w:pPr>
            <w:r>
              <w:rPr>
                <w:sz w:val="20"/>
                <w:szCs w:val="20"/>
              </w:rPr>
              <w:t xml:space="preserve">-6.0662</w:t>
            </w:r>
          </w:p>
        </w:tc>
        <w:tc>
          <w:tcPr>
            <w:tcW w:w="0" w:type="auto"/>
          </w:tcPr>
          <w:p>
            <w:pPr>
              <w:spacing w:line="240" w:lineRule="auto" w:before="0" w:after="0"/>
              <w:pStyle w:val="Compact"/>
            </w:pPr>
            <w:r>
              <w:rPr>
                <w:sz w:val="20"/>
                <w:szCs w:val="20"/>
              </w:rPr>
              <w:t xml:space="preserve">1.31e-09</w:t>
            </w:r>
          </w:p>
        </w:tc>
        <w:tc>
          <w:tcPr>
            <w:tcW w:w="0" w:type="auto"/>
          </w:tcPr>
          <w:p>
            <w:pPr>
              <w:spacing w:line="240" w:lineRule="auto" w:before="0" w:after="0"/>
              <w:pStyle w:val="Compact"/>
            </w:pPr>
            <w:r>
              <w:rPr>
                <w:sz w:val="20"/>
                <w:szCs w:val="20"/>
              </w:rPr>
              <w:t xml:space="preserve">[-3.3798, -1.7291]</w:t>
            </w:r>
          </w:p>
        </w:tc>
      </w:tr>
    </w:tbl>
    <w:p>
      <w:pPr>
        <w:pStyle w:val="BodyText"/>
      </w:pPr>
      <w:r>
        <w:t xml:space="preserve">Fit: N = 30 R2 = 0.5571 R2_adj = 0.506 F = 22.0011 F_p = 2.635e-07</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TM_CISLUNAR_04\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https://amostech.space/year/2015/application-of-a-cots-resource-optimization-framework-to-the-ssn-sensor-tasking-domain-part-i-problem-definition/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https://amostech.space/year/2021/robust-cislunar-initial-orbit-determination/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10.64861/TKNV3337</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https://amostech.space/year/2021/cislunar-orbit-determination-behavior-processing-observations-of-periodic-orbits-with-gaussian-mixture-model-estimation-filters/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10.64861/JDBC3555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10.64861/OAYK5409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10.64861/JBDG7304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https://amostech.space/year/2022/cislunar-space-situational-awareness-sensor-tasking-using-deep-reinforcement-learning-agents/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https://amostech.space/year/2018/satellite-characterization-classification-and-operational-assessment-via-the-exploitation-of-remote-photoacoustic-signatures/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10.1016/j.actaastro.2024.11.048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10.1016/j.actaastro.2025.04.043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10.1016/j.actaastro.2025.03.022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10.1016/j.actaastro.2018.10.015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10.1016/j.actaastro.2023.03.020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10.3390/world7020018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Wicked Problem of Space Debris (System Dynamics)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6.5876</w:t>
            </w:r>
          </w:p>
        </w:tc>
        <w:tc>
          <w:tcPr>
            <w:tcW w:w="0" w:type="auto"/>
          </w:tcPr>
          <w:p>
            <w:pPr>
              <w:spacing w:line="240" w:lineRule="auto" w:before="0" w:after="0"/>
              <w:pStyle w:val="Compact"/>
            </w:pPr>
            <w:r>
              <w:rPr>
                <w:sz w:val="20"/>
                <w:szCs w:val="20"/>
              </w:rPr>
              <w:t xml:space="preserve">1.7865</w:t>
            </w:r>
          </w:p>
        </w:tc>
        <w:tc>
          <w:tcPr>
            <w:tcW w:w="0" w:type="auto"/>
          </w:tcPr>
          <w:p>
            <w:pPr>
              <w:spacing w:line="240" w:lineRule="auto" w:before="0" w:after="0"/>
              <w:pStyle w:val="Compact"/>
            </w:pPr>
            <w:r>
              <w:rPr>
                <w:sz w:val="20"/>
                <w:szCs w:val="20"/>
              </w:rPr>
              <w:t xml:space="preserve">3.6874</w:t>
            </w:r>
          </w:p>
        </w:tc>
        <w:tc>
          <w:tcPr>
            <w:tcW w:w="0" w:type="auto"/>
          </w:tcPr>
          <w:p>
            <w:pPr>
              <w:spacing w:line="240" w:lineRule="auto" w:before="0" w:after="0"/>
              <w:pStyle w:val="Compact"/>
            </w:pPr>
            <w:r>
              <w:rPr>
                <w:sz w:val="20"/>
                <w:szCs w:val="20"/>
              </w:rPr>
              <w:t xml:space="preserve">0.0002265</w:t>
            </w:r>
          </w:p>
        </w:tc>
        <w:tc>
          <w:tcPr>
            <w:tcW w:w="0" w:type="auto"/>
          </w:tcPr>
          <w:p>
            <w:pPr>
              <w:spacing w:line="240" w:lineRule="auto" w:before="0" w:after="0"/>
              <w:pStyle w:val="Compact"/>
            </w:pPr>
            <w:r>
              <w:rPr>
                <w:sz w:val="20"/>
                <w:szCs w:val="20"/>
              </w:rPr>
              <w:t xml:space="preserve">[3.0861, 10.0891]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0.3558</w:t>
            </w:r>
          </w:p>
        </w:tc>
        <w:tc>
          <w:tcPr>
            <w:tcW w:w="0" w:type="auto"/>
          </w:tcPr>
          <w:p>
            <w:pPr>
              <w:spacing w:line="240" w:lineRule="auto" w:before="0" w:after="0"/>
              <w:pStyle w:val="Compact"/>
            </w:pPr>
            <w:r>
              <w:rPr>
                <w:sz w:val="20"/>
                <w:szCs w:val="20"/>
              </w:rPr>
              <w:t xml:space="preserve">0.1645</w:t>
            </w:r>
          </w:p>
        </w:tc>
        <w:tc>
          <w:tcPr>
            <w:tcW w:w="0" w:type="auto"/>
          </w:tcPr>
          <w:p>
            <w:pPr>
              <w:spacing w:line="240" w:lineRule="auto" w:before="0" w:after="0"/>
              <w:pStyle w:val="Compact"/>
            </w:pPr>
            <w:r>
              <w:rPr>
                <w:sz w:val="20"/>
                <w:szCs w:val="20"/>
              </w:rPr>
              <w:t xml:space="preserve">2.1626</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[0.0333, 0.6783]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-3.5628</w:t>
            </w:r>
          </w:p>
        </w:tc>
        <w:tc>
          <w:tcPr>
            <w:tcW w:w="0" w:type="auto"/>
          </w:tcPr>
          <w:p>
            <w:pPr>
              <w:spacing w:line="240" w:lineRule="auto" w:before="0" w:after="0"/>
              <w:pStyle w:val="Compact"/>
            </w:pPr>
            <w:r>
              <w:rPr>
                <w:sz w:val="20"/>
                <w:szCs w:val="20"/>
              </w:rPr>
              <w:t xml:space="preserve">0.0003669</w:t>
            </w:r>
          </w:p>
        </w:tc>
        <w:tc>
          <w:tcPr>
            <w:tcW w:w="0" w:type="auto"/>
          </w:tcPr>
          <w:p>
            <w:pPr>
              <w:spacing w:line="240" w:lineRule="auto" w:before="0" w:after="0"/>
              <w:pStyle w:val="Compact"/>
            </w:pPr>
            <w:r>
              <w:rPr>
                <w:sz w:val="20"/>
                <w:szCs w:val="20"/>
              </w:rPr>
              <w:t xml:space="preserve">[-0.248, -0.072]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-2.5545</w:t>
            </w:r>
          </w:p>
        </w:tc>
        <w:tc>
          <w:tcPr>
            <w:tcW w:w="0" w:type="auto"/>
          </w:tcPr>
          <w:p>
            <w:pPr>
              <w:spacing w:line="240" w:lineRule="auto" w:before="0" w:after="0"/>
              <w:pStyle w:val="Compact"/>
            </w:pPr>
            <w:r>
              <w:rPr>
                <w:sz w:val="20"/>
                <w:szCs w:val="20"/>
              </w:rPr>
              <w:t xml:space="preserve">0.4211</w:t>
            </w:r>
          </w:p>
        </w:tc>
        <w:tc>
          <w:tcPr>
            <w:tcW w:w="0" w:type="auto"/>
          </w:tcPr>
          <w:p>
            <w:pPr>
              <w:spacing w:line="240" w:lineRule="auto" w:before="0" w:after="0"/>
              <w:pStyle w:val="Compact"/>
            </w:pPr>
            <w:r>
              <w:rPr>
                <w:sz w:val="20"/>
                <w:szCs w:val="20"/>
              </w:rPr>
              <w:t xml:space="preserve">-6.0662</w:t>
            </w:r>
          </w:p>
        </w:tc>
        <w:tc>
          <w:tcPr>
            <w:tcW w:w="0" w:type="auto"/>
          </w:tcPr>
          <w:p>
            <w:pPr>
              <w:spacing w:line="240" w:lineRule="auto" w:before="0" w:after="0"/>
              <w:pStyle w:val="Compact"/>
            </w:pPr>
            <w:r>
              <w:rPr>
                <w:sz w:val="20"/>
                <w:szCs w:val="20"/>
              </w:rPr>
              <w:t xml:space="preserve">1.31e-09</w:t>
            </w:r>
          </w:p>
        </w:tc>
        <w:tc>
          <w:tcPr>
            <w:tcW w:w="0" w:type="auto"/>
          </w:tcPr>
          <w:p>
            <w:pPr>
              <w:spacing w:line="240" w:lineRule="auto" w:before="0" w:after="0"/>
              <w:pStyle w:val="Compact"/>
            </w:pPr>
            <w:r>
              <w:rPr>
                <w:sz w:val="20"/>
                <w:szCs w:val="20"/>
              </w:rPr>
              <w:t xml:space="preserve">[-3.3798, -1.7291]</w:t>
            </w:r>
          </w:p>
        </w:tc>
      </w:tr>
    </w:tbl>
    <w:p>
      <w:pPr>
        <w:pStyle w:val="BodyText"/>
      </w:pPr>
      <w:r>
        <w:t xml:space="preserve">Fit: N = 30 R2 = 0.5571 R2_adj = 0.506 F = 22.0011 F_p = 2.635e-07</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69" Target="https://doi.org/10.64861/FBSC2978" TargetMode="External" /><Relationship Type="http://schemas.openxmlformats.org/officeDocument/2006/relationships/hyperlink" Id="rId76" Target="https://doi.org/10.64861/JDBC3555" TargetMode="External" /><Relationship Type="http://schemas.openxmlformats.org/officeDocument/2006/relationships/hyperlink" Id="rId78" Target="https://doi.org/10.64861/OAYK5409" TargetMode="External" /><Relationship Type="http://schemas.openxmlformats.org/officeDocument/2006/relationships/hyperlink" Id="rId73" Target="https://doi.org/10.64861/TKNV3337"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FBSC2978" TargetMode="External" /><Relationship Type="http://schemas.openxmlformats.org/officeDocument/2006/relationships/hyperlink" Id="rId76" Target="https://doi.org/10.64861/JDBC3555" TargetMode="External" /><Relationship Type="http://schemas.openxmlformats.org/officeDocument/2006/relationships/hyperlink" Id="rId78" Target="https://doi.org/10.64861/OAYK5409" TargetMode="External" /><Relationship Type="http://schemas.openxmlformats.org/officeDocument/2006/relationships/hyperlink" Id="rId73" Target="https://doi.org/10.64861/TKNV333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2026-06-29T09:44:28Z</dcterms:created>
  <dcterms:modified xsi:type="dcterms:W3CDTF">2026-06-29T09:44:28Z</dcterms:modified>
</cp:coreProperties>
</file>

<file path=docProps/custom.xml><?xml version="1.0" encoding="utf-8"?>
<Properties xmlns="http://schemas.openxmlformats.org/officeDocument/2006/custom-properties" xmlns:vt="http://schemas.openxmlformats.org/officeDocument/2006/docPropsVTypes"/>
</file>